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565" w:rsidRPr="00743A41" w:rsidRDefault="00343565" w:rsidP="00A37ED6">
      <w:pPr>
        <w:rPr>
          <w:rFonts w:asciiTheme="majorHAnsi" w:hAnsiTheme="majorHAnsi" w:cstheme="majorHAnsi"/>
          <w:sz w:val="20"/>
          <w:szCs w:val="20"/>
        </w:rPr>
      </w:pPr>
      <w:bookmarkStart w:id="0" w:name="_Toc464487850"/>
      <w:bookmarkStart w:id="1" w:name="_Toc464487851"/>
      <w:bookmarkStart w:id="2" w:name="_GoBack"/>
      <w:bookmarkEnd w:id="2"/>
    </w:p>
    <w:sdt>
      <w:sdtPr>
        <w:rPr>
          <w:rFonts w:asciiTheme="majorHAnsi" w:hAnsiTheme="majorHAnsi" w:cstheme="majorHAnsi"/>
          <w:sz w:val="20"/>
          <w:szCs w:val="20"/>
        </w:rPr>
        <w:id w:val="-405534406"/>
        <w:docPartObj>
          <w:docPartGallery w:val="Cover Pages"/>
          <w:docPartUnique/>
        </w:docPartObj>
      </w:sdtPr>
      <w:sdtEndPr/>
      <w:sdtContent>
        <w:p w:rsidR="008B4518" w:rsidRPr="00743A41" w:rsidRDefault="00921387" w:rsidP="00A37ED6">
          <w:pPr>
            <w:rPr>
              <w:rFonts w:asciiTheme="majorHAnsi" w:hAnsiTheme="majorHAnsi" w:cstheme="majorHAnsi"/>
              <w:sz w:val="20"/>
              <w:szCs w:val="20"/>
            </w:rPr>
          </w:pPr>
          <w:r w:rsidRPr="00743A41">
            <w:rPr>
              <w:rFonts w:asciiTheme="majorHAnsi" w:hAnsiTheme="majorHAnsi" w:cstheme="majorHAnsi"/>
              <w:noProof/>
              <w:sz w:val="20"/>
              <w:szCs w:val="20"/>
            </w:rPr>
            <w:drawing>
              <wp:anchor distT="0" distB="0" distL="114300" distR="114300" simplePos="0" relativeHeight="251658240" behindDoc="0" locked="0" layoutInCell="1" allowOverlap="1" wp14:anchorId="53A0DFE3" wp14:editId="55D6B549">
                <wp:simplePos x="0" y="0"/>
                <wp:positionH relativeFrom="margin">
                  <wp:align>left</wp:align>
                </wp:positionH>
                <wp:positionV relativeFrom="paragraph">
                  <wp:posOffset>-3185</wp:posOffset>
                </wp:positionV>
                <wp:extent cx="5029200" cy="1254449"/>
                <wp:effectExtent l="0" t="0" r="0" b="3175"/>
                <wp:wrapNone/>
                <wp:docPr id="5" name="Picture 5" descr="H:\Logos\SPH_2c_vert+side_rgb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s\SPH_2c_vert+side_rgb_lr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12544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18" w:rsidRPr="00743A41" w:rsidRDefault="008B4518" w:rsidP="00A37ED6">
          <w:pPr>
            <w:rPr>
              <w:rFonts w:asciiTheme="majorHAnsi" w:hAnsiTheme="majorHAnsi" w:cstheme="majorHAnsi"/>
              <w:sz w:val="20"/>
              <w:szCs w:val="20"/>
            </w:rPr>
          </w:pPr>
        </w:p>
        <w:p w:rsidR="008B4518" w:rsidRPr="00743A41" w:rsidRDefault="008B4518" w:rsidP="00A37ED6">
          <w:pPr>
            <w:rPr>
              <w:rFonts w:asciiTheme="majorHAnsi" w:hAnsiTheme="majorHAnsi" w:cstheme="majorHAnsi"/>
              <w:sz w:val="20"/>
              <w:szCs w:val="20"/>
            </w:rPr>
          </w:pPr>
        </w:p>
        <w:p w:rsidR="008B4518" w:rsidRPr="00743A41" w:rsidRDefault="008B4518" w:rsidP="00A37ED6">
          <w:pPr>
            <w:rPr>
              <w:rFonts w:asciiTheme="majorHAnsi" w:hAnsiTheme="majorHAnsi" w:cstheme="majorHAnsi"/>
              <w:sz w:val="20"/>
              <w:szCs w:val="20"/>
            </w:rPr>
          </w:pPr>
        </w:p>
        <w:p w:rsidR="008B4518" w:rsidRPr="00743A41" w:rsidRDefault="008B4518" w:rsidP="00A37ED6">
          <w:pPr>
            <w:rPr>
              <w:rFonts w:asciiTheme="majorHAnsi" w:hAnsiTheme="majorHAnsi" w:cstheme="majorHAnsi"/>
              <w:sz w:val="20"/>
              <w:szCs w:val="20"/>
            </w:rPr>
          </w:pPr>
        </w:p>
        <w:p w:rsidR="008B4518" w:rsidRPr="00743A41" w:rsidRDefault="008B4518" w:rsidP="00A37ED6">
          <w:pPr>
            <w:rPr>
              <w:rFonts w:asciiTheme="majorHAnsi" w:hAnsiTheme="majorHAnsi" w:cstheme="majorHAnsi"/>
              <w:sz w:val="20"/>
              <w:szCs w:val="20"/>
            </w:rPr>
          </w:pPr>
        </w:p>
        <w:p w:rsidR="008B4518" w:rsidRPr="00743A41" w:rsidRDefault="008B4518" w:rsidP="00A37ED6">
          <w:pPr>
            <w:rPr>
              <w:rFonts w:asciiTheme="majorHAnsi" w:hAnsiTheme="majorHAnsi" w:cstheme="majorHAnsi"/>
              <w:sz w:val="20"/>
              <w:szCs w:val="20"/>
            </w:rPr>
          </w:pPr>
        </w:p>
        <w:p w:rsidR="008B4518" w:rsidRPr="00743A41" w:rsidRDefault="008B4518" w:rsidP="00A37ED6">
          <w:pPr>
            <w:rPr>
              <w:rFonts w:asciiTheme="majorHAnsi" w:hAnsiTheme="majorHAnsi" w:cstheme="majorHAnsi"/>
              <w:sz w:val="20"/>
              <w:szCs w:val="20"/>
            </w:rPr>
          </w:pPr>
        </w:p>
        <w:p w:rsidR="008B4518" w:rsidRPr="00743A41" w:rsidRDefault="008B4518" w:rsidP="00A37ED6">
          <w:pPr>
            <w:rPr>
              <w:b/>
              <w:color w:val="BD4F19"/>
              <w:sz w:val="52"/>
              <w:szCs w:val="52"/>
            </w:rPr>
          </w:pPr>
        </w:p>
        <w:p w:rsidR="008B4518" w:rsidRPr="00743A41" w:rsidRDefault="008B4518" w:rsidP="00A37ED6">
          <w:pPr>
            <w:suppressAutoHyphens/>
            <w:rPr>
              <w:b/>
              <w:i/>
              <w:color w:val="2F5496" w:themeColor="accent1" w:themeShade="BF"/>
              <w:sz w:val="40"/>
              <w:szCs w:val="40"/>
            </w:rPr>
          </w:pPr>
          <w:r w:rsidRPr="00743A41">
            <w:rPr>
              <w:b/>
              <w:i/>
              <w:color w:val="2F5496" w:themeColor="accent1" w:themeShade="BF"/>
              <w:sz w:val="40"/>
              <w:szCs w:val="40"/>
            </w:rPr>
            <w:t>Self-Study Report</w:t>
          </w:r>
        </w:p>
        <w:p w:rsidR="008B4518" w:rsidRPr="00743A41" w:rsidRDefault="003A7C96" w:rsidP="00A37ED6">
          <w:pPr>
            <w:suppressAutoHyphens/>
            <w:jc w:val="both"/>
            <w:rPr>
              <w:rFonts w:cstheme="minorHAnsi"/>
              <w:b/>
              <w:i/>
              <w:color w:val="2F5496" w:themeColor="accent1" w:themeShade="BF"/>
              <w:sz w:val="40"/>
              <w:szCs w:val="40"/>
            </w:rPr>
          </w:pPr>
          <w:r w:rsidRPr="00743A41">
            <w:rPr>
              <w:rFonts w:cstheme="minorHAnsi"/>
              <w:b/>
              <w:i/>
              <w:color w:val="2F5496" w:themeColor="accent1" w:themeShade="BF"/>
              <w:sz w:val="40"/>
              <w:szCs w:val="40"/>
            </w:rPr>
            <w:t xml:space="preserve">September </w:t>
          </w:r>
          <w:r w:rsidR="008B4518" w:rsidRPr="00743A41">
            <w:rPr>
              <w:rFonts w:cstheme="minorHAnsi"/>
              <w:b/>
              <w:i/>
              <w:color w:val="2F5496" w:themeColor="accent1" w:themeShade="BF"/>
              <w:sz w:val="40"/>
              <w:szCs w:val="40"/>
            </w:rPr>
            <w:t>2019</w:t>
          </w:r>
        </w:p>
        <w:p w:rsidR="008B4518" w:rsidRPr="00743A41" w:rsidRDefault="008B4518" w:rsidP="00A37ED6">
          <w:pPr>
            <w:suppressAutoHyphens/>
            <w:jc w:val="both"/>
            <w:rPr>
              <w:rFonts w:cstheme="minorHAnsi"/>
            </w:rPr>
          </w:pPr>
        </w:p>
        <w:p w:rsidR="008B4518" w:rsidRPr="00743A41" w:rsidRDefault="008B4518" w:rsidP="00A37ED6">
          <w:pPr>
            <w:suppressAutoHyphens/>
            <w:jc w:val="both"/>
            <w:rPr>
              <w:rFonts w:cstheme="minorHAnsi"/>
            </w:rPr>
          </w:pPr>
        </w:p>
        <w:p w:rsidR="008B4518" w:rsidRPr="00743A41" w:rsidRDefault="008B4518" w:rsidP="00A37ED6">
          <w:pPr>
            <w:suppressAutoHyphens/>
            <w:jc w:val="both"/>
            <w:rPr>
              <w:rFonts w:cstheme="minorHAnsi"/>
              <w:sz w:val="22"/>
              <w:szCs w:val="22"/>
            </w:rPr>
          </w:pPr>
        </w:p>
        <w:p w:rsidR="008B4518" w:rsidRPr="00743A41" w:rsidRDefault="008B4518" w:rsidP="00A37ED6">
          <w:pPr>
            <w:suppressAutoHyphens/>
            <w:jc w:val="both"/>
            <w:rPr>
              <w:rFonts w:cstheme="minorHAnsi"/>
            </w:rPr>
          </w:pPr>
        </w:p>
        <w:p w:rsidR="008B4518" w:rsidRPr="00743A41" w:rsidRDefault="008B4518" w:rsidP="00A37ED6">
          <w:pPr>
            <w:suppressAutoHyphens/>
            <w:jc w:val="both"/>
            <w:rPr>
              <w:rFonts w:cstheme="minorHAnsi"/>
            </w:rPr>
          </w:pPr>
        </w:p>
        <w:p w:rsidR="008B4518" w:rsidRPr="00743A41" w:rsidRDefault="008B4518" w:rsidP="00A37ED6">
          <w:pPr>
            <w:suppressAutoHyphens/>
            <w:jc w:val="both"/>
            <w:rPr>
              <w:rFonts w:cstheme="minorHAnsi"/>
            </w:rPr>
          </w:pPr>
        </w:p>
        <w:p w:rsidR="008B4518" w:rsidRPr="00743A41" w:rsidRDefault="008B4518" w:rsidP="00A37ED6">
          <w:pPr>
            <w:rPr>
              <w:b/>
              <w:i/>
              <w:color w:val="BD4F19"/>
              <w:sz w:val="30"/>
              <w:szCs w:val="30"/>
            </w:rPr>
          </w:pPr>
        </w:p>
        <w:p w:rsidR="008B4518" w:rsidRPr="00743A41" w:rsidRDefault="008B4518" w:rsidP="00A37ED6">
          <w:pPr>
            <w:rPr>
              <w:b/>
              <w:i/>
              <w:color w:val="BD4F19"/>
              <w:sz w:val="30"/>
              <w:szCs w:val="30"/>
            </w:rPr>
          </w:pPr>
        </w:p>
        <w:p w:rsidR="008B4518" w:rsidRPr="00743A41" w:rsidRDefault="008B4518" w:rsidP="00A37ED6">
          <w:pPr>
            <w:rPr>
              <w:b/>
              <w:i/>
              <w:color w:val="BD4F19"/>
              <w:sz w:val="30"/>
              <w:szCs w:val="30"/>
            </w:rPr>
          </w:pPr>
        </w:p>
        <w:p w:rsidR="008B4518" w:rsidRPr="00743A41" w:rsidRDefault="008B4518" w:rsidP="00A37ED6">
          <w:pPr>
            <w:rPr>
              <w:b/>
              <w:i/>
              <w:color w:val="BD4F19"/>
              <w:sz w:val="30"/>
              <w:szCs w:val="30"/>
            </w:rPr>
          </w:pPr>
        </w:p>
        <w:p w:rsidR="008B4518" w:rsidRPr="00743A41" w:rsidRDefault="008B4518" w:rsidP="00A37ED6">
          <w:pPr>
            <w:rPr>
              <w:b/>
              <w:i/>
              <w:color w:val="BD4F19"/>
              <w:sz w:val="30"/>
              <w:szCs w:val="30"/>
            </w:rPr>
          </w:pPr>
        </w:p>
        <w:p w:rsidR="008B4518" w:rsidRPr="00743A41" w:rsidRDefault="008B4518" w:rsidP="00A37ED6">
          <w:pPr>
            <w:rPr>
              <w:b/>
              <w:i/>
              <w:color w:val="BD4F19"/>
              <w:sz w:val="30"/>
              <w:szCs w:val="30"/>
            </w:rPr>
          </w:pPr>
        </w:p>
        <w:p w:rsidR="008B4518" w:rsidRPr="00743A41" w:rsidRDefault="008B4518" w:rsidP="00A37ED6">
          <w:pPr>
            <w:rPr>
              <w:b/>
              <w:i/>
              <w:color w:val="BD4F19"/>
              <w:sz w:val="30"/>
              <w:szCs w:val="30"/>
            </w:rPr>
          </w:pPr>
        </w:p>
        <w:p w:rsidR="008B4518" w:rsidRPr="00743A41" w:rsidRDefault="008B4518" w:rsidP="00A37ED6">
          <w:pPr>
            <w:rPr>
              <w:b/>
              <w:i/>
              <w:color w:val="BD4F19"/>
              <w:sz w:val="30"/>
              <w:szCs w:val="30"/>
            </w:rPr>
          </w:pPr>
        </w:p>
        <w:p w:rsidR="008B4518" w:rsidRPr="00743A41" w:rsidRDefault="008B4518" w:rsidP="00A37ED6">
          <w:pPr>
            <w:rPr>
              <w:b/>
              <w:i/>
              <w:color w:val="BD4F19"/>
              <w:sz w:val="30"/>
              <w:szCs w:val="30"/>
            </w:rPr>
          </w:pPr>
        </w:p>
        <w:p w:rsidR="008B4518" w:rsidRPr="00743A41" w:rsidRDefault="008B4518" w:rsidP="00A37ED6">
          <w:pPr>
            <w:rPr>
              <w:b/>
              <w:i/>
              <w:color w:val="BD4F19"/>
              <w:sz w:val="30"/>
              <w:szCs w:val="30"/>
            </w:rPr>
          </w:pPr>
        </w:p>
        <w:p w:rsidR="008B4518" w:rsidRPr="00743A41" w:rsidRDefault="008B4518" w:rsidP="00A37ED6">
          <w:pPr>
            <w:rPr>
              <w:b/>
              <w:i/>
              <w:color w:val="BD4F19"/>
              <w:sz w:val="30"/>
              <w:szCs w:val="30"/>
            </w:rPr>
          </w:pPr>
        </w:p>
        <w:p w:rsidR="008B4518" w:rsidRPr="00743A41" w:rsidRDefault="008B4518" w:rsidP="00A37ED6">
          <w:pPr>
            <w:rPr>
              <w:b/>
              <w:i/>
              <w:color w:val="BD4F19"/>
              <w:sz w:val="30"/>
              <w:szCs w:val="30"/>
            </w:rPr>
          </w:pPr>
        </w:p>
        <w:p w:rsidR="008B4518" w:rsidRPr="00743A41" w:rsidRDefault="008B4518" w:rsidP="00A37ED6">
          <w:pPr>
            <w:rPr>
              <w:b/>
              <w:i/>
              <w:color w:val="BD4F19"/>
              <w:sz w:val="30"/>
              <w:szCs w:val="30"/>
            </w:rPr>
          </w:pPr>
        </w:p>
        <w:p w:rsidR="008B4518" w:rsidRPr="00743A41" w:rsidRDefault="008B4518" w:rsidP="00A37ED6">
          <w:pPr>
            <w:rPr>
              <w:b/>
              <w:i/>
              <w:color w:val="BD4F19"/>
              <w:sz w:val="30"/>
              <w:szCs w:val="30"/>
            </w:rPr>
          </w:pPr>
        </w:p>
        <w:p w:rsidR="008B4518" w:rsidRPr="00743A41" w:rsidRDefault="008B4518" w:rsidP="00A37ED6">
          <w:pPr>
            <w:rPr>
              <w:b/>
              <w:i/>
              <w:color w:val="BD4F19"/>
              <w:sz w:val="30"/>
              <w:szCs w:val="30"/>
            </w:rPr>
          </w:pPr>
        </w:p>
        <w:p w:rsidR="008B4518" w:rsidRPr="00743A41" w:rsidRDefault="008B4518" w:rsidP="00A37ED6">
          <w:pPr>
            <w:rPr>
              <w:b/>
              <w:i/>
              <w:color w:val="BD4F19"/>
              <w:sz w:val="30"/>
              <w:szCs w:val="30"/>
            </w:rPr>
          </w:pPr>
        </w:p>
        <w:p w:rsidR="008B4518" w:rsidRPr="00743A41" w:rsidRDefault="008B4518" w:rsidP="00A37ED6">
          <w:pPr>
            <w:rPr>
              <w:b/>
              <w:i/>
              <w:color w:val="BD4F19"/>
              <w:sz w:val="30"/>
              <w:szCs w:val="30"/>
            </w:rPr>
          </w:pPr>
        </w:p>
        <w:p w:rsidR="008B4518" w:rsidRPr="00743A41" w:rsidRDefault="008B4518" w:rsidP="00A37ED6">
          <w:pPr>
            <w:rPr>
              <w:b/>
              <w:i/>
              <w:color w:val="BD4F19"/>
              <w:sz w:val="30"/>
              <w:szCs w:val="30"/>
            </w:rPr>
          </w:pPr>
          <w:r w:rsidRPr="00743A41">
            <w:rPr>
              <w:b/>
              <w:i/>
              <w:color w:val="BD4F19"/>
              <w:sz w:val="30"/>
              <w:szCs w:val="30"/>
            </w:rPr>
            <w:t>The University of Texas Health Science Center at Houston</w:t>
          </w:r>
        </w:p>
        <w:p w:rsidR="008B4518" w:rsidRPr="00743A41" w:rsidRDefault="008B4518" w:rsidP="00A37ED6">
          <w:pPr>
            <w:suppressAutoHyphens/>
            <w:ind w:right="-1440"/>
            <w:rPr>
              <w:b/>
              <w:i/>
              <w:color w:val="BD4F19"/>
              <w:sz w:val="30"/>
              <w:szCs w:val="30"/>
              <w:highlight w:val="yellow"/>
            </w:rPr>
          </w:pPr>
          <w:r w:rsidRPr="00743A41">
            <w:rPr>
              <w:b/>
              <w:i/>
              <w:color w:val="BD4F19"/>
              <w:sz w:val="30"/>
              <w:szCs w:val="30"/>
            </w:rPr>
            <w:t>School of Public Health</w:t>
          </w:r>
        </w:p>
        <w:p w:rsidR="00933038" w:rsidRPr="00743A41" w:rsidRDefault="008B4518" w:rsidP="00A37ED6">
          <w:pPr>
            <w:rPr>
              <w:rFonts w:asciiTheme="majorHAnsi" w:hAnsiTheme="majorHAnsi" w:cstheme="majorHAnsi"/>
              <w:b/>
              <w:smallCaps/>
              <w:sz w:val="20"/>
              <w:szCs w:val="20"/>
            </w:rPr>
          </w:pPr>
          <w:r w:rsidRPr="00743A41">
            <w:rPr>
              <w:b/>
              <w:smallCaps/>
              <w:sz w:val="28"/>
            </w:rPr>
            <w:br w:type="page"/>
          </w:r>
        </w:p>
      </w:sdtContent>
    </w:sdt>
    <w:sdt>
      <w:sdtPr>
        <w:rPr>
          <w:rFonts w:asciiTheme="minorHAnsi" w:eastAsiaTheme="minorHAnsi" w:hAnsiTheme="minorHAnsi" w:cstheme="minorBidi"/>
          <w:color w:val="auto"/>
          <w:sz w:val="20"/>
          <w:szCs w:val="20"/>
        </w:rPr>
        <w:id w:val="-651671365"/>
        <w:docPartObj>
          <w:docPartGallery w:val="Table of Contents"/>
          <w:docPartUnique/>
        </w:docPartObj>
      </w:sdtPr>
      <w:sdtEndPr>
        <w:rPr>
          <w:rFonts w:cstheme="majorHAnsi"/>
          <w:b/>
          <w:bCs/>
          <w:noProof/>
        </w:rPr>
      </w:sdtEndPr>
      <w:sdtContent>
        <w:p w:rsidR="00AA6290" w:rsidRPr="00B861A8" w:rsidRDefault="00AA6290" w:rsidP="00497457">
          <w:pPr>
            <w:pStyle w:val="TOCHeading"/>
            <w:rPr>
              <w:sz w:val="20"/>
              <w:szCs w:val="20"/>
            </w:rPr>
          </w:pPr>
          <w:r w:rsidRPr="00743A41">
            <w:t>Contents</w:t>
          </w:r>
        </w:p>
        <w:p w:rsidR="00AA6290" w:rsidRPr="00743A41" w:rsidRDefault="00AA6290" w:rsidP="00031E89">
          <w:pPr>
            <w:pStyle w:val="TOC1"/>
            <w:rPr>
              <w:rFonts w:asciiTheme="majorHAnsi" w:eastAsiaTheme="minorEastAsia" w:hAnsiTheme="majorHAnsi" w:cstheme="majorHAnsi"/>
              <w:noProof/>
              <w:sz w:val="20"/>
              <w:szCs w:val="20"/>
            </w:rPr>
          </w:pPr>
          <w:r w:rsidRPr="00743A41">
            <w:rPr>
              <w:rFonts w:asciiTheme="majorHAnsi" w:hAnsiTheme="majorHAnsi"/>
              <w:noProof/>
              <w:sz w:val="20"/>
              <w:szCs w:val="20"/>
            </w:rPr>
            <w:fldChar w:fldCharType="begin"/>
          </w:r>
          <w:r w:rsidRPr="00B861A8">
            <w:rPr>
              <w:rFonts w:asciiTheme="majorHAnsi" w:hAnsiTheme="majorHAnsi"/>
              <w:noProof/>
              <w:sz w:val="20"/>
              <w:szCs w:val="20"/>
            </w:rPr>
            <w:instrText xml:space="preserve"> TOC \o "1-3" \h \z \u </w:instrText>
          </w:r>
          <w:r w:rsidRPr="00743A41">
            <w:rPr>
              <w:rFonts w:asciiTheme="majorHAnsi" w:hAnsiTheme="majorHAnsi"/>
              <w:noProof/>
              <w:sz w:val="20"/>
              <w:szCs w:val="20"/>
            </w:rPr>
            <w:fldChar w:fldCharType="separate"/>
          </w:r>
        </w:p>
        <w:p w:rsidR="00AA6290" w:rsidRPr="00743A41" w:rsidRDefault="006E3D5E" w:rsidP="00031E89">
          <w:pPr>
            <w:pStyle w:val="TOC1"/>
            <w:rPr>
              <w:rFonts w:asciiTheme="majorHAnsi" w:eastAsiaTheme="minorEastAsia" w:hAnsiTheme="majorHAnsi" w:cstheme="majorHAnsi"/>
              <w:noProof/>
              <w:sz w:val="20"/>
              <w:szCs w:val="20"/>
            </w:rPr>
          </w:pPr>
          <w:hyperlink w:anchor="_Toc7118182" w:history="1">
            <w:r w:rsidR="00AA6290" w:rsidRPr="00743A41">
              <w:rPr>
                <w:rStyle w:val="Hyperlink"/>
                <w:rFonts w:asciiTheme="majorHAnsi" w:hAnsiTheme="majorHAnsi" w:cstheme="majorHAnsi"/>
                <w:noProof/>
                <w:sz w:val="20"/>
                <w:szCs w:val="20"/>
              </w:rPr>
              <w:t>Abbreviations and Acronyms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_Toc7118182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iv</w:t>
            </w:r>
            <w:r w:rsidR="00AA6290" w:rsidRPr="00743A41">
              <w:rPr>
                <w:rFonts w:asciiTheme="majorHAnsi" w:hAnsiTheme="majorHAnsi" w:cstheme="majorHAnsi"/>
                <w:noProof/>
                <w:webHidden/>
                <w:sz w:val="20"/>
                <w:szCs w:val="20"/>
              </w:rPr>
              <w:fldChar w:fldCharType="end"/>
            </w:r>
          </w:hyperlink>
        </w:p>
        <w:p w:rsidR="00464FEE" w:rsidRPr="00743A41" w:rsidRDefault="00464FEE" w:rsidP="00031E89">
          <w:pPr>
            <w:pStyle w:val="TOC1"/>
            <w:rPr>
              <w:rStyle w:val="Hyperlink"/>
              <w:rFonts w:asciiTheme="majorHAnsi" w:hAnsiTheme="majorHAnsi" w:cstheme="majorHAnsi"/>
              <w:noProof/>
              <w:sz w:val="20"/>
              <w:szCs w:val="20"/>
            </w:rPr>
          </w:pPr>
        </w:p>
        <w:p w:rsidR="00AA6290" w:rsidRPr="00743A41" w:rsidRDefault="006E3D5E" w:rsidP="00031E89">
          <w:pPr>
            <w:pStyle w:val="TOC1"/>
            <w:rPr>
              <w:rFonts w:asciiTheme="majorHAnsi" w:eastAsiaTheme="minorEastAsia" w:hAnsiTheme="majorHAnsi" w:cstheme="majorHAnsi"/>
              <w:noProof/>
              <w:sz w:val="20"/>
              <w:szCs w:val="20"/>
            </w:rPr>
          </w:pPr>
          <w:hyperlink w:anchor="_Toc7118183" w:history="1">
            <w:r w:rsidR="00AA6290" w:rsidRPr="00743A41">
              <w:rPr>
                <w:rStyle w:val="Hyperlink"/>
                <w:rFonts w:asciiTheme="majorHAnsi" w:hAnsiTheme="majorHAnsi" w:cstheme="majorHAnsi"/>
                <w:noProof/>
                <w:sz w:val="20"/>
                <w:szCs w:val="20"/>
              </w:rPr>
              <w:t>Introduction</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_Toc7118183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1</w:t>
            </w:r>
            <w:r w:rsidR="00AA6290" w:rsidRPr="00743A41">
              <w:rPr>
                <w:rFonts w:asciiTheme="majorHAnsi" w:hAnsiTheme="majorHAnsi" w:cstheme="majorHAnsi"/>
                <w:noProof/>
                <w:webHidden/>
                <w:sz w:val="20"/>
                <w:szCs w:val="20"/>
              </w:rPr>
              <w:fldChar w:fldCharType="end"/>
            </w:r>
          </w:hyperlink>
        </w:p>
        <w:p w:rsidR="00464FEE" w:rsidRPr="00743A41" w:rsidRDefault="00464FEE" w:rsidP="00031E89">
          <w:pPr>
            <w:pStyle w:val="TOC1"/>
            <w:rPr>
              <w:rStyle w:val="Hyperlink"/>
              <w:rFonts w:asciiTheme="majorHAnsi" w:hAnsiTheme="majorHAnsi" w:cstheme="majorHAnsi"/>
              <w:noProof/>
              <w:sz w:val="20"/>
              <w:szCs w:val="20"/>
            </w:rPr>
          </w:pPr>
        </w:p>
        <w:p w:rsidR="00AA6290" w:rsidRPr="00743A41" w:rsidRDefault="006E3D5E" w:rsidP="00031E89">
          <w:pPr>
            <w:pStyle w:val="TOC1"/>
            <w:rPr>
              <w:rFonts w:asciiTheme="majorHAnsi" w:eastAsiaTheme="minorEastAsia" w:hAnsiTheme="majorHAnsi" w:cstheme="majorHAnsi"/>
              <w:noProof/>
              <w:sz w:val="20"/>
              <w:szCs w:val="20"/>
            </w:rPr>
          </w:pPr>
          <w:hyperlink w:anchor="_Toc7118184" w:history="1">
            <w:r w:rsidR="00AA6290" w:rsidRPr="00743A41">
              <w:rPr>
                <w:rStyle w:val="Hyperlink"/>
                <w:rFonts w:asciiTheme="majorHAnsi" w:hAnsiTheme="majorHAnsi" w:cstheme="majorHAnsi"/>
                <w:noProof/>
                <w:sz w:val="20"/>
                <w:szCs w:val="20"/>
              </w:rPr>
              <w:t>A1. Organization and Administrative Processes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_Toc7118184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11</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185" w:history="1">
            <w:r w:rsidR="00AA6290" w:rsidRPr="00743A41">
              <w:rPr>
                <w:rStyle w:val="Hyperlink"/>
                <w:rFonts w:asciiTheme="majorHAnsi" w:hAnsiTheme="majorHAnsi" w:cstheme="majorHAnsi"/>
                <w:noProof/>
                <w:sz w:val="20"/>
                <w:szCs w:val="20"/>
              </w:rPr>
              <w:t>A2. Multi-Partner Schools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_Toc7118185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26</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186" w:history="1">
            <w:r w:rsidR="00AA6290" w:rsidRPr="00743A41">
              <w:rPr>
                <w:rStyle w:val="Hyperlink"/>
                <w:rFonts w:asciiTheme="majorHAnsi" w:hAnsiTheme="majorHAnsi" w:cstheme="majorHAnsi"/>
                <w:noProof/>
                <w:sz w:val="20"/>
                <w:szCs w:val="20"/>
              </w:rPr>
              <w:t>A3. Student Engagement</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_Toc7118186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27</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187" w:history="1">
            <w:r w:rsidR="00AA6290" w:rsidRPr="00743A41">
              <w:rPr>
                <w:rStyle w:val="Hyperlink"/>
                <w:rFonts w:asciiTheme="majorHAnsi" w:hAnsiTheme="majorHAnsi" w:cstheme="majorHAnsi"/>
                <w:noProof/>
                <w:sz w:val="20"/>
                <w:szCs w:val="20"/>
              </w:rPr>
              <w:t>A4. Autonomy for Schools of Public Health</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_Toc7118187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30</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188" w:history="1">
            <w:r w:rsidR="00AA6290" w:rsidRPr="00743A41">
              <w:rPr>
                <w:rStyle w:val="Hyperlink"/>
                <w:rFonts w:asciiTheme="majorHAnsi" w:hAnsiTheme="majorHAnsi" w:cstheme="majorHAnsi"/>
                <w:noProof/>
                <w:sz w:val="20"/>
                <w:szCs w:val="20"/>
              </w:rPr>
              <w:t>A5. Degree Offerings in Schools of Public Health</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_Toc7118188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31</w:t>
            </w:r>
            <w:r w:rsidR="00AA6290" w:rsidRPr="00743A41">
              <w:rPr>
                <w:rFonts w:asciiTheme="majorHAnsi" w:hAnsiTheme="majorHAnsi" w:cstheme="majorHAnsi"/>
                <w:noProof/>
                <w:webHidden/>
                <w:sz w:val="20"/>
                <w:szCs w:val="20"/>
              </w:rPr>
              <w:fldChar w:fldCharType="end"/>
            </w:r>
          </w:hyperlink>
        </w:p>
        <w:p w:rsidR="00464FEE" w:rsidRPr="00743A41" w:rsidRDefault="00464FEE" w:rsidP="00031E89">
          <w:pPr>
            <w:pStyle w:val="TOC1"/>
            <w:rPr>
              <w:rStyle w:val="Hyperlink"/>
              <w:rFonts w:asciiTheme="majorHAnsi" w:hAnsiTheme="majorHAnsi" w:cstheme="majorHAnsi"/>
              <w:noProof/>
              <w:sz w:val="20"/>
              <w:szCs w:val="20"/>
            </w:rPr>
          </w:pPr>
        </w:p>
        <w:p w:rsidR="00AA6290" w:rsidRPr="00743A41" w:rsidRDefault="006E3D5E" w:rsidP="00031E89">
          <w:pPr>
            <w:pStyle w:val="TOC1"/>
            <w:rPr>
              <w:rFonts w:asciiTheme="majorHAnsi" w:eastAsiaTheme="minorEastAsia" w:hAnsiTheme="majorHAnsi" w:cstheme="majorHAnsi"/>
              <w:noProof/>
              <w:sz w:val="20"/>
              <w:szCs w:val="20"/>
            </w:rPr>
          </w:pPr>
          <w:hyperlink w:anchor="_Toc7118189" w:history="1">
            <w:r w:rsidR="00AA6290" w:rsidRPr="00743A41">
              <w:rPr>
                <w:rStyle w:val="Hyperlink"/>
                <w:rFonts w:asciiTheme="majorHAnsi" w:hAnsiTheme="majorHAnsi" w:cstheme="majorHAnsi"/>
                <w:noProof/>
                <w:sz w:val="20"/>
                <w:szCs w:val="20"/>
              </w:rPr>
              <w:t>B1. Guiding Statements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_Toc7118189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34</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190" w:history="1">
            <w:r w:rsidR="00AA6290" w:rsidRPr="00743A41">
              <w:rPr>
                <w:rStyle w:val="Hyperlink"/>
                <w:rFonts w:asciiTheme="majorHAnsi" w:hAnsiTheme="majorHAnsi" w:cstheme="majorHAnsi"/>
                <w:noProof/>
                <w:sz w:val="20"/>
                <w:szCs w:val="20"/>
              </w:rPr>
              <w:t>B2. Graduation Rates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_Toc7118190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36</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191" w:history="1">
            <w:r w:rsidR="00AA6290" w:rsidRPr="00743A41">
              <w:rPr>
                <w:rStyle w:val="Hyperlink"/>
                <w:rFonts w:asciiTheme="majorHAnsi" w:hAnsiTheme="majorHAnsi" w:cstheme="majorHAnsi"/>
                <w:noProof/>
                <w:sz w:val="20"/>
                <w:szCs w:val="20"/>
              </w:rPr>
              <w:t>B3. Post-Graduation Outcomes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_Toc7118191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42</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192" w:history="1">
            <w:r w:rsidR="00AA6290" w:rsidRPr="00743A41">
              <w:rPr>
                <w:rStyle w:val="Hyperlink"/>
                <w:rFonts w:asciiTheme="majorHAnsi" w:hAnsiTheme="majorHAnsi" w:cstheme="majorHAnsi"/>
                <w:noProof/>
                <w:sz w:val="20"/>
                <w:szCs w:val="20"/>
              </w:rPr>
              <w:t>B4. Alumni Perceptions of Curricular Effectiveness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_Toc7118192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45</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193" w:history="1">
            <w:r w:rsidR="00AA6290" w:rsidRPr="00743A41">
              <w:rPr>
                <w:rStyle w:val="Hyperlink"/>
                <w:rFonts w:asciiTheme="majorHAnsi" w:hAnsiTheme="majorHAnsi" w:cstheme="majorHAnsi"/>
                <w:noProof/>
                <w:sz w:val="20"/>
                <w:szCs w:val="20"/>
              </w:rPr>
              <w:t>B5. Defining Evaluation Practices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_Toc7118193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47</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194" w:history="1">
            <w:r w:rsidR="00AA6290" w:rsidRPr="00743A41">
              <w:rPr>
                <w:rStyle w:val="Hyperlink"/>
                <w:rFonts w:asciiTheme="majorHAnsi" w:hAnsiTheme="majorHAnsi" w:cstheme="majorHAnsi"/>
                <w:noProof/>
                <w:sz w:val="20"/>
                <w:szCs w:val="20"/>
              </w:rPr>
              <w:t>B6. Use of Evaluation Data</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_Toc7118194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76</w:t>
            </w:r>
            <w:r w:rsidR="00AA6290" w:rsidRPr="00743A41">
              <w:rPr>
                <w:rFonts w:asciiTheme="majorHAnsi" w:hAnsiTheme="majorHAnsi" w:cstheme="majorHAnsi"/>
                <w:noProof/>
                <w:webHidden/>
                <w:sz w:val="20"/>
                <w:szCs w:val="20"/>
              </w:rPr>
              <w:fldChar w:fldCharType="end"/>
            </w:r>
          </w:hyperlink>
        </w:p>
        <w:p w:rsidR="00464FEE" w:rsidRPr="00743A41" w:rsidRDefault="00464FEE" w:rsidP="00031E89">
          <w:pPr>
            <w:pStyle w:val="TOC1"/>
            <w:rPr>
              <w:rStyle w:val="Hyperlink"/>
              <w:rFonts w:asciiTheme="majorHAnsi" w:hAnsiTheme="majorHAnsi" w:cstheme="majorHAnsi"/>
              <w:noProof/>
              <w:sz w:val="20"/>
              <w:szCs w:val="20"/>
            </w:rPr>
          </w:pPr>
        </w:p>
        <w:p w:rsidR="00AA6290" w:rsidRPr="00743A41" w:rsidRDefault="006E3D5E" w:rsidP="00031E89">
          <w:pPr>
            <w:pStyle w:val="TOC1"/>
            <w:rPr>
              <w:rFonts w:asciiTheme="majorHAnsi" w:eastAsiaTheme="minorEastAsia" w:hAnsiTheme="majorHAnsi" w:cstheme="majorHAnsi"/>
              <w:noProof/>
              <w:sz w:val="20"/>
              <w:szCs w:val="20"/>
            </w:rPr>
          </w:pPr>
          <w:hyperlink w:anchor="_Toc7118195" w:history="1">
            <w:r w:rsidR="00AA6290" w:rsidRPr="00743A41">
              <w:rPr>
                <w:rStyle w:val="Hyperlink"/>
                <w:rFonts w:asciiTheme="majorHAnsi" w:hAnsiTheme="majorHAnsi" w:cstheme="majorHAnsi"/>
                <w:noProof/>
                <w:sz w:val="20"/>
                <w:szCs w:val="20"/>
              </w:rPr>
              <w:t>C1. Fiscal Resources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_Toc7118195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77</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196" w:history="1">
            <w:r w:rsidR="00AA6290" w:rsidRPr="00743A41">
              <w:rPr>
                <w:rStyle w:val="Hyperlink"/>
                <w:rFonts w:asciiTheme="majorHAnsi" w:hAnsiTheme="majorHAnsi" w:cstheme="majorHAnsi"/>
                <w:noProof/>
                <w:sz w:val="20"/>
                <w:szCs w:val="20"/>
              </w:rPr>
              <w:t>C2. Faculty Resources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_Toc7118196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81</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197" w:history="1">
            <w:r w:rsidR="00AA6290" w:rsidRPr="00743A41">
              <w:rPr>
                <w:rStyle w:val="Hyperlink"/>
                <w:rFonts w:asciiTheme="majorHAnsi" w:hAnsiTheme="majorHAnsi" w:cstheme="majorHAnsi"/>
                <w:noProof/>
                <w:sz w:val="20"/>
                <w:szCs w:val="20"/>
              </w:rPr>
              <w:t>C3. Staff and Other Personnel Resources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_Toc7118197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87</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198" w:history="1">
            <w:r w:rsidR="00AA6290" w:rsidRPr="00743A41">
              <w:rPr>
                <w:rStyle w:val="Hyperlink"/>
                <w:rFonts w:asciiTheme="majorHAnsi" w:hAnsiTheme="majorHAnsi" w:cstheme="majorHAnsi"/>
                <w:noProof/>
                <w:sz w:val="20"/>
                <w:szCs w:val="20"/>
              </w:rPr>
              <w:t>C4. Physical Resources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_Toc7118198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89</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199" w:history="1">
            <w:r w:rsidR="00AA6290" w:rsidRPr="00743A41">
              <w:rPr>
                <w:rStyle w:val="Hyperlink"/>
                <w:rFonts w:asciiTheme="majorHAnsi" w:hAnsiTheme="majorHAnsi" w:cstheme="majorHAnsi"/>
                <w:noProof/>
                <w:sz w:val="20"/>
                <w:szCs w:val="20"/>
              </w:rPr>
              <w:t>C5. Information and Technology Resources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_Toc7118199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94</w:t>
            </w:r>
            <w:r w:rsidR="00AA6290" w:rsidRPr="00743A41">
              <w:rPr>
                <w:rFonts w:asciiTheme="majorHAnsi" w:hAnsiTheme="majorHAnsi" w:cstheme="majorHAnsi"/>
                <w:noProof/>
                <w:webHidden/>
                <w:sz w:val="20"/>
                <w:szCs w:val="20"/>
              </w:rPr>
              <w:fldChar w:fldCharType="end"/>
            </w:r>
          </w:hyperlink>
        </w:p>
        <w:p w:rsidR="00464FEE" w:rsidRPr="00743A41" w:rsidRDefault="00464FEE" w:rsidP="00031E89">
          <w:pPr>
            <w:pStyle w:val="TOC1"/>
            <w:rPr>
              <w:rStyle w:val="Hyperlink"/>
              <w:rFonts w:asciiTheme="majorHAnsi" w:hAnsiTheme="majorHAnsi" w:cstheme="majorHAnsi"/>
              <w:noProof/>
              <w:sz w:val="20"/>
              <w:szCs w:val="20"/>
            </w:rPr>
          </w:pPr>
        </w:p>
        <w:p w:rsidR="00AA6290" w:rsidRPr="00743A41" w:rsidRDefault="006E3D5E" w:rsidP="00031E89">
          <w:pPr>
            <w:pStyle w:val="TOC1"/>
            <w:rPr>
              <w:rFonts w:asciiTheme="majorHAnsi" w:eastAsiaTheme="minorEastAsia" w:hAnsiTheme="majorHAnsi" w:cstheme="majorHAnsi"/>
              <w:noProof/>
              <w:sz w:val="20"/>
              <w:szCs w:val="20"/>
            </w:rPr>
          </w:pPr>
          <w:hyperlink w:anchor="_Toc7118200" w:history="1">
            <w:r w:rsidR="00AA6290" w:rsidRPr="00743A41">
              <w:rPr>
                <w:rStyle w:val="Hyperlink"/>
                <w:rFonts w:asciiTheme="majorHAnsi" w:hAnsiTheme="majorHAnsi" w:cstheme="majorHAnsi"/>
                <w:noProof/>
                <w:sz w:val="20"/>
                <w:szCs w:val="20"/>
              </w:rPr>
              <w:t>D1. MPH &amp; DrPH Foundational Public Health Knowledge</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_Toc7118200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97</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01" w:history="1">
            <w:r w:rsidR="00AA6290" w:rsidRPr="00743A41">
              <w:rPr>
                <w:rStyle w:val="Hyperlink"/>
                <w:rFonts w:asciiTheme="majorHAnsi" w:hAnsiTheme="majorHAnsi" w:cstheme="majorHAnsi"/>
                <w:noProof/>
                <w:sz w:val="20"/>
                <w:szCs w:val="20"/>
              </w:rPr>
              <w:t>D2. MPH Foundational Competencies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_Toc7118201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99</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02" w:history="1">
            <w:r w:rsidR="00AA6290" w:rsidRPr="00743A41">
              <w:rPr>
                <w:rStyle w:val="Hyperlink"/>
                <w:rFonts w:asciiTheme="majorHAnsi" w:hAnsiTheme="majorHAnsi" w:cstheme="majorHAnsi"/>
                <w:noProof/>
                <w:sz w:val="20"/>
                <w:szCs w:val="20"/>
              </w:rPr>
              <w:t>D3. DrPH Foundational Competencies (if applicable)</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_Toc7118202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111</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03" w:history="1">
            <w:r w:rsidR="00AA6290" w:rsidRPr="00743A41">
              <w:rPr>
                <w:rStyle w:val="Hyperlink"/>
                <w:rFonts w:asciiTheme="majorHAnsi" w:hAnsiTheme="majorHAnsi" w:cstheme="majorHAnsi"/>
                <w:noProof/>
                <w:sz w:val="20"/>
                <w:szCs w:val="20"/>
              </w:rPr>
              <w:t>D4. MPH &amp; DrPH Concentration Competencies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_Toc7118203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122</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04" w:history="1">
            <w:r w:rsidR="00AA6290" w:rsidRPr="00743A41">
              <w:rPr>
                <w:rStyle w:val="Hyperlink"/>
                <w:rFonts w:asciiTheme="majorHAnsi" w:hAnsiTheme="majorHAnsi" w:cstheme="majorHAnsi"/>
                <w:noProof/>
                <w:sz w:val="20"/>
                <w:szCs w:val="20"/>
              </w:rPr>
              <w:t>D5. MPH Applied Practice Experiences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_Toc7118204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141</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05" w:history="1">
            <w:r w:rsidR="00AA6290" w:rsidRPr="00743A41">
              <w:rPr>
                <w:rStyle w:val="Hyperlink"/>
                <w:rFonts w:asciiTheme="majorHAnsi" w:hAnsiTheme="majorHAnsi" w:cstheme="majorHAnsi"/>
                <w:noProof/>
                <w:sz w:val="20"/>
                <w:szCs w:val="20"/>
              </w:rPr>
              <w:t>D6. DrPH Applied Practice Experience</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_Toc7118205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164</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06" w:history="1">
            <w:r w:rsidR="00AA6290" w:rsidRPr="00743A41">
              <w:rPr>
                <w:rStyle w:val="Hyperlink"/>
                <w:rFonts w:asciiTheme="majorHAnsi" w:hAnsiTheme="majorHAnsi" w:cstheme="majorHAnsi"/>
                <w:noProof/>
                <w:sz w:val="20"/>
                <w:szCs w:val="20"/>
              </w:rPr>
              <w:t>D7. MPH Integrative Learning Experience</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_Toc7118206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171</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07" w:history="1">
            <w:r w:rsidR="00AA6290" w:rsidRPr="00743A41">
              <w:rPr>
                <w:rStyle w:val="Hyperlink"/>
                <w:rFonts w:asciiTheme="majorHAnsi" w:hAnsiTheme="majorHAnsi" w:cstheme="majorHAnsi"/>
                <w:noProof/>
                <w:sz w:val="20"/>
                <w:szCs w:val="20"/>
              </w:rPr>
              <w:t>D8. DrPH Integrative Learning Experience</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_Toc7118207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196</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08" w:history="1">
            <w:r w:rsidR="00AA6290" w:rsidRPr="00743A41">
              <w:rPr>
                <w:rStyle w:val="Hyperlink"/>
                <w:rFonts w:asciiTheme="majorHAnsi" w:hAnsiTheme="majorHAnsi" w:cstheme="majorHAnsi"/>
                <w:noProof/>
                <w:sz w:val="20"/>
                <w:szCs w:val="20"/>
              </w:rPr>
              <w:t>D9. Public Health Bachelor’s Degree General Curriculum</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_Toc7118208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199</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09" w:history="1">
            <w:r w:rsidR="00AA6290" w:rsidRPr="00743A41">
              <w:rPr>
                <w:rStyle w:val="Hyperlink"/>
                <w:rFonts w:asciiTheme="majorHAnsi" w:hAnsiTheme="majorHAnsi" w:cstheme="majorHAnsi"/>
                <w:noProof/>
                <w:sz w:val="20"/>
                <w:szCs w:val="20"/>
              </w:rPr>
              <w:t>D10. Public Health Bachelor’s Degree Foundational Domains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_Toc7118209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200</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10" w:history="1">
            <w:r w:rsidR="00AA6290" w:rsidRPr="00743A41">
              <w:rPr>
                <w:rStyle w:val="Hyperlink"/>
                <w:rFonts w:asciiTheme="majorHAnsi" w:hAnsiTheme="majorHAnsi" w:cstheme="majorHAnsi"/>
                <w:noProof/>
                <w:sz w:val="20"/>
                <w:szCs w:val="20"/>
              </w:rPr>
              <w:t>D11. Public Health Bachelor’s Degree Foundational Competencies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_Toc7118210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201</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11" w:history="1">
            <w:r w:rsidR="00AA6290" w:rsidRPr="00743A41">
              <w:rPr>
                <w:rStyle w:val="Hyperlink"/>
                <w:rFonts w:asciiTheme="majorHAnsi" w:hAnsiTheme="majorHAnsi" w:cstheme="majorHAnsi"/>
                <w:noProof/>
                <w:sz w:val="20"/>
                <w:szCs w:val="20"/>
              </w:rPr>
              <w:t>D12. Public Health Bachelor’s Degree Cumulative and Experiential Activities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_Toc7118211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202</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12" w:history="1">
            <w:r w:rsidR="00AA6290" w:rsidRPr="00743A41">
              <w:rPr>
                <w:rStyle w:val="Hyperlink"/>
                <w:rFonts w:asciiTheme="majorHAnsi" w:hAnsiTheme="majorHAnsi" w:cstheme="majorHAnsi"/>
                <w:noProof/>
                <w:sz w:val="20"/>
                <w:szCs w:val="20"/>
              </w:rPr>
              <w:t>D13. Public Health Bachelor’s Degree Cross-Cutting Concepts and Experiences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_Toc7118212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203</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13" w:history="1">
            <w:r w:rsidR="00AA6290" w:rsidRPr="00743A41">
              <w:rPr>
                <w:rStyle w:val="Hyperlink"/>
                <w:rFonts w:asciiTheme="majorHAnsi" w:hAnsiTheme="majorHAnsi" w:cstheme="majorHAnsi"/>
                <w:noProof/>
                <w:sz w:val="20"/>
                <w:szCs w:val="20"/>
              </w:rPr>
              <w:t>D14. MPH Program Length</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_Toc7118213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204</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14" w:history="1">
            <w:r w:rsidR="00AA6290" w:rsidRPr="00743A41">
              <w:rPr>
                <w:rStyle w:val="Hyperlink"/>
                <w:rFonts w:asciiTheme="majorHAnsi" w:hAnsiTheme="majorHAnsi" w:cstheme="majorHAnsi"/>
                <w:noProof/>
                <w:sz w:val="20"/>
                <w:szCs w:val="20"/>
              </w:rPr>
              <w:t>D15. DrPH Program Length</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_Toc7118214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205</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15" w:history="1">
            <w:r w:rsidR="00AA6290" w:rsidRPr="00743A41">
              <w:rPr>
                <w:rStyle w:val="Hyperlink"/>
                <w:rFonts w:asciiTheme="majorHAnsi" w:hAnsiTheme="majorHAnsi" w:cstheme="majorHAnsi"/>
                <w:noProof/>
                <w:sz w:val="20"/>
                <w:szCs w:val="20"/>
              </w:rPr>
              <w:t>D16. Bachelor’s Degree Program Length</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_Toc7118215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206</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16" w:history="1">
            <w:r w:rsidR="00AA6290" w:rsidRPr="00743A41">
              <w:rPr>
                <w:rStyle w:val="Hyperlink"/>
                <w:rFonts w:asciiTheme="majorHAnsi" w:hAnsiTheme="majorHAnsi" w:cstheme="majorHAnsi"/>
                <w:noProof/>
                <w:sz w:val="20"/>
                <w:szCs w:val="20"/>
              </w:rPr>
              <w:t>D17. Academic Public Health Master’s Degrees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_Toc7118216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207</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17" w:history="1">
            <w:r w:rsidR="00AA6290" w:rsidRPr="00743A41">
              <w:rPr>
                <w:rStyle w:val="Hyperlink"/>
                <w:rFonts w:asciiTheme="majorHAnsi" w:hAnsiTheme="majorHAnsi" w:cstheme="majorHAnsi"/>
                <w:noProof/>
                <w:sz w:val="20"/>
                <w:szCs w:val="20"/>
              </w:rPr>
              <w:t>D18. Academic Public Health Doctoral Degrees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_Toc7118217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214</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18" w:history="1">
            <w:r w:rsidR="00AA6290" w:rsidRPr="00743A41">
              <w:rPr>
                <w:rStyle w:val="Hyperlink"/>
                <w:rFonts w:asciiTheme="majorHAnsi" w:hAnsiTheme="majorHAnsi" w:cstheme="majorHAnsi"/>
                <w:noProof/>
                <w:sz w:val="20"/>
                <w:szCs w:val="20"/>
              </w:rPr>
              <w:t>D19. All Remaining Degrees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_Toc7118218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233</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19" w:history="1">
            <w:r w:rsidR="00AA6290" w:rsidRPr="00743A41">
              <w:rPr>
                <w:rStyle w:val="Hyperlink"/>
                <w:rFonts w:asciiTheme="majorHAnsi" w:hAnsiTheme="majorHAnsi" w:cstheme="majorHAnsi"/>
                <w:noProof/>
                <w:sz w:val="20"/>
                <w:szCs w:val="20"/>
              </w:rPr>
              <w:t>D20. Distance Education</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_Toc7118219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235</w:t>
            </w:r>
            <w:r w:rsidR="00AA6290" w:rsidRPr="00743A41">
              <w:rPr>
                <w:rFonts w:asciiTheme="majorHAnsi" w:hAnsiTheme="majorHAnsi" w:cstheme="majorHAnsi"/>
                <w:noProof/>
                <w:webHidden/>
                <w:sz w:val="20"/>
                <w:szCs w:val="20"/>
              </w:rPr>
              <w:fldChar w:fldCharType="end"/>
            </w:r>
          </w:hyperlink>
        </w:p>
        <w:p w:rsidR="00464FEE" w:rsidRPr="00743A41" w:rsidRDefault="00464FEE" w:rsidP="00031E89">
          <w:pPr>
            <w:pStyle w:val="TOC1"/>
            <w:rPr>
              <w:rStyle w:val="Hyperlink"/>
              <w:rFonts w:asciiTheme="majorHAnsi" w:hAnsiTheme="majorHAnsi" w:cstheme="majorHAnsi"/>
              <w:noProof/>
              <w:sz w:val="20"/>
              <w:szCs w:val="20"/>
            </w:rPr>
          </w:pPr>
        </w:p>
        <w:p w:rsidR="00AA6290" w:rsidRPr="00743A41" w:rsidRDefault="006E3D5E" w:rsidP="00031E89">
          <w:pPr>
            <w:pStyle w:val="TOC1"/>
            <w:rPr>
              <w:rFonts w:asciiTheme="majorHAnsi" w:eastAsiaTheme="minorEastAsia" w:hAnsiTheme="majorHAnsi" w:cstheme="majorHAnsi"/>
              <w:noProof/>
              <w:sz w:val="20"/>
              <w:szCs w:val="20"/>
            </w:rPr>
          </w:pPr>
          <w:hyperlink w:anchor="_Toc7118220" w:history="1">
            <w:r w:rsidR="00AA6290" w:rsidRPr="00743A41">
              <w:rPr>
                <w:rStyle w:val="Hyperlink"/>
                <w:rFonts w:asciiTheme="majorHAnsi" w:hAnsiTheme="majorHAnsi" w:cstheme="majorHAnsi"/>
                <w:noProof/>
                <w:sz w:val="20"/>
                <w:szCs w:val="20"/>
              </w:rPr>
              <w:t>E1. Faculty Alignment with Degrees Offered</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_Toc7118220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236</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21" w:history="1">
            <w:r w:rsidR="00AA6290" w:rsidRPr="00743A41">
              <w:rPr>
                <w:rStyle w:val="Hyperlink"/>
                <w:rFonts w:asciiTheme="majorHAnsi" w:hAnsiTheme="majorHAnsi" w:cstheme="majorHAnsi"/>
                <w:noProof/>
                <w:sz w:val="20"/>
                <w:szCs w:val="20"/>
              </w:rPr>
              <w:t>E2. Integration of Faculty with Practice Experience</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_Toc7118221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257</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22" w:history="1">
            <w:r w:rsidR="00AA6290" w:rsidRPr="00743A41">
              <w:rPr>
                <w:rStyle w:val="Hyperlink"/>
                <w:rFonts w:asciiTheme="majorHAnsi" w:hAnsiTheme="majorHAnsi" w:cstheme="majorHAnsi"/>
                <w:noProof/>
                <w:sz w:val="20"/>
                <w:szCs w:val="20"/>
              </w:rPr>
              <w:t>E3. Faculty Instructional Effectiveness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_Toc7118222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261</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23" w:history="1">
            <w:r w:rsidR="00AA6290" w:rsidRPr="00743A41">
              <w:rPr>
                <w:rStyle w:val="Hyperlink"/>
                <w:rFonts w:asciiTheme="majorHAnsi" w:hAnsiTheme="majorHAnsi" w:cstheme="majorHAnsi"/>
                <w:noProof/>
                <w:sz w:val="20"/>
                <w:szCs w:val="20"/>
              </w:rPr>
              <w:t>E4. Faculty Scholarship</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_Toc7118223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267</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24" w:history="1">
            <w:r w:rsidR="00AA6290" w:rsidRPr="00743A41">
              <w:rPr>
                <w:rStyle w:val="Hyperlink"/>
                <w:rFonts w:asciiTheme="majorHAnsi" w:hAnsiTheme="majorHAnsi" w:cstheme="majorHAnsi"/>
                <w:noProof/>
                <w:sz w:val="20"/>
                <w:szCs w:val="20"/>
              </w:rPr>
              <w:t>E5. Faculty Extramural Service</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_Toc7118224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275</w:t>
            </w:r>
            <w:r w:rsidR="00AA6290" w:rsidRPr="00743A41">
              <w:rPr>
                <w:rFonts w:asciiTheme="majorHAnsi" w:hAnsiTheme="majorHAnsi" w:cstheme="majorHAnsi"/>
                <w:noProof/>
                <w:webHidden/>
                <w:sz w:val="20"/>
                <w:szCs w:val="20"/>
              </w:rPr>
              <w:fldChar w:fldCharType="end"/>
            </w:r>
          </w:hyperlink>
        </w:p>
        <w:p w:rsidR="00464FEE" w:rsidRPr="00743A41" w:rsidRDefault="00464FEE" w:rsidP="00031E89">
          <w:pPr>
            <w:pStyle w:val="TOC1"/>
            <w:rPr>
              <w:rStyle w:val="Hyperlink"/>
              <w:rFonts w:asciiTheme="majorHAnsi" w:hAnsiTheme="majorHAnsi" w:cstheme="majorHAnsi"/>
              <w:noProof/>
              <w:sz w:val="20"/>
              <w:szCs w:val="20"/>
            </w:rPr>
          </w:pPr>
        </w:p>
        <w:p w:rsidR="00AA6290" w:rsidRPr="00743A41" w:rsidRDefault="006E3D5E" w:rsidP="00031E89">
          <w:pPr>
            <w:pStyle w:val="TOC1"/>
            <w:rPr>
              <w:rFonts w:asciiTheme="majorHAnsi" w:eastAsiaTheme="minorEastAsia" w:hAnsiTheme="majorHAnsi" w:cstheme="majorHAnsi"/>
              <w:noProof/>
              <w:sz w:val="20"/>
              <w:szCs w:val="20"/>
            </w:rPr>
          </w:pPr>
          <w:hyperlink w:anchor="_Toc7118225" w:history="1">
            <w:r w:rsidR="00AA6290" w:rsidRPr="00743A41">
              <w:rPr>
                <w:rStyle w:val="Hyperlink"/>
                <w:rFonts w:asciiTheme="majorHAnsi" w:hAnsiTheme="majorHAnsi" w:cstheme="majorHAnsi"/>
                <w:noProof/>
                <w:sz w:val="20"/>
                <w:szCs w:val="20"/>
              </w:rPr>
              <w:t>F1. Community Involvement in School Evaluation and Assessment</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_Toc7118225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280</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26" w:history="1">
            <w:r w:rsidR="00AA6290" w:rsidRPr="00743A41">
              <w:rPr>
                <w:rStyle w:val="Hyperlink"/>
                <w:rFonts w:asciiTheme="majorHAnsi" w:hAnsiTheme="majorHAnsi" w:cstheme="majorHAnsi"/>
                <w:noProof/>
                <w:sz w:val="20"/>
                <w:szCs w:val="20"/>
              </w:rPr>
              <w:t>F2. Student Involvement in Community and Professional Service</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_Toc7118226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287</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27" w:history="1">
            <w:r w:rsidR="00AA6290" w:rsidRPr="00743A41">
              <w:rPr>
                <w:rStyle w:val="Hyperlink"/>
                <w:rFonts w:asciiTheme="majorHAnsi" w:hAnsiTheme="majorHAnsi" w:cstheme="majorHAnsi"/>
                <w:noProof/>
                <w:sz w:val="20"/>
                <w:szCs w:val="20"/>
              </w:rPr>
              <w:t>F3. Assessment of the Community’s Professional Development Needs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_Toc7118227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294</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28" w:history="1">
            <w:r w:rsidR="00AA6290" w:rsidRPr="00743A41">
              <w:rPr>
                <w:rStyle w:val="Hyperlink"/>
                <w:rFonts w:asciiTheme="majorHAnsi" w:hAnsiTheme="majorHAnsi" w:cstheme="majorHAnsi"/>
                <w:noProof/>
                <w:sz w:val="20"/>
                <w:szCs w:val="20"/>
              </w:rPr>
              <w:t>F4. Delivery of Professional Development Opportunities for the Workforce</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_Toc7118228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296</w:t>
            </w:r>
            <w:r w:rsidR="00AA6290" w:rsidRPr="00743A41">
              <w:rPr>
                <w:rFonts w:asciiTheme="majorHAnsi" w:hAnsiTheme="majorHAnsi" w:cstheme="majorHAnsi"/>
                <w:noProof/>
                <w:webHidden/>
                <w:sz w:val="20"/>
                <w:szCs w:val="20"/>
              </w:rPr>
              <w:fldChar w:fldCharType="end"/>
            </w:r>
          </w:hyperlink>
        </w:p>
        <w:p w:rsidR="00464FEE" w:rsidRPr="00743A41" w:rsidRDefault="00464FEE" w:rsidP="00031E89">
          <w:pPr>
            <w:pStyle w:val="TOC1"/>
            <w:rPr>
              <w:rStyle w:val="Hyperlink"/>
              <w:rFonts w:asciiTheme="majorHAnsi" w:hAnsiTheme="majorHAnsi" w:cstheme="majorHAnsi"/>
              <w:noProof/>
              <w:sz w:val="20"/>
              <w:szCs w:val="20"/>
            </w:rPr>
          </w:pPr>
        </w:p>
        <w:p w:rsidR="00AA6290" w:rsidRPr="00743A41" w:rsidRDefault="006E3D5E" w:rsidP="00031E89">
          <w:pPr>
            <w:pStyle w:val="TOC1"/>
            <w:rPr>
              <w:rFonts w:asciiTheme="majorHAnsi" w:eastAsiaTheme="minorEastAsia" w:hAnsiTheme="majorHAnsi" w:cstheme="majorHAnsi"/>
              <w:noProof/>
              <w:sz w:val="20"/>
              <w:szCs w:val="20"/>
            </w:rPr>
          </w:pPr>
          <w:hyperlink w:anchor="_Toc7118229" w:history="1">
            <w:r w:rsidR="00AA6290" w:rsidRPr="00743A41">
              <w:rPr>
                <w:rStyle w:val="Hyperlink"/>
                <w:rFonts w:asciiTheme="majorHAnsi" w:hAnsiTheme="majorHAnsi" w:cstheme="majorHAnsi"/>
                <w:noProof/>
                <w:sz w:val="20"/>
                <w:szCs w:val="20"/>
              </w:rPr>
              <w:t>G1. Diversity and Cultural Competence</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_Toc7118229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300</w:t>
            </w:r>
            <w:r w:rsidR="00AA6290" w:rsidRPr="00743A41">
              <w:rPr>
                <w:rFonts w:asciiTheme="majorHAnsi" w:hAnsiTheme="majorHAnsi" w:cstheme="majorHAnsi"/>
                <w:noProof/>
                <w:webHidden/>
                <w:sz w:val="20"/>
                <w:szCs w:val="20"/>
              </w:rPr>
              <w:fldChar w:fldCharType="end"/>
            </w:r>
          </w:hyperlink>
        </w:p>
        <w:p w:rsidR="00464FEE" w:rsidRPr="00743A41" w:rsidRDefault="00464FEE" w:rsidP="00031E89">
          <w:pPr>
            <w:pStyle w:val="TOC1"/>
            <w:rPr>
              <w:rStyle w:val="Hyperlink"/>
              <w:rFonts w:asciiTheme="majorHAnsi" w:hAnsiTheme="majorHAnsi" w:cstheme="majorHAnsi"/>
              <w:noProof/>
              <w:sz w:val="20"/>
              <w:szCs w:val="20"/>
            </w:rPr>
          </w:pPr>
        </w:p>
        <w:p w:rsidR="00AA6290" w:rsidRPr="00743A41" w:rsidRDefault="006E3D5E" w:rsidP="00031E89">
          <w:pPr>
            <w:pStyle w:val="TOC1"/>
            <w:rPr>
              <w:rFonts w:asciiTheme="majorHAnsi" w:eastAsiaTheme="minorEastAsia" w:hAnsiTheme="majorHAnsi" w:cstheme="majorHAnsi"/>
              <w:noProof/>
              <w:sz w:val="20"/>
              <w:szCs w:val="20"/>
            </w:rPr>
          </w:pPr>
          <w:hyperlink w:anchor="_Toc7118230" w:history="1">
            <w:r w:rsidR="00AA6290" w:rsidRPr="00743A41">
              <w:rPr>
                <w:rStyle w:val="Hyperlink"/>
                <w:rFonts w:asciiTheme="majorHAnsi" w:hAnsiTheme="majorHAnsi" w:cstheme="majorHAnsi"/>
                <w:noProof/>
                <w:sz w:val="20"/>
                <w:szCs w:val="20"/>
              </w:rPr>
              <w:t>H1. Academic Advising</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_Toc7118230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307</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31" w:history="1">
            <w:r w:rsidR="00AA6290" w:rsidRPr="00743A41">
              <w:rPr>
                <w:rStyle w:val="Hyperlink"/>
                <w:rFonts w:asciiTheme="majorHAnsi" w:hAnsiTheme="majorHAnsi" w:cstheme="majorHAnsi"/>
                <w:noProof/>
                <w:sz w:val="20"/>
                <w:szCs w:val="20"/>
              </w:rPr>
              <w:t>H2. Career Advising</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_Toc7118231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311</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32" w:history="1">
            <w:r w:rsidR="00AA6290" w:rsidRPr="00743A41">
              <w:rPr>
                <w:rStyle w:val="Hyperlink"/>
                <w:rFonts w:asciiTheme="majorHAnsi" w:hAnsiTheme="majorHAnsi" w:cstheme="majorHAnsi"/>
                <w:noProof/>
                <w:sz w:val="20"/>
                <w:szCs w:val="20"/>
              </w:rPr>
              <w:t>H3. Student Complaint Procedures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_Toc7118232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314</w:t>
            </w:r>
            <w:r w:rsidR="00AA6290" w:rsidRPr="00743A41">
              <w:rPr>
                <w:rFonts w:asciiTheme="majorHAnsi" w:hAnsiTheme="majorHAnsi" w:cstheme="majorHAnsi"/>
                <w:noProof/>
                <w:webHidden/>
                <w:sz w:val="20"/>
                <w:szCs w:val="20"/>
              </w:rPr>
              <w:fldChar w:fldCharType="end"/>
            </w:r>
          </w:hyperlink>
        </w:p>
        <w:p w:rsidR="00AA6290" w:rsidRPr="00743A41" w:rsidRDefault="006E3D5E" w:rsidP="00031E89">
          <w:pPr>
            <w:pStyle w:val="TOC1"/>
            <w:rPr>
              <w:rFonts w:asciiTheme="majorHAnsi" w:eastAsiaTheme="minorEastAsia" w:hAnsiTheme="majorHAnsi" w:cstheme="majorHAnsi"/>
              <w:noProof/>
              <w:sz w:val="20"/>
              <w:szCs w:val="20"/>
            </w:rPr>
          </w:pPr>
          <w:hyperlink w:anchor="_Toc7118233" w:history="1">
            <w:r w:rsidR="00AA6290" w:rsidRPr="00743A41">
              <w:rPr>
                <w:rStyle w:val="Hyperlink"/>
                <w:rFonts w:asciiTheme="majorHAnsi" w:hAnsiTheme="majorHAnsi" w:cstheme="majorHAnsi"/>
                <w:noProof/>
                <w:sz w:val="20"/>
                <w:szCs w:val="20"/>
              </w:rPr>
              <w:t>H4. Student Recruitment and Admissions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_Toc7118233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320</w:t>
            </w:r>
            <w:r w:rsidR="00AA6290" w:rsidRPr="00743A41">
              <w:rPr>
                <w:rFonts w:asciiTheme="majorHAnsi" w:hAnsiTheme="majorHAnsi" w:cstheme="majorHAnsi"/>
                <w:noProof/>
                <w:webHidden/>
                <w:sz w:val="20"/>
                <w:szCs w:val="20"/>
              </w:rPr>
              <w:fldChar w:fldCharType="end"/>
            </w:r>
          </w:hyperlink>
        </w:p>
        <w:p w:rsidR="00AA6290" w:rsidRPr="00B861A8" w:rsidRDefault="006E3D5E" w:rsidP="00031E89">
          <w:pPr>
            <w:pStyle w:val="TOC1"/>
            <w:rPr>
              <w:rFonts w:asciiTheme="majorHAnsi" w:eastAsiaTheme="minorEastAsia" w:hAnsiTheme="majorHAnsi"/>
              <w:noProof/>
              <w:sz w:val="20"/>
              <w:szCs w:val="20"/>
            </w:rPr>
          </w:pPr>
          <w:hyperlink w:anchor="_Toc7118234" w:history="1">
            <w:r w:rsidR="00AA6290" w:rsidRPr="00743A41">
              <w:rPr>
                <w:rStyle w:val="Hyperlink"/>
                <w:rFonts w:asciiTheme="majorHAnsi" w:hAnsiTheme="majorHAnsi" w:cstheme="majorHAnsi"/>
                <w:noProof/>
                <w:sz w:val="20"/>
                <w:szCs w:val="20"/>
              </w:rPr>
              <w:t>H5. Publication of Educational Offerings</w:t>
            </w:r>
            <w:r w:rsidR="00AA6290" w:rsidRPr="00743A41">
              <w:rPr>
                <w:rFonts w:asciiTheme="majorHAnsi" w:hAnsiTheme="majorHAnsi" w:cstheme="majorHAnsi"/>
                <w:noProof/>
                <w:webHidden/>
                <w:sz w:val="20"/>
                <w:szCs w:val="20"/>
              </w:rPr>
              <w:tab/>
            </w:r>
            <w:r w:rsidR="00AA6290" w:rsidRPr="00743A41">
              <w:rPr>
                <w:rFonts w:asciiTheme="majorHAnsi" w:hAnsiTheme="majorHAnsi" w:cstheme="majorHAnsi"/>
                <w:noProof/>
                <w:webHidden/>
                <w:sz w:val="20"/>
                <w:szCs w:val="20"/>
              </w:rPr>
              <w:fldChar w:fldCharType="begin"/>
            </w:r>
            <w:r w:rsidR="00AA6290" w:rsidRPr="00743A41">
              <w:rPr>
                <w:rFonts w:asciiTheme="majorHAnsi" w:hAnsiTheme="majorHAnsi" w:cstheme="majorHAnsi"/>
                <w:noProof/>
                <w:webHidden/>
                <w:sz w:val="20"/>
                <w:szCs w:val="20"/>
              </w:rPr>
              <w:instrText xml:space="preserve"> PAGEREF _Toc7118234 \h </w:instrText>
            </w:r>
            <w:r w:rsidR="00AA6290" w:rsidRPr="00743A41">
              <w:rPr>
                <w:rFonts w:asciiTheme="majorHAnsi" w:hAnsiTheme="majorHAnsi" w:cstheme="majorHAnsi"/>
                <w:noProof/>
                <w:webHidden/>
                <w:sz w:val="20"/>
                <w:szCs w:val="20"/>
              </w:rPr>
            </w:r>
            <w:r w:rsidR="00AA6290" w:rsidRPr="00743A41">
              <w:rPr>
                <w:rFonts w:asciiTheme="majorHAnsi" w:hAnsiTheme="majorHAnsi" w:cstheme="majorHAnsi"/>
                <w:noProof/>
                <w:webHidden/>
                <w:sz w:val="20"/>
                <w:szCs w:val="20"/>
              </w:rPr>
              <w:fldChar w:fldCharType="separate"/>
            </w:r>
            <w:r w:rsidR="00BD0463">
              <w:rPr>
                <w:rFonts w:asciiTheme="majorHAnsi" w:hAnsiTheme="majorHAnsi" w:cstheme="majorHAnsi"/>
                <w:noProof/>
                <w:webHidden/>
                <w:sz w:val="20"/>
                <w:szCs w:val="20"/>
              </w:rPr>
              <w:t>325</w:t>
            </w:r>
            <w:r w:rsidR="00AA6290" w:rsidRPr="00743A41">
              <w:rPr>
                <w:rFonts w:asciiTheme="majorHAnsi" w:hAnsiTheme="majorHAnsi" w:cstheme="majorHAnsi"/>
                <w:noProof/>
                <w:webHidden/>
                <w:sz w:val="20"/>
                <w:szCs w:val="20"/>
              </w:rPr>
              <w:fldChar w:fldCharType="end"/>
            </w:r>
          </w:hyperlink>
        </w:p>
        <w:p w:rsidR="00F53082" w:rsidRPr="00743A41" w:rsidRDefault="00AA6290" w:rsidP="00A37ED6">
          <w:pPr>
            <w:rPr>
              <w:rFonts w:asciiTheme="majorHAnsi" w:hAnsiTheme="majorHAnsi" w:cstheme="majorHAnsi"/>
              <w:b/>
              <w:bCs/>
              <w:noProof/>
              <w:sz w:val="20"/>
              <w:szCs w:val="20"/>
            </w:rPr>
            <w:sectPr w:rsidR="00F53082" w:rsidRPr="00743A41" w:rsidSect="000A7F8B">
              <w:footerReference w:type="default" r:id="rId10"/>
              <w:footerReference w:type="first" r:id="rId11"/>
              <w:pgSz w:w="12240" w:h="15840"/>
              <w:pgMar w:top="1440" w:right="1440" w:bottom="1440" w:left="1440" w:header="720" w:footer="720" w:gutter="0"/>
              <w:pgNumType w:fmt="lowerRoman" w:start="1"/>
              <w:cols w:space="720"/>
              <w:titlePg/>
              <w:docGrid w:linePitch="360"/>
            </w:sectPr>
          </w:pPr>
          <w:r w:rsidRPr="00743A41">
            <w:rPr>
              <w:rFonts w:asciiTheme="majorHAnsi" w:hAnsiTheme="majorHAnsi" w:cstheme="majorHAnsi"/>
              <w:b/>
              <w:bCs/>
              <w:noProof/>
              <w:sz w:val="20"/>
              <w:szCs w:val="20"/>
            </w:rPr>
            <w:fldChar w:fldCharType="end"/>
          </w:r>
        </w:p>
      </w:sdtContent>
    </w:sdt>
    <w:bookmarkStart w:id="3" w:name="_Toc7118182" w:displacedByCustomXml="prev"/>
    <w:p w:rsidR="00B974A9" w:rsidRPr="00743A41" w:rsidRDefault="00B974A9" w:rsidP="00A37ED6">
      <w:pPr>
        <w:rPr>
          <w:rFonts w:asciiTheme="majorHAnsi" w:eastAsia="Arial Unicode MS" w:hAnsiTheme="majorHAnsi" w:cstheme="majorHAnsi"/>
          <w:b/>
          <w:bCs/>
          <w:kern w:val="32"/>
          <w:sz w:val="20"/>
          <w:szCs w:val="20"/>
          <w:lang w:eastAsia="x-none"/>
        </w:rPr>
      </w:pPr>
      <w:r w:rsidRPr="00743A41">
        <w:rPr>
          <w:rFonts w:asciiTheme="majorHAnsi" w:hAnsiTheme="majorHAnsi" w:cstheme="majorHAnsi"/>
          <w:sz w:val="20"/>
          <w:szCs w:val="20"/>
        </w:rPr>
        <w:br w:type="page"/>
      </w:r>
    </w:p>
    <w:p w:rsidR="000D46E7" w:rsidRPr="00743A41" w:rsidRDefault="00AA6290" w:rsidP="007A68BE">
      <w:pPr>
        <w:pStyle w:val="Heading1"/>
      </w:pPr>
      <w:r w:rsidRPr="00743A41">
        <w:lastRenderedPageBreak/>
        <w:t>Abbreviations and Acronyms</w:t>
      </w:r>
      <w:bookmarkEnd w:id="3"/>
    </w:p>
    <w:p w:rsidR="000D46E7" w:rsidRPr="00743A41" w:rsidRDefault="000D46E7" w:rsidP="00A37ED6">
      <w:pPr>
        <w:rPr>
          <w:rFonts w:asciiTheme="majorHAnsi" w:hAnsiTheme="majorHAnsi" w:cstheme="majorHAnsi"/>
          <w:sz w:val="20"/>
          <w:szCs w:val="20"/>
        </w:rPr>
      </w:pP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3MT</w:t>
      </w:r>
      <w:r w:rsidRPr="00743A41">
        <w:rPr>
          <w:rFonts w:asciiTheme="majorHAnsi" w:hAnsiTheme="majorHAnsi" w:cstheme="majorHAnsi"/>
          <w:sz w:val="20"/>
          <w:szCs w:val="20"/>
        </w:rPr>
        <w:tab/>
      </w:r>
      <w:r w:rsidRPr="00743A41">
        <w:rPr>
          <w:rFonts w:asciiTheme="majorHAnsi" w:hAnsiTheme="majorHAnsi" w:cstheme="majorHAnsi"/>
          <w:sz w:val="20"/>
          <w:szCs w:val="20"/>
        </w:rPr>
        <w:tab/>
        <w:t>3-Minute Thesis</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AAR</w:t>
      </w:r>
      <w:r w:rsidRPr="00743A41">
        <w:rPr>
          <w:rFonts w:asciiTheme="majorHAnsi" w:hAnsiTheme="majorHAnsi" w:cstheme="majorHAnsi"/>
          <w:sz w:val="20"/>
          <w:szCs w:val="20"/>
        </w:rPr>
        <w:tab/>
      </w:r>
      <w:r w:rsidRPr="00743A41">
        <w:rPr>
          <w:rFonts w:asciiTheme="majorHAnsi" w:hAnsiTheme="majorHAnsi" w:cstheme="majorHAnsi"/>
          <w:sz w:val="20"/>
          <w:szCs w:val="20"/>
        </w:rPr>
        <w:tab/>
        <w:t>Annual Activity Report</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ACEND</w:t>
      </w:r>
      <w:r w:rsidRPr="00743A41">
        <w:rPr>
          <w:rFonts w:asciiTheme="majorHAnsi" w:hAnsiTheme="majorHAnsi" w:cstheme="majorHAnsi"/>
          <w:sz w:val="20"/>
          <w:szCs w:val="20"/>
        </w:rPr>
        <w:tab/>
      </w:r>
      <w:r w:rsidRPr="00743A41">
        <w:rPr>
          <w:rFonts w:asciiTheme="majorHAnsi" w:hAnsiTheme="majorHAnsi" w:cstheme="majorHAnsi"/>
          <w:sz w:val="20"/>
          <w:szCs w:val="20"/>
        </w:rPr>
        <w:tab/>
        <w:t>Accreditation Council for Education in Nutrition and Diabetes</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ACLU</w:t>
      </w:r>
      <w:r w:rsidRPr="00743A41">
        <w:rPr>
          <w:rFonts w:asciiTheme="majorHAnsi" w:hAnsiTheme="majorHAnsi" w:cstheme="majorHAnsi"/>
          <w:sz w:val="20"/>
          <w:szCs w:val="20"/>
        </w:rPr>
        <w:tab/>
      </w:r>
      <w:r w:rsidRPr="00743A41">
        <w:rPr>
          <w:rFonts w:asciiTheme="majorHAnsi" w:hAnsiTheme="majorHAnsi" w:cstheme="majorHAnsi"/>
          <w:sz w:val="20"/>
          <w:szCs w:val="20"/>
        </w:rPr>
        <w:tab/>
        <w:t>American Civil Liberties Union</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AIP</w:t>
      </w:r>
      <w:r w:rsidRPr="00743A41">
        <w:rPr>
          <w:rFonts w:asciiTheme="majorHAnsi" w:hAnsiTheme="majorHAnsi" w:cstheme="majorHAnsi"/>
          <w:sz w:val="20"/>
          <w:szCs w:val="20"/>
        </w:rPr>
        <w:tab/>
      </w:r>
      <w:r w:rsidRPr="00743A41">
        <w:rPr>
          <w:rFonts w:asciiTheme="majorHAnsi" w:hAnsiTheme="majorHAnsi" w:cstheme="majorHAnsi"/>
          <w:sz w:val="20"/>
          <w:szCs w:val="20"/>
        </w:rPr>
        <w:tab/>
        <w:t>Academic Incentive Plan</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 xml:space="preserve">APHA </w:t>
      </w:r>
      <w:r w:rsidRPr="00743A41">
        <w:rPr>
          <w:rFonts w:asciiTheme="majorHAnsi" w:hAnsiTheme="majorHAnsi" w:cstheme="majorHAnsi"/>
          <w:sz w:val="20"/>
          <w:szCs w:val="20"/>
        </w:rPr>
        <w:tab/>
      </w:r>
      <w:r w:rsidRPr="00743A41">
        <w:rPr>
          <w:rFonts w:asciiTheme="majorHAnsi" w:hAnsiTheme="majorHAnsi" w:cstheme="majorHAnsi"/>
          <w:sz w:val="20"/>
          <w:szCs w:val="20"/>
        </w:rPr>
        <w:tab/>
        <w:t>American Public Health Association</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APW</w:t>
      </w:r>
      <w:r w:rsidRPr="00743A41">
        <w:rPr>
          <w:rFonts w:asciiTheme="majorHAnsi" w:hAnsiTheme="majorHAnsi" w:cstheme="majorHAnsi"/>
          <w:sz w:val="20"/>
          <w:szCs w:val="20"/>
        </w:rPr>
        <w:tab/>
      </w:r>
      <w:r w:rsidRPr="00743A41">
        <w:rPr>
          <w:rFonts w:asciiTheme="majorHAnsi" w:hAnsiTheme="majorHAnsi" w:cstheme="majorHAnsi"/>
          <w:sz w:val="20"/>
          <w:szCs w:val="20"/>
        </w:rPr>
        <w:tab/>
        <w:t>Amistad Plaza Weslaco</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 xml:space="preserve">ASPPH </w:t>
      </w:r>
      <w:r w:rsidRPr="00743A41">
        <w:rPr>
          <w:rFonts w:asciiTheme="majorHAnsi" w:hAnsiTheme="majorHAnsi" w:cstheme="majorHAnsi"/>
          <w:sz w:val="20"/>
          <w:szCs w:val="20"/>
        </w:rPr>
        <w:tab/>
      </w:r>
      <w:r w:rsidRPr="00743A41">
        <w:rPr>
          <w:rFonts w:asciiTheme="majorHAnsi" w:hAnsiTheme="majorHAnsi" w:cstheme="majorHAnsi"/>
          <w:sz w:val="20"/>
          <w:szCs w:val="20"/>
        </w:rPr>
        <w:tab/>
        <w:t>Association of Schools and Programs of Public Health</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AWC</w:t>
      </w:r>
      <w:r w:rsidRPr="00743A41">
        <w:rPr>
          <w:rFonts w:asciiTheme="majorHAnsi" w:hAnsiTheme="majorHAnsi" w:cstheme="majorHAnsi"/>
          <w:sz w:val="20"/>
          <w:szCs w:val="20"/>
        </w:rPr>
        <w:tab/>
      </w:r>
      <w:r w:rsidRPr="00743A41">
        <w:rPr>
          <w:rFonts w:asciiTheme="majorHAnsi" w:hAnsiTheme="majorHAnsi" w:cstheme="majorHAnsi"/>
          <w:sz w:val="20"/>
          <w:szCs w:val="20"/>
        </w:rPr>
        <w:tab/>
        <w:t>Animal Welfare Committee</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BRFSS</w:t>
      </w:r>
      <w:r w:rsidRPr="00743A41">
        <w:rPr>
          <w:rFonts w:asciiTheme="majorHAnsi" w:hAnsiTheme="majorHAnsi" w:cstheme="majorHAnsi"/>
          <w:sz w:val="20"/>
          <w:szCs w:val="20"/>
        </w:rPr>
        <w:tab/>
      </w:r>
      <w:r w:rsidRPr="00743A41">
        <w:rPr>
          <w:rFonts w:asciiTheme="majorHAnsi" w:hAnsiTheme="majorHAnsi" w:cstheme="majorHAnsi"/>
          <w:sz w:val="20"/>
          <w:szCs w:val="20"/>
        </w:rPr>
        <w:tab/>
        <w:t>Behavioral Risk Factor Surveillance System</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BS</w:t>
      </w:r>
      <w:r w:rsidRPr="00743A41">
        <w:rPr>
          <w:rFonts w:asciiTheme="majorHAnsi" w:hAnsiTheme="majorHAnsi" w:cstheme="majorHAnsi"/>
          <w:sz w:val="20"/>
          <w:szCs w:val="20"/>
        </w:rPr>
        <w:tab/>
      </w:r>
      <w:r w:rsidRPr="00743A41">
        <w:rPr>
          <w:rFonts w:asciiTheme="majorHAnsi" w:hAnsiTheme="majorHAnsi" w:cstheme="majorHAnsi"/>
          <w:sz w:val="20"/>
          <w:szCs w:val="20"/>
        </w:rPr>
        <w:tab/>
        <w:t>Bachelor of Science</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BSN</w:t>
      </w:r>
      <w:r w:rsidRPr="00743A41">
        <w:rPr>
          <w:rFonts w:asciiTheme="majorHAnsi" w:hAnsiTheme="majorHAnsi" w:cstheme="majorHAnsi"/>
          <w:sz w:val="20"/>
          <w:szCs w:val="20"/>
        </w:rPr>
        <w:tab/>
      </w:r>
      <w:r w:rsidRPr="00743A41">
        <w:rPr>
          <w:rFonts w:asciiTheme="majorHAnsi" w:hAnsiTheme="majorHAnsi" w:cstheme="majorHAnsi"/>
          <w:sz w:val="20"/>
          <w:szCs w:val="20"/>
        </w:rPr>
        <w:tab/>
        <w:t>Bachelor of Science in Nursing</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 xml:space="preserve">CAHME </w:t>
      </w:r>
      <w:r w:rsidRPr="00743A41">
        <w:rPr>
          <w:rFonts w:asciiTheme="majorHAnsi" w:hAnsiTheme="majorHAnsi" w:cstheme="majorHAnsi"/>
          <w:sz w:val="20"/>
          <w:szCs w:val="20"/>
        </w:rPr>
        <w:tab/>
      </w:r>
      <w:r w:rsidRPr="00743A41">
        <w:rPr>
          <w:rFonts w:asciiTheme="majorHAnsi" w:hAnsiTheme="majorHAnsi" w:cstheme="majorHAnsi"/>
          <w:sz w:val="20"/>
          <w:szCs w:val="20"/>
        </w:rPr>
        <w:tab/>
        <w:t>Commission on Accreditation of Healthcare Management Education</w:t>
      </w:r>
    </w:p>
    <w:p w:rsidR="00EE794F" w:rsidRPr="00743A41" w:rsidRDefault="00EE794F"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CAS</w:t>
      </w:r>
      <w:r w:rsidRPr="00743A41">
        <w:rPr>
          <w:rFonts w:asciiTheme="majorHAnsi" w:hAnsiTheme="majorHAnsi" w:cstheme="majorHAnsi"/>
          <w:sz w:val="20"/>
          <w:szCs w:val="20"/>
        </w:rPr>
        <w:tab/>
      </w:r>
      <w:r w:rsidRPr="00743A41">
        <w:rPr>
          <w:rFonts w:asciiTheme="majorHAnsi" w:hAnsiTheme="majorHAnsi" w:cstheme="majorHAnsi"/>
          <w:sz w:val="20"/>
          <w:szCs w:val="20"/>
        </w:rPr>
        <w:tab/>
        <w:t>Centralized Application Service</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 xml:space="preserve">CBPR </w:t>
      </w:r>
      <w:r w:rsidRPr="00743A41">
        <w:rPr>
          <w:rFonts w:asciiTheme="majorHAnsi" w:hAnsiTheme="majorHAnsi" w:cstheme="majorHAnsi"/>
          <w:sz w:val="20"/>
          <w:szCs w:val="20"/>
        </w:rPr>
        <w:tab/>
      </w:r>
      <w:r w:rsidRPr="00743A41">
        <w:rPr>
          <w:rFonts w:asciiTheme="majorHAnsi" w:hAnsiTheme="majorHAnsi" w:cstheme="majorHAnsi"/>
          <w:sz w:val="20"/>
          <w:szCs w:val="20"/>
        </w:rPr>
        <w:tab/>
        <w:t>Community-Based Participatory Research</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CCNE</w:t>
      </w:r>
      <w:r w:rsidRPr="00743A41">
        <w:rPr>
          <w:rFonts w:asciiTheme="majorHAnsi" w:hAnsiTheme="majorHAnsi" w:cstheme="majorHAnsi"/>
          <w:sz w:val="20"/>
          <w:szCs w:val="20"/>
        </w:rPr>
        <w:tab/>
      </w:r>
      <w:r w:rsidRPr="00743A41">
        <w:rPr>
          <w:rFonts w:asciiTheme="majorHAnsi" w:hAnsiTheme="majorHAnsi" w:cstheme="majorHAnsi"/>
          <w:sz w:val="20"/>
          <w:szCs w:val="20"/>
        </w:rPr>
        <w:tab/>
        <w:t>Commission on Collegiate Nursing Education</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CDC</w:t>
      </w:r>
      <w:r w:rsidRPr="00743A41">
        <w:rPr>
          <w:rFonts w:asciiTheme="majorHAnsi" w:hAnsiTheme="majorHAnsi" w:cstheme="majorHAnsi"/>
          <w:sz w:val="20"/>
          <w:szCs w:val="20"/>
        </w:rPr>
        <w:tab/>
      </w:r>
      <w:r w:rsidRPr="00743A41">
        <w:rPr>
          <w:rFonts w:asciiTheme="majorHAnsi" w:hAnsiTheme="majorHAnsi" w:cstheme="majorHAnsi"/>
          <w:sz w:val="20"/>
          <w:szCs w:val="20"/>
        </w:rPr>
        <w:tab/>
        <w:t>Center for Disease Control</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CE</w:t>
      </w:r>
      <w:r w:rsidRPr="00743A41">
        <w:rPr>
          <w:rFonts w:asciiTheme="majorHAnsi" w:hAnsiTheme="majorHAnsi" w:cstheme="majorHAnsi"/>
          <w:sz w:val="20"/>
          <w:szCs w:val="20"/>
        </w:rPr>
        <w:tab/>
      </w:r>
      <w:r w:rsidRPr="00743A41">
        <w:rPr>
          <w:rFonts w:asciiTheme="majorHAnsi" w:hAnsiTheme="majorHAnsi" w:cstheme="majorHAnsi"/>
          <w:sz w:val="20"/>
          <w:szCs w:val="20"/>
        </w:rPr>
        <w:tab/>
        <w:t>Continuing Education</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 xml:space="preserve">CEPH </w:t>
      </w:r>
      <w:r w:rsidRPr="00743A41">
        <w:rPr>
          <w:rFonts w:asciiTheme="majorHAnsi" w:hAnsiTheme="majorHAnsi" w:cstheme="majorHAnsi"/>
          <w:sz w:val="20"/>
          <w:szCs w:val="20"/>
        </w:rPr>
        <w:tab/>
      </w:r>
      <w:r w:rsidRPr="00743A41">
        <w:rPr>
          <w:rFonts w:asciiTheme="majorHAnsi" w:hAnsiTheme="majorHAnsi" w:cstheme="majorHAnsi"/>
          <w:sz w:val="20"/>
          <w:szCs w:val="20"/>
        </w:rPr>
        <w:tab/>
        <w:t>Council on Education for Public Health</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CEU</w:t>
      </w:r>
      <w:r w:rsidRPr="00743A41">
        <w:rPr>
          <w:rFonts w:asciiTheme="majorHAnsi" w:hAnsiTheme="majorHAnsi" w:cstheme="majorHAnsi"/>
          <w:sz w:val="20"/>
          <w:szCs w:val="20"/>
        </w:rPr>
        <w:tab/>
      </w:r>
      <w:r w:rsidRPr="00743A41">
        <w:rPr>
          <w:rFonts w:asciiTheme="majorHAnsi" w:hAnsiTheme="majorHAnsi" w:cstheme="majorHAnsi"/>
          <w:sz w:val="20"/>
          <w:szCs w:val="20"/>
        </w:rPr>
        <w:tab/>
        <w:t>Continuing Education Unit</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CHES</w:t>
      </w:r>
      <w:r w:rsidRPr="00743A41">
        <w:rPr>
          <w:rFonts w:asciiTheme="majorHAnsi" w:hAnsiTheme="majorHAnsi" w:cstheme="majorHAnsi"/>
          <w:sz w:val="20"/>
          <w:szCs w:val="20"/>
        </w:rPr>
        <w:tab/>
      </w:r>
      <w:r w:rsidRPr="00743A41">
        <w:rPr>
          <w:rFonts w:asciiTheme="majorHAnsi" w:hAnsiTheme="majorHAnsi" w:cstheme="majorHAnsi"/>
          <w:sz w:val="20"/>
          <w:szCs w:val="20"/>
        </w:rPr>
        <w:tab/>
        <w:t>Certified Health Education Specialist</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CEO</w:t>
      </w:r>
      <w:r w:rsidRPr="00743A41">
        <w:rPr>
          <w:rFonts w:asciiTheme="majorHAnsi" w:hAnsiTheme="majorHAnsi" w:cstheme="majorHAnsi"/>
          <w:sz w:val="20"/>
          <w:szCs w:val="20"/>
        </w:rPr>
        <w:tab/>
      </w:r>
      <w:r w:rsidRPr="00743A41">
        <w:rPr>
          <w:rFonts w:asciiTheme="majorHAnsi" w:hAnsiTheme="majorHAnsi" w:cstheme="majorHAnsi"/>
          <w:sz w:val="20"/>
          <w:szCs w:val="20"/>
        </w:rPr>
        <w:tab/>
        <w:t>Chief Executive Officer</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CEU</w:t>
      </w:r>
      <w:r w:rsidRPr="00743A41">
        <w:rPr>
          <w:rFonts w:asciiTheme="majorHAnsi" w:hAnsiTheme="majorHAnsi" w:cstheme="majorHAnsi"/>
          <w:sz w:val="20"/>
          <w:szCs w:val="20"/>
        </w:rPr>
        <w:tab/>
      </w:r>
      <w:r w:rsidRPr="00743A41">
        <w:rPr>
          <w:rFonts w:asciiTheme="majorHAnsi" w:hAnsiTheme="majorHAnsi" w:cstheme="majorHAnsi"/>
          <w:sz w:val="20"/>
          <w:szCs w:val="20"/>
        </w:rPr>
        <w:tab/>
        <w:t>Continuing Education Units</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CHW</w:t>
      </w:r>
      <w:r w:rsidRPr="00743A41">
        <w:rPr>
          <w:rFonts w:asciiTheme="majorHAnsi" w:hAnsiTheme="majorHAnsi" w:cstheme="majorHAnsi"/>
          <w:sz w:val="20"/>
          <w:szCs w:val="20"/>
        </w:rPr>
        <w:tab/>
      </w:r>
      <w:r w:rsidRPr="00743A41">
        <w:rPr>
          <w:rFonts w:asciiTheme="majorHAnsi" w:hAnsiTheme="majorHAnsi" w:cstheme="majorHAnsi"/>
          <w:sz w:val="20"/>
          <w:szCs w:val="20"/>
        </w:rPr>
        <w:tab/>
        <w:t>Community Health Workers</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CHP</w:t>
      </w:r>
      <w:r w:rsidRPr="00743A41">
        <w:rPr>
          <w:rFonts w:asciiTheme="majorHAnsi" w:hAnsiTheme="majorHAnsi" w:cstheme="majorHAnsi"/>
          <w:sz w:val="20"/>
          <w:szCs w:val="20"/>
        </w:rPr>
        <w:tab/>
      </w:r>
      <w:r w:rsidRPr="00743A41">
        <w:rPr>
          <w:rFonts w:asciiTheme="majorHAnsi" w:hAnsiTheme="majorHAnsi" w:cstheme="majorHAnsi"/>
          <w:sz w:val="20"/>
          <w:szCs w:val="20"/>
        </w:rPr>
        <w:tab/>
        <w:t>Community Health Practice</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CITAR</w:t>
      </w:r>
      <w:r w:rsidRPr="00743A41">
        <w:rPr>
          <w:rFonts w:asciiTheme="majorHAnsi" w:hAnsiTheme="majorHAnsi" w:cstheme="majorHAnsi"/>
          <w:sz w:val="20"/>
          <w:szCs w:val="20"/>
        </w:rPr>
        <w:tab/>
      </w:r>
      <w:r w:rsidRPr="00743A41">
        <w:rPr>
          <w:rFonts w:asciiTheme="majorHAnsi" w:hAnsiTheme="majorHAnsi" w:cstheme="majorHAnsi"/>
          <w:sz w:val="20"/>
          <w:szCs w:val="20"/>
        </w:rPr>
        <w:tab/>
        <w:t xml:space="preserve">Center for International Training and Research </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CMS</w:t>
      </w:r>
      <w:r w:rsidRPr="00743A41">
        <w:rPr>
          <w:rFonts w:asciiTheme="majorHAnsi" w:hAnsiTheme="majorHAnsi" w:cstheme="majorHAnsi"/>
          <w:sz w:val="20"/>
          <w:szCs w:val="20"/>
        </w:rPr>
        <w:tab/>
      </w:r>
      <w:r w:rsidRPr="00743A41">
        <w:rPr>
          <w:rFonts w:asciiTheme="majorHAnsi" w:hAnsiTheme="majorHAnsi" w:cstheme="majorHAnsi"/>
          <w:sz w:val="20"/>
          <w:szCs w:val="20"/>
        </w:rPr>
        <w:tab/>
        <w:t xml:space="preserve">Center for Medicare/Medicaid Services </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COA-NAEP</w:t>
      </w:r>
      <w:r w:rsidRPr="00743A41">
        <w:rPr>
          <w:rFonts w:asciiTheme="majorHAnsi" w:hAnsiTheme="majorHAnsi" w:cstheme="majorHAnsi"/>
          <w:sz w:val="20"/>
          <w:szCs w:val="20"/>
        </w:rPr>
        <w:tab/>
        <w:t>Council on Accreditation of Nurse Anesthesia Education Program</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CODA</w:t>
      </w:r>
      <w:r w:rsidRPr="00743A41">
        <w:rPr>
          <w:rFonts w:asciiTheme="majorHAnsi" w:hAnsiTheme="majorHAnsi" w:cstheme="majorHAnsi"/>
          <w:sz w:val="20"/>
          <w:szCs w:val="20"/>
        </w:rPr>
        <w:tab/>
      </w:r>
      <w:r w:rsidRPr="00743A41">
        <w:rPr>
          <w:rFonts w:asciiTheme="majorHAnsi" w:hAnsiTheme="majorHAnsi" w:cstheme="majorHAnsi"/>
          <w:sz w:val="20"/>
          <w:szCs w:val="20"/>
        </w:rPr>
        <w:tab/>
        <w:t>Commission on Dental Accreditation</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CPH</w:t>
      </w:r>
      <w:r w:rsidRPr="00743A41">
        <w:rPr>
          <w:rFonts w:asciiTheme="majorHAnsi" w:hAnsiTheme="majorHAnsi" w:cstheme="majorHAnsi"/>
          <w:sz w:val="20"/>
          <w:szCs w:val="20"/>
        </w:rPr>
        <w:tab/>
      </w:r>
      <w:r w:rsidRPr="00743A41">
        <w:rPr>
          <w:rFonts w:asciiTheme="majorHAnsi" w:hAnsiTheme="majorHAnsi" w:cstheme="majorHAnsi"/>
          <w:sz w:val="20"/>
          <w:szCs w:val="20"/>
        </w:rPr>
        <w:tab/>
        <w:t>Certified in Public Health</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CSGS</w:t>
      </w:r>
      <w:r w:rsidRPr="00743A41">
        <w:rPr>
          <w:rFonts w:asciiTheme="majorHAnsi" w:hAnsiTheme="majorHAnsi" w:cstheme="majorHAnsi"/>
          <w:sz w:val="20"/>
          <w:szCs w:val="20"/>
        </w:rPr>
        <w:tab/>
      </w:r>
      <w:r w:rsidRPr="00743A41">
        <w:rPr>
          <w:rFonts w:asciiTheme="majorHAnsi" w:hAnsiTheme="majorHAnsi" w:cstheme="majorHAnsi"/>
          <w:sz w:val="20"/>
          <w:szCs w:val="20"/>
        </w:rPr>
        <w:tab/>
        <w:t>Conference of Southern Graduate Schools</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CVD</w:t>
      </w:r>
      <w:r w:rsidRPr="00743A41">
        <w:rPr>
          <w:rFonts w:asciiTheme="majorHAnsi" w:hAnsiTheme="majorHAnsi" w:cstheme="majorHAnsi"/>
          <w:sz w:val="20"/>
          <w:szCs w:val="20"/>
        </w:rPr>
        <w:tab/>
      </w:r>
      <w:r w:rsidRPr="00743A41">
        <w:rPr>
          <w:rFonts w:asciiTheme="majorHAnsi" w:hAnsiTheme="majorHAnsi" w:cstheme="majorHAnsi"/>
          <w:sz w:val="20"/>
          <w:szCs w:val="20"/>
        </w:rPr>
        <w:tab/>
        <w:t>Cardiovascular Disease</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DDS</w:t>
      </w:r>
      <w:r w:rsidRPr="00743A41">
        <w:rPr>
          <w:rFonts w:asciiTheme="majorHAnsi" w:hAnsiTheme="majorHAnsi" w:cstheme="majorHAnsi"/>
          <w:sz w:val="20"/>
          <w:szCs w:val="20"/>
        </w:rPr>
        <w:tab/>
      </w:r>
      <w:r w:rsidRPr="00743A41">
        <w:rPr>
          <w:rFonts w:asciiTheme="majorHAnsi" w:hAnsiTheme="majorHAnsi" w:cstheme="majorHAnsi"/>
          <w:sz w:val="20"/>
          <w:szCs w:val="20"/>
        </w:rPr>
        <w:tab/>
        <w:t>Doctor of Dental Surgery</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DNP</w:t>
      </w:r>
      <w:r w:rsidRPr="00743A41">
        <w:rPr>
          <w:rFonts w:asciiTheme="majorHAnsi" w:hAnsiTheme="majorHAnsi" w:cstheme="majorHAnsi"/>
          <w:sz w:val="20"/>
          <w:szCs w:val="20"/>
        </w:rPr>
        <w:tab/>
      </w:r>
      <w:r w:rsidRPr="00743A41">
        <w:rPr>
          <w:rFonts w:asciiTheme="majorHAnsi" w:hAnsiTheme="majorHAnsi" w:cstheme="majorHAnsi"/>
          <w:sz w:val="20"/>
          <w:szCs w:val="20"/>
        </w:rPr>
        <w:tab/>
        <w:t>Doctor of Nursing Practice</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 xml:space="preserve">DrPH </w:t>
      </w:r>
      <w:r w:rsidRPr="00743A41">
        <w:rPr>
          <w:rFonts w:asciiTheme="majorHAnsi" w:hAnsiTheme="majorHAnsi" w:cstheme="majorHAnsi"/>
          <w:sz w:val="20"/>
          <w:szCs w:val="20"/>
        </w:rPr>
        <w:tab/>
      </w:r>
      <w:r w:rsidRPr="00743A41">
        <w:rPr>
          <w:rFonts w:asciiTheme="majorHAnsi" w:hAnsiTheme="majorHAnsi" w:cstheme="majorHAnsi"/>
          <w:sz w:val="20"/>
          <w:szCs w:val="20"/>
        </w:rPr>
        <w:tab/>
        <w:t>Doctor of Public Health</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DSHS</w:t>
      </w:r>
      <w:r w:rsidRPr="00743A41">
        <w:rPr>
          <w:rFonts w:asciiTheme="majorHAnsi" w:hAnsiTheme="majorHAnsi" w:cstheme="majorHAnsi"/>
          <w:sz w:val="20"/>
          <w:szCs w:val="20"/>
        </w:rPr>
        <w:tab/>
      </w:r>
      <w:r w:rsidRPr="00743A41">
        <w:rPr>
          <w:rFonts w:asciiTheme="majorHAnsi" w:hAnsiTheme="majorHAnsi" w:cstheme="majorHAnsi"/>
          <w:sz w:val="20"/>
          <w:szCs w:val="20"/>
        </w:rPr>
        <w:tab/>
        <w:t>Department of State Health Services</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EIS</w:t>
      </w:r>
      <w:r w:rsidRPr="00743A41">
        <w:rPr>
          <w:rFonts w:asciiTheme="majorHAnsi" w:hAnsiTheme="majorHAnsi" w:cstheme="majorHAnsi"/>
          <w:sz w:val="20"/>
          <w:szCs w:val="20"/>
        </w:rPr>
        <w:tab/>
      </w:r>
      <w:r w:rsidRPr="00743A41">
        <w:rPr>
          <w:rFonts w:asciiTheme="majorHAnsi" w:hAnsiTheme="majorHAnsi" w:cstheme="majorHAnsi"/>
          <w:sz w:val="20"/>
          <w:szCs w:val="20"/>
        </w:rPr>
        <w:tab/>
        <w:t>Epidemic Intelligence Service</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EHGES</w:t>
      </w:r>
      <w:r w:rsidRPr="00743A41">
        <w:rPr>
          <w:rFonts w:asciiTheme="majorHAnsi" w:hAnsiTheme="majorHAnsi" w:cstheme="majorHAnsi"/>
          <w:sz w:val="20"/>
          <w:szCs w:val="20"/>
        </w:rPr>
        <w:tab/>
      </w:r>
      <w:r w:rsidRPr="00743A41">
        <w:rPr>
          <w:rFonts w:asciiTheme="majorHAnsi" w:hAnsiTheme="majorHAnsi" w:cstheme="majorHAnsi"/>
          <w:sz w:val="20"/>
          <w:szCs w:val="20"/>
        </w:rPr>
        <w:tab/>
        <w:t>Department of Epidemiology, Human Genetics and Environmental Sciences</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EPI</w:t>
      </w:r>
      <w:r w:rsidRPr="00743A41">
        <w:rPr>
          <w:rFonts w:asciiTheme="majorHAnsi" w:hAnsiTheme="majorHAnsi" w:cstheme="majorHAnsi"/>
          <w:sz w:val="20"/>
          <w:szCs w:val="20"/>
        </w:rPr>
        <w:tab/>
      </w:r>
      <w:r w:rsidRPr="00743A41">
        <w:rPr>
          <w:rFonts w:asciiTheme="majorHAnsi" w:hAnsiTheme="majorHAnsi" w:cstheme="majorHAnsi"/>
          <w:sz w:val="20"/>
          <w:szCs w:val="20"/>
        </w:rPr>
        <w:tab/>
        <w:t>Epidemiology</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EOHS</w:t>
      </w:r>
      <w:r w:rsidRPr="00743A41">
        <w:rPr>
          <w:rFonts w:asciiTheme="majorHAnsi" w:hAnsiTheme="majorHAnsi" w:cstheme="majorHAnsi"/>
          <w:sz w:val="20"/>
          <w:szCs w:val="20"/>
        </w:rPr>
        <w:tab/>
      </w:r>
      <w:r w:rsidRPr="00743A41">
        <w:rPr>
          <w:rFonts w:asciiTheme="majorHAnsi" w:hAnsiTheme="majorHAnsi" w:cstheme="majorHAnsi"/>
          <w:sz w:val="20"/>
          <w:szCs w:val="20"/>
        </w:rPr>
        <w:tab/>
        <w:t>Environmental and Occupation Health Sciences</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EPA</w:t>
      </w:r>
      <w:r w:rsidRPr="00743A41">
        <w:rPr>
          <w:rFonts w:asciiTheme="majorHAnsi" w:hAnsiTheme="majorHAnsi" w:cstheme="majorHAnsi"/>
          <w:sz w:val="20"/>
          <w:szCs w:val="20"/>
        </w:rPr>
        <w:tab/>
      </w:r>
      <w:r w:rsidRPr="00743A41">
        <w:rPr>
          <w:rFonts w:asciiTheme="majorHAnsi" w:hAnsiTheme="majorHAnsi" w:cstheme="majorHAnsi"/>
          <w:sz w:val="20"/>
          <w:szCs w:val="20"/>
        </w:rPr>
        <w:tab/>
        <w:t>Environmental Protection Agency</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EPSA</w:t>
      </w:r>
      <w:r w:rsidRPr="00743A41">
        <w:rPr>
          <w:rFonts w:asciiTheme="majorHAnsi" w:hAnsiTheme="majorHAnsi" w:cstheme="majorHAnsi"/>
          <w:sz w:val="20"/>
          <w:szCs w:val="20"/>
        </w:rPr>
        <w:tab/>
      </w:r>
      <w:r w:rsidRPr="00743A41">
        <w:rPr>
          <w:rFonts w:asciiTheme="majorHAnsi" w:hAnsiTheme="majorHAnsi" w:cstheme="majorHAnsi"/>
          <w:sz w:val="20"/>
          <w:szCs w:val="20"/>
        </w:rPr>
        <w:tab/>
        <w:t>El Paso Student Association</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ERC</w:t>
      </w:r>
      <w:r w:rsidRPr="00743A41">
        <w:rPr>
          <w:rFonts w:asciiTheme="majorHAnsi" w:hAnsiTheme="majorHAnsi" w:cstheme="majorHAnsi"/>
          <w:sz w:val="20"/>
          <w:szCs w:val="20"/>
        </w:rPr>
        <w:tab/>
      </w:r>
      <w:r w:rsidRPr="00743A41">
        <w:rPr>
          <w:rFonts w:asciiTheme="majorHAnsi" w:hAnsiTheme="majorHAnsi" w:cstheme="majorHAnsi"/>
          <w:sz w:val="20"/>
          <w:szCs w:val="20"/>
        </w:rPr>
        <w:tab/>
        <w:t>Education and Research Center</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ERF</w:t>
      </w:r>
      <w:r w:rsidRPr="00743A41">
        <w:rPr>
          <w:rFonts w:asciiTheme="majorHAnsi" w:hAnsiTheme="majorHAnsi" w:cstheme="majorHAnsi"/>
          <w:sz w:val="20"/>
          <w:szCs w:val="20"/>
        </w:rPr>
        <w:tab/>
      </w:r>
      <w:r w:rsidRPr="00743A41">
        <w:rPr>
          <w:rFonts w:asciiTheme="majorHAnsi" w:hAnsiTheme="majorHAnsi" w:cstheme="majorHAnsi"/>
          <w:sz w:val="20"/>
          <w:szCs w:val="20"/>
        </w:rPr>
        <w:tab/>
        <w:t>Electronic resource file</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ESL</w:t>
      </w:r>
      <w:r w:rsidRPr="00743A41">
        <w:rPr>
          <w:rFonts w:asciiTheme="majorHAnsi" w:hAnsiTheme="majorHAnsi" w:cstheme="majorHAnsi"/>
          <w:sz w:val="20"/>
          <w:szCs w:val="20"/>
        </w:rPr>
        <w:tab/>
      </w:r>
      <w:r w:rsidRPr="00743A41">
        <w:rPr>
          <w:rFonts w:asciiTheme="majorHAnsi" w:hAnsiTheme="majorHAnsi" w:cstheme="majorHAnsi"/>
          <w:sz w:val="20"/>
          <w:szCs w:val="20"/>
        </w:rPr>
        <w:tab/>
        <w:t>English as a Second Language</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ETS</w:t>
      </w:r>
      <w:r w:rsidRPr="00743A41">
        <w:rPr>
          <w:rFonts w:asciiTheme="majorHAnsi" w:hAnsiTheme="majorHAnsi" w:cstheme="majorHAnsi"/>
          <w:sz w:val="20"/>
          <w:szCs w:val="20"/>
        </w:rPr>
        <w:tab/>
      </w:r>
      <w:r w:rsidRPr="00743A41">
        <w:rPr>
          <w:rFonts w:asciiTheme="majorHAnsi" w:hAnsiTheme="majorHAnsi" w:cstheme="majorHAnsi"/>
          <w:sz w:val="20"/>
          <w:szCs w:val="20"/>
        </w:rPr>
        <w:tab/>
        <w:t>Educational Testing Service</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FC</w:t>
      </w:r>
      <w:r w:rsidRPr="00743A41">
        <w:rPr>
          <w:rFonts w:asciiTheme="majorHAnsi" w:hAnsiTheme="majorHAnsi" w:cstheme="majorHAnsi"/>
          <w:sz w:val="20"/>
          <w:szCs w:val="20"/>
        </w:rPr>
        <w:tab/>
      </w:r>
      <w:r w:rsidRPr="00743A41">
        <w:rPr>
          <w:rFonts w:asciiTheme="majorHAnsi" w:hAnsiTheme="majorHAnsi" w:cstheme="majorHAnsi"/>
          <w:sz w:val="20"/>
          <w:szCs w:val="20"/>
        </w:rPr>
        <w:tab/>
        <w:t>Fleming Center</w:t>
      </w:r>
    </w:p>
    <w:p w:rsidR="00435E13" w:rsidRPr="00743A41" w:rsidRDefault="00435E13" w:rsidP="00A37ED6">
      <w:pPr>
        <w:autoSpaceDE w:val="0"/>
        <w:autoSpaceDN w:val="0"/>
        <w:adjustRightInd w:val="0"/>
        <w:rPr>
          <w:rStyle w:val="st"/>
          <w:rFonts w:asciiTheme="majorHAnsi" w:hAnsiTheme="majorHAnsi" w:cstheme="majorHAnsi"/>
          <w:sz w:val="20"/>
          <w:szCs w:val="20"/>
        </w:rPr>
      </w:pPr>
      <w:r w:rsidRPr="00743A41">
        <w:rPr>
          <w:rFonts w:asciiTheme="majorHAnsi" w:hAnsiTheme="majorHAnsi" w:cstheme="majorHAnsi"/>
          <w:sz w:val="20"/>
          <w:szCs w:val="20"/>
        </w:rPr>
        <w:t>FERPA</w:t>
      </w:r>
      <w:r w:rsidRPr="00743A41">
        <w:rPr>
          <w:rFonts w:asciiTheme="majorHAnsi" w:hAnsiTheme="majorHAnsi" w:cstheme="majorHAnsi"/>
          <w:sz w:val="20"/>
          <w:szCs w:val="20"/>
        </w:rPr>
        <w:tab/>
      </w:r>
      <w:r w:rsidRPr="00743A41">
        <w:rPr>
          <w:rFonts w:asciiTheme="majorHAnsi" w:hAnsiTheme="majorHAnsi" w:cstheme="majorHAnsi"/>
          <w:sz w:val="20"/>
          <w:szCs w:val="20"/>
        </w:rPr>
        <w:tab/>
      </w:r>
      <w:r w:rsidRPr="00743A41">
        <w:rPr>
          <w:rStyle w:val="st"/>
          <w:rFonts w:asciiTheme="majorHAnsi" w:hAnsiTheme="majorHAnsi" w:cstheme="majorHAnsi"/>
          <w:sz w:val="20"/>
          <w:szCs w:val="20"/>
        </w:rPr>
        <w:t>Family Educational Rights and Privacy Act</w:t>
      </w:r>
    </w:p>
    <w:p w:rsidR="00B72CC0" w:rsidRPr="00743A41" w:rsidRDefault="00B72CC0" w:rsidP="00A37ED6">
      <w:pPr>
        <w:autoSpaceDE w:val="0"/>
        <w:autoSpaceDN w:val="0"/>
        <w:adjustRightInd w:val="0"/>
        <w:rPr>
          <w:rStyle w:val="st"/>
          <w:rFonts w:asciiTheme="majorHAnsi" w:hAnsiTheme="majorHAnsi" w:cstheme="majorHAnsi"/>
          <w:sz w:val="20"/>
          <w:szCs w:val="20"/>
        </w:rPr>
      </w:pPr>
      <w:r w:rsidRPr="00743A41">
        <w:rPr>
          <w:rStyle w:val="st"/>
          <w:rFonts w:asciiTheme="majorHAnsi" w:hAnsiTheme="majorHAnsi" w:cstheme="majorHAnsi"/>
          <w:sz w:val="20"/>
          <w:szCs w:val="20"/>
        </w:rPr>
        <w:t>FIR</w:t>
      </w:r>
      <w:r w:rsidRPr="00743A41">
        <w:rPr>
          <w:rStyle w:val="st"/>
          <w:rFonts w:asciiTheme="majorHAnsi" w:hAnsiTheme="majorHAnsi" w:cstheme="majorHAnsi"/>
          <w:sz w:val="20"/>
          <w:szCs w:val="20"/>
        </w:rPr>
        <w:tab/>
      </w:r>
      <w:r w:rsidRPr="00743A41">
        <w:rPr>
          <w:rStyle w:val="st"/>
          <w:rFonts w:asciiTheme="majorHAnsi" w:hAnsiTheme="majorHAnsi" w:cstheme="majorHAnsi"/>
          <w:sz w:val="20"/>
          <w:szCs w:val="20"/>
        </w:rPr>
        <w:tab/>
        <w:t xml:space="preserve">Faculty Information </w:t>
      </w:r>
      <w:r w:rsidR="00C5105B" w:rsidRPr="00743A41">
        <w:rPr>
          <w:rStyle w:val="st"/>
          <w:rFonts w:asciiTheme="majorHAnsi" w:hAnsiTheme="majorHAnsi" w:cstheme="majorHAnsi"/>
          <w:sz w:val="20"/>
          <w:szCs w:val="20"/>
        </w:rPr>
        <w:t>Repository</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Style w:val="st"/>
          <w:rFonts w:asciiTheme="majorHAnsi" w:hAnsiTheme="majorHAnsi" w:cstheme="majorHAnsi"/>
          <w:sz w:val="20"/>
          <w:szCs w:val="20"/>
        </w:rPr>
        <w:t>FTE</w:t>
      </w:r>
      <w:r w:rsidRPr="00743A41">
        <w:rPr>
          <w:rStyle w:val="st"/>
          <w:rFonts w:asciiTheme="majorHAnsi" w:hAnsiTheme="majorHAnsi" w:cstheme="majorHAnsi"/>
          <w:sz w:val="20"/>
          <w:szCs w:val="20"/>
        </w:rPr>
        <w:tab/>
      </w:r>
      <w:r w:rsidRPr="00743A41">
        <w:rPr>
          <w:rStyle w:val="st"/>
          <w:rFonts w:asciiTheme="majorHAnsi" w:hAnsiTheme="majorHAnsi" w:cstheme="majorHAnsi"/>
          <w:sz w:val="20"/>
          <w:szCs w:val="20"/>
        </w:rPr>
        <w:tab/>
        <w:t>Full time equivalent</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FQHC</w:t>
      </w:r>
      <w:r w:rsidRPr="00743A41">
        <w:rPr>
          <w:rFonts w:asciiTheme="majorHAnsi" w:hAnsiTheme="majorHAnsi" w:cstheme="majorHAnsi"/>
          <w:sz w:val="20"/>
          <w:szCs w:val="20"/>
        </w:rPr>
        <w:tab/>
      </w:r>
      <w:r w:rsidRPr="00743A41">
        <w:rPr>
          <w:rFonts w:asciiTheme="majorHAnsi" w:hAnsiTheme="majorHAnsi" w:cstheme="majorHAnsi"/>
          <w:sz w:val="20"/>
          <w:szCs w:val="20"/>
        </w:rPr>
        <w:tab/>
        <w:t>Federally Qualified Health Clinic</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lastRenderedPageBreak/>
        <w:t xml:space="preserve">FTE </w:t>
      </w:r>
      <w:r w:rsidRPr="00743A41">
        <w:rPr>
          <w:rFonts w:asciiTheme="majorHAnsi" w:hAnsiTheme="majorHAnsi" w:cstheme="majorHAnsi"/>
          <w:sz w:val="20"/>
          <w:szCs w:val="20"/>
        </w:rPr>
        <w:tab/>
      </w:r>
      <w:r w:rsidRPr="00743A41">
        <w:rPr>
          <w:rFonts w:asciiTheme="majorHAnsi" w:hAnsiTheme="majorHAnsi" w:cstheme="majorHAnsi"/>
          <w:sz w:val="20"/>
          <w:szCs w:val="20"/>
        </w:rPr>
        <w:tab/>
        <w:t>Full-Time Equivalent</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GRE</w:t>
      </w:r>
      <w:r w:rsidRPr="00743A41">
        <w:rPr>
          <w:rFonts w:asciiTheme="majorHAnsi" w:hAnsiTheme="majorHAnsi" w:cstheme="majorHAnsi"/>
          <w:sz w:val="20"/>
          <w:szCs w:val="20"/>
        </w:rPr>
        <w:tab/>
      </w:r>
      <w:r w:rsidRPr="00743A41">
        <w:rPr>
          <w:rFonts w:asciiTheme="majorHAnsi" w:hAnsiTheme="majorHAnsi" w:cstheme="majorHAnsi"/>
          <w:sz w:val="20"/>
          <w:szCs w:val="20"/>
        </w:rPr>
        <w:tab/>
        <w:t>Graduate Record Examination</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eastAsia="Arial" w:hAnsiTheme="majorHAnsi" w:cstheme="majorHAnsi"/>
          <w:color w:val="000000"/>
          <w:sz w:val="20"/>
          <w:szCs w:val="20"/>
        </w:rPr>
        <w:t>GRF</w:t>
      </w:r>
      <w:r w:rsidRPr="00743A41">
        <w:rPr>
          <w:rFonts w:asciiTheme="majorHAnsi" w:hAnsiTheme="majorHAnsi" w:cstheme="majorHAnsi"/>
          <w:sz w:val="20"/>
          <w:szCs w:val="20"/>
        </w:rPr>
        <w:tab/>
      </w:r>
      <w:r w:rsidRPr="00743A41">
        <w:rPr>
          <w:rFonts w:asciiTheme="majorHAnsi" w:hAnsiTheme="majorHAnsi" w:cstheme="majorHAnsi"/>
          <w:sz w:val="20"/>
          <w:szCs w:val="20"/>
        </w:rPr>
        <w:tab/>
      </w:r>
      <w:r w:rsidRPr="00743A41">
        <w:rPr>
          <w:rFonts w:asciiTheme="majorHAnsi" w:eastAsia="Arial" w:hAnsiTheme="majorHAnsi" w:cstheme="majorHAnsi"/>
          <w:color w:val="000000"/>
          <w:sz w:val="20"/>
          <w:szCs w:val="20"/>
        </w:rPr>
        <w:t xml:space="preserve">Grievance Resolution Form </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GSA</w:t>
      </w:r>
      <w:r w:rsidRPr="00743A41">
        <w:rPr>
          <w:rFonts w:asciiTheme="majorHAnsi" w:hAnsiTheme="majorHAnsi" w:cstheme="majorHAnsi"/>
          <w:sz w:val="20"/>
          <w:szCs w:val="20"/>
        </w:rPr>
        <w:tab/>
      </w:r>
      <w:r w:rsidRPr="00743A41">
        <w:rPr>
          <w:rFonts w:asciiTheme="majorHAnsi" w:hAnsiTheme="majorHAnsi" w:cstheme="majorHAnsi"/>
          <w:sz w:val="20"/>
          <w:szCs w:val="20"/>
        </w:rPr>
        <w:tab/>
        <w:t>Graduate Student Association, Brownsville Regional Campus</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GSP</w:t>
      </w:r>
      <w:r w:rsidRPr="00743A41">
        <w:rPr>
          <w:rFonts w:asciiTheme="majorHAnsi" w:hAnsiTheme="majorHAnsi" w:cstheme="majorHAnsi"/>
          <w:sz w:val="20"/>
          <w:szCs w:val="20"/>
        </w:rPr>
        <w:tab/>
      </w:r>
      <w:r w:rsidRPr="00743A41">
        <w:rPr>
          <w:rFonts w:asciiTheme="majorHAnsi" w:hAnsiTheme="majorHAnsi" w:cstheme="majorHAnsi"/>
          <w:sz w:val="20"/>
          <w:szCs w:val="20"/>
        </w:rPr>
        <w:tab/>
        <w:t>Guadalupe Street Peloton</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GVSU</w:t>
      </w:r>
      <w:r w:rsidRPr="00743A41">
        <w:rPr>
          <w:rFonts w:asciiTheme="majorHAnsi" w:hAnsiTheme="majorHAnsi" w:cstheme="majorHAnsi"/>
          <w:sz w:val="20"/>
          <w:szCs w:val="20"/>
        </w:rPr>
        <w:tab/>
      </w:r>
      <w:r w:rsidRPr="00743A41">
        <w:rPr>
          <w:rFonts w:asciiTheme="majorHAnsi" w:hAnsiTheme="majorHAnsi" w:cstheme="majorHAnsi"/>
          <w:sz w:val="20"/>
          <w:szCs w:val="20"/>
        </w:rPr>
        <w:tab/>
        <w:t>Grant Valley State University</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HCM</w:t>
      </w:r>
      <w:r w:rsidRPr="00743A41">
        <w:rPr>
          <w:rFonts w:asciiTheme="majorHAnsi" w:hAnsiTheme="majorHAnsi" w:cstheme="majorHAnsi"/>
          <w:sz w:val="20"/>
          <w:szCs w:val="20"/>
        </w:rPr>
        <w:tab/>
      </w:r>
      <w:r w:rsidRPr="00743A41">
        <w:rPr>
          <w:rFonts w:asciiTheme="majorHAnsi" w:hAnsiTheme="majorHAnsi" w:cstheme="majorHAnsi"/>
          <w:sz w:val="20"/>
          <w:szCs w:val="20"/>
        </w:rPr>
        <w:tab/>
        <w:t>Health Care Management</w:t>
      </w:r>
    </w:p>
    <w:p w:rsidR="00435E13" w:rsidRPr="00743A41" w:rsidRDefault="00435E13" w:rsidP="00A37ED6">
      <w:pPr>
        <w:rPr>
          <w:rFonts w:asciiTheme="majorHAnsi" w:hAnsiTheme="majorHAnsi" w:cstheme="majorHAnsi"/>
          <w:sz w:val="20"/>
          <w:szCs w:val="20"/>
        </w:rPr>
      </w:pPr>
      <w:r w:rsidRPr="00743A41">
        <w:rPr>
          <w:rFonts w:asciiTheme="majorHAnsi" w:hAnsiTheme="majorHAnsi" w:cstheme="majorHAnsi"/>
          <w:sz w:val="20"/>
          <w:szCs w:val="20"/>
        </w:rPr>
        <w:t>HEFP</w:t>
      </w:r>
      <w:r w:rsidRPr="00743A41">
        <w:rPr>
          <w:rFonts w:asciiTheme="majorHAnsi" w:hAnsiTheme="majorHAnsi" w:cstheme="majorHAnsi"/>
          <w:sz w:val="20"/>
          <w:szCs w:val="20"/>
        </w:rPr>
        <w:tab/>
      </w:r>
      <w:r w:rsidRPr="00743A41">
        <w:rPr>
          <w:rFonts w:asciiTheme="majorHAnsi" w:hAnsiTheme="majorHAnsi" w:cstheme="majorHAnsi"/>
          <w:sz w:val="20"/>
          <w:szCs w:val="20"/>
        </w:rPr>
        <w:tab/>
      </w:r>
      <w:r w:rsidRPr="00743A41">
        <w:rPr>
          <w:rFonts w:asciiTheme="majorHAnsi" w:eastAsia="Arial" w:hAnsiTheme="majorHAnsi" w:cstheme="majorHAnsi"/>
          <w:sz w:val="20"/>
          <w:szCs w:val="20"/>
        </w:rPr>
        <w:t>Health Educators Fellowship Program</w:t>
      </w:r>
    </w:p>
    <w:p w:rsidR="00435E13" w:rsidRPr="00743A41" w:rsidRDefault="00435E13" w:rsidP="00A37ED6">
      <w:pPr>
        <w:rPr>
          <w:rFonts w:asciiTheme="majorHAnsi" w:hAnsiTheme="majorHAnsi" w:cstheme="majorHAnsi"/>
          <w:sz w:val="20"/>
          <w:szCs w:val="20"/>
        </w:rPr>
      </w:pPr>
      <w:r w:rsidRPr="00743A41">
        <w:rPr>
          <w:rFonts w:asciiTheme="majorHAnsi" w:hAnsiTheme="majorHAnsi" w:cstheme="majorHAnsi"/>
          <w:sz w:val="20"/>
          <w:szCs w:val="20"/>
        </w:rPr>
        <w:t>HHD</w:t>
      </w:r>
      <w:r w:rsidRPr="00743A41">
        <w:rPr>
          <w:rFonts w:asciiTheme="majorHAnsi" w:hAnsiTheme="majorHAnsi" w:cstheme="majorHAnsi"/>
          <w:sz w:val="20"/>
          <w:szCs w:val="20"/>
        </w:rPr>
        <w:tab/>
      </w:r>
      <w:r w:rsidRPr="00743A41">
        <w:rPr>
          <w:rFonts w:asciiTheme="majorHAnsi" w:hAnsiTheme="majorHAnsi" w:cstheme="majorHAnsi"/>
          <w:sz w:val="20"/>
          <w:szCs w:val="20"/>
        </w:rPr>
        <w:tab/>
        <w:t>Houston Health Department</w:t>
      </w:r>
    </w:p>
    <w:p w:rsidR="00435E13" w:rsidRPr="00743A41" w:rsidRDefault="00435E13" w:rsidP="00A37ED6">
      <w:pPr>
        <w:rPr>
          <w:rFonts w:asciiTheme="majorHAnsi" w:hAnsiTheme="majorHAnsi" w:cstheme="majorHAnsi"/>
          <w:sz w:val="20"/>
          <w:szCs w:val="20"/>
        </w:rPr>
      </w:pPr>
      <w:r w:rsidRPr="00743A41">
        <w:rPr>
          <w:rFonts w:asciiTheme="majorHAnsi" w:hAnsiTheme="majorHAnsi" w:cstheme="majorHAnsi"/>
          <w:sz w:val="20"/>
          <w:szCs w:val="20"/>
        </w:rPr>
        <w:t>HPBS</w:t>
      </w:r>
      <w:r w:rsidRPr="00743A41">
        <w:rPr>
          <w:rFonts w:asciiTheme="majorHAnsi" w:hAnsiTheme="majorHAnsi" w:cstheme="majorHAnsi"/>
          <w:sz w:val="20"/>
          <w:szCs w:val="20"/>
        </w:rPr>
        <w:tab/>
      </w:r>
      <w:r w:rsidRPr="00743A41">
        <w:rPr>
          <w:rFonts w:asciiTheme="majorHAnsi" w:hAnsiTheme="majorHAnsi" w:cstheme="majorHAnsi"/>
          <w:sz w:val="20"/>
          <w:szCs w:val="20"/>
        </w:rPr>
        <w:tab/>
        <w:t>Department of Health Promotion and Behavioral Sciences</w:t>
      </w:r>
    </w:p>
    <w:p w:rsidR="00435E13" w:rsidRPr="00743A41" w:rsidRDefault="00435E13" w:rsidP="00A37ED6">
      <w:pPr>
        <w:rPr>
          <w:rFonts w:asciiTheme="majorHAnsi" w:hAnsiTheme="majorHAnsi" w:cstheme="majorHAnsi"/>
          <w:sz w:val="20"/>
          <w:szCs w:val="20"/>
        </w:rPr>
      </w:pPr>
      <w:r w:rsidRPr="00743A41">
        <w:rPr>
          <w:rFonts w:asciiTheme="majorHAnsi" w:hAnsiTheme="majorHAnsi" w:cstheme="majorHAnsi"/>
          <w:sz w:val="20"/>
          <w:szCs w:val="20"/>
        </w:rPr>
        <w:t>HOOP</w:t>
      </w:r>
      <w:r w:rsidRPr="00743A41">
        <w:rPr>
          <w:rFonts w:asciiTheme="majorHAnsi" w:hAnsiTheme="majorHAnsi" w:cstheme="majorHAnsi"/>
          <w:sz w:val="20"/>
          <w:szCs w:val="20"/>
        </w:rPr>
        <w:tab/>
      </w:r>
      <w:r w:rsidRPr="00743A41">
        <w:rPr>
          <w:rFonts w:asciiTheme="majorHAnsi" w:hAnsiTheme="majorHAnsi" w:cstheme="majorHAnsi"/>
          <w:sz w:val="20"/>
          <w:szCs w:val="20"/>
        </w:rPr>
        <w:tab/>
        <w:t>Handbook of Operating Procedures</w:t>
      </w:r>
    </w:p>
    <w:p w:rsidR="00435E13" w:rsidRPr="00743A41" w:rsidRDefault="00435E13" w:rsidP="00A37ED6">
      <w:pPr>
        <w:rPr>
          <w:rFonts w:asciiTheme="majorHAnsi" w:hAnsiTheme="majorHAnsi" w:cstheme="majorHAnsi"/>
          <w:sz w:val="20"/>
          <w:szCs w:val="20"/>
        </w:rPr>
      </w:pPr>
      <w:r w:rsidRPr="00743A41">
        <w:rPr>
          <w:rFonts w:asciiTheme="majorHAnsi" w:hAnsiTheme="majorHAnsi" w:cstheme="majorHAnsi"/>
          <w:sz w:val="20"/>
          <w:szCs w:val="20"/>
        </w:rPr>
        <w:t>HPHE</w:t>
      </w:r>
      <w:r w:rsidRPr="00743A41">
        <w:rPr>
          <w:rFonts w:asciiTheme="majorHAnsi" w:hAnsiTheme="majorHAnsi" w:cstheme="majorHAnsi"/>
          <w:sz w:val="20"/>
          <w:szCs w:val="20"/>
        </w:rPr>
        <w:tab/>
      </w:r>
      <w:r w:rsidRPr="00743A41">
        <w:rPr>
          <w:rFonts w:asciiTheme="majorHAnsi" w:hAnsiTheme="majorHAnsi" w:cstheme="majorHAnsi"/>
          <w:sz w:val="20"/>
          <w:szCs w:val="20"/>
        </w:rPr>
        <w:tab/>
        <w:t>Health Promotion Health Education</w:t>
      </w:r>
    </w:p>
    <w:p w:rsidR="00435E13" w:rsidRPr="00743A41" w:rsidRDefault="00435E13" w:rsidP="00A37ED6">
      <w:pPr>
        <w:rPr>
          <w:rFonts w:asciiTheme="majorHAnsi" w:hAnsiTheme="majorHAnsi" w:cstheme="majorHAnsi"/>
          <w:sz w:val="20"/>
          <w:szCs w:val="20"/>
        </w:rPr>
      </w:pPr>
      <w:r w:rsidRPr="00743A41">
        <w:rPr>
          <w:rFonts w:asciiTheme="majorHAnsi" w:hAnsiTheme="majorHAnsi" w:cstheme="majorHAnsi"/>
          <w:sz w:val="20"/>
          <w:szCs w:val="20"/>
        </w:rPr>
        <w:t>HRSA</w:t>
      </w:r>
      <w:r w:rsidRPr="00743A41">
        <w:rPr>
          <w:rFonts w:asciiTheme="majorHAnsi" w:hAnsiTheme="majorHAnsi" w:cstheme="majorHAnsi"/>
          <w:sz w:val="20"/>
          <w:szCs w:val="20"/>
        </w:rPr>
        <w:tab/>
      </w:r>
      <w:r w:rsidRPr="00743A41">
        <w:rPr>
          <w:rFonts w:asciiTheme="majorHAnsi" w:hAnsiTheme="majorHAnsi" w:cstheme="majorHAnsi"/>
          <w:sz w:val="20"/>
          <w:szCs w:val="20"/>
        </w:rPr>
        <w:tab/>
        <w:t>Health Resources and Services Administration</w:t>
      </w:r>
    </w:p>
    <w:p w:rsidR="00435E13" w:rsidRPr="00743A41" w:rsidRDefault="00435E13" w:rsidP="00A37ED6">
      <w:pPr>
        <w:autoSpaceDE w:val="0"/>
        <w:autoSpaceDN w:val="0"/>
        <w:adjustRightInd w:val="0"/>
        <w:rPr>
          <w:rStyle w:val="Strong"/>
          <w:rFonts w:asciiTheme="majorHAnsi" w:hAnsiTheme="majorHAnsi" w:cstheme="majorHAnsi"/>
          <w:b w:val="0"/>
          <w:sz w:val="20"/>
          <w:szCs w:val="20"/>
        </w:rPr>
      </w:pPr>
      <w:r w:rsidRPr="00743A41">
        <w:rPr>
          <w:rFonts w:asciiTheme="majorHAnsi" w:hAnsiTheme="majorHAnsi" w:cstheme="majorHAnsi"/>
          <w:sz w:val="20"/>
          <w:szCs w:val="20"/>
        </w:rPr>
        <w:t xml:space="preserve">IACUC </w:t>
      </w:r>
      <w:r w:rsidRPr="00743A41">
        <w:rPr>
          <w:rFonts w:asciiTheme="majorHAnsi" w:hAnsiTheme="majorHAnsi" w:cstheme="majorHAnsi"/>
          <w:sz w:val="20"/>
          <w:szCs w:val="20"/>
        </w:rPr>
        <w:tab/>
      </w:r>
      <w:r w:rsidRPr="00743A41">
        <w:rPr>
          <w:rFonts w:asciiTheme="majorHAnsi" w:hAnsiTheme="majorHAnsi" w:cstheme="majorHAnsi"/>
          <w:sz w:val="20"/>
          <w:szCs w:val="20"/>
        </w:rPr>
        <w:tab/>
        <w:t xml:space="preserve">Institutional </w:t>
      </w:r>
      <w:r w:rsidRPr="00743A41">
        <w:rPr>
          <w:rStyle w:val="Strong"/>
          <w:rFonts w:asciiTheme="majorHAnsi" w:hAnsiTheme="majorHAnsi" w:cstheme="majorHAnsi"/>
          <w:b w:val="0"/>
          <w:sz w:val="20"/>
          <w:szCs w:val="20"/>
        </w:rPr>
        <w:t>Animal Care and Use Committee</w:t>
      </w:r>
    </w:p>
    <w:p w:rsidR="00435E13" w:rsidRPr="00743A41" w:rsidRDefault="00435E13" w:rsidP="00A37ED6">
      <w:pPr>
        <w:autoSpaceDE w:val="0"/>
        <w:autoSpaceDN w:val="0"/>
        <w:adjustRightInd w:val="0"/>
        <w:rPr>
          <w:rStyle w:val="Strong"/>
          <w:rFonts w:asciiTheme="majorHAnsi" w:hAnsiTheme="majorHAnsi" w:cstheme="majorHAnsi"/>
          <w:b w:val="0"/>
          <w:sz w:val="20"/>
          <w:szCs w:val="20"/>
        </w:rPr>
      </w:pPr>
      <w:r w:rsidRPr="00743A41">
        <w:rPr>
          <w:rFonts w:asciiTheme="majorHAnsi" w:eastAsia="Times New Roman" w:hAnsiTheme="majorHAnsi" w:cstheme="majorHAnsi"/>
          <w:sz w:val="20"/>
          <w:szCs w:val="20"/>
        </w:rPr>
        <w:t>IELTS</w:t>
      </w:r>
      <w:r w:rsidRPr="00743A41">
        <w:rPr>
          <w:rStyle w:val="Strong"/>
          <w:rFonts w:asciiTheme="majorHAnsi" w:hAnsiTheme="majorHAnsi" w:cstheme="majorHAnsi"/>
          <w:b w:val="0"/>
          <w:sz w:val="20"/>
          <w:szCs w:val="20"/>
        </w:rPr>
        <w:tab/>
      </w:r>
      <w:r w:rsidRPr="00743A41">
        <w:rPr>
          <w:rStyle w:val="Strong"/>
          <w:rFonts w:asciiTheme="majorHAnsi" w:hAnsiTheme="majorHAnsi" w:cstheme="majorHAnsi"/>
          <w:b w:val="0"/>
          <w:sz w:val="20"/>
          <w:szCs w:val="20"/>
        </w:rPr>
        <w:tab/>
      </w:r>
      <w:r w:rsidRPr="00743A41">
        <w:rPr>
          <w:rFonts w:asciiTheme="majorHAnsi" w:eastAsia="Times New Roman" w:hAnsiTheme="majorHAnsi" w:cstheme="majorHAnsi"/>
          <w:sz w:val="20"/>
          <w:szCs w:val="20"/>
        </w:rPr>
        <w:t xml:space="preserve">English Language Testing System </w:t>
      </w:r>
    </w:p>
    <w:p w:rsidR="00435E13" w:rsidRPr="00743A41" w:rsidRDefault="00435E13" w:rsidP="00A37ED6">
      <w:pPr>
        <w:autoSpaceDE w:val="0"/>
        <w:autoSpaceDN w:val="0"/>
        <w:adjustRightInd w:val="0"/>
        <w:rPr>
          <w:rFonts w:asciiTheme="majorHAnsi" w:hAnsiTheme="majorHAnsi" w:cstheme="majorHAnsi"/>
          <w:bCs/>
          <w:sz w:val="20"/>
          <w:szCs w:val="20"/>
        </w:rPr>
      </w:pPr>
      <w:r w:rsidRPr="00743A41">
        <w:rPr>
          <w:rStyle w:val="Strong"/>
          <w:rFonts w:asciiTheme="majorHAnsi" w:hAnsiTheme="majorHAnsi" w:cstheme="majorHAnsi"/>
          <w:b w:val="0"/>
          <w:sz w:val="20"/>
          <w:szCs w:val="20"/>
        </w:rPr>
        <w:t>IFC</w:t>
      </w:r>
      <w:r w:rsidRPr="00743A41">
        <w:rPr>
          <w:rStyle w:val="Strong"/>
          <w:rFonts w:asciiTheme="majorHAnsi" w:hAnsiTheme="majorHAnsi" w:cstheme="majorHAnsi"/>
          <w:b w:val="0"/>
          <w:sz w:val="20"/>
          <w:szCs w:val="20"/>
        </w:rPr>
        <w:tab/>
      </w:r>
      <w:r w:rsidRPr="00743A41">
        <w:rPr>
          <w:rStyle w:val="Strong"/>
          <w:rFonts w:asciiTheme="majorHAnsi" w:hAnsiTheme="majorHAnsi" w:cstheme="majorHAnsi"/>
          <w:b w:val="0"/>
          <w:sz w:val="20"/>
          <w:szCs w:val="20"/>
        </w:rPr>
        <w:tab/>
        <w:t>Inter-faculty Council</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ICS</w:t>
      </w:r>
      <w:r w:rsidRPr="00743A41">
        <w:rPr>
          <w:rFonts w:asciiTheme="majorHAnsi" w:hAnsiTheme="majorHAnsi" w:cstheme="majorHAnsi"/>
          <w:sz w:val="20"/>
          <w:szCs w:val="20"/>
        </w:rPr>
        <w:tab/>
      </w:r>
      <w:r w:rsidRPr="00743A41">
        <w:rPr>
          <w:rFonts w:asciiTheme="majorHAnsi" w:hAnsiTheme="majorHAnsi" w:cstheme="majorHAnsi"/>
          <w:sz w:val="20"/>
          <w:szCs w:val="20"/>
        </w:rPr>
        <w:tab/>
        <w:t>Incident Command System</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IDEA</w:t>
      </w:r>
      <w:r w:rsidRPr="00743A41">
        <w:rPr>
          <w:rFonts w:asciiTheme="majorHAnsi" w:hAnsiTheme="majorHAnsi" w:cstheme="majorHAnsi"/>
          <w:sz w:val="20"/>
          <w:szCs w:val="20"/>
        </w:rPr>
        <w:tab/>
      </w:r>
      <w:r w:rsidRPr="00743A41">
        <w:rPr>
          <w:rFonts w:asciiTheme="majorHAnsi" w:hAnsiTheme="majorHAnsi" w:cstheme="majorHAnsi"/>
          <w:sz w:val="20"/>
          <w:szCs w:val="20"/>
        </w:rPr>
        <w:tab/>
        <w:t>Inclusion, Diversity, Equity, and Advocacy Committee</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IH</w:t>
      </w:r>
      <w:r w:rsidRPr="00743A41">
        <w:rPr>
          <w:rFonts w:asciiTheme="majorHAnsi" w:hAnsiTheme="majorHAnsi" w:cstheme="majorHAnsi"/>
          <w:sz w:val="20"/>
          <w:szCs w:val="20"/>
        </w:rPr>
        <w:tab/>
      </w:r>
      <w:r w:rsidRPr="00743A41">
        <w:rPr>
          <w:rFonts w:asciiTheme="majorHAnsi" w:hAnsiTheme="majorHAnsi" w:cstheme="majorHAnsi"/>
          <w:sz w:val="20"/>
          <w:szCs w:val="20"/>
        </w:rPr>
        <w:tab/>
        <w:t xml:space="preserve">Industrial Hygiene </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 xml:space="preserve">ILE </w:t>
      </w:r>
      <w:r w:rsidRPr="00743A41">
        <w:rPr>
          <w:rFonts w:asciiTheme="majorHAnsi" w:hAnsiTheme="majorHAnsi" w:cstheme="majorHAnsi"/>
          <w:sz w:val="20"/>
          <w:szCs w:val="20"/>
        </w:rPr>
        <w:tab/>
      </w:r>
      <w:r w:rsidRPr="00743A41">
        <w:rPr>
          <w:rFonts w:asciiTheme="majorHAnsi" w:hAnsiTheme="majorHAnsi" w:cstheme="majorHAnsi"/>
          <w:sz w:val="20"/>
          <w:szCs w:val="20"/>
        </w:rPr>
        <w:tab/>
        <w:t>Integrative Learning Experience</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 xml:space="preserve">IRB </w:t>
      </w:r>
      <w:r w:rsidRPr="00743A41">
        <w:rPr>
          <w:rFonts w:asciiTheme="majorHAnsi" w:hAnsiTheme="majorHAnsi" w:cstheme="majorHAnsi"/>
          <w:sz w:val="20"/>
          <w:szCs w:val="20"/>
        </w:rPr>
        <w:tab/>
      </w:r>
      <w:r w:rsidRPr="00743A41">
        <w:rPr>
          <w:rFonts w:asciiTheme="majorHAnsi" w:hAnsiTheme="majorHAnsi" w:cstheme="majorHAnsi"/>
          <w:sz w:val="20"/>
          <w:szCs w:val="20"/>
        </w:rPr>
        <w:tab/>
        <w:t>Institutional Review Board</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ISPOR</w:t>
      </w:r>
      <w:r w:rsidRPr="00743A41">
        <w:rPr>
          <w:rFonts w:asciiTheme="majorHAnsi" w:hAnsiTheme="majorHAnsi" w:cstheme="majorHAnsi"/>
          <w:sz w:val="20"/>
          <w:szCs w:val="20"/>
        </w:rPr>
        <w:tab/>
      </w:r>
      <w:r w:rsidRPr="00743A41">
        <w:rPr>
          <w:rFonts w:asciiTheme="majorHAnsi" w:hAnsiTheme="majorHAnsi" w:cstheme="majorHAnsi"/>
          <w:sz w:val="20"/>
          <w:szCs w:val="20"/>
        </w:rPr>
        <w:tab/>
        <w:t>International Society of Pharmaeconomics and Outcomes Research Student</w:t>
      </w:r>
    </w:p>
    <w:p w:rsidR="00435E13" w:rsidRPr="00743A41" w:rsidRDefault="00435E13" w:rsidP="00A37ED6">
      <w:pPr>
        <w:autoSpaceDE w:val="0"/>
        <w:autoSpaceDN w:val="0"/>
        <w:adjustRightInd w:val="0"/>
        <w:ind w:left="720" w:hanging="720"/>
        <w:rPr>
          <w:rFonts w:asciiTheme="majorHAnsi" w:hAnsiTheme="majorHAnsi" w:cstheme="majorHAnsi"/>
          <w:sz w:val="20"/>
          <w:szCs w:val="20"/>
        </w:rPr>
      </w:pPr>
      <w:r w:rsidRPr="00743A41">
        <w:rPr>
          <w:rFonts w:asciiTheme="majorHAnsi" w:hAnsiTheme="majorHAnsi" w:cstheme="majorHAnsi"/>
          <w:sz w:val="20"/>
          <w:szCs w:val="20"/>
        </w:rPr>
        <w:t>IT</w:t>
      </w:r>
      <w:r w:rsidRPr="00743A41">
        <w:rPr>
          <w:rFonts w:asciiTheme="majorHAnsi" w:hAnsiTheme="majorHAnsi" w:cstheme="majorHAnsi"/>
          <w:sz w:val="20"/>
          <w:szCs w:val="20"/>
        </w:rPr>
        <w:tab/>
      </w:r>
      <w:r w:rsidRPr="00743A41">
        <w:rPr>
          <w:rFonts w:asciiTheme="majorHAnsi" w:hAnsiTheme="majorHAnsi" w:cstheme="majorHAnsi"/>
          <w:sz w:val="20"/>
          <w:szCs w:val="20"/>
        </w:rPr>
        <w:tab/>
        <w:t>Instructional technology</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ITC</w:t>
      </w:r>
      <w:r w:rsidRPr="00743A41">
        <w:rPr>
          <w:rFonts w:asciiTheme="majorHAnsi" w:hAnsiTheme="majorHAnsi" w:cstheme="majorHAnsi"/>
          <w:sz w:val="20"/>
          <w:szCs w:val="20"/>
        </w:rPr>
        <w:tab/>
      </w:r>
      <w:r w:rsidRPr="00743A41">
        <w:rPr>
          <w:rFonts w:asciiTheme="majorHAnsi" w:hAnsiTheme="majorHAnsi" w:cstheme="majorHAnsi"/>
          <w:sz w:val="20"/>
          <w:szCs w:val="20"/>
        </w:rPr>
        <w:tab/>
        <w:t>International Terminals Company</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ITL</w:t>
      </w:r>
      <w:r w:rsidRPr="00743A41">
        <w:rPr>
          <w:rFonts w:asciiTheme="majorHAnsi" w:hAnsiTheme="majorHAnsi" w:cstheme="majorHAnsi"/>
          <w:sz w:val="20"/>
          <w:szCs w:val="20"/>
        </w:rPr>
        <w:tab/>
      </w:r>
      <w:r w:rsidRPr="00743A41">
        <w:rPr>
          <w:rFonts w:asciiTheme="majorHAnsi" w:hAnsiTheme="majorHAnsi" w:cstheme="majorHAnsi"/>
          <w:sz w:val="20"/>
          <w:szCs w:val="20"/>
        </w:rPr>
        <w:tab/>
        <w:t>Institute for Transformational Learning, University of Texas System</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JAM</w:t>
      </w:r>
      <w:r w:rsidRPr="00743A41">
        <w:rPr>
          <w:rFonts w:asciiTheme="majorHAnsi" w:hAnsiTheme="majorHAnsi" w:cstheme="majorHAnsi"/>
          <w:sz w:val="20"/>
          <w:szCs w:val="20"/>
        </w:rPr>
        <w:tab/>
      </w:r>
      <w:r w:rsidRPr="00743A41">
        <w:rPr>
          <w:rFonts w:asciiTheme="majorHAnsi" w:hAnsiTheme="majorHAnsi" w:cstheme="majorHAnsi"/>
          <w:sz w:val="20"/>
          <w:szCs w:val="20"/>
        </w:rPr>
        <w:tab/>
        <w:t>Joint Alumni Mixer</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 xml:space="preserve">JD/MPH </w:t>
      </w:r>
      <w:r w:rsidRPr="00743A41">
        <w:rPr>
          <w:rFonts w:asciiTheme="majorHAnsi" w:hAnsiTheme="majorHAnsi" w:cstheme="majorHAnsi"/>
          <w:sz w:val="20"/>
          <w:szCs w:val="20"/>
        </w:rPr>
        <w:tab/>
      </w:r>
      <w:r w:rsidRPr="00743A41">
        <w:rPr>
          <w:rFonts w:asciiTheme="majorHAnsi" w:hAnsiTheme="majorHAnsi" w:cstheme="majorHAnsi"/>
          <w:sz w:val="20"/>
          <w:szCs w:val="20"/>
        </w:rPr>
        <w:tab/>
        <w:t>Juris Doctor and Master of Public Health</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LCME</w:t>
      </w:r>
      <w:r w:rsidRPr="00743A41">
        <w:rPr>
          <w:rFonts w:asciiTheme="majorHAnsi" w:hAnsiTheme="majorHAnsi" w:cstheme="majorHAnsi"/>
          <w:sz w:val="20"/>
          <w:szCs w:val="20"/>
        </w:rPr>
        <w:tab/>
      </w:r>
      <w:r w:rsidRPr="00743A41">
        <w:rPr>
          <w:rFonts w:asciiTheme="majorHAnsi" w:hAnsiTheme="majorHAnsi" w:cstheme="majorHAnsi"/>
          <w:sz w:val="20"/>
          <w:szCs w:val="20"/>
        </w:rPr>
        <w:tab/>
        <w:t>Liaison Committee on Medical Education</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LGBTQ</w:t>
      </w:r>
      <w:r w:rsidRPr="00743A41">
        <w:rPr>
          <w:rFonts w:asciiTheme="majorHAnsi" w:hAnsiTheme="majorHAnsi" w:cstheme="majorHAnsi"/>
          <w:sz w:val="20"/>
          <w:szCs w:val="20"/>
        </w:rPr>
        <w:tab/>
      </w:r>
      <w:r w:rsidRPr="00743A41">
        <w:rPr>
          <w:rFonts w:asciiTheme="majorHAnsi" w:hAnsiTheme="majorHAnsi" w:cstheme="majorHAnsi"/>
          <w:sz w:val="20"/>
          <w:szCs w:val="20"/>
        </w:rPr>
        <w:tab/>
        <w:t>Lesbian, Gay, Bisexual, Transgender, Queer</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 xml:space="preserve">LMS </w:t>
      </w:r>
      <w:r w:rsidRPr="00743A41">
        <w:rPr>
          <w:rFonts w:asciiTheme="majorHAnsi" w:hAnsiTheme="majorHAnsi" w:cstheme="majorHAnsi"/>
          <w:sz w:val="20"/>
          <w:szCs w:val="20"/>
        </w:rPr>
        <w:tab/>
      </w:r>
      <w:r w:rsidRPr="00743A41">
        <w:rPr>
          <w:rFonts w:asciiTheme="majorHAnsi" w:hAnsiTheme="majorHAnsi" w:cstheme="majorHAnsi"/>
          <w:sz w:val="20"/>
          <w:szCs w:val="20"/>
        </w:rPr>
        <w:tab/>
        <w:t>Learning Management System</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 xml:space="preserve">MBA/MPH </w:t>
      </w:r>
      <w:r w:rsidRPr="00743A41">
        <w:rPr>
          <w:rFonts w:asciiTheme="majorHAnsi" w:hAnsiTheme="majorHAnsi" w:cstheme="majorHAnsi"/>
          <w:sz w:val="20"/>
          <w:szCs w:val="20"/>
        </w:rPr>
        <w:tab/>
        <w:t>Master of Business Administration and Master of Public Health</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MCHES</w:t>
      </w:r>
      <w:r w:rsidRPr="00743A41">
        <w:rPr>
          <w:rFonts w:asciiTheme="majorHAnsi" w:hAnsiTheme="majorHAnsi" w:cstheme="majorHAnsi"/>
          <w:sz w:val="20"/>
          <w:szCs w:val="20"/>
        </w:rPr>
        <w:tab/>
      </w:r>
      <w:r w:rsidRPr="00743A41">
        <w:rPr>
          <w:rFonts w:asciiTheme="majorHAnsi" w:hAnsiTheme="majorHAnsi" w:cstheme="majorHAnsi"/>
          <w:sz w:val="20"/>
          <w:szCs w:val="20"/>
        </w:rPr>
        <w:tab/>
        <w:t>Master Certified Health Education Specialist</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MCH</w:t>
      </w:r>
      <w:r w:rsidRPr="00743A41">
        <w:rPr>
          <w:rFonts w:asciiTheme="majorHAnsi" w:hAnsiTheme="majorHAnsi" w:cstheme="majorHAnsi"/>
          <w:sz w:val="20"/>
          <w:szCs w:val="20"/>
        </w:rPr>
        <w:tab/>
      </w:r>
      <w:r w:rsidRPr="00743A41">
        <w:rPr>
          <w:rFonts w:asciiTheme="majorHAnsi" w:hAnsiTheme="majorHAnsi" w:cstheme="majorHAnsi"/>
          <w:sz w:val="20"/>
          <w:szCs w:val="20"/>
        </w:rPr>
        <w:tab/>
        <w:t>Maternal and Child Health</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MeN</w:t>
      </w:r>
      <w:r w:rsidRPr="00743A41">
        <w:rPr>
          <w:rFonts w:asciiTheme="majorHAnsi" w:hAnsiTheme="majorHAnsi" w:cstheme="majorHAnsi"/>
          <w:sz w:val="20"/>
          <w:szCs w:val="20"/>
        </w:rPr>
        <w:tab/>
      </w:r>
      <w:r w:rsidRPr="00743A41">
        <w:rPr>
          <w:rFonts w:asciiTheme="majorHAnsi" w:hAnsiTheme="majorHAnsi" w:cstheme="majorHAnsi"/>
          <w:sz w:val="20"/>
          <w:szCs w:val="20"/>
        </w:rPr>
        <w:tab/>
        <w:t xml:space="preserve">Mesoamerican Nephropathy </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MD</w:t>
      </w:r>
      <w:r w:rsidRPr="00743A41">
        <w:rPr>
          <w:rFonts w:asciiTheme="majorHAnsi" w:hAnsiTheme="majorHAnsi" w:cstheme="majorHAnsi"/>
          <w:sz w:val="20"/>
          <w:szCs w:val="20"/>
        </w:rPr>
        <w:tab/>
      </w:r>
      <w:r w:rsidRPr="00743A41">
        <w:rPr>
          <w:rFonts w:asciiTheme="majorHAnsi" w:hAnsiTheme="majorHAnsi" w:cstheme="majorHAnsi"/>
          <w:sz w:val="20"/>
          <w:szCs w:val="20"/>
        </w:rPr>
        <w:tab/>
        <w:t>Doctor of Medicine</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 xml:space="preserve">MD/MPH </w:t>
      </w:r>
      <w:r w:rsidRPr="00743A41">
        <w:rPr>
          <w:rFonts w:asciiTheme="majorHAnsi" w:hAnsiTheme="majorHAnsi" w:cstheme="majorHAnsi"/>
          <w:sz w:val="20"/>
          <w:szCs w:val="20"/>
        </w:rPr>
        <w:tab/>
        <w:t>Doctor of Medicine and Master of Public Health</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MGPS</w:t>
      </w:r>
      <w:r w:rsidRPr="00743A41">
        <w:rPr>
          <w:rFonts w:asciiTheme="majorHAnsi" w:hAnsiTheme="majorHAnsi" w:cstheme="majorHAnsi"/>
          <w:sz w:val="20"/>
          <w:szCs w:val="20"/>
        </w:rPr>
        <w:tab/>
      </w:r>
      <w:r w:rsidRPr="00743A41">
        <w:rPr>
          <w:rFonts w:asciiTheme="majorHAnsi" w:hAnsiTheme="majorHAnsi" w:cstheme="majorHAnsi"/>
          <w:sz w:val="20"/>
          <w:szCs w:val="20"/>
        </w:rPr>
        <w:tab/>
        <w:t>Master of Global Policy Studies</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MNT</w:t>
      </w:r>
      <w:r w:rsidRPr="00743A41">
        <w:rPr>
          <w:rFonts w:asciiTheme="majorHAnsi" w:hAnsiTheme="majorHAnsi" w:cstheme="majorHAnsi"/>
          <w:sz w:val="20"/>
          <w:szCs w:val="20"/>
        </w:rPr>
        <w:tab/>
      </w:r>
      <w:r w:rsidRPr="00743A41">
        <w:rPr>
          <w:rFonts w:asciiTheme="majorHAnsi" w:hAnsiTheme="majorHAnsi" w:cstheme="majorHAnsi"/>
          <w:sz w:val="20"/>
          <w:szCs w:val="20"/>
        </w:rPr>
        <w:tab/>
        <w:t>Medical Nutrition Therapy</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MPAff</w:t>
      </w:r>
      <w:r w:rsidRPr="00743A41">
        <w:rPr>
          <w:rFonts w:asciiTheme="majorHAnsi" w:hAnsiTheme="majorHAnsi" w:cstheme="majorHAnsi"/>
          <w:sz w:val="20"/>
          <w:szCs w:val="20"/>
        </w:rPr>
        <w:tab/>
      </w:r>
      <w:r w:rsidRPr="00743A41">
        <w:rPr>
          <w:rFonts w:asciiTheme="majorHAnsi" w:hAnsiTheme="majorHAnsi" w:cstheme="majorHAnsi"/>
          <w:sz w:val="20"/>
          <w:szCs w:val="20"/>
        </w:rPr>
        <w:tab/>
        <w:t>Master of Public Affairs</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MPACH</w:t>
      </w:r>
      <w:r w:rsidRPr="00743A41">
        <w:rPr>
          <w:rFonts w:asciiTheme="majorHAnsi" w:hAnsiTheme="majorHAnsi" w:cstheme="majorHAnsi"/>
          <w:sz w:val="20"/>
          <w:szCs w:val="20"/>
        </w:rPr>
        <w:tab/>
      </w:r>
      <w:r w:rsidRPr="00743A41">
        <w:rPr>
          <w:rFonts w:asciiTheme="majorHAnsi" w:hAnsiTheme="majorHAnsi" w:cstheme="majorHAnsi"/>
          <w:sz w:val="20"/>
          <w:szCs w:val="20"/>
        </w:rPr>
        <w:tab/>
        <w:t>Department of Management, Policy and Community Health</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 xml:space="preserve">MPH </w:t>
      </w:r>
      <w:r w:rsidRPr="00743A41">
        <w:rPr>
          <w:rFonts w:asciiTheme="majorHAnsi" w:hAnsiTheme="majorHAnsi" w:cstheme="majorHAnsi"/>
          <w:sz w:val="20"/>
          <w:szCs w:val="20"/>
        </w:rPr>
        <w:tab/>
      </w:r>
      <w:r w:rsidRPr="00743A41">
        <w:rPr>
          <w:rFonts w:asciiTheme="majorHAnsi" w:hAnsiTheme="majorHAnsi" w:cstheme="majorHAnsi"/>
          <w:sz w:val="20"/>
          <w:szCs w:val="20"/>
        </w:rPr>
        <w:tab/>
        <w:t>Master of Public Health</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 xml:space="preserve">MS </w:t>
      </w:r>
      <w:r w:rsidRPr="00743A41">
        <w:rPr>
          <w:rFonts w:asciiTheme="majorHAnsi" w:hAnsiTheme="majorHAnsi" w:cstheme="majorHAnsi"/>
          <w:sz w:val="20"/>
          <w:szCs w:val="20"/>
        </w:rPr>
        <w:tab/>
      </w:r>
      <w:r w:rsidRPr="00743A41">
        <w:rPr>
          <w:rFonts w:asciiTheme="majorHAnsi" w:hAnsiTheme="majorHAnsi" w:cstheme="majorHAnsi"/>
          <w:sz w:val="20"/>
          <w:szCs w:val="20"/>
        </w:rPr>
        <w:tab/>
        <w:t>Master of Science</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MSN</w:t>
      </w:r>
      <w:r w:rsidRPr="00743A41">
        <w:rPr>
          <w:rFonts w:asciiTheme="majorHAnsi" w:hAnsiTheme="majorHAnsi" w:cstheme="majorHAnsi"/>
          <w:sz w:val="20"/>
          <w:szCs w:val="20"/>
        </w:rPr>
        <w:tab/>
      </w:r>
      <w:r w:rsidRPr="00743A41">
        <w:rPr>
          <w:rFonts w:asciiTheme="majorHAnsi" w:hAnsiTheme="majorHAnsi" w:cstheme="majorHAnsi"/>
          <w:sz w:val="20"/>
          <w:szCs w:val="20"/>
        </w:rPr>
        <w:tab/>
        <w:t>Master of Science in Nursing</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MSSW</w:t>
      </w:r>
      <w:r w:rsidRPr="00743A41">
        <w:rPr>
          <w:rFonts w:asciiTheme="majorHAnsi" w:hAnsiTheme="majorHAnsi" w:cstheme="majorHAnsi"/>
          <w:sz w:val="20"/>
          <w:szCs w:val="20"/>
        </w:rPr>
        <w:tab/>
      </w:r>
      <w:r w:rsidRPr="00743A41">
        <w:rPr>
          <w:rFonts w:asciiTheme="majorHAnsi" w:hAnsiTheme="majorHAnsi" w:cstheme="majorHAnsi"/>
          <w:sz w:val="20"/>
          <w:szCs w:val="20"/>
        </w:rPr>
        <w:tab/>
        <w:t>Master of Science in Social Work</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MSW</w:t>
      </w:r>
      <w:r w:rsidRPr="00743A41">
        <w:rPr>
          <w:rFonts w:asciiTheme="majorHAnsi" w:hAnsiTheme="majorHAnsi" w:cstheme="majorHAnsi"/>
          <w:sz w:val="20"/>
          <w:szCs w:val="20"/>
        </w:rPr>
        <w:tab/>
      </w:r>
      <w:r w:rsidRPr="00743A41">
        <w:rPr>
          <w:rFonts w:asciiTheme="majorHAnsi" w:hAnsiTheme="majorHAnsi" w:cstheme="majorHAnsi"/>
          <w:sz w:val="20"/>
          <w:szCs w:val="20"/>
        </w:rPr>
        <w:tab/>
        <w:t>Master of Social Work</w:t>
      </w:r>
    </w:p>
    <w:p w:rsidR="00435E13" w:rsidRPr="00743A41" w:rsidRDefault="00435E13" w:rsidP="00A37ED6">
      <w:pPr>
        <w:tabs>
          <w:tab w:val="left" w:pos="720"/>
        </w:tabs>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 xml:space="preserve">MSW/MPH </w:t>
      </w:r>
      <w:r w:rsidRPr="00743A41">
        <w:rPr>
          <w:rFonts w:asciiTheme="majorHAnsi" w:hAnsiTheme="majorHAnsi" w:cstheme="majorHAnsi"/>
          <w:sz w:val="20"/>
          <w:szCs w:val="20"/>
        </w:rPr>
        <w:tab/>
        <w:t>Master of Social Work and Master of Public Health</w:t>
      </w:r>
    </w:p>
    <w:p w:rsidR="00435E13" w:rsidRPr="00743A41" w:rsidRDefault="00435E13" w:rsidP="00A37ED6">
      <w:pPr>
        <w:tabs>
          <w:tab w:val="left" w:pos="720"/>
        </w:tabs>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NFPA</w:t>
      </w:r>
      <w:r w:rsidRPr="00743A41">
        <w:rPr>
          <w:rFonts w:asciiTheme="majorHAnsi" w:hAnsiTheme="majorHAnsi" w:cstheme="majorHAnsi"/>
          <w:sz w:val="20"/>
          <w:szCs w:val="20"/>
        </w:rPr>
        <w:tab/>
      </w:r>
      <w:r w:rsidRPr="00743A41">
        <w:rPr>
          <w:rFonts w:asciiTheme="majorHAnsi" w:hAnsiTheme="majorHAnsi" w:cstheme="majorHAnsi"/>
          <w:sz w:val="20"/>
          <w:szCs w:val="20"/>
        </w:rPr>
        <w:tab/>
        <w:t>Nutrition focused physical assessment</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NACCHO</w:t>
      </w:r>
      <w:r w:rsidRPr="00743A41">
        <w:rPr>
          <w:rFonts w:asciiTheme="majorHAnsi" w:hAnsiTheme="majorHAnsi" w:cstheme="majorHAnsi"/>
          <w:sz w:val="20"/>
          <w:szCs w:val="20"/>
        </w:rPr>
        <w:tab/>
      </w:r>
      <w:r w:rsidRPr="00743A41">
        <w:rPr>
          <w:rFonts w:asciiTheme="majorHAnsi" w:hAnsiTheme="majorHAnsi" w:cstheme="majorHAnsi"/>
          <w:sz w:val="20"/>
          <w:szCs w:val="20"/>
        </w:rPr>
        <w:tab/>
        <w:t>National Association of County and City Health Officials</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eastAsia="Times New Roman" w:hAnsiTheme="majorHAnsi" w:cstheme="majorHAnsi"/>
          <w:iCs/>
          <w:sz w:val="20"/>
          <w:szCs w:val="20"/>
        </w:rPr>
        <w:t>NPHW</w:t>
      </w:r>
      <w:r w:rsidRPr="00743A41">
        <w:rPr>
          <w:rFonts w:asciiTheme="majorHAnsi" w:hAnsiTheme="majorHAnsi" w:cstheme="majorHAnsi"/>
          <w:sz w:val="20"/>
          <w:szCs w:val="20"/>
        </w:rPr>
        <w:tab/>
      </w:r>
      <w:r w:rsidRPr="00743A41">
        <w:rPr>
          <w:rFonts w:asciiTheme="majorHAnsi" w:hAnsiTheme="majorHAnsi" w:cstheme="majorHAnsi"/>
          <w:sz w:val="20"/>
          <w:szCs w:val="20"/>
        </w:rPr>
        <w:tab/>
      </w:r>
      <w:r w:rsidRPr="00743A41">
        <w:rPr>
          <w:rFonts w:asciiTheme="majorHAnsi" w:eastAsia="Times New Roman" w:hAnsiTheme="majorHAnsi" w:cstheme="majorHAnsi"/>
          <w:iCs/>
          <w:sz w:val="20"/>
          <w:szCs w:val="20"/>
        </w:rPr>
        <w:t xml:space="preserve">National Public Health Week </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NIH</w:t>
      </w:r>
      <w:r w:rsidRPr="00743A41">
        <w:rPr>
          <w:rFonts w:asciiTheme="majorHAnsi" w:hAnsiTheme="majorHAnsi" w:cstheme="majorHAnsi"/>
          <w:sz w:val="20"/>
          <w:szCs w:val="20"/>
        </w:rPr>
        <w:tab/>
      </w:r>
      <w:r w:rsidRPr="00743A41">
        <w:rPr>
          <w:rFonts w:asciiTheme="majorHAnsi" w:hAnsiTheme="majorHAnsi" w:cstheme="majorHAnsi"/>
          <w:sz w:val="20"/>
          <w:szCs w:val="20"/>
        </w:rPr>
        <w:tab/>
        <w:t>National Institute of Health</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NIOSH</w:t>
      </w:r>
      <w:r w:rsidRPr="00743A41">
        <w:rPr>
          <w:rFonts w:asciiTheme="majorHAnsi" w:hAnsiTheme="majorHAnsi" w:cstheme="majorHAnsi"/>
          <w:sz w:val="20"/>
          <w:szCs w:val="20"/>
        </w:rPr>
        <w:tab/>
      </w:r>
      <w:r w:rsidRPr="00743A41">
        <w:rPr>
          <w:rFonts w:asciiTheme="majorHAnsi" w:hAnsiTheme="majorHAnsi" w:cstheme="majorHAnsi"/>
          <w:sz w:val="20"/>
          <w:szCs w:val="20"/>
        </w:rPr>
        <w:tab/>
        <w:t>National Institute for Occupational Safety and Health</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NGO</w:t>
      </w:r>
      <w:r w:rsidRPr="00743A41">
        <w:rPr>
          <w:rFonts w:asciiTheme="majorHAnsi" w:hAnsiTheme="majorHAnsi" w:cstheme="majorHAnsi"/>
          <w:sz w:val="20"/>
          <w:szCs w:val="20"/>
        </w:rPr>
        <w:tab/>
      </w:r>
      <w:r w:rsidRPr="00743A41">
        <w:rPr>
          <w:rFonts w:asciiTheme="majorHAnsi" w:hAnsiTheme="majorHAnsi" w:cstheme="majorHAnsi"/>
          <w:sz w:val="20"/>
          <w:szCs w:val="20"/>
        </w:rPr>
        <w:tab/>
        <w:t>Non-governmental Organizations</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NTT</w:t>
      </w:r>
      <w:r w:rsidRPr="00743A41">
        <w:rPr>
          <w:rFonts w:asciiTheme="majorHAnsi" w:hAnsiTheme="majorHAnsi" w:cstheme="majorHAnsi"/>
          <w:sz w:val="20"/>
          <w:szCs w:val="20"/>
        </w:rPr>
        <w:tab/>
      </w:r>
      <w:r w:rsidRPr="00743A41">
        <w:rPr>
          <w:rFonts w:asciiTheme="majorHAnsi" w:hAnsiTheme="majorHAnsi" w:cstheme="majorHAnsi"/>
          <w:sz w:val="20"/>
          <w:szCs w:val="20"/>
        </w:rPr>
        <w:tab/>
        <w:t>Non-tenure track</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lastRenderedPageBreak/>
        <w:t>OCB</w:t>
      </w:r>
      <w:r w:rsidRPr="00743A41">
        <w:rPr>
          <w:rFonts w:asciiTheme="majorHAnsi" w:hAnsiTheme="majorHAnsi" w:cstheme="majorHAnsi"/>
          <w:sz w:val="20"/>
          <w:szCs w:val="20"/>
        </w:rPr>
        <w:tab/>
      </w:r>
      <w:r w:rsidRPr="00743A41">
        <w:rPr>
          <w:rFonts w:asciiTheme="majorHAnsi" w:hAnsiTheme="majorHAnsi" w:cstheme="majorHAnsi"/>
          <w:sz w:val="20"/>
          <w:szCs w:val="20"/>
        </w:rPr>
        <w:tab/>
        <w:t>Operations Center Building</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OSHA</w:t>
      </w:r>
      <w:r w:rsidRPr="00743A41">
        <w:rPr>
          <w:rFonts w:asciiTheme="majorHAnsi" w:hAnsiTheme="majorHAnsi" w:cstheme="majorHAnsi"/>
          <w:sz w:val="20"/>
          <w:szCs w:val="20"/>
        </w:rPr>
        <w:tab/>
      </w:r>
      <w:r w:rsidRPr="00743A41">
        <w:rPr>
          <w:rFonts w:asciiTheme="majorHAnsi" w:hAnsiTheme="majorHAnsi" w:cstheme="majorHAnsi"/>
          <w:sz w:val="20"/>
          <w:szCs w:val="20"/>
        </w:rPr>
        <w:tab/>
        <w:t>Occupational Safety and Health Administration</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OM</w:t>
      </w:r>
      <w:r w:rsidRPr="00743A41">
        <w:rPr>
          <w:rFonts w:asciiTheme="majorHAnsi" w:hAnsiTheme="majorHAnsi" w:cstheme="majorHAnsi"/>
          <w:sz w:val="20"/>
          <w:szCs w:val="20"/>
        </w:rPr>
        <w:tab/>
      </w:r>
      <w:r w:rsidRPr="00743A41">
        <w:rPr>
          <w:rFonts w:asciiTheme="majorHAnsi" w:hAnsiTheme="majorHAnsi" w:cstheme="majorHAnsi"/>
          <w:sz w:val="20"/>
          <w:szCs w:val="20"/>
        </w:rPr>
        <w:tab/>
        <w:t>Occupational Medicine</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OOAASS</w:t>
      </w:r>
      <w:r w:rsidRPr="00743A41">
        <w:rPr>
          <w:rFonts w:asciiTheme="majorHAnsi" w:hAnsiTheme="majorHAnsi" w:cstheme="majorHAnsi"/>
          <w:sz w:val="20"/>
          <w:szCs w:val="20"/>
        </w:rPr>
        <w:tab/>
      </w:r>
      <w:r w:rsidRPr="00743A41">
        <w:rPr>
          <w:rFonts w:asciiTheme="majorHAnsi" w:hAnsiTheme="majorHAnsi" w:cstheme="majorHAnsi"/>
          <w:sz w:val="20"/>
          <w:szCs w:val="20"/>
        </w:rPr>
        <w:tab/>
        <w:t>Office of Academic Affairs and Student Services</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OTC</w:t>
      </w:r>
      <w:r w:rsidRPr="00743A41">
        <w:rPr>
          <w:rFonts w:asciiTheme="majorHAnsi" w:hAnsiTheme="majorHAnsi" w:cstheme="majorHAnsi"/>
          <w:sz w:val="20"/>
          <w:szCs w:val="20"/>
        </w:rPr>
        <w:tab/>
      </w:r>
      <w:r w:rsidRPr="00743A41">
        <w:rPr>
          <w:rFonts w:asciiTheme="majorHAnsi" w:hAnsiTheme="majorHAnsi" w:cstheme="majorHAnsi"/>
          <w:sz w:val="20"/>
          <w:szCs w:val="20"/>
        </w:rPr>
        <w:tab/>
        <w:t>One Technology Center</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outREACH</w:t>
      </w:r>
      <w:r w:rsidRPr="00743A41">
        <w:rPr>
          <w:rFonts w:asciiTheme="majorHAnsi" w:hAnsiTheme="majorHAnsi" w:cstheme="majorHAnsi"/>
          <w:sz w:val="20"/>
          <w:szCs w:val="20"/>
        </w:rPr>
        <w:tab/>
        <w:t>Research, Education, and Community Health</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P2R</w:t>
      </w:r>
      <w:r w:rsidRPr="00743A41">
        <w:rPr>
          <w:rFonts w:asciiTheme="majorHAnsi" w:hAnsiTheme="majorHAnsi" w:cstheme="majorHAnsi"/>
          <w:sz w:val="20"/>
          <w:szCs w:val="20"/>
        </w:rPr>
        <w:tab/>
      </w:r>
      <w:r w:rsidRPr="00743A41">
        <w:rPr>
          <w:rFonts w:asciiTheme="majorHAnsi" w:hAnsiTheme="majorHAnsi" w:cstheme="majorHAnsi"/>
          <w:sz w:val="20"/>
          <w:szCs w:val="20"/>
        </w:rPr>
        <w:tab/>
        <w:t>Prevention, Preparedness and Response</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PGCRT</w:t>
      </w:r>
      <w:r w:rsidRPr="00743A41">
        <w:rPr>
          <w:rFonts w:asciiTheme="majorHAnsi" w:hAnsiTheme="majorHAnsi" w:cstheme="majorHAnsi"/>
          <w:sz w:val="20"/>
          <w:szCs w:val="20"/>
        </w:rPr>
        <w:tab/>
      </w:r>
      <w:r w:rsidRPr="00743A41">
        <w:rPr>
          <w:rFonts w:asciiTheme="majorHAnsi" w:hAnsiTheme="majorHAnsi" w:cstheme="majorHAnsi"/>
          <w:sz w:val="20"/>
          <w:szCs w:val="20"/>
        </w:rPr>
        <w:tab/>
        <w:t>Post-graduate Certificate</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PH</w:t>
      </w:r>
      <w:r w:rsidRPr="00743A41">
        <w:rPr>
          <w:rFonts w:asciiTheme="majorHAnsi" w:hAnsiTheme="majorHAnsi" w:cstheme="majorHAnsi"/>
          <w:sz w:val="20"/>
          <w:szCs w:val="20"/>
        </w:rPr>
        <w:tab/>
      </w:r>
      <w:r w:rsidRPr="00743A41">
        <w:rPr>
          <w:rFonts w:asciiTheme="majorHAnsi" w:hAnsiTheme="majorHAnsi" w:cstheme="majorHAnsi"/>
          <w:sz w:val="20"/>
          <w:szCs w:val="20"/>
        </w:rPr>
        <w:tab/>
        <w:t>Public Health</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PH WINS</w:t>
      </w:r>
      <w:r w:rsidRPr="00743A41">
        <w:rPr>
          <w:rFonts w:asciiTheme="majorHAnsi" w:hAnsiTheme="majorHAnsi" w:cstheme="majorHAnsi"/>
          <w:sz w:val="20"/>
          <w:szCs w:val="20"/>
        </w:rPr>
        <w:tab/>
      </w:r>
      <w:r w:rsidRPr="00743A41">
        <w:rPr>
          <w:rFonts w:asciiTheme="majorHAnsi" w:hAnsiTheme="majorHAnsi" w:cstheme="majorHAnsi"/>
          <w:sz w:val="20"/>
          <w:szCs w:val="20"/>
        </w:rPr>
        <w:tab/>
        <w:t>Public Health Workforce Interests and Needs Survey</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 xml:space="preserve">PhD </w:t>
      </w:r>
      <w:r w:rsidRPr="00743A41">
        <w:rPr>
          <w:rFonts w:asciiTheme="majorHAnsi" w:hAnsiTheme="majorHAnsi" w:cstheme="majorHAnsi"/>
          <w:sz w:val="20"/>
          <w:szCs w:val="20"/>
        </w:rPr>
        <w:tab/>
      </w:r>
      <w:r w:rsidRPr="00743A41">
        <w:rPr>
          <w:rFonts w:asciiTheme="majorHAnsi" w:hAnsiTheme="majorHAnsi" w:cstheme="majorHAnsi"/>
          <w:sz w:val="20"/>
          <w:szCs w:val="20"/>
        </w:rPr>
        <w:tab/>
        <w:t>Doctor of Philosophy</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 xml:space="preserve">PIF </w:t>
      </w:r>
      <w:r w:rsidRPr="00743A41">
        <w:rPr>
          <w:rFonts w:asciiTheme="majorHAnsi" w:hAnsiTheme="majorHAnsi" w:cstheme="majorHAnsi"/>
          <w:sz w:val="20"/>
          <w:szCs w:val="20"/>
        </w:rPr>
        <w:tab/>
      </w:r>
      <w:r w:rsidRPr="00743A41">
        <w:rPr>
          <w:rFonts w:asciiTheme="majorHAnsi" w:hAnsiTheme="majorHAnsi" w:cstheme="majorHAnsi"/>
          <w:sz w:val="20"/>
          <w:szCs w:val="20"/>
        </w:rPr>
        <w:tab/>
        <w:t>Primary Instructional Faculty</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QE</w:t>
      </w:r>
      <w:r w:rsidRPr="00743A41">
        <w:rPr>
          <w:rFonts w:asciiTheme="majorHAnsi" w:hAnsiTheme="majorHAnsi" w:cstheme="majorHAnsi"/>
          <w:sz w:val="20"/>
          <w:szCs w:val="20"/>
        </w:rPr>
        <w:tab/>
      </w:r>
      <w:r w:rsidRPr="00743A41">
        <w:rPr>
          <w:rFonts w:asciiTheme="majorHAnsi" w:hAnsiTheme="majorHAnsi" w:cstheme="majorHAnsi"/>
          <w:sz w:val="20"/>
          <w:szCs w:val="20"/>
        </w:rPr>
        <w:tab/>
        <w:t xml:space="preserve">Qualified Entity </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RAC</w:t>
      </w:r>
      <w:r w:rsidRPr="00743A41">
        <w:rPr>
          <w:rFonts w:asciiTheme="majorHAnsi" w:hAnsiTheme="majorHAnsi" w:cstheme="majorHAnsi"/>
          <w:sz w:val="20"/>
          <w:szCs w:val="20"/>
        </w:rPr>
        <w:tab/>
      </w:r>
      <w:r w:rsidRPr="00743A41">
        <w:rPr>
          <w:rFonts w:asciiTheme="majorHAnsi" w:hAnsiTheme="majorHAnsi" w:cstheme="majorHAnsi"/>
          <w:sz w:val="20"/>
          <w:szCs w:val="20"/>
        </w:rPr>
        <w:tab/>
        <w:t>Regional Academic Health Center</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RAS</w:t>
      </w:r>
      <w:r w:rsidRPr="00743A41">
        <w:rPr>
          <w:rFonts w:asciiTheme="majorHAnsi" w:hAnsiTheme="majorHAnsi" w:cstheme="majorHAnsi"/>
          <w:sz w:val="20"/>
          <w:szCs w:val="20"/>
        </w:rPr>
        <w:tab/>
      </w:r>
      <w:r w:rsidRPr="00743A41">
        <w:rPr>
          <w:rFonts w:asciiTheme="majorHAnsi" w:hAnsiTheme="majorHAnsi" w:cstheme="majorHAnsi"/>
          <w:sz w:val="20"/>
          <w:szCs w:val="20"/>
        </w:rPr>
        <w:tab/>
        <w:t>Reuel A. Stallones Building</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REHS</w:t>
      </w:r>
      <w:r w:rsidRPr="00743A41">
        <w:rPr>
          <w:rFonts w:asciiTheme="majorHAnsi" w:hAnsiTheme="majorHAnsi" w:cstheme="majorHAnsi"/>
          <w:sz w:val="20"/>
          <w:szCs w:val="20"/>
        </w:rPr>
        <w:tab/>
      </w:r>
      <w:r w:rsidRPr="00743A41">
        <w:rPr>
          <w:rFonts w:asciiTheme="majorHAnsi" w:hAnsiTheme="majorHAnsi" w:cstheme="majorHAnsi"/>
          <w:sz w:val="20"/>
          <w:szCs w:val="20"/>
        </w:rPr>
        <w:tab/>
        <w:t>Registered Environmental Health Specialist</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RHIA</w:t>
      </w:r>
      <w:r w:rsidRPr="00743A41">
        <w:rPr>
          <w:rFonts w:asciiTheme="majorHAnsi" w:hAnsiTheme="majorHAnsi" w:cstheme="majorHAnsi"/>
          <w:sz w:val="20"/>
          <w:szCs w:val="20"/>
        </w:rPr>
        <w:tab/>
      </w:r>
      <w:r w:rsidRPr="00743A41">
        <w:rPr>
          <w:rFonts w:asciiTheme="majorHAnsi" w:hAnsiTheme="majorHAnsi" w:cstheme="majorHAnsi"/>
          <w:sz w:val="20"/>
          <w:szCs w:val="20"/>
        </w:rPr>
        <w:tab/>
        <w:t>Registered Health Information Administrator</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SACSCOC</w:t>
      </w:r>
      <w:r w:rsidRPr="00743A41">
        <w:rPr>
          <w:rFonts w:asciiTheme="majorHAnsi" w:hAnsiTheme="majorHAnsi" w:cstheme="majorHAnsi"/>
          <w:sz w:val="20"/>
          <w:szCs w:val="20"/>
        </w:rPr>
        <w:tab/>
        <w:t>Southern Association of Colleges and Schools Commission on Colleges</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SCH</w:t>
      </w:r>
      <w:r w:rsidRPr="00743A41">
        <w:rPr>
          <w:rFonts w:asciiTheme="majorHAnsi" w:hAnsiTheme="majorHAnsi" w:cstheme="majorHAnsi"/>
          <w:sz w:val="20"/>
          <w:szCs w:val="20"/>
        </w:rPr>
        <w:tab/>
      </w:r>
      <w:r w:rsidRPr="00743A41">
        <w:rPr>
          <w:rFonts w:asciiTheme="majorHAnsi" w:hAnsiTheme="majorHAnsi" w:cstheme="majorHAnsi"/>
          <w:sz w:val="20"/>
          <w:szCs w:val="20"/>
        </w:rPr>
        <w:tab/>
        <w:t>School credit hours</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SEHWC</w:t>
      </w:r>
      <w:r w:rsidRPr="00743A41">
        <w:rPr>
          <w:rFonts w:asciiTheme="majorHAnsi" w:hAnsiTheme="majorHAnsi" w:cstheme="majorHAnsi"/>
          <w:sz w:val="20"/>
          <w:szCs w:val="20"/>
        </w:rPr>
        <w:tab/>
      </w:r>
      <w:r w:rsidRPr="00743A41">
        <w:rPr>
          <w:rFonts w:asciiTheme="majorHAnsi" w:hAnsiTheme="majorHAnsi" w:cstheme="majorHAnsi"/>
          <w:sz w:val="20"/>
          <w:szCs w:val="20"/>
        </w:rPr>
        <w:tab/>
        <w:t xml:space="preserve">Southeast Health and Wellness Center </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SHERM</w:t>
      </w:r>
      <w:r w:rsidRPr="00743A41">
        <w:rPr>
          <w:rFonts w:asciiTheme="majorHAnsi" w:hAnsiTheme="majorHAnsi" w:cstheme="majorHAnsi"/>
          <w:sz w:val="20"/>
          <w:szCs w:val="20"/>
        </w:rPr>
        <w:tab/>
      </w:r>
      <w:r w:rsidRPr="00743A41">
        <w:rPr>
          <w:rFonts w:asciiTheme="majorHAnsi" w:hAnsiTheme="majorHAnsi" w:cstheme="majorHAnsi"/>
          <w:sz w:val="20"/>
          <w:szCs w:val="20"/>
        </w:rPr>
        <w:tab/>
        <w:t>Safety, Health, Environment, and Risk Management</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SEIS</w:t>
      </w:r>
      <w:r w:rsidRPr="00743A41">
        <w:rPr>
          <w:rFonts w:asciiTheme="majorHAnsi" w:hAnsiTheme="majorHAnsi" w:cstheme="majorHAnsi"/>
          <w:sz w:val="20"/>
          <w:szCs w:val="20"/>
        </w:rPr>
        <w:tab/>
      </w:r>
      <w:r w:rsidRPr="00743A41">
        <w:rPr>
          <w:rFonts w:asciiTheme="majorHAnsi" w:hAnsiTheme="majorHAnsi" w:cstheme="majorHAnsi"/>
          <w:sz w:val="20"/>
          <w:szCs w:val="20"/>
        </w:rPr>
        <w:tab/>
        <w:t>Student Epidemic Intelligence Society</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 xml:space="preserve">SOPHAS </w:t>
      </w:r>
      <w:r w:rsidRPr="00743A41">
        <w:rPr>
          <w:rFonts w:asciiTheme="majorHAnsi" w:hAnsiTheme="majorHAnsi" w:cstheme="majorHAnsi"/>
          <w:sz w:val="20"/>
          <w:szCs w:val="20"/>
        </w:rPr>
        <w:tab/>
      </w:r>
      <w:r w:rsidRPr="00743A41">
        <w:rPr>
          <w:rFonts w:asciiTheme="majorHAnsi" w:hAnsiTheme="majorHAnsi" w:cstheme="majorHAnsi"/>
          <w:sz w:val="20"/>
          <w:szCs w:val="20"/>
        </w:rPr>
        <w:tab/>
        <w:t>Schools of Public Health Application Service</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SOS</w:t>
      </w:r>
      <w:r w:rsidRPr="00743A41">
        <w:rPr>
          <w:rFonts w:asciiTheme="majorHAnsi" w:hAnsiTheme="majorHAnsi" w:cstheme="majorHAnsi"/>
          <w:sz w:val="20"/>
          <w:szCs w:val="20"/>
        </w:rPr>
        <w:tab/>
      </w:r>
      <w:r w:rsidRPr="00743A41">
        <w:rPr>
          <w:rFonts w:asciiTheme="majorHAnsi" w:hAnsiTheme="majorHAnsi" w:cstheme="majorHAnsi"/>
          <w:sz w:val="20"/>
          <w:szCs w:val="20"/>
        </w:rPr>
        <w:tab/>
        <w:t>Secretary of State</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 xml:space="preserve">SPH </w:t>
      </w:r>
      <w:r w:rsidRPr="00743A41">
        <w:rPr>
          <w:rFonts w:asciiTheme="majorHAnsi" w:hAnsiTheme="majorHAnsi" w:cstheme="majorHAnsi"/>
          <w:sz w:val="20"/>
          <w:szCs w:val="20"/>
        </w:rPr>
        <w:tab/>
      </w:r>
      <w:r w:rsidRPr="00743A41">
        <w:rPr>
          <w:rFonts w:asciiTheme="majorHAnsi" w:hAnsiTheme="majorHAnsi" w:cstheme="majorHAnsi"/>
          <w:sz w:val="20"/>
          <w:szCs w:val="20"/>
        </w:rPr>
        <w:tab/>
        <w:t>School of Public Health</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SPH-IT</w:t>
      </w:r>
      <w:r w:rsidRPr="00743A41">
        <w:rPr>
          <w:rFonts w:asciiTheme="majorHAnsi" w:hAnsiTheme="majorHAnsi" w:cstheme="majorHAnsi"/>
          <w:sz w:val="20"/>
          <w:szCs w:val="20"/>
        </w:rPr>
        <w:tab/>
      </w:r>
      <w:r w:rsidRPr="00743A41">
        <w:rPr>
          <w:rFonts w:asciiTheme="majorHAnsi" w:hAnsiTheme="majorHAnsi" w:cstheme="majorHAnsi"/>
          <w:sz w:val="20"/>
          <w:szCs w:val="20"/>
        </w:rPr>
        <w:tab/>
        <w:t>School of Public Health Information Technology Services</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SPHEC</w:t>
      </w:r>
      <w:r w:rsidRPr="00743A41">
        <w:rPr>
          <w:rFonts w:asciiTheme="majorHAnsi" w:hAnsiTheme="majorHAnsi" w:cstheme="majorHAnsi"/>
          <w:sz w:val="20"/>
          <w:szCs w:val="20"/>
        </w:rPr>
        <w:tab/>
      </w:r>
      <w:r w:rsidRPr="00743A41">
        <w:rPr>
          <w:rFonts w:asciiTheme="majorHAnsi" w:hAnsiTheme="majorHAnsi" w:cstheme="majorHAnsi"/>
          <w:sz w:val="20"/>
          <w:szCs w:val="20"/>
        </w:rPr>
        <w:tab/>
        <w:t>School of Public Health Executive Council</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SPHSA</w:t>
      </w:r>
      <w:r w:rsidRPr="00743A41">
        <w:rPr>
          <w:rFonts w:asciiTheme="majorHAnsi" w:hAnsiTheme="majorHAnsi" w:cstheme="majorHAnsi"/>
          <w:sz w:val="20"/>
          <w:szCs w:val="20"/>
        </w:rPr>
        <w:tab/>
      </w:r>
      <w:r w:rsidRPr="00743A41">
        <w:rPr>
          <w:rFonts w:asciiTheme="majorHAnsi" w:hAnsiTheme="majorHAnsi" w:cstheme="majorHAnsi"/>
          <w:sz w:val="20"/>
          <w:szCs w:val="20"/>
        </w:rPr>
        <w:tab/>
        <w:t>School of Public Health Student Association</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SPSS</w:t>
      </w:r>
      <w:r w:rsidRPr="00743A41">
        <w:rPr>
          <w:rFonts w:asciiTheme="majorHAnsi" w:hAnsiTheme="majorHAnsi" w:cstheme="majorHAnsi"/>
          <w:sz w:val="20"/>
          <w:szCs w:val="20"/>
        </w:rPr>
        <w:tab/>
      </w:r>
      <w:r w:rsidRPr="00743A41">
        <w:rPr>
          <w:rFonts w:asciiTheme="majorHAnsi" w:hAnsiTheme="majorHAnsi" w:cstheme="majorHAnsi"/>
          <w:sz w:val="20"/>
          <w:szCs w:val="20"/>
        </w:rPr>
        <w:tab/>
      </w:r>
      <w:r w:rsidRPr="00743A41">
        <w:rPr>
          <w:rFonts w:asciiTheme="majorHAnsi" w:hAnsiTheme="majorHAnsi" w:cstheme="majorHAnsi"/>
          <w:bCs/>
          <w:sz w:val="20"/>
          <w:szCs w:val="20"/>
        </w:rPr>
        <w:t>Statistical Package for the Social Sciences</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SSGH</w:t>
      </w:r>
      <w:r w:rsidRPr="00743A41">
        <w:rPr>
          <w:rFonts w:asciiTheme="majorHAnsi" w:hAnsiTheme="majorHAnsi" w:cstheme="majorHAnsi"/>
          <w:sz w:val="20"/>
          <w:szCs w:val="20"/>
        </w:rPr>
        <w:tab/>
      </w:r>
      <w:r w:rsidRPr="00743A41">
        <w:rPr>
          <w:rFonts w:asciiTheme="majorHAnsi" w:hAnsiTheme="majorHAnsi" w:cstheme="majorHAnsi"/>
          <w:sz w:val="20"/>
          <w:szCs w:val="20"/>
        </w:rPr>
        <w:tab/>
        <w:t>Student Society for Global Health</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SSW</w:t>
      </w:r>
      <w:r w:rsidRPr="00743A41">
        <w:rPr>
          <w:rFonts w:asciiTheme="majorHAnsi" w:hAnsiTheme="majorHAnsi" w:cstheme="majorHAnsi"/>
          <w:sz w:val="20"/>
          <w:szCs w:val="20"/>
        </w:rPr>
        <w:tab/>
      </w:r>
      <w:r w:rsidRPr="00743A41">
        <w:rPr>
          <w:rFonts w:asciiTheme="majorHAnsi" w:hAnsiTheme="majorHAnsi" w:cstheme="majorHAnsi"/>
          <w:sz w:val="20"/>
          <w:szCs w:val="20"/>
        </w:rPr>
        <w:tab/>
        <w:t>School of Social Work</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SVO</w:t>
      </w:r>
      <w:r w:rsidRPr="00743A41">
        <w:rPr>
          <w:rFonts w:asciiTheme="majorHAnsi" w:hAnsiTheme="majorHAnsi" w:cstheme="majorHAnsi"/>
          <w:sz w:val="20"/>
          <w:szCs w:val="20"/>
        </w:rPr>
        <w:tab/>
      </w:r>
      <w:r w:rsidRPr="00743A41">
        <w:rPr>
          <w:rFonts w:asciiTheme="majorHAnsi" w:hAnsiTheme="majorHAnsi" w:cstheme="majorHAnsi"/>
          <w:sz w:val="20"/>
          <w:szCs w:val="20"/>
        </w:rPr>
        <w:tab/>
        <w:t>Student Veterans Organization</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SWAL</w:t>
      </w:r>
      <w:r w:rsidRPr="00743A41">
        <w:rPr>
          <w:rFonts w:asciiTheme="majorHAnsi" w:hAnsiTheme="majorHAnsi" w:cstheme="majorHAnsi"/>
          <w:sz w:val="20"/>
          <w:szCs w:val="20"/>
        </w:rPr>
        <w:tab/>
      </w:r>
      <w:r w:rsidRPr="00743A41">
        <w:rPr>
          <w:rFonts w:asciiTheme="majorHAnsi" w:hAnsiTheme="majorHAnsi" w:cstheme="majorHAnsi"/>
          <w:sz w:val="20"/>
          <w:szCs w:val="20"/>
        </w:rPr>
        <w:tab/>
        <w:t>Society for Women and Leadership</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SWCOEH</w:t>
      </w:r>
      <w:r w:rsidRPr="00743A41">
        <w:rPr>
          <w:rFonts w:asciiTheme="majorHAnsi" w:hAnsiTheme="majorHAnsi" w:cstheme="majorHAnsi"/>
          <w:sz w:val="20"/>
          <w:szCs w:val="20"/>
        </w:rPr>
        <w:tab/>
        <w:t>Southwest Center for Occupational and Environmental Health</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eastAsia="Arial" w:hAnsiTheme="majorHAnsi" w:cstheme="majorHAnsi"/>
          <w:sz w:val="20"/>
          <w:szCs w:val="20"/>
        </w:rPr>
        <w:t>SWCRC</w:t>
      </w:r>
      <w:r w:rsidRPr="00743A41">
        <w:rPr>
          <w:rFonts w:asciiTheme="majorHAnsi" w:eastAsia="Arial" w:hAnsiTheme="majorHAnsi" w:cstheme="majorHAnsi"/>
          <w:sz w:val="20"/>
          <w:szCs w:val="20"/>
        </w:rPr>
        <w:tab/>
      </w:r>
      <w:r w:rsidRPr="00743A41">
        <w:rPr>
          <w:rFonts w:asciiTheme="majorHAnsi" w:eastAsia="Arial" w:hAnsiTheme="majorHAnsi" w:cstheme="majorHAnsi"/>
          <w:sz w:val="20"/>
          <w:szCs w:val="20"/>
        </w:rPr>
        <w:tab/>
        <w:t>School-Wide Course Review Committee</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TA</w:t>
      </w:r>
      <w:r w:rsidRPr="00743A41">
        <w:rPr>
          <w:rFonts w:asciiTheme="majorHAnsi" w:hAnsiTheme="majorHAnsi" w:cstheme="majorHAnsi"/>
          <w:sz w:val="20"/>
          <w:szCs w:val="20"/>
        </w:rPr>
        <w:tab/>
      </w:r>
      <w:r w:rsidRPr="00743A41">
        <w:rPr>
          <w:rFonts w:asciiTheme="majorHAnsi" w:hAnsiTheme="majorHAnsi" w:cstheme="majorHAnsi"/>
          <w:sz w:val="20"/>
          <w:szCs w:val="20"/>
        </w:rPr>
        <w:tab/>
        <w:t>Teaching Assistant</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TOEFL</w:t>
      </w:r>
      <w:r w:rsidRPr="00743A41">
        <w:rPr>
          <w:rFonts w:asciiTheme="majorHAnsi" w:hAnsiTheme="majorHAnsi" w:cstheme="majorHAnsi"/>
          <w:sz w:val="20"/>
          <w:szCs w:val="20"/>
        </w:rPr>
        <w:tab/>
      </w:r>
      <w:r w:rsidRPr="00743A41">
        <w:rPr>
          <w:rFonts w:asciiTheme="majorHAnsi" w:hAnsiTheme="majorHAnsi" w:cstheme="majorHAnsi"/>
          <w:sz w:val="20"/>
          <w:szCs w:val="20"/>
        </w:rPr>
        <w:tab/>
        <w:t>Test of English as a Foreign Language</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TMC</w:t>
      </w:r>
      <w:r w:rsidRPr="00743A41">
        <w:rPr>
          <w:rFonts w:asciiTheme="majorHAnsi" w:hAnsiTheme="majorHAnsi" w:cstheme="majorHAnsi"/>
          <w:sz w:val="20"/>
          <w:szCs w:val="20"/>
        </w:rPr>
        <w:tab/>
      </w:r>
      <w:r w:rsidRPr="00743A41">
        <w:rPr>
          <w:rFonts w:asciiTheme="majorHAnsi" w:hAnsiTheme="majorHAnsi" w:cstheme="majorHAnsi"/>
          <w:sz w:val="20"/>
          <w:szCs w:val="20"/>
        </w:rPr>
        <w:tab/>
        <w:t>Texas Medical Center</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eastAsia="Arial" w:hAnsiTheme="majorHAnsi" w:cstheme="majorHAnsi"/>
          <w:sz w:val="20"/>
          <w:szCs w:val="20"/>
        </w:rPr>
        <w:t>THECB</w:t>
      </w:r>
      <w:r w:rsidRPr="00743A41">
        <w:rPr>
          <w:rFonts w:asciiTheme="majorHAnsi" w:hAnsiTheme="majorHAnsi" w:cstheme="majorHAnsi"/>
          <w:sz w:val="20"/>
          <w:szCs w:val="20"/>
        </w:rPr>
        <w:tab/>
      </w:r>
      <w:r w:rsidRPr="00743A41">
        <w:rPr>
          <w:rFonts w:asciiTheme="majorHAnsi" w:hAnsiTheme="majorHAnsi" w:cstheme="majorHAnsi"/>
          <w:sz w:val="20"/>
          <w:szCs w:val="20"/>
        </w:rPr>
        <w:tab/>
      </w:r>
      <w:r w:rsidRPr="00743A41">
        <w:rPr>
          <w:rFonts w:asciiTheme="majorHAnsi" w:eastAsia="Arial" w:hAnsiTheme="majorHAnsi" w:cstheme="majorHAnsi"/>
          <w:sz w:val="20"/>
          <w:szCs w:val="20"/>
        </w:rPr>
        <w:t>Texas Higher Education Coordinating Board  </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T&amp;P</w:t>
      </w:r>
      <w:r w:rsidRPr="00743A41">
        <w:rPr>
          <w:rFonts w:asciiTheme="majorHAnsi" w:hAnsiTheme="majorHAnsi" w:cstheme="majorHAnsi"/>
          <w:sz w:val="20"/>
          <w:szCs w:val="20"/>
        </w:rPr>
        <w:tab/>
      </w:r>
      <w:r w:rsidRPr="00743A41">
        <w:rPr>
          <w:rFonts w:asciiTheme="majorHAnsi" w:hAnsiTheme="majorHAnsi" w:cstheme="majorHAnsi"/>
          <w:sz w:val="20"/>
          <w:szCs w:val="20"/>
        </w:rPr>
        <w:tab/>
        <w:t>Tenure and Promotion</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UCT</w:t>
      </w:r>
      <w:r w:rsidRPr="00743A41">
        <w:rPr>
          <w:rFonts w:asciiTheme="majorHAnsi" w:hAnsiTheme="majorHAnsi" w:cstheme="majorHAnsi"/>
          <w:sz w:val="20"/>
          <w:szCs w:val="20"/>
        </w:rPr>
        <w:tab/>
      </w:r>
      <w:r w:rsidRPr="00743A41">
        <w:rPr>
          <w:rFonts w:asciiTheme="majorHAnsi" w:hAnsiTheme="majorHAnsi" w:cstheme="majorHAnsi"/>
          <w:sz w:val="20"/>
          <w:szCs w:val="20"/>
        </w:rPr>
        <w:tab/>
        <w:t>University Center Tower Building</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UTA</w:t>
      </w:r>
      <w:r w:rsidRPr="00743A41">
        <w:rPr>
          <w:rFonts w:asciiTheme="majorHAnsi" w:hAnsiTheme="majorHAnsi" w:cstheme="majorHAnsi"/>
          <w:sz w:val="20"/>
          <w:szCs w:val="20"/>
        </w:rPr>
        <w:tab/>
      </w:r>
      <w:r w:rsidRPr="00743A41">
        <w:rPr>
          <w:rFonts w:asciiTheme="majorHAnsi" w:hAnsiTheme="majorHAnsi" w:cstheme="majorHAnsi"/>
          <w:sz w:val="20"/>
          <w:szCs w:val="20"/>
        </w:rPr>
        <w:tab/>
        <w:t>University of Texas Administration Building</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UTHealth</w:t>
      </w:r>
      <w:r w:rsidRPr="00743A41">
        <w:rPr>
          <w:rFonts w:asciiTheme="majorHAnsi" w:hAnsiTheme="majorHAnsi" w:cstheme="majorHAnsi"/>
          <w:sz w:val="20"/>
          <w:szCs w:val="20"/>
        </w:rPr>
        <w:tab/>
      </w:r>
      <w:r w:rsidRPr="00743A41">
        <w:rPr>
          <w:rFonts w:asciiTheme="majorHAnsi" w:eastAsia="Arial" w:hAnsiTheme="majorHAnsi" w:cstheme="majorHAnsi"/>
          <w:color w:val="000000"/>
          <w:sz w:val="20"/>
          <w:szCs w:val="20"/>
        </w:rPr>
        <w:t>The University of Texas Health Science Center at Houston</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WHO</w:t>
      </w:r>
      <w:r w:rsidRPr="00743A41">
        <w:rPr>
          <w:rFonts w:asciiTheme="majorHAnsi" w:hAnsiTheme="majorHAnsi" w:cstheme="majorHAnsi"/>
          <w:sz w:val="20"/>
          <w:szCs w:val="20"/>
        </w:rPr>
        <w:tab/>
      </w:r>
      <w:r w:rsidRPr="00743A41">
        <w:rPr>
          <w:rFonts w:asciiTheme="majorHAnsi" w:hAnsiTheme="majorHAnsi" w:cstheme="majorHAnsi"/>
          <w:sz w:val="20"/>
          <w:szCs w:val="20"/>
        </w:rPr>
        <w:tab/>
        <w:t>World Health Organization</w:t>
      </w:r>
    </w:p>
    <w:p w:rsidR="00435E13"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WFB</w:t>
      </w:r>
      <w:r w:rsidRPr="00743A41">
        <w:rPr>
          <w:rFonts w:asciiTheme="majorHAnsi" w:hAnsiTheme="majorHAnsi" w:cstheme="majorHAnsi"/>
          <w:sz w:val="20"/>
          <w:szCs w:val="20"/>
        </w:rPr>
        <w:tab/>
      </w:r>
      <w:r w:rsidRPr="00743A41">
        <w:rPr>
          <w:rFonts w:asciiTheme="majorHAnsi" w:hAnsiTheme="majorHAnsi" w:cstheme="majorHAnsi"/>
          <w:sz w:val="20"/>
          <w:szCs w:val="20"/>
        </w:rPr>
        <w:tab/>
        <w:t>Moody Bank Building</w:t>
      </w:r>
    </w:p>
    <w:p w:rsidR="00AA6290" w:rsidRPr="00743A41" w:rsidRDefault="00435E13"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YRBSS</w:t>
      </w:r>
      <w:r w:rsidRPr="00743A41">
        <w:rPr>
          <w:rFonts w:asciiTheme="majorHAnsi" w:hAnsiTheme="majorHAnsi" w:cstheme="majorHAnsi"/>
          <w:sz w:val="20"/>
          <w:szCs w:val="20"/>
        </w:rPr>
        <w:tab/>
      </w:r>
      <w:r w:rsidRPr="00743A41">
        <w:rPr>
          <w:rFonts w:asciiTheme="majorHAnsi" w:hAnsiTheme="majorHAnsi" w:cstheme="majorHAnsi"/>
          <w:sz w:val="20"/>
          <w:szCs w:val="20"/>
        </w:rPr>
        <w:tab/>
        <w:t>Youth Risk Factor Behavioral Surveillance System</w:t>
      </w:r>
      <w:r w:rsidRPr="00743A41" w:rsidDel="00435E13">
        <w:rPr>
          <w:rFonts w:asciiTheme="majorHAnsi" w:hAnsiTheme="majorHAnsi" w:cstheme="majorHAnsi"/>
          <w:sz w:val="20"/>
          <w:szCs w:val="20"/>
        </w:rPr>
        <w:t xml:space="preserve"> </w:t>
      </w:r>
      <w:r w:rsidR="00AA6290" w:rsidRPr="00743A41">
        <w:rPr>
          <w:rFonts w:asciiTheme="majorHAnsi" w:hAnsiTheme="majorHAnsi" w:cstheme="majorHAnsi"/>
          <w:sz w:val="20"/>
          <w:szCs w:val="20"/>
        </w:rPr>
        <w:br w:type="page"/>
      </w:r>
    </w:p>
    <w:p w:rsidR="000A7F8B" w:rsidRPr="00743A41" w:rsidRDefault="000A7F8B" w:rsidP="007A68BE">
      <w:pPr>
        <w:pStyle w:val="Heading1"/>
        <w:sectPr w:rsidR="000A7F8B" w:rsidRPr="00743A41" w:rsidSect="00820246">
          <w:type w:val="continuous"/>
          <w:pgSz w:w="12240" w:h="15840"/>
          <w:pgMar w:top="1440" w:right="1440" w:bottom="1440" w:left="1440" w:header="720" w:footer="720" w:gutter="0"/>
          <w:pgNumType w:fmt="lowerRoman"/>
          <w:cols w:space="720"/>
          <w:titlePg/>
          <w:docGrid w:linePitch="360"/>
        </w:sectPr>
      </w:pPr>
      <w:bookmarkStart w:id="4" w:name="_Toc7118183"/>
    </w:p>
    <w:p w:rsidR="00933038" w:rsidRPr="00743A41" w:rsidRDefault="00933038" w:rsidP="007A68BE">
      <w:pPr>
        <w:pStyle w:val="Heading1"/>
      </w:pPr>
      <w:r w:rsidRPr="00743A41">
        <w:lastRenderedPageBreak/>
        <w:t>Introduction</w:t>
      </w:r>
      <w:bookmarkEnd w:id="0"/>
      <w:bookmarkEnd w:id="4"/>
    </w:p>
    <w:p w:rsidR="00933038" w:rsidRPr="00743A41" w:rsidRDefault="00933038" w:rsidP="00A37ED6">
      <w:pPr>
        <w:jc w:val="center"/>
        <w:rPr>
          <w:rFonts w:asciiTheme="majorHAnsi" w:hAnsiTheme="majorHAnsi" w:cstheme="majorHAnsi"/>
          <w:sz w:val="20"/>
          <w:szCs w:val="20"/>
        </w:rPr>
      </w:pPr>
    </w:p>
    <w:p w:rsidR="00933038" w:rsidRPr="00743A41" w:rsidRDefault="00933038" w:rsidP="00A37ED6">
      <w:pPr>
        <w:pStyle w:val="Default"/>
        <w:numPr>
          <w:ilvl w:val="0"/>
          <w:numId w:val="45"/>
        </w:numPr>
        <w:tabs>
          <w:tab w:val="left" w:pos="360"/>
        </w:tabs>
        <w:ind w:left="360"/>
        <w:jc w:val="both"/>
        <w:rPr>
          <w:rFonts w:asciiTheme="majorHAnsi" w:hAnsiTheme="majorHAnsi" w:cstheme="majorHAnsi"/>
          <w:b/>
          <w:color w:val="auto"/>
          <w:szCs w:val="20"/>
        </w:rPr>
      </w:pPr>
      <w:r w:rsidRPr="00743A41">
        <w:rPr>
          <w:rFonts w:asciiTheme="majorHAnsi" w:hAnsiTheme="majorHAnsi" w:cstheme="majorHAnsi"/>
          <w:b/>
          <w:color w:val="auto"/>
          <w:szCs w:val="20"/>
        </w:rPr>
        <w:t>Describe the institutional environment, which includes the following:</w:t>
      </w:r>
    </w:p>
    <w:p w:rsidR="00933038" w:rsidRPr="00743A41" w:rsidRDefault="00933038" w:rsidP="00A37ED6">
      <w:pPr>
        <w:pStyle w:val="Default"/>
        <w:numPr>
          <w:ilvl w:val="0"/>
          <w:numId w:val="44"/>
        </w:numPr>
        <w:ind w:left="720"/>
        <w:jc w:val="both"/>
        <w:rPr>
          <w:rFonts w:asciiTheme="majorHAnsi" w:hAnsiTheme="majorHAnsi" w:cstheme="majorHAnsi"/>
          <w:color w:val="auto"/>
          <w:szCs w:val="20"/>
        </w:rPr>
      </w:pPr>
      <w:r w:rsidRPr="00743A41">
        <w:rPr>
          <w:rFonts w:asciiTheme="majorHAnsi" w:hAnsiTheme="majorHAnsi" w:cstheme="majorHAnsi"/>
          <w:color w:val="auto"/>
          <w:szCs w:val="20"/>
        </w:rPr>
        <w:t>year institution was established and its type (eg, private, public, land-grant, etc.)</w:t>
      </w:r>
    </w:p>
    <w:p w:rsidR="000A7F8B" w:rsidRPr="00743A41" w:rsidRDefault="000A7F8B" w:rsidP="00A37ED6">
      <w:pPr>
        <w:pStyle w:val="Default"/>
        <w:ind w:left="720"/>
        <w:jc w:val="both"/>
        <w:rPr>
          <w:rFonts w:asciiTheme="majorHAnsi" w:hAnsiTheme="majorHAnsi" w:cstheme="majorHAnsi"/>
          <w:color w:val="auto"/>
          <w:szCs w:val="20"/>
        </w:rPr>
      </w:pPr>
    </w:p>
    <w:p w:rsidR="000A7F8B" w:rsidRPr="00743A41" w:rsidRDefault="006E3D5E" w:rsidP="00A37ED6">
      <w:pPr>
        <w:pBdr>
          <w:top w:val="nil"/>
          <w:left w:val="nil"/>
          <w:bottom w:val="nil"/>
          <w:right w:val="nil"/>
          <w:between w:val="nil"/>
        </w:pBdr>
        <w:tabs>
          <w:tab w:val="left" w:pos="360"/>
        </w:tabs>
        <w:ind w:left="720"/>
        <w:rPr>
          <w:rFonts w:asciiTheme="majorHAnsi" w:eastAsia="Arial" w:hAnsiTheme="majorHAnsi" w:cstheme="majorHAnsi"/>
          <w:color w:val="000000"/>
          <w:sz w:val="20"/>
          <w:szCs w:val="20"/>
        </w:rPr>
      </w:pPr>
      <w:hyperlink r:id="rId12">
        <w:r w:rsidR="00BD75CF" w:rsidRPr="00743A41">
          <w:rPr>
            <w:rFonts w:asciiTheme="majorHAnsi" w:eastAsia="Arial" w:hAnsiTheme="majorHAnsi" w:cstheme="majorHAnsi"/>
            <w:color w:val="000000"/>
            <w:sz w:val="20"/>
            <w:szCs w:val="20"/>
          </w:rPr>
          <w:t>The University of Texas System Board of Regents</w:t>
        </w:r>
      </w:hyperlink>
      <w:r w:rsidR="00BD75CF" w:rsidRPr="00743A41">
        <w:rPr>
          <w:rFonts w:asciiTheme="majorHAnsi" w:eastAsia="Arial" w:hAnsiTheme="majorHAnsi" w:cstheme="majorHAnsi"/>
          <w:color w:val="000000"/>
          <w:sz w:val="20"/>
          <w:szCs w:val="20"/>
        </w:rPr>
        <w:t xml:space="preserve"> established The University of Texas Health Science Center at Houston (UTHealth) in 1972 as a Texas resource for </w:t>
      </w:r>
      <w:r w:rsidR="00D06EEE" w:rsidRPr="00743A41">
        <w:rPr>
          <w:rFonts w:asciiTheme="majorHAnsi" w:eastAsia="Arial" w:hAnsiTheme="majorHAnsi" w:cstheme="majorHAnsi"/>
          <w:color w:val="000000"/>
          <w:sz w:val="20"/>
          <w:szCs w:val="20"/>
        </w:rPr>
        <w:t>healthcare</w:t>
      </w:r>
      <w:r w:rsidR="00BD75CF" w:rsidRPr="00743A41">
        <w:rPr>
          <w:rFonts w:asciiTheme="majorHAnsi" w:eastAsia="Arial" w:hAnsiTheme="majorHAnsi" w:cstheme="majorHAnsi"/>
          <w:color w:val="000000"/>
          <w:sz w:val="20"/>
          <w:szCs w:val="20"/>
        </w:rPr>
        <w:t xml:space="preserve"> education, innovation, scientific discovery and excellence in patient care. UTHealth is a public university.</w:t>
      </w:r>
    </w:p>
    <w:p w:rsidR="000A7F8B" w:rsidRPr="00743A41" w:rsidRDefault="000A7F8B" w:rsidP="00A37ED6">
      <w:pPr>
        <w:pStyle w:val="Default"/>
        <w:ind w:left="720"/>
        <w:jc w:val="both"/>
        <w:rPr>
          <w:rFonts w:asciiTheme="majorHAnsi" w:hAnsiTheme="majorHAnsi" w:cstheme="majorHAnsi"/>
          <w:color w:val="auto"/>
          <w:szCs w:val="20"/>
        </w:rPr>
      </w:pPr>
    </w:p>
    <w:p w:rsidR="00933038" w:rsidRPr="00743A41" w:rsidRDefault="00933038" w:rsidP="00A37ED6">
      <w:pPr>
        <w:pStyle w:val="Default"/>
        <w:numPr>
          <w:ilvl w:val="0"/>
          <w:numId w:val="44"/>
        </w:numPr>
        <w:ind w:left="720"/>
        <w:jc w:val="both"/>
        <w:rPr>
          <w:rFonts w:asciiTheme="majorHAnsi" w:hAnsiTheme="majorHAnsi" w:cstheme="majorHAnsi"/>
          <w:color w:val="auto"/>
          <w:szCs w:val="20"/>
        </w:rPr>
      </w:pPr>
      <w:r w:rsidRPr="00743A41">
        <w:rPr>
          <w:rFonts w:asciiTheme="majorHAnsi" w:hAnsiTheme="majorHAnsi" w:cstheme="majorHAnsi"/>
          <w:color w:val="auto"/>
          <w:szCs w:val="20"/>
        </w:rPr>
        <w:t>number of schools and colleges at the institution and the number of degrees offered by the institution at each level (bachelor’s, master’s, doctoral and professional preparation degrees)</w:t>
      </w:r>
    </w:p>
    <w:p w:rsidR="000A7F8B" w:rsidRPr="00743A41" w:rsidRDefault="000A7F8B" w:rsidP="00A37ED6">
      <w:pPr>
        <w:pStyle w:val="Default"/>
        <w:jc w:val="both"/>
        <w:rPr>
          <w:rFonts w:asciiTheme="majorHAnsi" w:hAnsiTheme="majorHAnsi" w:cstheme="majorHAnsi"/>
          <w:color w:val="auto"/>
          <w:szCs w:val="20"/>
        </w:rPr>
      </w:pPr>
    </w:p>
    <w:p w:rsidR="008102DF" w:rsidRPr="00743A41" w:rsidRDefault="008102DF" w:rsidP="00A37ED6">
      <w:pPr>
        <w:widowControl w:val="0"/>
        <w:pBdr>
          <w:top w:val="nil"/>
          <w:left w:val="nil"/>
          <w:bottom w:val="nil"/>
          <w:right w:val="nil"/>
          <w:between w:val="nil"/>
        </w:pBdr>
        <w:tabs>
          <w:tab w:val="left" w:pos="720"/>
        </w:tabs>
        <w:ind w:left="720" w:right="-14"/>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 xml:space="preserve">UTHealth is home to six schools: biomedical informatics, biomedical sciences, dentistry, nursing, public health, and medicine. UTHealth offers two bachelor’s degrees, seven master’s degrees, and </w:t>
      </w:r>
      <w:r w:rsidR="001E6EE1" w:rsidRPr="00743A41">
        <w:rPr>
          <w:rFonts w:asciiTheme="majorHAnsi" w:eastAsia="Arial" w:hAnsiTheme="majorHAnsi" w:cstheme="majorHAnsi"/>
          <w:color w:val="000000"/>
          <w:sz w:val="20"/>
          <w:szCs w:val="20"/>
        </w:rPr>
        <w:t xml:space="preserve">eight </w:t>
      </w:r>
      <w:r w:rsidRPr="00743A41">
        <w:rPr>
          <w:rFonts w:asciiTheme="majorHAnsi" w:eastAsia="Arial" w:hAnsiTheme="majorHAnsi" w:cstheme="majorHAnsi"/>
          <w:color w:val="000000"/>
          <w:sz w:val="20"/>
          <w:szCs w:val="20"/>
        </w:rPr>
        <w:t xml:space="preserve">doctoral degrees, which are </w:t>
      </w:r>
      <w:r w:rsidRPr="006E28EE">
        <w:rPr>
          <w:rFonts w:asciiTheme="majorHAnsi" w:eastAsia="Arial" w:hAnsiTheme="majorHAnsi" w:cstheme="majorHAnsi"/>
          <w:color w:val="000000"/>
          <w:sz w:val="20"/>
          <w:szCs w:val="20"/>
        </w:rPr>
        <w:t xml:space="preserve">listed in </w:t>
      </w:r>
      <w:hyperlink w:anchor="Table_Intro1b" w:history="1">
        <w:r w:rsidR="006665F7">
          <w:rPr>
            <w:rStyle w:val="Hyperlink"/>
            <w:rFonts w:asciiTheme="majorHAnsi" w:eastAsia="Arial" w:hAnsiTheme="majorHAnsi" w:cstheme="majorHAnsi"/>
            <w:sz w:val="20"/>
            <w:szCs w:val="20"/>
          </w:rPr>
          <w:t xml:space="preserve">Table </w:t>
        </w:r>
        <w:r w:rsidR="00B861A8" w:rsidRPr="006E28EE">
          <w:rPr>
            <w:rStyle w:val="Hyperlink"/>
            <w:rFonts w:asciiTheme="majorHAnsi" w:eastAsia="Arial" w:hAnsiTheme="majorHAnsi" w:cstheme="majorHAnsi"/>
            <w:sz w:val="20"/>
            <w:szCs w:val="20"/>
          </w:rPr>
          <w:t>Intro</w:t>
        </w:r>
        <w:r w:rsidR="006665F7">
          <w:rPr>
            <w:rStyle w:val="Hyperlink"/>
            <w:rFonts w:asciiTheme="majorHAnsi" w:eastAsia="Arial" w:hAnsiTheme="majorHAnsi" w:cstheme="majorHAnsi"/>
            <w:sz w:val="20"/>
            <w:szCs w:val="20"/>
          </w:rPr>
          <w:t>.</w:t>
        </w:r>
        <w:r w:rsidR="00B861A8" w:rsidRPr="006E28EE">
          <w:rPr>
            <w:rStyle w:val="Hyperlink"/>
            <w:rFonts w:asciiTheme="majorHAnsi" w:eastAsia="Arial" w:hAnsiTheme="majorHAnsi" w:cstheme="majorHAnsi"/>
            <w:sz w:val="20"/>
            <w:szCs w:val="20"/>
          </w:rPr>
          <w:t>1</w:t>
        </w:r>
        <w:r w:rsidR="006665F7">
          <w:rPr>
            <w:rStyle w:val="Hyperlink"/>
            <w:rFonts w:asciiTheme="majorHAnsi" w:eastAsia="Arial" w:hAnsiTheme="majorHAnsi" w:cstheme="majorHAnsi"/>
            <w:sz w:val="20"/>
            <w:szCs w:val="20"/>
          </w:rPr>
          <w:t>.</w:t>
        </w:r>
        <w:r w:rsidR="00B861A8" w:rsidRPr="006E28EE">
          <w:rPr>
            <w:rStyle w:val="Hyperlink"/>
            <w:rFonts w:asciiTheme="majorHAnsi" w:eastAsia="Arial" w:hAnsiTheme="majorHAnsi" w:cstheme="majorHAnsi"/>
            <w:sz w:val="20"/>
            <w:szCs w:val="20"/>
          </w:rPr>
          <w:t>b</w:t>
        </w:r>
      </w:hyperlink>
      <w:r w:rsidRPr="006E28EE">
        <w:rPr>
          <w:rFonts w:asciiTheme="majorHAnsi" w:eastAsia="Arial" w:hAnsiTheme="majorHAnsi" w:cstheme="majorHAnsi"/>
          <w:color w:val="000000"/>
          <w:sz w:val="20"/>
          <w:szCs w:val="20"/>
        </w:rPr>
        <w:t>.</w:t>
      </w:r>
      <w:r w:rsidRPr="00743A41">
        <w:rPr>
          <w:rFonts w:asciiTheme="majorHAnsi" w:eastAsia="Arial" w:hAnsiTheme="majorHAnsi" w:cstheme="majorHAnsi"/>
          <w:color w:val="000000"/>
          <w:sz w:val="20"/>
          <w:szCs w:val="20"/>
        </w:rPr>
        <w:t xml:space="preserve"> </w:t>
      </w:r>
    </w:p>
    <w:p w:rsidR="00BD75CF" w:rsidRPr="00743A41" w:rsidRDefault="00BD75CF" w:rsidP="00A37ED6">
      <w:pPr>
        <w:widowControl w:val="0"/>
        <w:pBdr>
          <w:top w:val="nil"/>
          <w:left w:val="nil"/>
          <w:bottom w:val="nil"/>
          <w:right w:val="nil"/>
          <w:between w:val="nil"/>
        </w:pBdr>
        <w:tabs>
          <w:tab w:val="left" w:pos="720"/>
        </w:tabs>
        <w:ind w:left="720" w:right="-14"/>
        <w:rPr>
          <w:rFonts w:asciiTheme="majorHAnsi" w:eastAsia="Arial" w:hAnsiTheme="majorHAnsi" w:cstheme="majorHAnsi"/>
          <w:color w:val="000000"/>
          <w:sz w:val="20"/>
          <w:szCs w:val="20"/>
        </w:rPr>
      </w:pPr>
    </w:p>
    <w:p w:rsidR="008102DF" w:rsidRPr="00743A41" w:rsidRDefault="008102DF" w:rsidP="00A37ED6">
      <w:pPr>
        <w:widowControl w:val="0"/>
        <w:pBdr>
          <w:top w:val="nil"/>
          <w:left w:val="nil"/>
          <w:bottom w:val="nil"/>
          <w:right w:val="nil"/>
          <w:between w:val="nil"/>
        </w:pBdr>
        <w:tabs>
          <w:tab w:val="left" w:pos="720"/>
        </w:tabs>
        <w:ind w:left="720" w:right="-14"/>
        <w:rPr>
          <w:rFonts w:asciiTheme="majorHAnsi" w:eastAsia="Arial" w:hAnsiTheme="majorHAnsi" w:cstheme="majorHAnsi"/>
          <w:color w:val="000000"/>
          <w:sz w:val="20"/>
          <w:szCs w:val="20"/>
        </w:rPr>
      </w:pPr>
      <w:bookmarkStart w:id="5" w:name="Table_Intro1b"/>
      <w:r w:rsidRPr="00743A41">
        <w:rPr>
          <w:rFonts w:asciiTheme="majorHAnsi" w:eastAsia="Arial" w:hAnsiTheme="majorHAnsi" w:cstheme="majorHAnsi"/>
          <w:color w:val="000000"/>
          <w:sz w:val="20"/>
          <w:szCs w:val="20"/>
        </w:rPr>
        <w:t>Table Intro.1.b. Number of Degrees Offered by UTHealth</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40"/>
        <w:gridCol w:w="3510"/>
        <w:gridCol w:w="3690"/>
      </w:tblGrid>
      <w:tr w:rsidR="00BD75CF" w:rsidRPr="00743A41" w:rsidTr="005F7B02">
        <w:trPr>
          <w:trHeight w:val="20"/>
        </w:trPr>
        <w:tc>
          <w:tcPr>
            <w:tcW w:w="1440" w:type="dxa"/>
            <w:shd w:val="clear" w:color="auto" w:fill="BFBFBF" w:themeFill="background1" w:themeFillShade="BF"/>
          </w:tcPr>
          <w:bookmarkEnd w:id="5"/>
          <w:p w:rsidR="00BD75CF" w:rsidRPr="00743A41" w:rsidRDefault="00BD75CF" w:rsidP="00A37ED6">
            <w:pPr>
              <w:tabs>
                <w:tab w:val="left" w:pos="720"/>
              </w:tabs>
              <w:ind w:left="360" w:hanging="360"/>
              <w:rPr>
                <w:rFonts w:asciiTheme="majorHAnsi" w:eastAsia="Arial" w:hAnsiTheme="majorHAnsi" w:cstheme="majorHAnsi"/>
                <w:b/>
                <w:sz w:val="20"/>
                <w:szCs w:val="20"/>
              </w:rPr>
            </w:pPr>
            <w:r w:rsidRPr="00743A41">
              <w:rPr>
                <w:rFonts w:asciiTheme="majorHAnsi" w:eastAsia="Arial" w:hAnsiTheme="majorHAnsi" w:cstheme="majorHAnsi"/>
                <w:b/>
                <w:sz w:val="20"/>
                <w:szCs w:val="20"/>
              </w:rPr>
              <w:t>Level</w:t>
            </w:r>
          </w:p>
        </w:tc>
        <w:tc>
          <w:tcPr>
            <w:tcW w:w="3510" w:type="dxa"/>
            <w:shd w:val="clear" w:color="auto" w:fill="BFBFBF" w:themeFill="background1" w:themeFillShade="BF"/>
          </w:tcPr>
          <w:p w:rsidR="00BD75CF" w:rsidRPr="00743A41" w:rsidRDefault="00BD75CF" w:rsidP="00A37ED6">
            <w:pPr>
              <w:tabs>
                <w:tab w:val="left" w:pos="720"/>
              </w:tabs>
              <w:ind w:left="360" w:hanging="360"/>
              <w:rPr>
                <w:rFonts w:asciiTheme="majorHAnsi" w:eastAsia="Arial" w:hAnsiTheme="majorHAnsi" w:cstheme="majorHAnsi"/>
                <w:b/>
                <w:sz w:val="20"/>
                <w:szCs w:val="20"/>
              </w:rPr>
            </w:pPr>
            <w:r w:rsidRPr="00743A41">
              <w:rPr>
                <w:rFonts w:asciiTheme="majorHAnsi" w:eastAsia="Arial" w:hAnsiTheme="majorHAnsi" w:cstheme="majorHAnsi"/>
                <w:b/>
                <w:sz w:val="20"/>
                <w:szCs w:val="20"/>
              </w:rPr>
              <w:t>Degree or certificate</w:t>
            </w:r>
          </w:p>
        </w:tc>
        <w:tc>
          <w:tcPr>
            <w:tcW w:w="3690" w:type="dxa"/>
            <w:shd w:val="clear" w:color="auto" w:fill="BFBFBF" w:themeFill="background1" w:themeFillShade="BF"/>
          </w:tcPr>
          <w:p w:rsidR="00BD75CF" w:rsidRPr="00743A41" w:rsidRDefault="00BD75CF" w:rsidP="00A37ED6">
            <w:pPr>
              <w:tabs>
                <w:tab w:val="left" w:pos="720"/>
              </w:tabs>
              <w:ind w:left="360" w:hanging="360"/>
              <w:rPr>
                <w:rFonts w:asciiTheme="majorHAnsi" w:eastAsia="Arial" w:hAnsiTheme="majorHAnsi" w:cstheme="majorHAnsi"/>
                <w:b/>
                <w:sz w:val="20"/>
                <w:szCs w:val="20"/>
              </w:rPr>
            </w:pPr>
            <w:r w:rsidRPr="00743A41">
              <w:rPr>
                <w:rFonts w:asciiTheme="majorHAnsi" w:eastAsia="Arial" w:hAnsiTheme="majorHAnsi" w:cstheme="majorHAnsi"/>
                <w:b/>
                <w:sz w:val="20"/>
                <w:szCs w:val="20"/>
              </w:rPr>
              <w:t>School</w:t>
            </w:r>
          </w:p>
        </w:tc>
      </w:tr>
      <w:tr w:rsidR="00BD75CF" w:rsidRPr="00743A41" w:rsidTr="005F7B02">
        <w:trPr>
          <w:trHeight w:val="20"/>
        </w:trPr>
        <w:tc>
          <w:tcPr>
            <w:tcW w:w="1440" w:type="dxa"/>
            <w:vMerge w:val="restart"/>
          </w:tcPr>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Bachelors</w:t>
            </w:r>
          </w:p>
        </w:tc>
        <w:tc>
          <w:tcPr>
            <w:tcW w:w="3510" w:type="dxa"/>
          </w:tcPr>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Bachelor of Science in Nursing (BSN)</w:t>
            </w:r>
          </w:p>
        </w:tc>
        <w:tc>
          <w:tcPr>
            <w:tcW w:w="3690" w:type="dxa"/>
          </w:tcPr>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Nursing</w:t>
            </w:r>
          </w:p>
        </w:tc>
      </w:tr>
      <w:tr w:rsidR="00BD75CF" w:rsidRPr="00743A41" w:rsidTr="005F7B02">
        <w:trPr>
          <w:trHeight w:val="20"/>
        </w:trPr>
        <w:tc>
          <w:tcPr>
            <w:tcW w:w="1440" w:type="dxa"/>
            <w:vMerge/>
          </w:tcPr>
          <w:p w:rsidR="00BD75CF" w:rsidRPr="00743A41" w:rsidRDefault="00BD75CF" w:rsidP="00A37ED6">
            <w:pPr>
              <w:widowControl w:val="0"/>
              <w:pBdr>
                <w:top w:val="nil"/>
                <w:left w:val="nil"/>
                <w:bottom w:val="nil"/>
                <w:right w:val="nil"/>
                <w:between w:val="nil"/>
              </w:pBdr>
              <w:rPr>
                <w:rFonts w:asciiTheme="majorHAnsi" w:eastAsia="Arial" w:hAnsiTheme="majorHAnsi" w:cstheme="majorHAnsi"/>
                <w:sz w:val="20"/>
                <w:szCs w:val="20"/>
              </w:rPr>
            </w:pPr>
          </w:p>
        </w:tc>
        <w:tc>
          <w:tcPr>
            <w:tcW w:w="3510" w:type="dxa"/>
          </w:tcPr>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Bachelor of Science (BS)</w:t>
            </w:r>
          </w:p>
        </w:tc>
        <w:tc>
          <w:tcPr>
            <w:tcW w:w="3690" w:type="dxa"/>
          </w:tcPr>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Dentistry</w:t>
            </w:r>
          </w:p>
        </w:tc>
      </w:tr>
      <w:tr w:rsidR="00BD75CF" w:rsidRPr="00743A41" w:rsidTr="005F7B02">
        <w:trPr>
          <w:trHeight w:val="20"/>
        </w:trPr>
        <w:tc>
          <w:tcPr>
            <w:tcW w:w="1440" w:type="dxa"/>
            <w:vMerge w:val="restart"/>
            <w:shd w:val="clear" w:color="auto" w:fill="D9D9D9" w:themeFill="background1" w:themeFillShade="D9"/>
          </w:tcPr>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Masters</w:t>
            </w:r>
          </w:p>
        </w:tc>
        <w:tc>
          <w:tcPr>
            <w:tcW w:w="3510" w:type="dxa"/>
            <w:shd w:val="clear" w:color="auto" w:fill="D9D9D9" w:themeFill="background1" w:themeFillShade="D9"/>
          </w:tcPr>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Master of Public Health (MPH)</w:t>
            </w:r>
          </w:p>
        </w:tc>
        <w:tc>
          <w:tcPr>
            <w:tcW w:w="3690" w:type="dxa"/>
            <w:shd w:val="clear" w:color="auto" w:fill="D9D9D9" w:themeFill="background1" w:themeFillShade="D9"/>
          </w:tcPr>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Public Health</w:t>
            </w:r>
          </w:p>
        </w:tc>
      </w:tr>
      <w:tr w:rsidR="00BD75CF" w:rsidRPr="00743A41" w:rsidTr="005F7B02">
        <w:trPr>
          <w:trHeight w:val="20"/>
        </w:trPr>
        <w:tc>
          <w:tcPr>
            <w:tcW w:w="1440" w:type="dxa"/>
            <w:vMerge/>
            <w:shd w:val="clear" w:color="auto" w:fill="D9D9D9" w:themeFill="background1" w:themeFillShade="D9"/>
          </w:tcPr>
          <w:p w:rsidR="00BD75CF" w:rsidRPr="00743A41" w:rsidRDefault="00BD75CF" w:rsidP="00A37ED6">
            <w:pPr>
              <w:widowControl w:val="0"/>
              <w:pBdr>
                <w:top w:val="nil"/>
                <w:left w:val="nil"/>
                <w:bottom w:val="nil"/>
                <w:right w:val="nil"/>
                <w:between w:val="nil"/>
              </w:pBdr>
              <w:rPr>
                <w:rFonts w:asciiTheme="majorHAnsi" w:eastAsia="Arial" w:hAnsiTheme="majorHAnsi" w:cstheme="majorHAnsi"/>
                <w:sz w:val="20"/>
                <w:szCs w:val="20"/>
              </w:rPr>
            </w:pPr>
          </w:p>
        </w:tc>
        <w:tc>
          <w:tcPr>
            <w:tcW w:w="3510" w:type="dxa"/>
            <w:shd w:val="clear" w:color="auto" w:fill="D9D9D9" w:themeFill="background1" w:themeFillShade="D9"/>
          </w:tcPr>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Master of Science (MS)</w:t>
            </w:r>
          </w:p>
        </w:tc>
        <w:tc>
          <w:tcPr>
            <w:tcW w:w="3690" w:type="dxa"/>
            <w:shd w:val="clear" w:color="auto" w:fill="D9D9D9" w:themeFill="background1" w:themeFillShade="D9"/>
          </w:tcPr>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Biomedical Informatics</w:t>
            </w:r>
          </w:p>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Dentistry</w:t>
            </w:r>
          </w:p>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Biomedical Sciences</w:t>
            </w:r>
          </w:p>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Medical</w:t>
            </w:r>
          </w:p>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Public Health</w:t>
            </w:r>
          </w:p>
        </w:tc>
      </w:tr>
      <w:tr w:rsidR="00BD75CF" w:rsidRPr="00743A41" w:rsidTr="005F7B02">
        <w:trPr>
          <w:trHeight w:val="20"/>
        </w:trPr>
        <w:tc>
          <w:tcPr>
            <w:tcW w:w="1440" w:type="dxa"/>
            <w:vMerge/>
            <w:shd w:val="clear" w:color="auto" w:fill="D9D9D9" w:themeFill="background1" w:themeFillShade="D9"/>
          </w:tcPr>
          <w:p w:rsidR="00BD75CF" w:rsidRPr="00743A41" w:rsidRDefault="00BD75CF" w:rsidP="00A37ED6">
            <w:pPr>
              <w:widowControl w:val="0"/>
              <w:pBdr>
                <w:top w:val="nil"/>
                <w:left w:val="nil"/>
                <w:bottom w:val="nil"/>
                <w:right w:val="nil"/>
                <w:between w:val="nil"/>
              </w:pBdr>
              <w:rPr>
                <w:rFonts w:asciiTheme="majorHAnsi" w:eastAsia="Arial" w:hAnsiTheme="majorHAnsi" w:cstheme="majorHAnsi"/>
                <w:sz w:val="20"/>
                <w:szCs w:val="20"/>
              </w:rPr>
            </w:pPr>
          </w:p>
        </w:tc>
        <w:tc>
          <w:tcPr>
            <w:tcW w:w="3510" w:type="dxa"/>
            <w:shd w:val="clear" w:color="auto" w:fill="D9D9D9" w:themeFill="background1" w:themeFillShade="D9"/>
          </w:tcPr>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Master of Science in Nursing (MSN)</w:t>
            </w:r>
          </w:p>
        </w:tc>
        <w:tc>
          <w:tcPr>
            <w:tcW w:w="3690" w:type="dxa"/>
            <w:shd w:val="clear" w:color="auto" w:fill="D9D9D9" w:themeFill="background1" w:themeFillShade="D9"/>
          </w:tcPr>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Nursing</w:t>
            </w:r>
          </w:p>
        </w:tc>
      </w:tr>
      <w:tr w:rsidR="00BD75CF" w:rsidRPr="00743A41" w:rsidTr="005F7B02">
        <w:trPr>
          <w:trHeight w:val="20"/>
        </w:trPr>
        <w:tc>
          <w:tcPr>
            <w:tcW w:w="1440" w:type="dxa"/>
            <w:vMerge w:val="restart"/>
          </w:tcPr>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Doctoral</w:t>
            </w:r>
          </w:p>
        </w:tc>
        <w:tc>
          <w:tcPr>
            <w:tcW w:w="3510" w:type="dxa"/>
          </w:tcPr>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Doctor of Dental Surgery (DDS)</w:t>
            </w:r>
          </w:p>
        </w:tc>
        <w:tc>
          <w:tcPr>
            <w:tcW w:w="3690" w:type="dxa"/>
          </w:tcPr>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Dentistry</w:t>
            </w:r>
          </w:p>
        </w:tc>
      </w:tr>
      <w:tr w:rsidR="00BD75CF" w:rsidRPr="00743A41" w:rsidTr="005F7B02">
        <w:trPr>
          <w:trHeight w:val="20"/>
        </w:trPr>
        <w:tc>
          <w:tcPr>
            <w:tcW w:w="1440" w:type="dxa"/>
            <w:vMerge/>
          </w:tcPr>
          <w:p w:rsidR="00BD75CF" w:rsidRPr="00743A41" w:rsidRDefault="00BD75CF" w:rsidP="00A37ED6">
            <w:pPr>
              <w:widowControl w:val="0"/>
              <w:pBdr>
                <w:top w:val="nil"/>
                <w:left w:val="nil"/>
                <w:bottom w:val="nil"/>
                <w:right w:val="nil"/>
                <w:between w:val="nil"/>
              </w:pBdr>
              <w:rPr>
                <w:rFonts w:asciiTheme="majorHAnsi" w:eastAsia="Arial" w:hAnsiTheme="majorHAnsi" w:cstheme="majorHAnsi"/>
                <w:sz w:val="20"/>
                <w:szCs w:val="20"/>
              </w:rPr>
            </w:pPr>
          </w:p>
        </w:tc>
        <w:tc>
          <w:tcPr>
            <w:tcW w:w="3510" w:type="dxa"/>
          </w:tcPr>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Doctor of Nursing Practice (DNP)</w:t>
            </w:r>
          </w:p>
        </w:tc>
        <w:tc>
          <w:tcPr>
            <w:tcW w:w="3690" w:type="dxa"/>
          </w:tcPr>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Nursing</w:t>
            </w:r>
          </w:p>
        </w:tc>
      </w:tr>
      <w:tr w:rsidR="00BD75CF" w:rsidRPr="00743A41" w:rsidTr="005F7B02">
        <w:trPr>
          <w:trHeight w:val="20"/>
        </w:trPr>
        <w:tc>
          <w:tcPr>
            <w:tcW w:w="1440" w:type="dxa"/>
            <w:vMerge/>
          </w:tcPr>
          <w:p w:rsidR="00BD75CF" w:rsidRPr="00743A41" w:rsidRDefault="00BD75CF" w:rsidP="00A37ED6">
            <w:pPr>
              <w:widowControl w:val="0"/>
              <w:pBdr>
                <w:top w:val="nil"/>
                <w:left w:val="nil"/>
                <w:bottom w:val="nil"/>
                <w:right w:val="nil"/>
                <w:between w:val="nil"/>
              </w:pBdr>
              <w:rPr>
                <w:rFonts w:asciiTheme="majorHAnsi" w:eastAsia="Arial" w:hAnsiTheme="majorHAnsi" w:cstheme="majorHAnsi"/>
                <w:sz w:val="20"/>
                <w:szCs w:val="20"/>
              </w:rPr>
            </w:pPr>
          </w:p>
        </w:tc>
        <w:tc>
          <w:tcPr>
            <w:tcW w:w="3510" w:type="dxa"/>
          </w:tcPr>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Doctor of Philosophy (PhD)</w:t>
            </w:r>
          </w:p>
        </w:tc>
        <w:tc>
          <w:tcPr>
            <w:tcW w:w="3690" w:type="dxa"/>
          </w:tcPr>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Biomedical Informatics</w:t>
            </w:r>
          </w:p>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Biomedical Sciences</w:t>
            </w:r>
          </w:p>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Nursing</w:t>
            </w:r>
          </w:p>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Public Health</w:t>
            </w:r>
          </w:p>
        </w:tc>
      </w:tr>
      <w:tr w:rsidR="00BD75CF" w:rsidRPr="00743A41" w:rsidTr="005F7B02">
        <w:trPr>
          <w:trHeight w:val="20"/>
        </w:trPr>
        <w:tc>
          <w:tcPr>
            <w:tcW w:w="1440" w:type="dxa"/>
            <w:vMerge/>
          </w:tcPr>
          <w:p w:rsidR="00BD75CF" w:rsidRPr="00743A41" w:rsidRDefault="00BD75CF" w:rsidP="00A37ED6">
            <w:pPr>
              <w:widowControl w:val="0"/>
              <w:pBdr>
                <w:top w:val="nil"/>
                <w:left w:val="nil"/>
                <w:bottom w:val="nil"/>
                <w:right w:val="nil"/>
                <w:between w:val="nil"/>
              </w:pBdr>
              <w:rPr>
                <w:rFonts w:asciiTheme="majorHAnsi" w:eastAsia="Arial" w:hAnsiTheme="majorHAnsi" w:cstheme="majorHAnsi"/>
                <w:sz w:val="20"/>
                <w:szCs w:val="20"/>
              </w:rPr>
            </w:pPr>
          </w:p>
        </w:tc>
        <w:tc>
          <w:tcPr>
            <w:tcW w:w="3510" w:type="dxa"/>
          </w:tcPr>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Doctor of Public Health (DrPH)</w:t>
            </w:r>
          </w:p>
        </w:tc>
        <w:tc>
          <w:tcPr>
            <w:tcW w:w="3690" w:type="dxa"/>
          </w:tcPr>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Public Health</w:t>
            </w:r>
          </w:p>
        </w:tc>
      </w:tr>
      <w:tr w:rsidR="00BD75CF" w:rsidRPr="00743A41" w:rsidTr="005F7B02">
        <w:trPr>
          <w:trHeight w:val="20"/>
        </w:trPr>
        <w:tc>
          <w:tcPr>
            <w:tcW w:w="1440" w:type="dxa"/>
            <w:vMerge/>
          </w:tcPr>
          <w:p w:rsidR="00BD75CF" w:rsidRPr="00743A41" w:rsidRDefault="00BD75CF" w:rsidP="00A37ED6">
            <w:pPr>
              <w:widowControl w:val="0"/>
              <w:pBdr>
                <w:top w:val="nil"/>
                <w:left w:val="nil"/>
                <w:bottom w:val="nil"/>
                <w:right w:val="nil"/>
                <w:between w:val="nil"/>
              </w:pBdr>
              <w:rPr>
                <w:rFonts w:asciiTheme="majorHAnsi" w:eastAsia="Arial" w:hAnsiTheme="majorHAnsi" w:cstheme="majorHAnsi"/>
                <w:sz w:val="20"/>
                <w:szCs w:val="20"/>
              </w:rPr>
            </w:pPr>
          </w:p>
        </w:tc>
        <w:tc>
          <w:tcPr>
            <w:tcW w:w="3510" w:type="dxa"/>
          </w:tcPr>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Medical Doctor (MD)</w:t>
            </w:r>
          </w:p>
        </w:tc>
        <w:tc>
          <w:tcPr>
            <w:tcW w:w="3690" w:type="dxa"/>
          </w:tcPr>
          <w:p w:rsidR="00BD75CF" w:rsidRPr="00743A41" w:rsidRDefault="00BD75C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Medical</w:t>
            </w:r>
          </w:p>
        </w:tc>
      </w:tr>
    </w:tbl>
    <w:p w:rsidR="000A7F8B" w:rsidRPr="00743A41" w:rsidRDefault="000A7F8B" w:rsidP="00A37ED6">
      <w:pPr>
        <w:pStyle w:val="Default"/>
        <w:jc w:val="both"/>
        <w:rPr>
          <w:rFonts w:asciiTheme="majorHAnsi" w:hAnsiTheme="majorHAnsi" w:cstheme="majorHAnsi"/>
          <w:color w:val="auto"/>
          <w:szCs w:val="20"/>
        </w:rPr>
      </w:pPr>
    </w:p>
    <w:p w:rsidR="000A7F8B" w:rsidRPr="00743A41" w:rsidRDefault="00933038" w:rsidP="00A37ED6">
      <w:pPr>
        <w:pStyle w:val="Default"/>
        <w:numPr>
          <w:ilvl w:val="0"/>
          <w:numId w:val="44"/>
        </w:numPr>
        <w:ind w:left="720"/>
        <w:jc w:val="both"/>
        <w:rPr>
          <w:rFonts w:asciiTheme="majorHAnsi" w:hAnsiTheme="majorHAnsi" w:cstheme="majorHAnsi"/>
          <w:color w:val="auto"/>
          <w:szCs w:val="20"/>
        </w:rPr>
      </w:pPr>
      <w:r w:rsidRPr="00743A41">
        <w:rPr>
          <w:rFonts w:asciiTheme="majorHAnsi" w:hAnsiTheme="majorHAnsi" w:cstheme="majorHAnsi"/>
          <w:color w:val="auto"/>
          <w:szCs w:val="20"/>
        </w:rPr>
        <w:t>number of university faculty, staff and students</w:t>
      </w:r>
    </w:p>
    <w:p w:rsidR="000A7F8B" w:rsidRPr="00743A41" w:rsidRDefault="000A7F8B" w:rsidP="00A37ED6">
      <w:pPr>
        <w:pStyle w:val="Default"/>
        <w:ind w:left="720"/>
        <w:jc w:val="both"/>
        <w:rPr>
          <w:rFonts w:asciiTheme="majorHAnsi" w:hAnsiTheme="majorHAnsi" w:cstheme="majorHAnsi"/>
          <w:color w:val="auto"/>
          <w:szCs w:val="20"/>
        </w:rPr>
      </w:pPr>
    </w:p>
    <w:p w:rsidR="008102DF" w:rsidRPr="00743A41" w:rsidRDefault="008102DF" w:rsidP="00A37ED6">
      <w:pPr>
        <w:pStyle w:val="Default"/>
        <w:ind w:left="720"/>
        <w:rPr>
          <w:rFonts w:asciiTheme="majorHAnsi" w:hAnsiTheme="majorHAnsi" w:cstheme="majorHAnsi"/>
          <w:color w:val="auto"/>
          <w:szCs w:val="20"/>
        </w:rPr>
      </w:pPr>
      <w:r w:rsidRPr="00743A41">
        <w:rPr>
          <w:rFonts w:asciiTheme="majorHAnsi" w:eastAsia="Arial" w:hAnsiTheme="majorHAnsi" w:cstheme="majorHAnsi"/>
          <w:szCs w:val="20"/>
        </w:rPr>
        <w:t>In Fall 2018, the UTHealth student population included a total of 5,3</w:t>
      </w:r>
      <w:r w:rsidR="00824825" w:rsidRPr="00743A41">
        <w:rPr>
          <w:rFonts w:asciiTheme="majorHAnsi" w:eastAsia="Arial" w:hAnsiTheme="majorHAnsi" w:cstheme="majorHAnsi"/>
          <w:szCs w:val="20"/>
        </w:rPr>
        <w:t>6</w:t>
      </w:r>
      <w:r w:rsidRPr="00743A41">
        <w:rPr>
          <w:rFonts w:asciiTheme="majorHAnsi" w:eastAsia="Arial" w:hAnsiTheme="majorHAnsi" w:cstheme="majorHAnsi"/>
          <w:szCs w:val="20"/>
        </w:rPr>
        <w:t>5 students: 1,097 medical students; 570 dental students; 454 graduate students in biomedical sciences; 255 students in biomedical informatics; 1,722 students in nursing; and 1,267 graduate students in public health. In Fall 2018, UTHealth employed 2,169 faculty members, 385 administrative and professional staff members, and 5,076 classified staff members.</w:t>
      </w:r>
    </w:p>
    <w:p w:rsidR="000A7F8B" w:rsidRPr="00743A41" w:rsidRDefault="000A7F8B" w:rsidP="00A37ED6">
      <w:pPr>
        <w:pStyle w:val="Default"/>
        <w:ind w:left="720"/>
        <w:jc w:val="both"/>
        <w:rPr>
          <w:rFonts w:asciiTheme="majorHAnsi" w:hAnsiTheme="majorHAnsi" w:cstheme="majorHAnsi"/>
          <w:color w:val="auto"/>
          <w:szCs w:val="20"/>
        </w:rPr>
      </w:pPr>
    </w:p>
    <w:p w:rsidR="00933038" w:rsidRPr="00743A41" w:rsidRDefault="00933038" w:rsidP="00A37ED6">
      <w:pPr>
        <w:pStyle w:val="Default"/>
        <w:numPr>
          <w:ilvl w:val="0"/>
          <w:numId w:val="44"/>
        </w:numPr>
        <w:ind w:left="720"/>
        <w:jc w:val="both"/>
        <w:rPr>
          <w:rFonts w:asciiTheme="majorHAnsi" w:hAnsiTheme="majorHAnsi" w:cstheme="majorHAnsi"/>
          <w:color w:val="auto"/>
          <w:szCs w:val="20"/>
        </w:rPr>
      </w:pPr>
      <w:r w:rsidRPr="00743A41">
        <w:rPr>
          <w:rFonts w:asciiTheme="majorHAnsi" w:hAnsiTheme="majorHAnsi" w:cstheme="majorHAnsi"/>
          <w:color w:val="auto"/>
          <w:szCs w:val="20"/>
        </w:rPr>
        <w:t>brief statement of distinguishing university facts and characteristics</w:t>
      </w:r>
    </w:p>
    <w:p w:rsidR="000A7F8B" w:rsidRPr="00743A41" w:rsidRDefault="000A7F8B" w:rsidP="00A37ED6">
      <w:pPr>
        <w:pStyle w:val="Default"/>
        <w:ind w:left="720"/>
        <w:jc w:val="both"/>
        <w:rPr>
          <w:rFonts w:asciiTheme="majorHAnsi" w:hAnsiTheme="majorHAnsi" w:cstheme="majorHAnsi"/>
          <w:color w:val="auto"/>
          <w:szCs w:val="20"/>
        </w:rPr>
      </w:pPr>
    </w:p>
    <w:p w:rsidR="008102DF" w:rsidRPr="00743A41" w:rsidRDefault="008102DF" w:rsidP="00A37ED6">
      <w:pPr>
        <w:pBdr>
          <w:top w:val="nil"/>
          <w:left w:val="nil"/>
          <w:bottom w:val="nil"/>
          <w:right w:val="nil"/>
          <w:between w:val="nil"/>
        </w:pBdr>
        <w:tabs>
          <w:tab w:val="left" w:pos="360"/>
        </w:tabs>
        <w:ind w:left="720"/>
        <w:rPr>
          <w:rFonts w:asciiTheme="majorHAnsi" w:eastAsia="Arial" w:hAnsiTheme="majorHAnsi" w:cstheme="majorHAnsi"/>
          <w:color w:val="000000"/>
          <w:sz w:val="20"/>
          <w:szCs w:val="20"/>
        </w:rPr>
      </w:pPr>
      <w:r w:rsidRPr="00EF6DF8">
        <w:rPr>
          <w:rFonts w:asciiTheme="majorHAnsi" w:eastAsia="Arial" w:hAnsiTheme="majorHAnsi" w:cstheme="majorHAnsi"/>
          <w:color w:val="000000"/>
          <w:sz w:val="20"/>
          <w:szCs w:val="20"/>
        </w:rPr>
        <w:t>UTHealth is the most comprehensive academic health center in </w:t>
      </w:r>
      <w:hyperlink r:id="rId13" w:history="1">
        <w:r w:rsidR="008B303C">
          <w:rPr>
            <w:rStyle w:val="Hyperlink"/>
            <w:rFonts w:asciiTheme="majorHAnsi" w:eastAsia="Arial" w:hAnsiTheme="majorHAnsi" w:cstheme="majorHAnsi"/>
            <w:sz w:val="20"/>
            <w:szCs w:val="20"/>
          </w:rPr>
          <w:t>The University of Texas System</w:t>
        </w:r>
      </w:hyperlink>
      <w:r w:rsidR="008B303C">
        <w:rPr>
          <w:rStyle w:val="Hyperlink"/>
          <w:rFonts w:asciiTheme="majorHAnsi" w:eastAsia="Arial" w:hAnsiTheme="majorHAnsi" w:cstheme="majorHAnsi"/>
          <w:sz w:val="20"/>
          <w:szCs w:val="20"/>
        </w:rPr>
        <w:t xml:space="preserve"> </w:t>
      </w:r>
      <w:r w:rsidR="009C5E13">
        <w:rPr>
          <w:rFonts w:asciiTheme="majorHAnsi" w:eastAsia="Arial" w:hAnsiTheme="majorHAnsi" w:cstheme="majorHAnsi"/>
          <w:color w:val="000000"/>
          <w:sz w:val="20"/>
          <w:szCs w:val="20"/>
        </w:rPr>
        <w:t>and the</w:t>
      </w:r>
      <w:r w:rsidRPr="00EF6DF8">
        <w:rPr>
          <w:rFonts w:asciiTheme="majorHAnsi" w:eastAsia="Arial" w:hAnsiTheme="majorHAnsi" w:cstheme="majorHAnsi"/>
          <w:color w:val="000000"/>
          <w:sz w:val="20"/>
          <w:szCs w:val="20"/>
        </w:rPr>
        <w:t xml:space="preserve"> U.S. Gulf Coast region. It is located within the Texas Medical Center (TMC), the largest medical complex in the world. UTHealth includes The University of Texas Harris County Psychiatric Center, clinical practices across Harris County, and education and research facilities across the state of Texas.</w:t>
      </w:r>
    </w:p>
    <w:p w:rsidR="008102DF" w:rsidRPr="00743A41" w:rsidRDefault="008102DF" w:rsidP="00A37ED6">
      <w:pPr>
        <w:pBdr>
          <w:top w:val="nil"/>
          <w:left w:val="nil"/>
          <w:bottom w:val="nil"/>
          <w:right w:val="nil"/>
          <w:between w:val="nil"/>
        </w:pBdr>
        <w:tabs>
          <w:tab w:val="left" w:pos="360"/>
        </w:tabs>
        <w:ind w:left="720"/>
        <w:rPr>
          <w:rFonts w:asciiTheme="majorHAnsi" w:eastAsia="Arial" w:hAnsiTheme="majorHAnsi" w:cstheme="majorHAnsi"/>
          <w:sz w:val="20"/>
          <w:szCs w:val="20"/>
        </w:rPr>
      </w:pPr>
    </w:p>
    <w:p w:rsidR="008102DF" w:rsidRPr="00743A41" w:rsidRDefault="008102DF" w:rsidP="00A37ED6">
      <w:pPr>
        <w:pBdr>
          <w:top w:val="nil"/>
          <w:left w:val="nil"/>
          <w:bottom w:val="nil"/>
          <w:right w:val="nil"/>
          <w:between w:val="nil"/>
        </w:pBdr>
        <w:tabs>
          <w:tab w:val="left" w:pos="360"/>
        </w:tabs>
        <w:ind w:left="72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lastRenderedPageBreak/>
        <w:t xml:space="preserve">UTHealth educates more graduate </w:t>
      </w:r>
      <w:r w:rsidR="00D06EEE" w:rsidRPr="00743A41">
        <w:rPr>
          <w:rFonts w:asciiTheme="majorHAnsi" w:eastAsia="Arial" w:hAnsiTheme="majorHAnsi" w:cstheme="majorHAnsi"/>
          <w:color w:val="000000"/>
          <w:sz w:val="20"/>
          <w:szCs w:val="20"/>
        </w:rPr>
        <w:t>healthcare</w:t>
      </w:r>
      <w:r w:rsidRPr="00743A41">
        <w:rPr>
          <w:rFonts w:asciiTheme="majorHAnsi" w:eastAsia="Arial" w:hAnsiTheme="majorHAnsi" w:cstheme="majorHAnsi"/>
          <w:color w:val="000000"/>
          <w:sz w:val="20"/>
          <w:szCs w:val="20"/>
        </w:rPr>
        <w:t xml:space="preserve"> professionals, practitioners, and researchers than any other institution in Texas. The UTHealth McGovern Medical School is the sixth largest medical school in the U.S.; the Cizik School of Nursing ranks in the top 5% in the U.S.; The University of Texas Harris County Psychiatric Center is the largest provider of inpatient mental health services in Texas; and the UTHealth School of Public Health spans Texas. Collectively, UTHealth schools educate researchers, public health practitioners, and students seeking degrees in medicine, nursing, dentistry, and social work.</w:t>
      </w:r>
    </w:p>
    <w:p w:rsidR="000A7F8B" w:rsidRPr="00743A41" w:rsidRDefault="000A7F8B" w:rsidP="00A37ED6">
      <w:pPr>
        <w:pStyle w:val="Default"/>
        <w:ind w:left="720"/>
        <w:jc w:val="both"/>
        <w:rPr>
          <w:rFonts w:asciiTheme="majorHAnsi" w:hAnsiTheme="majorHAnsi" w:cstheme="majorHAnsi"/>
          <w:color w:val="auto"/>
          <w:szCs w:val="20"/>
        </w:rPr>
      </w:pPr>
    </w:p>
    <w:p w:rsidR="00933038" w:rsidRPr="00743A41" w:rsidRDefault="00933038" w:rsidP="00A37ED6">
      <w:pPr>
        <w:pStyle w:val="Default"/>
        <w:numPr>
          <w:ilvl w:val="0"/>
          <w:numId w:val="44"/>
        </w:numPr>
        <w:ind w:left="720"/>
        <w:jc w:val="both"/>
        <w:rPr>
          <w:rFonts w:asciiTheme="majorHAnsi" w:hAnsiTheme="majorHAnsi" w:cstheme="majorHAnsi"/>
          <w:color w:val="auto"/>
          <w:szCs w:val="20"/>
        </w:rPr>
      </w:pPr>
      <w:r w:rsidRPr="00743A41">
        <w:rPr>
          <w:rFonts w:asciiTheme="majorHAnsi" w:hAnsiTheme="majorHAnsi" w:cstheme="majorHAnsi"/>
          <w:color w:val="auto"/>
          <w:szCs w:val="20"/>
        </w:rPr>
        <w:t xml:space="preserve">names of all accrediting bodies (other than CEPH) to which the institution responds. The list must include the regional accreditor for the university as well as all specialized accreditors to which any school, college or other organizational unit at the university responds </w:t>
      </w:r>
    </w:p>
    <w:p w:rsidR="000A7F8B" w:rsidRPr="00743A41" w:rsidRDefault="000A7F8B" w:rsidP="00A37ED6">
      <w:pPr>
        <w:pStyle w:val="Default"/>
        <w:ind w:left="720"/>
        <w:jc w:val="both"/>
        <w:rPr>
          <w:rFonts w:asciiTheme="majorHAnsi" w:hAnsiTheme="majorHAnsi" w:cstheme="majorHAnsi"/>
          <w:color w:val="auto"/>
          <w:szCs w:val="20"/>
        </w:rPr>
      </w:pPr>
    </w:p>
    <w:p w:rsidR="008102DF" w:rsidRPr="00743A41" w:rsidRDefault="008102DF" w:rsidP="00A37ED6">
      <w:pPr>
        <w:widowControl w:val="0"/>
        <w:tabs>
          <w:tab w:val="left" w:pos="720"/>
          <w:tab w:val="left" w:pos="820"/>
        </w:tabs>
        <w:ind w:left="720"/>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UTHealth is accredited by the </w:t>
      </w:r>
      <w:r w:rsidR="00EE794F" w:rsidRPr="00743A41">
        <w:rPr>
          <w:rFonts w:asciiTheme="majorHAnsi" w:eastAsia="Arial" w:hAnsiTheme="majorHAnsi" w:cstheme="majorHAnsi"/>
          <w:sz w:val="20"/>
          <w:szCs w:val="20"/>
        </w:rPr>
        <w:t>Southern Association of Colleges and Schools Commission on Colleges (SACSCOC)</w:t>
      </w:r>
      <w:r w:rsidRPr="00743A41">
        <w:rPr>
          <w:rFonts w:asciiTheme="majorHAnsi" w:eastAsia="Arial" w:hAnsiTheme="majorHAnsi" w:cstheme="majorHAnsi"/>
          <w:sz w:val="20"/>
          <w:szCs w:val="20"/>
        </w:rPr>
        <w:t>. The most recent reaccreditation review by the Commission was completed in April 2010. In December 2010, the Commission’s Board of Trustees reaffirmed accreditation. The next reaffirmation will take place in 2022. At this time, UTHealth has 12 accrediting bodies, including CEPH (Table Intro.1.e).</w:t>
      </w:r>
    </w:p>
    <w:p w:rsidR="008102DF" w:rsidRPr="00743A41" w:rsidRDefault="008102DF" w:rsidP="00A37ED6">
      <w:pPr>
        <w:widowControl w:val="0"/>
        <w:tabs>
          <w:tab w:val="left" w:pos="720"/>
          <w:tab w:val="left" w:pos="820"/>
        </w:tabs>
        <w:ind w:left="720"/>
        <w:rPr>
          <w:rFonts w:asciiTheme="majorHAnsi" w:eastAsia="Arial" w:hAnsiTheme="majorHAnsi" w:cstheme="majorHAnsi"/>
          <w:sz w:val="20"/>
          <w:szCs w:val="20"/>
        </w:rPr>
      </w:pPr>
    </w:p>
    <w:p w:rsidR="008102DF" w:rsidRPr="00743A41" w:rsidRDefault="008102DF" w:rsidP="00A37ED6">
      <w:pPr>
        <w:widowControl w:val="0"/>
        <w:tabs>
          <w:tab w:val="left" w:pos="720"/>
          <w:tab w:val="left" w:pos="820"/>
        </w:tabs>
        <w:ind w:left="720"/>
        <w:rPr>
          <w:rFonts w:asciiTheme="majorHAnsi" w:eastAsia="Arial" w:hAnsiTheme="majorHAnsi" w:cstheme="majorHAnsi"/>
          <w:sz w:val="20"/>
          <w:szCs w:val="20"/>
        </w:rPr>
      </w:pPr>
      <w:r w:rsidRPr="00743A41">
        <w:rPr>
          <w:rFonts w:asciiTheme="majorHAnsi" w:eastAsia="Arial" w:hAnsiTheme="majorHAnsi" w:cstheme="majorHAnsi"/>
          <w:sz w:val="20"/>
          <w:szCs w:val="20"/>
        </w:rPr>
        <w:t>Table Intro.1.e. UTHealt</w:t>
      </w:r>
      <w:r w:rsidR="000A3306">
        <w:rPr>
          <w:rFonts w:asciiTheme="majorHAnsi" w:eastAsia="Arial" w:hAnsiTheme="majorHAnsi" w:cstheme="majorHAnsi"/>
          <w:sz w:val="20"/>
          <w:szCs w:val="20"/>
        </w:rPr>
        <w:t xml:space="preserve">h </w:t>
      </w:r>
      <w:r w:rsidRPr="00743A41">
        <w:rPr>
          <w:rFonts w:asciiTheme="majorHAnsi" w:eastAsia="Arial" w:hAnsiTheme="majorHAnsi" w:cstheme="majorHAnsi"/>
          <w:sz w:val="20"/>
          <w:szCs w:val="20"/>
        </w:rPr>
        <w:t>Accrediting Bodies</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Caption w:val="Table Intro.e.1 - The University of Texas Health Science Center at Houston - Accrediting Bodies"/>
      </w:tblPr>
      <w:tblGrid>
        <w:gridCol w:w="1170"/>
        <w:gridCol w:w="1890"/>
        <w:gridCol w:w="1710"/>
        <w:gridCol w:w="1080"/>
        <w:gridCol w:w="1080"/>
        <w:gridCol w:w="1800"/>
      </w:tblGrid>
      <w:tr w:rsidR="00BD75CF" w:rsidRPr="00743A41" w:rsidTr="00CC735F">
        <w:trPr>
          <w:cantSplit/>
          <w:trHeight w:val="425"/>
          <w:tblHeader/>
        </w:trPr>
        <w:tc>
          <w:tcPr>
            <w:tcW w:w="1170" w:type="dxa"/>
            <w:shd w:val="clear" w:color="auto" w:fill="BFBFBF" w:themeFill="background1" w:themeFillShade="BF"/>
            <w:vAlign w:val="center"/>
          </w:tcPr>
          <w:p w:rsidR="00BD75CF" w:rsidRPr="00743A41" w:rsidRDefault="00BD75CF" w:rsidP="00A37ED6">
            <w:pPr>
              <w:widowControl w:val="0"/>
              <w:tabs>
                <w:tab w:val="left" w:pos="720"/>
                <w:tab w:val="left" w:pos="820"/>
              </w:tabs>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School</w:t>
            </w:r>
          </w:p>
        </w:tc>
        <w:tc>
          <w:tcPr>
            <w:tcW w:w="1890" w:type="dxa"/>
            <w:shd w:val="clear" w:color="auto" w:fill="BFBFBF" w:themeFill="background1" w:themeFillShade="BF"/>
            <w:vAlign w:val="center"/>
          </w:tcPr>
          <w:p w:rsidR="00BD75CF" w:rsidRPr="00743A41" w:rsidRDefault="00BD75CF" w:rsidP="00A37ED6">
            <w:pPr>
              <w:widowControl w:val="0"/>
              <w:tabs>
                <w:tab w:val="left" w:pos="720"/>
                <w:tab w:val="left" w:pos="820"/>
              </w:tabs>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Accrediting Body</w:t>
            </w:r>
          </w:p>
        </w:tc>
        <w:tc>
          <w:tcPr>
            <w:tcW w:w="1710" w:type="dxa"/>
            <w:shd w:val="clear" w:color="auto" w:fill="BFBFBF" w:themeFill="background1" w:themeFillShade="BF"/>
            <w:vAlign w:val="center"/>
          </w:tcPr>
          <w:p w:rsidR="00BD75CF" w:rsidRPr="00743A41" w:rsidRDefault="00BD75CF" w:rsidP="00A37ED6">
            <w:pPr>
              <w:widowControl w:val="0"/>
              <w:tabs>
                <w:tab w:val="left" w:pos="720"/>
                <w:tab w:val="left" w:pos="820"/>
              </w:tabs>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Degree or Certificate</w:t>
            </w:r>
          </w:p>
        </w:tc>
        <w:tc>
          <w:tcPr>
            <w:tcW w:w="1080" w:type="dxa"/>
            <w:shd w:val="clear" w:color="auto" w:fill="BFBFBF" w:themeFill="background1" w:themeFillShade="BF"/>
            <w:vAlign w:val="center"/>
          </w:tcPr>
          <w:p w:rsidR="00BD75CF" w:rsidRPr="00743A41" w:rsidRDefault="00BD75CF" w:rsidP="00A37ED6">
            <w:pPr>
              <w:widowControl w:val="0"/>
              <w:tabs>
                <w:tab w:val="left" w:pos="720"/>
                <w:tab w:val="left" w:pos="820"/>
              </w:tabs>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Most Recent</w:t>
            </w:r>
          </w:p>
        </w:tc>
        <w:tc>
          <w:tcPr>
            <w:tcW w:w="1080" w:type="dxa"/>
            <w:shd w:val="clear" w:color="auto" w:fill="BFBFBF" w:themeFill="background1" w:themeFillShade="BF"/>
            <w:vAlign w:val="center"/>
          </w:tcPr>
          <w:p w:rsidR="00BD75CF" w:rsidRPr="00743A41" w:rsidRDefault="00BD75CF" w:rsidP="00A37ED6">
            <w:pPr>
              <w:widowControl w:val="0"/>
              <w:tabs>
                <w:tab w:val="left" w:pos="720"/>
                <w:tab w:val="left" w:pos="820"/>
              </w:tabs>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Next Scheduled</w:t>
            </w:r>
          </w:p>
        </w:tc>
        <w:tc>
          <w:tcPr>
            <w:tcW w:w="1800" w:type="dxa"/>
            <w:shd w:val="clear" w:color="auto" w:fill="BFBFBF" w:themeFill="background1" w:themeFillShade="BF"/>
            <w:vAlign w:val="center"/>
          </w:tcPr>
          <w:p w:rsidR="00BD75CF" w:rsidRPr="00743A41" w:rsidRDefault="00BD75CF" w:rsidP="00A37ED6">
            <w:pPr>
              <w:widowControl w:val="0"/>
              <w:tabs>
                <w:tab w:val="left" w:pos="720"/>
                <w:tab w:val="left" w:pos="820"/>
              </w:tabs>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Reaccreditation Liaison</w:t>
            </w:r>
          </w:p>
        </w:tc>
      </w:tr>
      <w:tr w:rsidR="00BD75CF" w:rsidRPr="00743A41" w:rsidTr="00CC735F">
        <w:trPr>
          <w:cantSplit/>
          <w:trHeight w:val="695"/>
        </w:trPr>
        <w:tc>
          <w:tcPr>
            <w:tcW w:w="117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UTHealth</w:t>
            </w:r>
          </w:p>
        </w:tc>
        <w:tc>
          <w:tcPr>
            <w:tcW w:w="189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Southern Association of Colleges and Schools Commission on Colleges (SACSCOC)</w:t>
            </w:r>
          </w:p>
        </w:tc>
        <w:tc>
          <w:tcPr>
            <w:tcW w:w="171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All degrees and programs at all six schools</w:t>
            </w:r>
          </w:p>
        </w:tc>
        <w:tc>
          <w:tcPr>
            <w:tcW w:w="108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2010</w:t>
            </w:r>
          </w:p>
        </w:tc>
        <w:tc>
          <w:tcPr>
            <w:tcW w:w="108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2021</w:t>
            </w:r>
          </w:p>
        </w:tc>
        <w:tc>
          <w:tcPr>
            <w:tcW w:w="180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Michael Blackburn, PhD</w:t>
            </w:r>
          </w:p>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Executive Vice President &amp; Chief Academic Officer</w:t>
            </w:r>
          </w:p>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p>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Eric Solberg, MS</w:t>
            </w:r>
          </w:p>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Vice President, Academic &amp; Research Affairs</w:t>
            </w:r>
          </w:p>
        </w:tc>
      </w:tr>
      <w:tr w:rsidR="00BD75CF" w:rsidRPr="00743A41" w:rsidTr="00CC735F">
        <w:trPr>
          <w:cantSplit/>
          <w:trHeight w:val="938"/>
        </w:trPr>
        <w:tc>
          <w:tcPr>
            <w:tcW w:w="117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School of Dentistry</w:t>
            </w:r>
          </w:p>
        </w:tc>
        <w:tc>
          <w:tcPr>
            <w:tcW w:w="189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Commission on Dental Accreditation (CODA)</w:t>
            </w:r>
          </w:p>
        </w:tc>
        <w:tc>
          <w:tcPr>
            <w:tcW w:w="171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DDS, BS (Dental Hygiene), Certificate in Advanced Education Programs</w:t>
            </w:r>
            <w:r w:rsidR="008D5BB1" w:rsidRPr="00743A41">
              <w:rPr>
                <w:rFonts w:asciiTheme="majorHAnsi" w:eastAsia="Arial" w:hAnsiTheme="majorHAnsi" w:cstheme="majorHAnsi"/>
                <w:sz w:val="20"/>
                <w:szCs w:val="20"/>
              </w:rPr>
              <w:t>, Certificate in Dental Hygiene</w:t>
            </w:r>
          </w:p>
        </w:tc>
        <w:tc>
          <w:tcPr>
            <w:tcW w:w="108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2012</w:t>
            </w:r>
          </w:p>
        </w:tc>
        <w:tc>
          <w:tcPr>
            <w:tcW w:w="108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2019</w:t>
            </w:r>
          </w:p>
        </w:tc>
        <w:tc>
          <w:tcPr>
            <w:tcW w:w="180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Arthur Jeske, DMD, PhD</w:t>
            </w:r>
          </w:p>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Associate Dean for Strategic Planning and Continuing Dental Education, and Professor</w:t>
            </w:r>
          </w:p>
        </w:tc>
      </w:tr>
      <w:tr w:rsidR="00BD75CF" w:rsidRPr="00743A41" w:rsidTr="00CC735F">
        <w:trPr>
          <w:cantSplit/>
          <w:trHeight w:val="226"/>
        </w:trPr>
        <w:tc>
          <w:tcPr>
            <w:tcW w:w="117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p>
        </w:tc>
        <w:tc>
          <w:tcPr>
            <w:tcW w:w="189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Commission on Dental Accreditation (CODA)</w:t>
            </w:r>
          </w:p>
        </w:tc>
        <w:tc>
          <w:tcPr>
            <w:tcW w:w="171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Certificate in Oral &amp; Maxillofacial Surgery</w:t>
            </w:r>
          </w:p>
        </w:tc>
        <w:tc>
          <w:tcPr>
            <w:tcW w:w="108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2015</w:t>
            </w:r>
          </w:p>
        </w:tc>
        <w:tc>
          <w:tcPr>
            <w:tcW w:w="108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2020</w:t>
            </w:r>
          </w:p>
        </w:tc>
        <w:tc>
          <w:tcPr>
            <w:tcW w:w="180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Mark Wong, BDS</w:t>
            </w:r>
          </w:p>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Professor and Chair</w:t>
            </w:r>
          </w:p>
        </w:tc>
      </w:tr>
      <w:tr w:rsidR="00BD75CF" w:rsidRPr="00743A41" w:rsidTr="00CC735F">
        <w:trPr>
          <w:cantSplit/>
          <w:trHeight w:val="469"/>
        </w:trPr>
        <w:tc>
          <w:tcPr>
            <w:tcW w:w="117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Graduate School of Biomedical Sciences</w:t>
            </w:r>
          </w:p>
        </w:tc>
        <w:tc>
          <w:tcPr>
            <w:tcW w:w="189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Accreditation Council for Genetic Counseling</w:t>
            </w:r>
          </w:p>
        </w:tc>
        <w:tc>
          <w:tcPr>
            <w:tcW w:w="171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MS with specialization in genetic counseling</w:t>
            </w:r>
          </w:p>
        </w:tc>
        <w:tc>
          <w:tcPr>
            <w:tcW w:w="108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2014</w:t>
            </w:r>
          </w:p>
        </w:tc>
        <w:tc>
          <w:tcPr>
            <w:tcW w:w="108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2022</w:t>
            </w:r>
          </w:p>
        </w:tc>
        <w:tc>
          <w:tcPr>
            <w:tcW w:w="180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Claire Singletary,</w:t>
            </w:r>
            <w:r w:rsidRPr="00743A41">
              <w:rPr>
                <w:rFonts w:asciiTheme="majorHAnsi" w:hAnsiTheme="majorHAnsi" w:cstheme="majorHAnsi"/>
                <w:sz w:val="20"/>
                <w:szCs w:val="20"/>
              </w:rPr>
              <w:t xml:space="preserve"> </w:t>
            </w:r>
            <w:r w:rsidRPr="00743A41">
              <w:rPr>
                <w:rFonts w:asciiTheme="majorHAnsi" w:eastAsia="Arial" w:hAnsiTheme="majorHAnsi" w:cstheme="majorHAnsi"/>
                <w:sz w:val="20"/>
                <w:szCs w:val="20"/>
              </w:rPr>
              <w:t>MS, CGC</w:t>
            </w:r>
          </w:p>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hAnsiTheme="majorHAnsi" w:cstheme="majorHAnsi"/>
                <w:sz w:val="20"/>
                <w:szCs w:val="20"/>
              </w:rPr>
              <w:t>Associate Professor of Pediatrics-Clinical</w:t>
            </w:r>
          </w:p>
        </w:tc>
      </w:tr>
      <w:tr w:rsidR="00BD75CF" w:rsidRPr="00743A41" w:rsidTr="00CC735F">
        <w:trPr>
          <w:cantSplit/>
          <w:trHeight w:val="469"/>
        </w:trPr>
        <w:tc>
          <w:tcPr>
            <w:tcW w:w="117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p>
        </w:tc>
        <w:tc>
          <w:tcPr>
            <w:tcW w:w="189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Commission on the Accreditation of Medical Physics Education Programs</w:t>
            </w:r>
          </w:p>
        </w:tc>
        <w:tc>
          <w:tcPr>
            <w:tcW w:w="171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Specialized Master of Science, Doctor of Philosophy and Certificate</w:t>
            </w:r>
          </w:p>
        </w:tc>
        <w:tc>
          <w:tcPr>
            <w:tcW w:w="108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2012</w:t>
            </w:r>
          </w:p>
        </w:tc>
        <w:tc>
          <w:tcPr>
            <w:tcW w:w="108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2017</w:t>
            </w:r>
          </w:p>
        </w:tc>
        <w:tc>
          <w:tcPr>
            <w:tcW w:w="180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Richard Wendt III, PhD</w:t>
            </w:r>
          </w:p>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Professor and Director</w:t>
            </w:r>
          </w:p>
        </w:tc>
      </w:tr>
      <w:tr w:rsidR="00BD75CF" w:rsidRPr="00743A41" w:rsidTr="00CC735F">
        <w:trPr>
          <w:cantSplit/>
          <w:trHeight w:val="453"/>
        </w:trPr>
        <w:tc>
          <w:tcPr>
            <w:tcW w:w="117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lastRenderedPageBreak/>
              <w:t>Medical School</w:t>
            </w:r>
          </w:p>
        </w:tc>
        <w:tc>
          <w:tcPr>
            <w:tcW w:w="189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Liaison Committee on Medical Education (LCME)</w:t>
            </w:r>
          </w:p>
        </w:tc>
        <w:tc>
          <w:tcPr>
            <w:tcW w:w="171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MD</w:t>
            </w:r>
          </w:p>
        </w:tc>
        <w:tc>
          <w:tcPr>
            <w:tcW w:w="108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2012</w:t>
            </w:r>
          </w:p>
        </w:tc>
        <w:tc>
          <w:tcPr>
            <w:tcW w:w="108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2020</w:t>
            </w:r>
          </w:p>
        </w:tc>
        <w:tc>
          <w:tcPr>
            <w:tcW w:w="180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Patricia Butler, MD</w:t>
            </w:r>
          </w:p>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Vice Dean</w:t>
            </w:r>
          </w:p>
        </w:tc>
      </w:tr>
      <w:tr w:rsidR="00BD75CF" w:rsidRPr="00743A41" w:rsidTr="00CC735F">
        <w:trPr>
          <w:cantSplit/>
          <w:trHeight w:val="469"/>
        </w:trPr>
        <w:tc>
          <w:tcPr>
            <w:tcW w:w="117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School of Nursing</w:t>
            </w:r>
          </w:p>
        </w:tc>
        <w:tc>
          <w:tcPr>
            <w:tcW w:w="189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Commission on Collegiate Nursing Education (CCNE)</w:t>
            </w:r>
          </w:p>
        </w:tc>
        <w:tc>
          <w:tcPr>
            <w:tcW w:w="171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BSN, MSN, DPN</w:t>
            </w:r>
          </w:p>
        </w:tc>
        <w:tc>
          <w:tcPr>
            <w:tcW w:w="108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2011</w:t>
            </w:r>
          </w:p>
        </w:tc>
        <w:tc>
          <w:tcPr>
            <w:tcW w:w="108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2021</w:t>
            </w:r>
          </w:p>
        </w:tc>
        <w:tc>
          <w:tcPr>
            <w:tcW w:w="180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Diane M. Santa Maria, DrPH, MSN, RN, APHN-BC</w:t>
            </w:r>
          </w:p>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Dean Ad Interim</w:t>
            </w:r>
          </w:p>
        </w:tc>
      </w:tr>
      <w:tr w:rsidR="00BD75CF" w:rsidRPr="00743A41" w:rsidTr="00CC735F">
        <w:trPr>
          <w:cantSplit/>
          <w:trHeight w:val="712"/>
        </w:trPr>
        <w:tc>
          <w:tcPr>
            <w:tcW w:w="117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p>
        </w:tc>
        <w:tc>
          <w:tcPr>
            <w:tcW w:w="189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Council on Accreditation of Nurse Anesthesia Educational Program (COA-NAEP)</w:t>
            </w:r>
          </w:p>
        </w:tc>
        <w:tc>
          <w:tcPr>
            <w:tcW w:w="171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Nurse Anesthesia</w:t>
            </w:r>
          </w:p>
        </w:tc>
        <w:tc>
          <w:tcPr>
            <w:tcW w:w="108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2011</w:t>
            </w:r>
          </w:p>
        </w:tc>
        <w:tc>
          <w:tcPr>
            <w:tcW w:w="108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2021</w:t>
            </w:r>
          </w:p>
        </w:tc>
        <w:tc>
          <w:tcPr>
            <w:tcW w:w="180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Myron H. Arnaud,  DNP, CRNA</w:t>
            </w:r>
          </w:p>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Division Director</w:t>
            </w:r>
          </w:p>
        </w:tc>
      </w:tr>
      <w:tr w:rsidR="00BD75CF" w:rsidRPr="00743A41" w:rsidTr="00CC735F">
        <w:trPr>
          <w:cantSplit/>
          <w:trHeight w:val="453"/>
        </w:trPr>
        <w:tc>
          <w:tcPr>
            <w:tcW w:w="117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School of Public Health</w:t>
            </w:r>
          </w:p>
        </w:tc>
        <w:tc>
          <w:tcPr>
            <w:tcW w:w="189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Council on Education for Public Health (CEPH)</w:t>
            </w:r>
          </w:p>
        </w:tc>
        <w:tc>
          <w:tcPr>
            <w:tcW w:w="171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MPH, MS, DrPH, PhD</w:t>
            </w:r>
          </w:p>
        </w:tc>
        <w:tc>
          <w:tcPr>
            <w:tcW w:w="108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2012</w:t>
            </w:r>
          </w:p>
        </w:tc>
        <w:tc>
          <w:tcPr>
            <w:tcW w:w="108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2019</w:t>
            </w:r>
          </w:p>
        </w:tc>
        <w:tc>
          <w:tcPr>
            <w:tcW w:w="180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Susan Tortolero Emery, PhD</w:t>
            </w:r>
          </w:p>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Sr. Associate Dean, Academic and Research Affairs</w:t>
            </w:r>
          </w:p>
        </w:tc>
      </w:tr>
      <w:tr w:rsidR="00BD75CF" w:rsidRPr="00743A41" w:rsidTr="00CC735F">
        <w:trPr>
          <w:cantSplit/>
          <w:trHeight w:val="469"/>
        </w:trPr>
        <w:tc>
          <w:tcPr>
            <w:tcW w:w="117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p>
        </w:tc>
        <w:tc>
          <w:tcPr>
            <w:tcW w:w="189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Applied and Natural Science Accreditation Commission of ABET</w:t>
            </w:r>
          </w:p>
        </w:tc>
        <w:tc>
          <w:tcPr>
            <w:tcW w:w="171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MPH, Industrial Hygiene</w:t>
            </w:r>
          </w:p>
        </w:tc>
        <w:tc>
          <w:tcPr>
            <w:tcW w:w="108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2015</w:t>
            </w:r>
          </w:p>
        </w:tc>
        <w:tc>
          <w:tcPr>
            <w:tcW w:w="108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2020-21</w:t>
            </w:r>
          </w:p>
        </w:tc>
        <w:tc>
          <w:tcPr>
            <w:tcW w:w="180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Larry Whitehead, PhD</w:t>
            </w:r>
          </w:p>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Associate Professor</w:t>
            </w:r>
          </w:p>
        </w:tc>
      </w:tr>
      <w:tr w:rsidR="00BD75CF" w:rsidRPr="00743A41" w:rsidTr="00CC735F">
        <w:trPr>
          <w:cantSplit/>
          <w:trHeight w:val="469"/>
        </w:trPr>
        <w:tc>
          <w:tcPr>
            <w:tcW w:w="117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highlight w:val="yellow"/>
              </w:rPr>
            </w:pPr>
          </w:p>
        </w:tc>
        <w:tc>
          <w:tcPr>
            <w:tcW w:w="189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Accreditation Council for Graduate Medical Education</w:t>
            </w:r>
          </w:p>
        </w:tc>
        <w:tc>
          <w:tcPr>
            <w:tcW w:w="171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Occupational and Environmental Medicine Residency</w:t>
            </w:r>
          </w:p>
        </w:tc>
        <w:tc>
          <w:tcPr>
            <w:tcW w:w="108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2010</w:t>
            </w:r>
          </w:p>
        </w:tc>
        <w:tc>
          <w:tcPr>
            <w:tcW w:w="108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2020</w:t>
            </w:r>
          </w:p>
        </w:tc>
        <w:tc>
          <w:tcPr>
            <w:tcW w:w="1800" w:type="dxa"/>
            <w:shd w:val="clear" w:color="auto" w:fill="auto"/>
          </w:tcPr>
          <w:p w:rsidR="00E5568F" w:rsidRPr="00743A41" w:rsidRDefault="00E5568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George Delclos, MD</w:t>
            </w:r>
          </w:p>
          <w:p w:rsidR="00BD75CF" w:rsidRPr="00743A41" w:rsidRDefault="00E5568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Associate Professor</w:t>
            </w:r>
          </w:p>
        </w:tc>
      </w:tr>
      <w:tr w:rsidR="00BD75CF" w:rsidRPr="00743A41" w:rsidTr="00CC735F">
        <w:trPr>
          <w:cantSplit/>
          <w:trHeight w:val="469"/>
        </w:trPr>
        <w:tc>
          <w:tcPr>
            <w:tcW w:w="117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p>
        </w:tc>
        <w:tc>
          <w:tcPr>
            <w:tcW w:w="189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Accreditation Council for Education in Nutrition and Diabetes (ACEND)</w:t>
            </w:r>
          </w:p>
        </w:tc>
        <w:tc>
          <w:tcPr>
            <w:tcW w:w="171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Dietetic Internship Program</w:t>
            </w:r>
          </w:p>
        </w:tc>
        <w:tc>
          <w:tcPr>
            <w:tcW w:w="108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2011</w:t>
            </w:r>
          </w:p>
        </w:tc>
        <w:tc>
          <w:tcPr>
            <w:tcW w:w="108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2021</w:t>
            </w:r>
          </w:p>
        </w:tc>
        <w:tc>
          <w:tcPr>
            <w:tcW w:w="1800" w:type="dxa"/>
            <w:shd w:val="clear" w:color="auto" w:fill="D9D9D9" w:themeFill="background1" w:themeFillShade="D9"/>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Laura Moore, MEd, RD, LD</w:t>
            </w:r>
          </w:p>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Dietetic Specialist</w:t>
            </w:r>
          </w:p>
        </w:tc>
      </w:tr>
      <w:tr w:rsidR="00BD75CF" w:rsidRPr="00743A41" w:rsidTr="00CC735F">
        <w:trPr>
          <w:cantSplit/>
          <w:trHeight w:val="695"/>
        </w:trPr>
        <w:tc>
          <w:tcPr>
            <w:tcW w:w="117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p>
        </w:tc>
        <w:tc>
          <w:tcPr>
            <w:tcW w:w="189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Commission on Accreditation Healthcare Management Education (CAHME)</w:t>
            </w:r>
          </w:p>
        </w:tc>
        <w:tc>
          <w:tcPr>
            <w:tcW w:w="171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Healthcare Management Program</w:t>
            </w:r>
          </w:p>
        </w:tc>
        <w:tc>
          <w:tcPr>
            <w:tcW w:w="108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2017</w:t>
            </w:r>
          </w:p>
        </w:tc>
        <w:tc>
          <w:tcPr>
            <w:tcW w:w="1080" w:type="dxa"/>
            <w:shd w:val="clear" w:color="auto" w:fill="auto"/>
          </w:tcPr>
          <w:p w:rsidR="00BD75CF" w:rsidRPr="00743A41" w:rsidRDefault="00BD75CF" w:rsidP="00A37ED6">
            <w:pPr>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2020</w:t>
            </w:r>
          </w:p>
        </w:tc>
        <w:tc>
          <w:tcPr>
            <w:tcW w:w="1800" w:type="dxa"/>
            <w:shd w:val="clear" w:color="auto" w:fill="auto"/>
          </w:tcPr>
          <w:p w:rsidR="00BD75CF" w:rsidRPr="00743A41" w:rsidRDefault="00BD75CF" w:rsidP="00A37ED6">
            <w:pPr>
              <w:keepNext/>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Lee Revere, PhD</w:t>
            </w:r>
          </w:p>
          <w:p w:rsidR="00BD75CF" w:rsidRPr="00743A41" w:rsidRDefault="00BD75CF" w:rsidP="00A37ED6">
            <w:pPr>
              <w:keepNext/>
              <w:widowControl w:val="0"/>
              <w:tabs>
                <w:tab w:val="left" w:pos="720"/>
                <w:tab w:val="left" w:pos="820"/>
              </w:tabs>
              <w:rPr>
                <w:rFonts w:asciiTheme="majorHAnsi" w:eastAsia="Arial" w:hAnsiTheme="majorHAnsi" w:cstheme="majorHAnsi"/>
                <w:sz w:val="20"/>
                <w:szCs w:val="20"/>
              </w:rPr>
            </w:pPr>
            <w:r w:rsidRPr="00743A41">
              <w:rPr>
                <w:rFonts w:asciiTheme="majorHAnsi" w:eastAsia="Arial" w:hAnsiTheme="majorHAnsi" w:cstheme="majorHAnsi"/>
                <w:sz w:val="20"/>
                <w:szCs w:val="20"/>
              </w:rPr>
              <w:t>Associate Professor</w:t>
            </w:r>
          </w:p>
        </w:tc>
      </w:tr>
    </w:tbl>
    <w:p w:rsidR="00BD75CF" w:rsidRPr="00743A41" w:rsidRDefault="00BD75CF" w:rsidP="00A37ED6">
      <w:pPr>
        <w:widowControl w:val="0"/>
        <w:tabs>
          <w:tab w:val="left" w:pos="720"/>
          <w:tab w:val="left" w:pos="820"/>
        </w:tabs>
        <w:ind w:left="720"/>
        <w:rPr>
          <w:rFonts w:asciiTheme="majorHAnsi" w:eastAsia="Arial" w:hAnsiTheme="majorHAnsi" w:cstheme="majorHAnsi"/>
          <w:sz w:val="20"/>
          <w:szCs w:val="20"/>
        </w:rPr>
      </w:pPr>
    </w:p>
    <w:p w:rsidR="000A7F8B" w:rsidRPr="00743A41" w:rsidRDefault="000A7F8B" w:rsidP="00A37ED6">
      <w:pPr>
        <w:pStyle w:val="Default"/>
        <w:ind w:left="720"/>
        <w:jc w:val="both"/>
        <w:rPr>
          <w:rFonts w:asciiTheme="majorHAnsi" w:hAnsiTheme="majorHAnsi" w:cstheme="majorHAnsi"/>
          <w:color w:val="auto"/>
          <w:szCs w:val="20"/>
        </w:rPr>
      </w:pPr>
    </w:p>
    <w:p w:rsidR="000A7F8B" w:rsidRPr="00743A41" w:rsidRDefault="00933038" w:rsidP="00A37ED6">
      <w:pPr>
        <w:pStyle w:val="Default"/>
        <w:numPr>
          <w:ilvl w:val="0"/>
          <w:numId w:val="44"/>
        </w:numPr>
        <w:ind w:left="720"/>
        <w:jc w:val="both"/>
        <w:rPr>
          <w:rFonts w:asciiTheme="majorHAnsi" w:hAnsiTheme="majorHAnsi" w:cstheme="majorHAnsi"/>
          <w:color w:val="auto"/>
          <w:szCs w:val="20"/>
        </w:rPr>
      </w:pPr>
      <w:r w:rsidRPr="00743A41">
        <w:rPr>
          <w:rFonts w:asciiTheme="majorHAnsi" w:hAnsiTheme="majorHAnsi" w:cstheme="majorHAnsi"/>
          <w:color w:val="auto"/>
          <w:szCs w:val="20"/>
        </w:rPr>
        <w:t>brief history and evolution of the school of public health (SPH) and related organizational elements, if applicable (eg, date founded, educational focus, other degrees offered, rationale for offering public health education in unit, etc.)</w:t>
      </w:r>
    </w:p>
    <w:p w:rsidR="000A7F8B" w:rsidRPr="00743A41" w:rsidRDefault="000A7F8B" w:rsidP="00A37ED6">
      <w:pPr>
        <w:pStyle w:val="Default"/>
        <w:ind w:left="360"/>
        <w:jc w:val="both"/>
        <w:rPr>
          <w:rFonts w:asciiTheme="majorHAnsi" w:hAnsiTheme="majorHAnsi" w:cstheme="majorHAnsi"/>
          <w:color w:val="auto"/>
          <w:szCs w:val="20"/>
        </w:rPr>
      </w:pPr>
    </w:p>
    <w:p w:rsidR="008102DF" w:rsidRPr="00743A41" w:rsidRDefault="008102DF" w:rsidP="00A37ED6">
      <w:pPr>
        <w:ind w:left="720"/>
        <w:rPr>
          <w:rFonts w:asciiTheme="majorHAnsi" w:eastAsia="Times New Roman" w:hAnsiTheme="majorHAnsi" w:cstheme="majorHAnsi"/>
          <w:sz w:val="20"/>
          <w:szCs w:val="20"/>
        </w:rPr>
      </w:pPr>
      <w:r w:rsidRPr="00743A41">
        <w:rPr>
          <w:rFonts w:asciiTheme="majorHAnsi" w:eastAsia="Times New Roman" w:hAnsiTheme="majorHAnsi" w:cstheme="majorHAnsi"/>
          <w:bCs/>
          <w:sz w:val="20"/>
          <w:szCs w:val="20"/>
        </w:rPr>
        <w:t xml:space="preserve">The UTHealth School of Public Health prides itself on being the original and largest school of public health in Texas, and is part of a much bigger history of </w:t>
      </w:r>
      <w:r w:rsidR="00D06EEE" w:rsidRPr="00743A41">
        <w:rPr>
          <w:rFonts w:asciiTheme="majorHAnsi" w:eastAsia="Times New Roman" w:hAnsiTheme="majorHAnsi" w:cstheme="majorHAnsi"/>
          <w:bCs/>
          <w:sz w:val="20"/>
          <w:szCs w:val="20"/>
        </w:rPr>
        <w:t>healthcare</w:t>
      </w:r>
      <w:r w:rsidRPr="00743A41">
        <w:rPr>
          <w:rFonts w:asciiTheme="majorHAnsi" w:eastAsia="Times New Roman" w:hAnsiTheme="majorHAnsi" w:cstheme="majorHAnsi"/>
          <w:bCs/>
          <w:sz w:val="20"/>
          <w:szCs w:val="20"/>
        </w:rPr>
        <w:t xml:space="preserve"> in the U.S</w:t>
      </w:r>
      <w:r w:rsidRPr="00743A41">
        <w:rPr>
          <w:rFonts w:asciiTheme="majorHAnsi" w:eastAsia="Times New Roman" w:hAnsiTheme="majorHAnsi" w:cstheme="majorHAnsi"/>
          <w:b/>
          <w:bCs/>
          <w:sz w:val="20"/>
          <w:szCs w:val="20"/>
        </w:rPr>
        <w:t xml:space="preserve">. </w:t>
      </w:r>
      <w:r w:rsidRPr="00743A41">
        <w:rPr>
          <w:rFonts w:asciiTheme="majorHAnsi" w:eastAsia="Times New Roman" w:hAnsiTheme="majorHAnsi" w:cstheme="majorHAnsi"/>
          <w:sz w:val="20"/>
          <w:szCs w:val="20"/>
        </w:rPr>
        <w:t xml:space="preserve">In the early 20th century, the founders of MD Anderson Cancer Center and the University of Texas laid the plans for a world-class medical center to establish and support the advancement of health, science, and knowledge for future generations. </w:t>
      </w:r>
    </w:p>
    <w:p w:rsidR="008102DF" w:rsidRPr="00743A41" w:rsidRDefault="008102DF" w:rsidP="00A37ED6">
      <w:pPr>
        <w:ind w:left="720"/>
        <w:rPr>
          <w:rFonts w:asciiTheme="majorHAnsi" w:eastAsia="Times New Roman" w:hAnsiTheme="majorHAnsi" w:cstheme="majorHAnsi"/>
          <w:sz w:val="20"/>
          <w:szCs w:val="20"/>
        </w:rPr>
      </w:pPr>
    </w:p>
    <w:p w:rsidR="008102DF" w:rsidRPr="00743A41" w:rsidRDefault="008102DF" w:rsidP="00A37ED6">
      <w:pPr>
        <w:ind w:left="720"/>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 xml:space="preserve">Now known fondly as “The Med Center,” Houston’s health and medical district continues to grow, as does the UTHealth School of Public Health. Since the founding of the Houston campus in 1969, the UTHealth </w:t>
      </w:r>
      <w:r w:rsidRPr="00743A41">
        <w:rPr>
          <w:rFonts w:asciiTheme="majorHAnsi" w:eastAsia="Times New Roman" w:hAnsiTheme="majorHAnsi" w:cstheme="majorHAnsi"/>
          <w:sz w:val="20"/>
          <w:szCs w:val="20"/>
        </w:rPr>
        <w:lastRenderedPageBreak/>
        <w:t xml:space="preserve">School of Public Health has worked to expand its reach and impact across Texas. Because a single campus cannot create better health outcomes across a state that encompasses many different populations, the UTHealth School of Public Health has spread to six campuses located strategically across Texas. </w:t>
      </w:r>
    </w:p>
    <w:p w:rsidR="008102DF" w:rsidRPr="00743A41" w:rsidRDefault="008102DF" w:rsidP="00A37ED6">
      <w:pPr>
        <w:ind w:left="720"/>
        <w:rPr>
          <w:rFonts w:asciiTheme="majorHAnsi" w:eastAsia="Times New Roman" w:hAnsiTheme="majorHAnsi" w:cstheme="majorHAnsi"/>
          <w:sz w:val="20"/>
          <w:szCs w:val="20"/>
        </w:rPr>
      </w:pPr>
    </w:p>
    <w:p w:rsidR="008102DF" w:rsidRPr="00743A41" w:rsidRDefault="008102DF" w:rsidP="00A37ED6">
      <w:pPr>
        <w:ind w:left="720"/>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Establishment of campuses:</w:t>
      </w:r>
    </w:p>
    <w:p w:rsidR="008102DF" w:rsidRPr="00743A41" w:rsidRDefault="008102DF" w:rsidP="00A37ED6">
      <w:pPr>
        <w:pStyle w:val="ListParagraph"/>
        <w:numPr>
          <w:ilvl w:val="0"/>
          <w:numId w:val="61"/>
        </w:numPr>
        <w:ind w:left="1440"/>
        <w:contextualSpacing/>
        <w:rPr>
          <w:rFonts w:asciiTheme="majorHAnsi" w:hAnsiTheme="majorHAnsi" w:cstheme="majorHAnsi"/>
          <w:szCs w:val="20"/>
        </w:rPr>
      </w:pPr>
      <w:r w:rsidRPr="00743A41">
        <w:rPr>
          <w:rFonts w:asciiTheme="majorHAnsi" w:hAnsiTheme="majorHAnsi" w:cstheme="majorHAnsi"/>
          <w:szCs w:val="20"/>
        </w:rPr>
        <w:t>In 1979, the San Antonio campus was established. </w:t>
      </w:r>
    </w:p>
    <w:p w:rsidR="008102DF" w:rsidRPr="00743A41" w:rsidRDefault="008102DF" w:rsidP="00A37ED6">
      <w:pPr>
        <w:pStyle w:val="ListParagraph"/>
        <w:numPr>
          <w:ilvl w:val="0"/>
          <w:numId w:val="61"/>
        </w:numPr>
        <w:ind w:left="1440"/>
        <w:contextualSpacing/>
        <w:rPr>
          <w:rFonts w:asciiTheme="majorHAnsi" w:hAnsiTheme="majorHAnsi" w:cstheme="majorHAnsi"/>
          <w:szCs w:val="20"/>
        </w:rPr>
      </w:pPr>
      <w:r w:rsidRPr="00743A41">
        <w:rPr>
          <w:rFonts w:asciiTheme="majorHAnsi" w:hAnsiTheme="majorHAnsi" w:cstheme="majorHAnsi"/>
          <w:szCs w:val="20"/>
        </w:rPr>
        <w:t>In 1992, the El Paso campus opened its doors. </w:t>
      </w:r>
    </w:p>
    <w:p w:rsidR="008102DF" w:rsidRPr="00743A41" w:rsidRDefault="008102DF" w:rsidP="00A37ED6">
      <w:pPr>
        <w:pStyle w:val="ListParagraph"/>
        <w:numPr>
          <w:ilvl w:val="0"/>
          <w:numId w:val="61"/>
        </w:numPr>
        <w:ind w:left="1440"/>
        <w:contextualSpacing/>
        <w:rPr>
          <w:rFonts w:asciiTheme="majorHAnsi" w:hAnsiTheme="majorHAnsi" w:cstheme="majorHAnsi"/>
          <w:szCs w:val="20"/>
        </w:rPr>
      </w:pPr>
      <w:r w:rsidRPr="00743A41">
        <w:rPr>
          <w:rFonts w:asciiTheme="majorHAnsi" w:hAnsiTheme="majorHAnsi" w:cstheme="majorHAnsi"/>
          <w:szCs w:val="20"/>
        </w:rPr>
        <w:t>In 1998, the Dallas campus was launched.</w:t>
      </w:r>
    </w:p>
    <w:p w:rsidR="008102DF" w:rsidRPr="00743A41" w:rsidRDefault="008102DF" w:rsidP="00A37ED6">
      <w:pPr>
        <w:pStyle w:val="ListParagraph"/>
        <w:numPr>
          <w:ilvl w:val="0"/>
          <w:numId w:val="61"/>
        </w:numPr>
        <w:ind w:left="1440"/>
        <w:contextualSpacing/>
        <w:rPr>
          <w:rFonts w:asciiTheme="majorHAnsi" w:hAnsiTheme="majorHAnsi" w:cstheme="majorHAnsi"/>
          <w:szCs w:val="20"/>
        </w:rPr>
      </w:pPr>
      <w:r w:rsidRPr="00743A41">
        <w:rPr>
          <w:rFonts w:asciiTheme="majorHAnsi" w:hAnsiTheme="majorHAnsi" w:cstheme="majorHAnsi"/>
          <w:szCs w:val="20"/>
        </w:rPr>
        <w:t>In 2000, the Brownsville campus was opened.</w:t>
      </w:r>
    </w:p>
    <w:p w:rsidR="008102DF" w:rsidRPr="00743A41" w:rsidRDefault="008102DF" w:rsidP="00A37ED6">
      <w:pPr>
        <w:pStyle w:val="ListParagraph"/>
        <w:numPr>
          <w:ilvl w:val="0"/>
          <w:numId w:val="61"/>
        </w:numPr>
        <w:ind w:left="1440"/>
        <w:contextualSpacing/>
        <w:rPr>
          <w:rFonts w:asciiTheme="majorHAnsi" w:hAnsiTheme="majorHAnsi" w:cstheme="majorHAnsi"/>
          <w:szCs w:val="20"/>
        </w:rPr>
      </w:pPr>
      <w:r w:rsidRPr="00743A41">
        <w:rPr>
          <w:rFonts w:asciiTheme="majorHAnsi" w:hAnsiTheme="majorHAnsi" w:cstheme="majorHAnsi"/>
          <w:szCs w:val="20"/>
        </w:rPr>
        <w:t xml:space="preserve">In 2007, the Austin campus was launched. </w:t>
      </w:r>
    </w:p>
    <w:p w:rsidR="008102DF" w:rsidRPr="00743A41" w:rsidRDefault="008102DF" w:rsidP="00A37ED6">
      <w:pPr>
        <w:ind w:left="720"/>
        <w:rPr>
          <w:rFonts w:asciiTheme="majorHAnsi" w:eastAsia="Times New Roman" w:hAnsiTheme="majorHAnsi" w:cstheme="majorHAnsi"/>
          <w:sz w:val="20"/>
          <w:szCs w:val="20"/>
        </w:rPr>
      </w:pPr>
    </w:p>
    <w:p w:rsidR="008102DF" w:rsidRPr="00743A41" w:rsidRDefault="008102DF" w:rsidP="00A37ED6">
      <w:pPr>
        <w:ind w:left="720"/>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 xml:space="preserve">By establishing these campuses, the UTHealth School of Public Health has built relationships with city governments, city and county health departments, local </w:t>
      </w:r>
      <w:r w:rsidR="00D06EEE" w:rsidRPr="00743A41">
        <w:rPr>
          <w:rFonts w:asciiTheme="majorHAnsi" w:eastAsia="Times New Roman" w:hAnsiTheme="majorHAnsi" w:cstheme="majorHAnsi"/>
          <w:sz w:val="20"/>
          <w:szCs w:val="20"/>
        </w:rPr>
        <w:t>healthcare</w:t>
      </w:r>
      <w:r w:rsidRPr="00743A41">
        <w:rPr>
          <w:rFonts w:asciiTheme="majorHAnsi" w:eastAsia="Times New Roman" w:hAnsiTheme="majorHAnsi" w:cstheme="majorHAnsi"/>
          <w:sz w:val="20"/>
          <w:szCs w:val="20"/>
        </w:rPr>
        <w:t xml:space="preserve"> systems, new communities, academic institutions, and industries to better support the needs of culturally complex and diverse areas in which Texans live, work, and play. </w:t>
      </w:r>
    </w:p>
    <w:p w:rsidR="008102DF" w:rsidRPr="00743A41" w:rsidRDefault="008102DF" w:rsidP="00A37ED6">
      <w:pPr>
        <w:ind w:left="720"/>
        <w:rPr>
          <w:rFonts w:asciiTheme="majorHAnsi" w:eastAsia="Times New Roman" w:hAnsiTheme="majorHAnsi" w:cstheme="majorHAnsi"/>
          <w:color w:val="FF0000"/>
          <w:sz w:val="20"/>
          <w:szCs w:val="20"/>
          <w:highlight w:val="yellow"/>
        </w:rPr>
      </w:pPr>
    </w:p>
    <w:p w:rsidR="008102DF" w:rsidRPr="00743A41" w:rsidRDefault="008102DF" w:rsidP="00A37ED6">
      <w:pPr>
        <w:pStyle w:val="Default"/>
        <w:ind w:left="720"/>
        <w:rPr>
          <w:rFonts w:asciiTheme="majorHAnsi" w:hAnsiTheme="majorHAnsi" w:cstheme="majorHAnsi"/>
          <w:color w:val="auto"/>
          <w:szCs w:val="20"/>
        </w:rPr>
      </w:pPr>
      <w:r w:rsidRPr="00743A41">
        <w:rPr>
          <w:rFonts w:asciiTheme="majorHAnsi" w:eastAsia="Times New Roman" w:hAnsiTheme="majorHAnsi" w:cstheme="majorHAnsi"/>
          <w:bCs/>
          <w:i/>
          <w:szCs w:val="20"/>
        </w:rPr>
        <w:t>And Texas is only the beginning.</w:t>
      </w:r>
      <w:r w:rsidRPr="00743A41">
        <w:rPr>
          <w:rFonts w:asciiTheme="majorHAnsi" w:eastAsia="Times New Roman" w:hAnsiTheme="majorHAnsi" w:cstheme="majorHAnsi"/>
          <w:b/>
          <w:bCs/>
          <w:szCs w:val="20"/>
        </w:rPr>
        <w:t> </w:t>
      </w:r>
      <w:r w:rsidRPr="00743A41">
        <w:rPr>
          <w:rFonts w:asciiTheme="majorHAnsi" w:eastAsia="Times New Roman" w:hAnsiTheme="majorHAnsi" w:cstheme="majorHAnsi"/>
          <w:szCs w:val="20"/>
        </w:rPr>
        <w:t>The UTHealth School of Public Health is home to students and faculty from 50+ countries on six of the seven continents, who bring new perspectives, experiences, and opportunities to our classrooms. The educational experience offered by the school is backed by the history and community first established in Houston in 1967, and further propelled by the school’s extensive alumni and partner networks built over decades and spanning across the state, the nation, and the globe.</w:t>
      </w:r>
    </w:p>
    <w:p w:rsidR="00933038" w:rsidRPr="00743A41" w:rsidRDefault="00933038" w:rsidP="00A37ED6">
      <w:pPr>
        <w:jc w:val="both"/>
        <w:rPr>
          <w:rFonts w:asciiTheme="majorHAnsi" w:hAnsiTheme="majorHAnsi" w:cstheme="majorHAnsi"/>
          <w:b/>
          <w:sz w:val="20"/>
          <w:szCs w:val="20"/>
        </w:rPr>
      </w:pPr>
    </w:p>
    <w:p w:rsidR="00933038" w:rsidRPr="00743A41" w:rsidRDefault="00933038" w:rsidP="00A37ED6">
      <w:pPr>
        <w:pStyle w:val="ListParagraph"/>
        <w:numPr>
          <w:ilvl w:val="0"/>
          <w:numId w:val="45"/>
        </w:numPr>
        <w:ind w:left="360"/>
        <w:jc w:val="both"/>
        <w:rPr>
          <w:rFonts w:asciiTheme="majorHAnsi" w:hAnsiTheme="majorHAnsi" w:cstheme="majorHAnsi"/>
          <w:b/>
          <w:szCs w:val="20"/>
        </w:rPr>
      </w:pPr>
      <w:r w:rsidRPr="00743A41">
        <w:rPr>
          <w:rFonts w:asciiTheme="majorHAnsi" w:hAnsiTheme="majorHAnsi" w:cstheme="majorHAnsi"/>
          <w:b/>
          <w:szCs w:val="20"/>
        </w:rPr>
        <w:t xml:space="preserve">Organizational charts that clearly depict the following related to the school: </w:t>
      </w:r>
    </w:p>
    <w:p w:rsidR="00933038" w:rsidRPr="00743A41" w:rsidRDefault="00933038" w:rsidP="00A37ED6">
      <w:pPr>
        <w:ind w:left="1080"/>
        <w:jc w:val="both"/>
        <w:rPr>
          <w:rFonts w:asciiTheme="majorHAnsi" w:hAnsiTheme="majorHAnsi" w:cstheme="majorHAnsi"/>
          <w:sz w:val="20"/>
          <w:szCs w:val="20"/>
        </w:rPr>
      </w:pPr>
    </w:p>
    <w:p w:rsidR="00933038" w:rsidRPr="00743A41" w:rsidRDefault="00933038" w:rsidP="00A37ED6">
      <w:pPr>
        <w:numPr>
          <w:ilvl w:val="0"/>
          <w:numId w:val="43"/>
        </w:numPr>
        <w:ind w:left="720"/>
        <w:jc w:val="both"/>
        <w:rPr>
          <w:rFonts w:asciiTheme="majorHAnsi" w:hAnsiTheme="majorHAnsi" w:cstheme="majorHAnsi"/>
          <w:sz w:val="20"/>
          <w:szCs w:val="20"/>
        </w:rPr>
      </w:pPr>
      <w:r w:rsidRPr="00743A41">
        <w:rPr>
          <w:rFonts w:asciiTheme="majorHAnsi" w:hAnsiTheme="majorHAnsi" w:cstheme="majorHAnsi"/>
          <w:sz w:val="20"/>
          <w:szCs w:val="20"/>
        </w:rPr>
        <w:t>the school’s internal organization, including the repo</w:t>
      </w:r>
      <w:r w:rsidR="006C0C58" w:rsidRPr="00743A41">
        <w:rPr>
          <w:rFonts w:asciiTheme="majorHAnsi" w:hAnsiTheme="majorHAnsi" w:cstheme="majorHAnsi"/>
          <w:sz w:val="20"/>
          <w:szCs w:val="20"/>
        </w:rPr>
        <w:t>rting lines to the dean</w:t>
      </w:r>
    </w:p>
    <w:p w:rsidR="00933038" w:rsidRPr="00743A41" w:rsidRDefault="00933038" w:rsidP="00A37ED6">
      <w:pPr>
        <w:ind w:left="720"/>
        <w:jc w:val="both"/>
        <w:rPr>
          <w:rFonts w:asciiTheme="majorHAnsi" w:hAnsiTheme="majorHAnsi" w:cstheme="majorHAnsi"/>
          <w:sz w:val="20"/>
          <w:szCs w:val="20"/>
        </w:rPr>
      </w:pPr>
    </w:p>
    <w:p w:rsidR="008266E3" w:rsidRPr="00743A41" w:rsidRDefault="008266E3" w:rsidP="00A37ED6">
      <w:pPr>
        <w:ind w:left="720"/>
        <w:rPr>
          <w:rFonts w:asciiTheme="majorHAnsi" w:hAnsiTheme="majorHAnsi" w:cstheme="majorHAnsi"/>
          <w:sz w:val="20"/>
          <w:szCs w:val="20"/>
        </w:rPr>
      </w:pPr>
      <w:r w:rsidRPr="00743A41">
        <w:rPr>
          <w:rFonts w:asciiTheme="majorHAnsi" w:eastAsia="Arial" w:hAnsiTheme="majorHAnsi" w:cstheme="majorHAnsi"/>
          <w:sz w:val="20"/>
          <w:szCs w:val="20"/>
        </w:rPr>
        <w:t xml:space="preserve">The UTHealth School of Public Health’s organizational chart is </w:t>
      </w:r>
      <w:r w:rsidRPr="006E28EE">
        <w:rPr>
          <w:rFonts w:asciiTheme="majorHAnsi" w:eastAsia="Arial" w:hAnsiTheme="majorHAnsi" w:cstheme="majorHAnsi"/>
          <w:sz w:val="20"/>
          <w:szCs w:val="20"/>
        </w:rPr>
        <w:t xml:space="preserve">displayed in </w:t>
      </w:r>
      <w:hyperlink w:anchor="FigureIntro2a" w:history="1">
        <w:r w:rsidRPr="006E28EE">
          <w:rPr>
            <w:rStyle w:val="Hyperlink"/>
            <w:rFonts w:asciiTheme="majorHAnsi" w:eastAsia="Arial" w:hAnsiTheme="majorHAnsi" w:cstheme="majorHAnsi"/>
            <w:sz w:val="20"/>
            <w:szCs w:val="20"/>
          </w:rPr>
          <w:t>Figure Intro.2.a</w:t>
        </w:r>
      </w:hyperlink>
      <w:r w:rsidR="00AC35BD">
        <w:rPr>
          <w:rFonts w:asciiTheme="majorHAnsi" w:eastAsia="Arial" w:hAnsiTheme="majorHAnsi" w:cstheme="majorHAnsi"/>
          <w:sz w:val="20"/>
          <w:szCs w:val="20"/>
        </w:rPr>
        <w:t xml:space="preserve"> </w:t>
      </w:r>
      <w:r w:rsidR="00AC35BD" w:rsidRPr="00743A41">
        <w:rPr>
          <w:rFonts w:asciiTheme="majorHAnsi" w:eastAsia="Arial" w:hAnsiTheme="majorHAnsi" w:cstheme="majorHAnsi"/>
          <w:sz w:val="20"/>
          <w:szCs w:val="20"/>
        </w:rPr>
        <w:t>(</w:t>
      </w:r>
      <w:r w:rsidR="00AC35BD" w:rsidRPr="00B861A8">
        <w:rPr>
          <w:rFonts w:asciiTheme="majorHAnsi" w:eastAsia="Arial" w:hAnsiTheme="majorHAnsi" w:cstheme="majorHAnsi"/>
          <w:i/>
          <w:sz w:val="20"/>
          <w:szCs w:val="20"/>
        </w:rPr>
        <w:t>ERF, Introduction</w:t>
      </w:r>
      <w:r w:rsidR="00AC35BD" w:rsidRPr="00743A41">
        <w:rPr>
          <w:rFonts w:asciiTheme="majorHAnsi" w:eastAsia="Arial" w:hAnsiTheme="majorHAnsi" w:cstheme="majorHAnsi"/>
          <w:sz w:val="20"/>
          <w:szCs w:val="20"/>
        </w:rPr>
        <w:t>)</w:t>
      </w:r>
      <w:r w:rsidR="00AC35BD">
        <w:rPr>
          <w:rFonts w:asciiTheme="majorHAnsi" w:eastAsia="Arial" w:hAnsiTheme="majorHAnsi" w:cstheme="majorHAnsi"/>
          <w:sz w:val="20"/>
          <w:szCs w:val="20"/>
        </w:rPr>
        <w:t xml:space="preserve">. </w:t>
      </w:r>
    </w:p>
    <w:p w:rsidR="008266E3" w:rsidRPr="00743A41" w:rsidRDefault="008266E3" w:rsidP="00A37ED6">
      <w:pPr>
        <w:ind w:left="720"/>
        <w:jc w:val="both"/>
        <w:rPr>
          <w:rFonts w:asciiTheme="majorHAnsi" w:eastAsia="Arial" w:hAnsiTheme="majorHAnsi" w:cstheme="majorHAnsi"/>
          <w:color w:val="000000"/>
          <w:sz w:val="20"/>
          <w:szCs w:val="20"/>
        </w:rPr>
      </w:pPr>
    </w:p>
    <w:p w:rsidR="008266E3" w:rsidRPr="00743A41" w:rsidRDefault="008266E3" w:rsidP="00A37ED6">
      <w:pPr>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br w:type="page"/>
      </w:r>
    </w:p>
    <w:p w:rsidR="00933038" w:rsidRPr="00743A41" w:rsidRDefault="008266E3" w:rsidP="00A37ED6">
      <w:pPr>
        <w:ind w:left="720"/>
        <w:jc w:val="both"/>
        <w:rPr>
          <w:rFonts w:asciiTheme="majorHAnsi" w:eastAsia="Arial" w:hAnsiTheme="majorHAnsi" w:cstheme="majorHAnsi"/>
          <w:sz w:val="20"/>
          <w:szCs w:val="20"/>
        </w:rPr>
      </w:pPr>
      <w:bookmarkStart w:id="6" w:name="FigureIntro2a"/>
      <w:r w:rsidRPr="00743A41">
        <w:rPr>
          <w:rFonts w:asciiTheme="majorHAnsi" w:eastAsia="Arial" w:hAnsiTheme="majorHAnsi" w:cstheme="majorHAnsi"/>
          <w:sz w:val="20"/>
          <w:szCs w:val="20"/>
        </w:rPr>
        <w:lastRenderedPageBreak/>
        <w:t>Figure Intro.2.a</w:t>
      </w:r>
      <w:bookmarkEnd w:id="6"/>
      <w:r w:rsidRPr="00743A41">
        <w:rPr>
          <w:rFonts w:asciiTheme="majorHAnsi" w:eastAsia="Arial" w:hAnsiTheme="majorHAnsi" w:cstheme="majorHAnsi"/>
          <w:sz w:val="20"/>
          <w:szCs w:val="20"/>
        </w:rPr>
        <w:t xml:space="preserve"> - UTHealth School of Public Health Organizational Chart</w:t>
      </w:r>
      <w:r w:rsidR="00130A8A" w:rsidRPr="00743A41">
        <w:rPr>
          <w:rFonts w:asciiTheme="majorHAnsi" w:eastAsia="Arial" w:hAnsiTheme="majorHAnsi" w:cstheme="majorHAnsi"/>
          <w:sz w:val="20"/>
          <w:szCs w:val="20"/>
        </w:rPr>
        <w:t xml:space="preserve"> (</w:t>
      </w:r>
      <w:r w:rsidR="00130A8A" w:rsidRPr="00B861A8">
        <w:rPr>
          <w:rFonts w:asciiTheme="majorHAnsi" w:eastAsia="Arial" w:hAnsiTheme="majorHAnsi" w:cstheme="majorHAnsi"/>
          <w:i/>
          <w:sz w:val="20"/>
          <w:szCs w:val="20"/>
        </w:rPr>
        <w:t>ERF, Introduction</w:t>
      </w:r>
      <w:r w:rsidR="00130A8A" w:rsidRPr="00743A41">
        <w:rPr>
          <w:rFonts w:asciiTheme="majorHAnsi" w:eastAsia="Arial" w:hAnsiTheme="majorHAnsi" w:cstheme="majorHAnsi"/>
          <w:sz w:val="20"/>
          <w:szCs w:val="20"/>
        </w:rPr>
        <w:t>)</w:t>
      </w:r>
    </w:p>
    <w:p w:rsidR="008D7512" w:rsidRPr="00743A41" w:rsidRDefault="008D7512" w:rsidP="00A37ED6">
      <w:pPr>
        <w:ind w:left="720"/>
        <w:jc w:val="both"/>
        <w:rPr>
          <w:rFonts w:asciiTheme="majorHAnsi" w:eastAsia="Arial" w:hAnsiTheme="majorHAnsi" w:cstheme="majorHAnsi"/>
          <w:color w:val="000000"/>
          <w:sz w:val="20"/>
          <w:szCs w:val="20"/>
        </w:rPr>
      </w:pPr>
      <w:r w:rsidRPr="00743A41">
        <w:rPr>
          <w:rFonts w:asciiTheme="majorHAnsi" w:hAnsiTheme="majorHAnsi" w:cstheme="majorHAnsi"/>
          <w:noProof/>
          <w:sz w:val="20"/>
          <w:szCs w:val="20"/>
        </w:rPr>
        <w:drawing>
          <wp:inline distT="0" distB="0" distL="0" distR="0" wp14:anchorId="3DAA1E5D" wp14:editId="6C825714">
            <wp:extent cx="5486325" cy="6000750"/>
            <wp:effectExtent l="0" t="0" r="635" b="0"/>
            <wp:docPr id="6" name="Picture 6" descr="C:\Users\sdonahue\AppData\Local\Microsoft\Windows\INetCache\Content.Word\SPH FB 2020 Org Chart - SD E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donahue\AppData\Local\Microsoft\Windows\INetCache\Content.Word\SPH FB 2020 Org Chart - SD Edits.png"/>
                    <pic:cNvPicPr>
                      <a:picLocks noChangeAspect="1" noChangeArrowheads="1"/>
                    </pic:cNvPicPr>
                  </pic:nvPicPr>
                  <pic:blipFill rotWithShape="1">
                    <a:blip r:embed="rId14">
                      <a:extLst>
                        <a:ext uri="{28A0092B-C50C-407E-A947-70E740481C1C}">
                          <a14:useLocalDpi xmlns:a14="http://schemas.microsoft.com/office/drawing/2010/main" val="0"/>
                        </a:ext>
                      </a:extLst>
                    </a:blip>
                    <a:srcRect b="15399"/>
                    <a:stretch/>
                  </pic:blipFill>
                  <pic:spPr bwMode="auto">
                    <a:xfrm>
                      <a:off x="0" y="0"/>
                      <a:ext cx="5501146" cy="6016961"/>
                    </a:xfrm>
                    <a:prstGeom prst="rect">
                      <a:avLst/>
                    </a:prstGeom>
                    <a:noFill/>
                    <a:ln>
                      <a:noFill/>
                    </a:ln>
                    <a:extLst>
                      <a:ext uri="{53640926-AAD7-44D8-BBD7-CCE9431645EC}">
                        <a14:shadowObscured xmlns:a14="http://schemas.microsoft.com/office/drawing/2010/main"/>
                      </a:ext>
                    </a:extLst>
                  </pic:spPr>
                </pic:pic>
              </a:graphicData>
            </a:graphic>
          </wp:inline>
        </w:drawing>
      </w:r>
    </w:p>
    <w:p w:rsidR="00933038" w:rsidRPr="00743A41" w:rsidRDefault="00933038" w:rsidP="00A37ED6">
      <w:pPr>
        <w:jc w:val="both"/>
        <w:rPr>
          <w:rFonts w:asciiTheme="majorHAnsi" w:hAnsiTheme="majorHAnsi" w:cstheme="majorHAnsi"/>
          <w:i/>
          <w:sz w:val="20"/>
          <w:szCs w:val="20"/>
        </w:rPr>
      </w:pPr>
    </w:p>
    <w:p w:rsidR="00F2406A" w:rsidRPr="00743A41" w:rsidRDefault="00F2406A" w:rsidP="00A37ED6">
      <w:pPr>
        <w:pStyle w:val="Default"/>
        <w:tabs>
          <w:tab w:val="left" w:pos="2172"/>
        </w:tabs>
        <w:ind w:left="720"/>
        <w:jc w:val="both"/>
        <w:rPr>
          <w:rFonts w:asciiTheme="majorHAnsi" w:hAnsiTheme="majorHAnsi" w:cstheme="majorHAnsi"/>
          <w:color w:val="auto"/>
          <w:szCs w:val="20"/>
        </w:rPr>
      </w:pPr>
      <w:r w:rsidRPr="00743A41">
        <w:rPr>
          <w:rFonts w:asciiTheme="majorHAnsi" w:hAnsiTheme="majorHAnsi" w:cstheme="majorHAnsi"/>
          <w:color w:val="auto"/>
          <w:szCs w:val="20"/>
        </w:rPr>
        <w:t>Associated documents in the electronic resource file:</w:t>
      </w:r>
    </w:p>
    <w:p w:rsidR="00345747" w:rsidRPr="00743A41" w:rsidRDefault="00345747" w:rsidP="00A37ED6">
      <w:pPr>
        <w:pStyle w:val="ListParagraph"/>
        <w:numPr>
          <w:ilvl w:val="0"/>
          <w:numId w:val="63"/>
        </w:numPr>
        <w:jc w:val="both"/>
        <w:rPr>
          <w:rFonts w:asciiTheme="majorHAnsi" w:hAnsiTheme="majorHAnsi" w:cstheme="majorHAnsi"/>
          <w:szCs w:val="20"/>
        </w:rPr>
      </w:pPr>
      <w:r w:rsidRPr="00743A41">
        <w:rPr>
          <w:rFonts w:asciiTheme="majorHAnsi" w:hAnsiTheme="majorHAnsi" w:cstheme="majorHAnsi"/>
          <w:szCs w:val="20"/>
        </w:rPr>
        <w:t>UTHealth School of Public Health Organizational Chart</w:t>
      </w:r>
      <w:r w:rsidR="00515877" w:rsidRPr="00743A41">
        <w:rPr>
          <w:rFonts w:asciiTheme="majorHAnsi" w:hAnsiTheme="majorHAnsi" w:cstheme="majorHAnsi"/>
          <w:szCs w:val="20"/>
        </w:rPr>
        <w:t xml:space="preserve"> </w:t>
      </w:r>
      <w:r w:rsidR="00515877" w:rsidRPr="00743A41">
        <w:rPr>
          <w:rFonts w:asciiTheme="majorHAnsi" w:eastAsia="Arial" w:hAnsiTheme="majorHAnsi" w:cstheme="majorHAnsi"/>
          <w:szCs w:val="20"/>
        </w:rPr>
        <w:t>(</w:t>
      </w:r>
      <w:r w:rsidR="00515877" w:rsidRPr="00B861A8">
        <w:rPr>
          <w:rFonts w:asciiTheme="majorHAnsi" w:eastAsia="Arial" w:hAnsiTheme="majorHAnsi" w:cstheme="majorHAnsi"/>
          <w:i/>
          <w:szCs w:val="20"/>
        </w:rPr>
        <w:t>ERF, Introduction</w:t>
      </w:r>
      <w:r w:rsidR="00515877" w:rsidRPr="00743A41">
        <w:rPr>
          <w:rFonts w:asciiTheme="majorHAnsi" w:eastAsia="Arial" w:hAnsiTheme="majorHAnsi" w:cstheme="majorHAnsi"/>
          <w:szCs w:val="20"/>
        </w:rPr>
        <w:t>)</w:t>
      </w:r>
    </w:p>
    <w:p w:rsidR="00345747" w:rsidRPr="00743A41" w:rsidRDefault="00345747" w:rsidP="00A37ED6">
      <w:pPr>
        <w:jc w:val="both"/>
        <w:rPr>
          <w:rFonts w:asciiTheme="majorHAnsi" w:hAnsiTheme="majorHAnsi" w:cstheme="majorHAnsi"/>
          <w:sz w:val="20"/>
          <w:szCs w:val="20"/>
        </w:rPr>
      </w:pPr>
    </w:p>
    <w:p w:rsidR="00933038" w:rsidRPr="00743A41" w:rsidRDefault="00933038" w:rsidP="00A37ED6">
      <w:pPr>
        <w:numPr>
          <w:ilvl w:val="0"/>
          <w:numId w:val="43"/>
        </w:numPr>
        <w:ind w:left="720"/>
        <w:jc w:val="both"/>
        <w:rPr>
          <w:rFonts w:asciiTheme="majorHAnsi" w:hAnsiTheme="majorHAnsi" w:cstheme="majorHAnsi"/>
          <w:sz w:val="20"/>
          <w:szCs w:val="20"/>
        </w:rPr>
      </w:pPr>
      <w:r w:rsidRPr="00743A41">
        <w:rPr>
          <w:rFonts w:asciiTheme="majorHAnsi" w:hAnsiTheme="majorHAnsi" w:cstheme="majorHAnsi"/>
          <w:sz w:val="20"/>
          <w:szCs w:val="20"/>
        </w:rPr>
        <w:t>the relationship between school and other academi</w:t>
      </w:r>
      <w:r w:rsidR="006C0C58" w:rsidRPr="00743A41">
        <w:rPr>
          <w:rFonts w:asciiTheme="majorHAnsi" w:hAnsiTheme="majorHAnsi" w:cstheme="majorHAnsi"/>
          <w:sz w:val="20"/>
          <w:szCs w:val="20"/>
        </w:rPr>
        <w:t xml:space="preserve">c units within the institution. </w:t>
      </w:r>
      <w:r w:rsidRPr="00743A41">
        <w:rPr>
          <w:rFonts w:asciiTheme="majorHAnsi" w:hAnsiTheme="majorHAnsi" w:cstheme="majorHAnsi"/>
          <w:sz w:val="20"/>
          <w:szCs w:val="20"/>
        </w:rPr>
        <w:t>Organizational charts may include committee structure organization and reporting lines</w:t>
      </w:r>
    </w:p>
    <w:p w:rsidR="00933038" w:rsidRPr="00743A41" w:rsidRDefault="00933038" w:rsidP="00A37ED6">
      <w:pPr>
        <w:ind w:left="720"/>
        <w:jc w:val="both"/>
        <w:rPr>
          <w:rFonts w:asciiTheme="majorHAnsi" w:hAnsiTheme="majorHAnsi" w:cstheme="majorHAnsi"/>
          <w:sz w:val="20"/>
          <w:szCs w:val="20"/>
        </w:rPr>
      </w:pPr>
    </w:p>
    <w:p w:rsidR="008102DF" w:rsidRPr="00743A41" w:rsidRDefault="008102DF" w:rsidP="00A37ED6">
      <w:pPr>
        <w:pBdr>
          <w:top w:val="nil"/>
          <w:left w:val="nil"/>
          <w:bottom w:val="nil"/>
          <w:right w:val="nil"/>
          <w:between w:val="nil"/>
        </w:pBdr>
        <w:ind w:left="720"/>
        <w:rPr>
          <w:rFonts w:asciiTheme="majorHAnsi" w:eastAsia="Arial" w:hAnsiTheme="majorHAnsi" w:cstheme="majorHAnsi"/>
          <w:b/>
          <w:color w:val="000000"/>
          <w:sz w:val="20"/>
          <w:szCs w:val="20"/>
        </w:rPr>
      </w:pPr>
      <w:r w:rsidRPr="006E28EE">
        <w:rPr>
          <w:rFonts w:asciiTheme="majorHAnsi" w:eastAsia="Arial" w:hAnsiTheme="majorHAnsi" w:cstheme="majorHAnsi"/>
          <w:color w:val="000000"/>
          <w:sz w:val="20"/>
          <w:szCs w:val="20"/>
        </w:rPr>
        <w:t xml:space="preserve">UTHealth is composed of six schools, each led by a dean with a direct reporting line to the President, as shown in </w:t>
      </w:r>
      <w:hyperlink w:anchor="Figure_Intro2b" w:history="1">
        <w:r w:rsidRPr="006E28EE">
          <w:rPr>
            <w:rStyle w:val="Hyperlink"/>
            <w:rFonts w:asciiTheme="majorHAnsi" w:eastAsia="Arial" w:hAnsiTheme="majorHAnsi" w:cstheme="majorHAnsi"/>
            <w:sz w:val="20"/>
            <w:szCs w:val="20"/>
          </w:rPr>
          <w:t>Figure Intro.2.b</w:t>
        </w:r>
      </w:hyperlink>
      <w:r w:rsidR="006C11A9">
        <w:rPr>
          <w:rStyle w:val="Hyperlink"/>
          <w:rFonts w:asciiTheme="majorHAnsi" w:eastAsia="Arial" w:hAnsiTheme="majorHAnsi" w:cstheme="majorHAnsi"/>
          <w:sz w:val="20"/>
          <w:szCs w:val="20"/>
        </w:rPr>
        <w:t xml:space="preserve"> </w:t>
      </w:r>
      <w:r w:rsidR="006C11A9" w:rsidRPr="00743A41">
        <w:rPr>
          <w:rFonts w:asciiTheme="majorHAnsi" w:eastAsia="Arial" w:hAnsiTheme="majorHAnsi" w:cstheme="majorHAnsi"/>
          <w:sz w:val="20"/>
          <w:szCs w:val="20"/>
        </w:rPr>
        <w:t>(</w:t>
      </w:r>
      <w:r w:rsidR="006C11A9" w:rsidRPr="00B861A8">
        <w:rPr>
          <w:rFonts w:asciiTheme="majorHAnsi" w:eastAsia="Arial" w:hAnsiTheme="majorHAnsi" w:cstheme="majorHAnsi"/>
          <w:i/>
          <w:sz w:val="20"/>
          <w:szCs w:val="20"/>
        </w:rPr>
        <w:t>ERF, Introduction</w:t>
      </w:r>
      <w:r w:rsidR="006C11A9" w:rsidRPr="00743A41">
        <w:rPr>
          <w:rFonts w:asciiTheme="majorHAnsi" w:eastAsia="Arial" w:hAnsiTheme="majorHAnsi" w:cstheme="majorHAnsi"/>
          <w:sz w:val="20"/>
          <w:szCs w:val="20"/>
        </w:rPr>
        <w:t>)</w:t>
      </w:r>
      <w:r w:rsidRPr="006E28EE">
        <w:rPr>
          <w:rFonts w:asciiTheme="majorHAnsi" w:eastAsia="Arial" w:hAnsiTheme="majorHAnsi" w:cstheme="majorHAnsi"/>
          <w:color w:val="000000"/>
          <w:sz w:val="20"/>
          <w:szCs w:val="20"/>
        </w:rPr>
        <w:t xml:space="preserve">. All academic programs within the UTHealth School of Public Health are housed </w:t>
      </w:r>
      <w:r w:rsidRPr="006E28EE">
        <w:rPr>
          <w:rFonts w:asciiTheme="majorHAnsi" w:eastAsia="Arial" w:hAnsiTheme="majorHAnsi" w:cstheme="majorHAnsi"/>
          <w:i/>
          <w:color w:val="000000"/>
          <w:sz w:val="20"/>
          <w:szCs w:val="20"/>
        </w:rPr>
        <w:t>completely</w:t>
      </w:r>
      <w:r w:rsidRPr="006E28EE">
        <w:rPr>
          <w:rFonts w:asciiTheme="majorHAnsi" w:eastAsia="Arial" w:hAnsiTheme="majorHAnsi" w:cstheme="majorHAnsi"/>
          <w:color w:val="000000"/>
          <w:sz w:val="20"/>
          <w:szCs w:val="20"/>
        </w:rPr>
        <w:t xml:space="preserve"> within the school. Any</w:t>
      </w:r>
      <w:r w:rsidRPr="00743A41">
        <w:rPr>
          <w:rFonts w:asciiTheme="majorHAnsi" w:eastAsia="Arial" w:hAnsiTheme="majorHAnsi" w:cstheme="majorHAnsi"/>
          <w:color w:val="000000"/>
          <w:sz w:val="20"/>
          <w:szCs w:val="20"/>
        </w:rPr>
        <w:t xml:space="preserve"> collaborative programs among UTHealth schools, such as dual-degree programs, are developed through a formal agreement that outlines each program, shared credit, and roles and responsibilities. All six schools within UTHealth interact on committees (Academic Council, Faculty Council, Interfaculty Council, Student Services Council, etc.) to collaborate across schools. </w:t>
      </w:r>
    </w:p>
    <w:p w:rsidR="00933038" w:rsidRPr="00743A41" w:rsidRDefault="00933038" w:rsidP="00A37ED6">
      <w:pPr>
        <w:numPr>
          <w:ilvl w:val="0"/>
          <w:numId w:val="43"/>
        </w:numPr>
        <w:ind w:left="720"/>
        <w:jc w:val="both"/>
        <w:rPr>
          <w:rFonts w:asciiTheme="majorHAnsi" w:hAnsiTheme="majorHAnsi" w:cstheme="majorHAnsi"/>
          <w:sz w:val="20"/>
          <w:szCs w:val="20"/>
        </w:rPr>
      </w:pPr>
      <w:r w:rsidRPr="00743A41">
        <w:rPr>
          <w:rFonts w:asciiTheme="majorHAnsi" w:hAnsiTheme="majorHAnsi" w:cstheme="majorHAnsi"/>
          <w:sz w:val="20"/>
          <w:szCs w:val="20"/>
        </w:rPr>
        <w:lastRenderedPageBreak/>
        <w:t>the lines of authority from the school’s leader to the institution’s chief executive officer (president, chancellor, etc.), including intermediate levels (eg, reporting to the president through the provost)</w:t>
      </w:r>
    </w:p>
    <w:p w:rsidR="008102DF" w:rsidRPr="00743A41" w:rsidRDefault="008102DF" w:rsidP="00A37ED6">
      <w:pPr>
        <w:pStyle w:val="ListParagraph"/>
        <w:pBdr>
          <w:top w:val="nil"/>
          <w:left w:val="nil"/>
          <w:bottom w:val="nil"/>
          <w:right w:val="nil"/>
          <w:between w:val="nil"/>
        </w:pBdr>
        <w:tabs>
          <w:tab w:val="left" w:pos="720"/>
        </w:tabs>
        <w:ind w:right="216"/>
        <w:rPr>
          <w:rFonts w:asciiTheme="majorHAnsi" w:eastAsia="Arial" w:hAnsiTheme="majorHAnsi" w:cstheme="majorHAnsi"/>
          <w:color w:val="000000"/>
          <w:szCs w:val="20"/>
        </w:rPr>
      </w:pPr>
    </w:p>
    <w:p w:rsidR="008102DF" w:rsidRPr="00743A41" w:rsidRDefault="008102DF" w:rsidP="00A37ED6">
      <w:pPr>
        <w:pStyle w:val="ListParagraph"/>
        <w:pBdr>
          <w:top w:val="nil"/>
          <w:left w:val="nil"/>
          <w:bottom w:val="nil"/>
          <w:right w:val="nil"/>
          <w:between w:val="nil"/>
        </w:pBdr>
        <w:tabs>
          <w:tab w:val="left" w:pos="720"/>
        </w:tabs>
        <w:ind w:right="216"/>
        <w:rPr>
          <w:rFonts w:asciiTheme="majorHAnsi" w:eastAsia="Arial" w:hAnsiTheme="majorHAnsi" w:cstheme="majorHAnsi"/>
          <w:color w:val="000000"/>
          <w:szCs w:val="20"/>
        </w:rPr>
      </w:pPr>
      <w:r w:rsidRPr="00743A41">
        <w:rPr>
          <w:rFonts w:asciiTheme="majorHAnsi" w:eastAsia="Arial" w:hAnsiTheme="majorHAnsi" w:cstheme="majorHAnsi"/>
          <w:color w:val="000000"/>
          <w:szCs w:val="20"/>
        </w:rPr>
        <w:t xml:space="preserve">Within the organizational structure of UTHealth, the six school deans, the executive vice presidents, and the designated senior administrators report equally to the President and constitute the UTHealth Executive Leadership (depicted in </w:t>
      </w:r>
      <w:hyperlink w:anchor="Figure_Intro2b" w:history="1">
        <w:r w:rsidRPr="00E8280B">
          <w:rPr>
            <w:rStyle w:val="Hyperlink"/>
            <w:rFonts w:asciiTheme="majorHAnsi" w:eastAsia="Arial" w:hAnsiTheme="majorHAnsi" w:cstheme="majorHAnsi"/>
            <w:szCs w:val="20"/>
          </w:rPr>
          <w:t>Figure Intro.2.b.</w:t>
        </w:r>
      </w:hyperlink>
      <w:r w:rsidRPr="00743A41">
        <w:rPr>
          <w:rFonts w:asciiTheme="majorHAnsi" w:eastAsia="Arial" w:hAnsiTheme="majorHAnsi" w:cstheme="majorHAnsi"/>
          <w:color w:val="000000"/>
          <w:szCs w:val="20"/>
        </w:rPr>
        <w:t>). The leadership team administers UTHealth and advises the president on policy, development, management, and administration.</w:t>
      </w:r>
    </w:p>
    <w:p w:rsidR="0052420D" w:rsidRPr="00743A41" w:rsidRDefault="0052420D" w:rsidP="00A37ED6">
      <w:pPr>
        <w:jc w:val="both"/>
        <w:rPr>
          <w:rFonts w:asciiTheme="majorHAnsi" w:hAnsiTheme="majorHAnsi" w:cstheme="majorHAnsi"/>
          <w:sz w:val="20"/>
          <w:szCs w:val="20"/>
        </w:rPr>
      </w:pPr>
    </w:p>
    <w:p w:rsidR="0052420D" w:rsidRPr="00743A41" w:rsidRDefault="0052420D" w:rsidP="00A37ED6">
      <w:pPr>
        <w:pBdr>
          <w:top w:val="nil"/>
          <w:left w:val="nil"/>
          <w:bottom w:val="nil"/>
          <w:right w:val="nil"/>
          <w:between w:val="nil"/>
        </w:pBdr>
        <w:tabs>
          <w:tab w:val="left" w:pos="0"/>
        </w:tabs>
        <w:ind w:left="1440" w:right="216" w:hanging="720"/>
        <w:rPr>
          <w:rFonts w:asciiTheme="majorHAnsi" w:eastAsia="Arial" w:hAnsiTheme="majorHAnsi" w:cstheme="majorHAnsi"/>
          <w:color w:val="000000"/>
          <w:sz w:val="20"/>
          <w:szCs w:val="20"/>
        </w:rPr>
      </w:pPr>
      <w:bookmarkStart w:id="7" w:name="Figure_Intro2b"/>
      <w:bookmarkEnd w:id="7"/>
      <w:r w:rsidRPr="00743A41">
        <w:rPr>
          <w:rFonts w:asciiTheme="majorHAnsi" w:eastAsia="Arial" w:hAnsiTheme="majorHAnsi" w:cstheme="majorHAnsi"/>
          <w:color w:val="000000"/>
          <w:sz w:val="20"/>
          <w:szCs w:val="20"/>
        </w:rPr>
        <w:t xml:space="preserve">Figure Intro.2.b. </w:t>
      </w:r>
      <w:r w:rsidR="006B13C2" w:rsidRPr="00743A41">
        <w:rPr>
          <w:rFonts w:asciiTheme="majorHAnsi" w:eastAsia="Arial" w:hAnsiTheme="majorHAnsi" w:cstheme="majorHAnsi"/>
          <w:color w:val="000000"/>
          <w:sz w:val="20"/>
          <w:szCs w:val="20"/>
        </w:rPr>
        <w:t>– UTHealth Executive Leadership</w:t>
      </w:r>
      <w:r w:rsidRPr="00743A41">
        <w:rPr>
          <w:rFonts w:asciiTheme="majorHAnsi" w:eastAsia="Arial" w:hAnsiTheme="majorHAnsi" w:cstheme="majorHAnsi"/>
          <w:color w:val="000000"/>
          <w:sz w:val="20"/>
          <w:szCs w:val="20"/>
        </w:rPr>
        <w:t xml:space="preserve"> Organizational Chart </w:t>
      </w:r>
      <w:r w:rsidR="003D36CE" w:rsidRPr="00743A41">
        <w:rPr>
          <w:rFonts w:asciiTheme="majorHAnsi" w:eastAsia="Arial" w:hAnsiTheme="majorHAnsi" w:cstheme="majorHAnsi"/>
          <w:sz w:val="20"/>
          <w:szCs w:val="20"/>
        </w:rPr>
        <w:t>(</w:t>
      </w:r>
      <w:r w:rsidR="003D36CE" w:rsidRPr="00B861A8">
        <w:rPr>
          <w:rFonts w:asciiTheme="majorHAnsi" w:eastAsia="Arial" w:hAnsiTheme="majorHAnsi" w:cstheme="majorHAnsi"/>
          <w:i/>
          <w:sz w:val="20"/>
          <w:szCs w:val="20"/>
        </w:rPr>
        <w:t>ERF, Introduction</w:t>
      </w:r>
      <w:r w:rsidR="003D36CE" w:rsidRPr="00743A41">
        <w:rPr>
          <w:rFonts w:asciiTheme="majorHAnsi" w:eastAsia="Arial" w:hAnsiTheme="majorHAnsi" w:cstheme="majorHAnsi"/>
          <w:sz w:val="20"/>
          <w:szCs w:val="20"/>
        </w:rPr>
        <w:t>)</w:t>
      </w:r>
    </w:p>
    <w:p w:rsidR="00D24891" w:rsidRPr="00743A41" w:rsidRDefault="00D24891" w:rsidP="00A37ED6">
      <w:pPr>
        <w:pBdr>
          <w:top w:val="nil"/>
          <w:left w:val="nil"/>
          <w:bottom w:val="nil"/>
          <w:right w:val="nil"/>
          <w:between w:val="nil"/>
        </w:pBdr>
        <w:tabs>
          <w:tab w:val="left" w:pos="0"/>
        </w:tabs>
        <w:ind w:left="1440" w:right="216" w:hanging="720"/>
        <w:rPr>
          <w:rFonts w:asciiTheme="majorHAnsi" w:eastAsia="Arial" w:hAnsiTheme="majorHAnsi" w:cstheme="majorHAnsi"/>
          <w:noProof/>
          <w:color w:val="000000"/>
          <w:sz w:val="20"/>
          <w:szCs w:val="20"/>
        </w:rPr>
      </w:pPr>
    </w:p>
    <w:p w:rsidR="0058590F" w:rsidRPr="00743A41" w:rsidRDefault="0058590F" w:rsidP="00A37ED6">
      <w:pPr>
        <w:pBdr>
          <w:top w:val="nil"/>
          <w:left w:val="nil"/>
          <w:bottom w:val="nil"/>
          <w:right w:val="nil"/>
          <w:between w:val="nil"/>
        </w:pBdr>
        <w:tabs>
          <w:tab w:val="left" w:pos="0"/>
        </w:tabs>
        <w:ind w:left="1440" w:right="216" w:hanging="720"/>
        <w:rPr>
          <w:rFonts w:asciiTheme="majorHAnsi" w:eastAsia="Arial" w:hAnsiTheme="majorHAnsi" w:cstheme="majorHAnsi"/>
          <w:color w:val="000000"/>
          <w:sz w:val="20"/>
          <w:szCs w:val="20"/>
        </w:rPr>
      </w:pPr>
      <w:r w:rsidRPr="00743A41">
        <w:rPr>
          <w:rFonts w:asciiTheme="majorHAnsi" w:eastAsia="Arial" w:hAnsiTheme="majorHAnsi" w:cstheme="majorHAnsi"/>
          <w:noProof/>
          <w:color w:val="000000"/>
          <w:sz w:val="20"/>
          <w:szCs w:val="20"/>
        </w:rPr>
        <w:drawing>
          <wp:inline distT="0" distB="0" distL="0" distR="0" wp14:anchorId="362960CB" wp14:editId="306710E2">
            <wp:extent cx="5276850" cy="565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 2020 Executive Org Chart.png"/>
                    <pic:cNvPicPr/>
                  </pic:nvPicPr>
                  <pic:blipFill rotWithShape="1">
                    <a:blip r:embed="rId15">
                      <a:extLst>
                        <a:ext uri="{28A0092B-C50C-407E-A947-70E740481C1C}">
                          <a14:useLocalDpi xmlns:a14="http://schemas.microsoft.com/office/drawing/2010/main" val="0"/>
                        </a:ext>
                      </a:extLst>
                    </a:blip>
                    <a:srcRect l="11218" t="6191" b="20251"/>
                    <a:stretch/>
                  </pic:blipFill>
                  <pic:spPr bwMode="auto">
                    <a:xfrm>
                      <a:off x="0" y="0"/>
                      <a:ext cx="5276850" cy="5657850"/>
                    </a:xfrm>
                    <a:prstGeom prst="rect">
                      <a:avLst/>
                    </a:prstGeom>
                    <a:ln>
                      <a:noFill/>
                    </a:ln>
                    <a:extLst>
                      <a:ext uri="{53640926-AAD7-44D8-BBD7-CCE9431645EC}">
                        <a14:shadowObscured xmlns:a14="http://schemas.microsoft.com/office/drawing/2010/main"/>
                      </a:ext>
                    </a:extLst>
                  </pic:spPr>
                </pic:pic>
              </a:graphicData>
            </a:graphic>
          </wp:inline>
        </w:drawing>
      </w:r>
    </w:p>
    <w:p w:rsidR="00F2406A" w:rsidRPr="00743A41" w:rsidRDefault="00F2406A" w:rsidP="00A37ED6">
      <w:pPr>
        <w:pStyle w:val="Default"/>
        <w:tabs>
          <w:tab w:val="left" w:pos="2172"/>
        </w:tabs>
        <w:ind w:left="720"/>
        <w:jc w:val="both"/>
        <w:rPr>
          <w:rFonts w:asciiTheme="majorHAnsi" w:hAnsiTheme="majorHAnsi" w:cstheme="majorHAnsi"/>
          <w:color w:val="auto"/>
          <w:szCs w:val="20"/>
        </w:rPr>
      </w:pPr>
      <w:r w:rsidRPr="00743A41">
        <w:rPr>
          <w:rFonts w:asciiTheme="majorHAnsi" w:hAnsiTheme="majorHAnsi" w:cstheme="majorHAnsi"/>
          <w:color w:val="auto"/>
          <w:szCs w:val="20"/>
        </w:rPr>
        <w:t>Associated documents in the electronic resource file:</w:t>
      </w:r>
    </w:p>
    <w:p w:rsidR="001329C9" w:rsidRPr="00743A41" w:rsidRDefault="001329C9" w:rsidP="00A37ED6">
      <w:pPr>
        <w:pStyle w:val="ListParagraph"/>
        <w:numPr>
          <w:ilvl w:val="0"/>
          <w:numId w:val="63"/>
        </w:numPr>
        <w:jc w:val="both"/>
        <w:rPr>
          <w:rFonts w:asciiTheme="majorHAnsi" w:hAnsiTheme="majorHAnsi" w:cstheme="majorHAnsi"/>
          <w:szCs w:val="20"/>
        </w:rPr>
      </w:pPr>
      <w:r w:rsidRPr="00743A41">
        <w:rPr>
          <w:rFonts w:asciiTheme="majorHAnsi" w:hAnsiTheme="majorHAnsi" w:cstheme="majorHAnsi"/>
          <w:szCs w:val="20"/>
        </w:rPr>
        <w:t xml:space="preserve">UTHealth </w:t>
      </w:r>
      <w:r w:rsidR="00DB185D" w:rsidRPr="00743A41">
        <w:rPr>
          <w:rFonts w:asciiTheme="majorHAnsi" w:hAnsiTheme="majorHAnsi" w:cstheme="majorHAnsi"/>
          <w:szCs w:val="20"/>
        </w:rPr>
        <w:t>Executive Leadership</w:t>
      </w:r>
      <w:r w:rsidRPr="00743A41">
        <w:rPr>
          <w:rFonts w:asciiTheme="majorHAnsi" w:hAnsiTheme="majorHAnsi" w:cstheme="majorHAnsi"/>
          <w:szCs w:val="20"/>
        </w:rPr>
        <w:t xml:space="preserve"> Organizational Chart</w:t>
      </w:r>
      <w:r w:rsidR="00214D38" w:rsidRPr="00743A41">
        <w:rPr>
          <w:rFonts w:asciiTheme="majorHAnsi" w:hAnsiTheme="majorHAnsi" w:cstheme="majorHAnsi"/>
          <w:szCs w:val="20"/>
        </w:rPr>
        <w:t xml:space="preserve"> </w:t>
      </w:r>
      <w:r w:rsidR="00214D38" w:rsidRPr="00743A41">
        <w:rPr>
          <w:rFonts w:asciiTheme="majorHAnsi" w:eastAsia="Arial" w:hAnsiTheme="majorHAnsi" w:cstheme="majorHAnsi"/>
          <w:szCs w:val="20"/>
        </w:rPr>
        <w:t>(</w:t>
      </w:r>
      <w:r w:rsidR="00214D38" w:rsidRPr="00B861A8">
        <w:rPr>
          <w:rFonts w:asciiTheme="majorHAnsi" w:eastAsia="Arial" w:hAnsiTheme="majorHAnsi" w:cstheme="majorHAnsi"/>
          <w:i/>
          <w:szCs w:val="20"/>
        </w:rPr>
        <w:t>ERF, Introduction</w:t>
      </w:r>
      <w:r w:rsidR="00214D38" w:rsidRPr="00743A41">
        <w:rPr>
          <w:rFonts w:asciiTheme="majorHAnsi" w:eastAsia="Arial" w:hAnsiTheme="majorHAnsi" w:cstheme="majorHAnsi"/>
          <w:szCs w:val="20"/>
        </w:rPr>
        <w:t>)</w:t>
      </w:r>
    </w:p>
    <w:p w:rsidR="00933038" w:rsidRPr="00743A41" w:rsidRDefault="00933038" w:rsidP="00A37ED6">
      <w:pPr>
        <w:jc w:val="both"/>
        <w:rPr>
          <w:rFonts w:asciiTheme="majorHAnsi" w:hAnsiTheme="majorHAnsi" w:cstheme="majorHAnsi"/>
          <w:sz w:val="20"/>
          <w:szCs w:val="20"/>
        </w:rPr>
      </w:pPr>
    </w:p>
    <w:p w:rsidR="00933038" w:rsidRPr="00743A41" w:rsidRDefault="00933038" w:rsidP="00A37ED6">
      <w:pPr>
        <w:numPr>
          <w:ilvl w:val="0"/>
          <w:numId w:val="43"/>
        </w:numPr>
        <w:ind w:left="720"/>
        <w:jc w:val="both"/>
        <w:rPr>
          <w:rFonts w:asciiTheme="majorHAnsi" w:hAnsiTheme="majorHAnsi" w:cstheme="majorHAnsi"/>
          <w:sz w:val="20"/>
          <w:szCs w:val="20"/>
        </w:rPr>
      </w:pPr>
      <w:r w:rsidRPr="00743A41">
        <w:rPr>
          <w:rFonts w:asciiTheme="majorHAnsi" w:hAnsiTheme="majorHAnsi" w:cstheme="majorHAnsi"/>
          <w:sz w:val="20"/>
          <w:szCs w:val="20"/>
        </w:rPr>
        <w:t>for multi-partner schools and schools (as defined in Criterion A2), organizational charts must depict all participating institutions</w:t>
      </w:r>
    </w:p>
    <w:p w:rsidR="00933038" w:rsidRPr="00743A41" w:rsidRDefault="0052420D" w:rsidP="00A37ED6">
      <w:pPr>
        <w:ind w:left="720"/>
        <w:jc w:val="both"/>
        <w:rPr>
          <w:rFonts w:asciiTheme="majorHAnsi" w:hAnsiTheme="majorHAnsi" w:cstheme="majorHAnsi"/>
          <w:i/>
          <w:sz w:val="20"/>
          <w:szCs w:val="20"/>
        </w:rPr>
      </w:pPr>
      <w:r w:rsidRPr="00743A41">
        <w:rPr>
          <w:rFonts w:asciiTheme="majorHAnsi" w:hAnsiTheme="majorHAnsi" w:cstheme="majorHAnsi"/>
          <w:i/>
          <w:sz w:val="20"/>
          <w:szCs w:val="20"/>
        </w:rPr>
        <w:t>Not applicable.</w:t>
      </w:r>
    </w:p>
    <w:p w:rsidR="00933038" w:rsidRPr="00743A41" w:rsidRDefault="00933038" w:rsidP="00A37ED6">
      <w:pPr>
        <w:pStyle w:val="Default"/>
        <w:tabs>
          <w:tab w:val="left" w:pos="360"/>
        </w:tabs>
        <w:ind w:left="360"/>
        <w:jc w:val="both"/>
        <w:rPr>
          <w:rFonts w:asciiTheme="majorHAnsi" w:hAnsiTheme="majorHAnsi" w:cstheme="majorHAnsi"/>
          <w:color w:val="auto"/>
          <w:szCs w:val="20"/>
        </w:rPr>
      </w:pPr>
    </w:p>
    <w:p w:rsidR="00933038" w:rsidRPr="00743A41" w:rsidRDefault="00933038" w:rsidP="00A37ED6">
      <w:pPr>
        <w:pStyle w:val="Default"/>
        <w:numPr>
          <w:ilvl w:val="0"/>
          <w:numId w:val="45"/>
        </w:numPr>
        <w:ind w:left="360"/>
        <w:jc w:val="both"/>
        <w:rPr>
          <w:rFonts w:asciiTheme="majorHAnsi" w:hAnsiTheme="majorHAnsi" w:cstheme="majorHAnsi"/>
          <w:b/>
          <w:color w:val="auto"/>
          <w:szCs w:val="20"/>
        </w:rPr>
      </w:pPr>
      <w:r w:rsidRPr="00743A41">
        <w:rPr>
          <w:rFonts w:asciiTheme="majorHAnsi" w:hAnsiTheme="majorHAnsi" w:cstheme="majorHAnsi"/>
          <w:b/>
          <w:color w:val="auto"/>
          <w:szCs w:val="20"/>
        </w:rPr>
        <w:t>An instructional matrix presenting all of the school’s degree schools and concentrations including bachelor’s, master’s and doctoral degrees, as appropriate. Present data in the format of Template Intro-1.</w:t>
      </w:r>
    </w:p>
    <w:p w:rsidR="00933038" w:rsidRPr="00743A41" w:rsidRDefault="00933038" w:rsidP="00A37ED6">
      <w:pPr>
        <w:pStyle w:val="Default"/>
        <w:jc w:val="both"/>
        <w:rPr>
          <w:rFonts w:asciiTheme="majorHAnsi" w:hAnsiTheme="majorHAnsi" w:cstheme="majorHAnsi"/>
          <w:i/>
          <w:color w:val="auto"/>
          <w:szCs w:val="20"/>
        </w:rPr>
      </w:pPr>
    </w:p>
    <w:p w:rsidR="008102DF" w:rsidRPr="00743A41" w:rsidRDefault="008102DF" w:rsidP="00A37ED6">
      <w:pPr>
        <w:pStyle w:val="Default"/>
        <w:ind w:firstLine="360"/>
        <w:jc w:val="both"/>
        <w:rPr>
          <w:rFonts w:asciiTheme="majorHAnsi" w:eastAsia="Arial" w:hAnsiTheme="majorHAnsi" w:cstheme="majorHAnsi"/>
          <w:szCs w:val="20"/>
        </w:rPr>
      </w:pPr>
      <w:bookmarkStart w:id="8" w:name="Table_Intro1a"/>
      <w:r w:rsidRPr="00743A41">
        <w:rPr>
          <w:rFonts w:asciiTheme="majorHAnsi" w:eastAsia="Arial" w:hAnsiTheme="majorHAnsi" w:cstheme="majorHAnsi"/>
          <w:szCs w:val="20"/>
        </w:rPr>
        <w:t>Table Intro.3.a. Instructional Matrix, Degrees, and Concentrations</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080"/>
        <w:gridCol w:w="1170"/>
        <w:gridCol w:w="1170"/>
        <w:gridCol w:w="1080"/>
        <w:gridCol w:w="900"/>
        <w:gridCol w:w="990"/>
      </w:tblGrid>
      <w:tr w:rsidR="0052420D" w:rsidRPr="00743A41" w:rsidTr="003172D4">
        <w:trPr>
          <w:trHeight w:val="219"/>
        </w:trPr>
        <w:tc>
          <w:tcPr>
            <w:tcW w:w="2610" w:type="dxa"/>
            <w:shd w:val="clear" w:color="auto" w:fill="BFBFBF" w:themeFill="background1" w:themeFillShade="BF"/>
            <w:tcMar>
              <w:left w:w="0" w:type="dxa"/>
              <w:right w:w="0" w:type="dxa"/>
            </w:tcMar>
            <w:vAlign w:val="center"/>
          </w:tcPr>
          <w:bookmarkEnd w:id="8"/>
          <w:p w:rsidR="0052420D" w:rsidRPr="00743A41" w:rsidRDefault="0052420D" w:rsidP="00A37ED6">
            <w:pPr>
              <w:tabs>
                <w:tab w:val="left" w:pos="0"/>
              </w:tabs>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Master's Degrees</w:t>
            </w:r>
          </w:p>
        </w:tc>
        <w:tc>
          <w:tcPr>
            <w:tcW w:w="1080" w:type="dxa"/>
            <w:shd w:val="clear" w:color="auto" w:fill="BFBFBF" w:themeFill="background1" w:themeFillShade="BF"/>
            <w:tcMar>
              <w:left w:w="0" w:type="dxa"/>
              <w:right w:w="0" w:type="dxa"/>
            </w:tcMar>
            <w:vAlign w:val="center"/>
          </w:tcPr>
          <w:p w:rsidR="0052420D" w:rsidRPr="00743A41" w:rsidRDefault="0052420D" w:rsidP="00A37ED6">
            <w:pPr>
              <w:tabs>
                <w:tab w:val="left" w:pos="720"/>
              </w:tabs>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Academic</w:t>
            </w:r>
          </w:p>
        </w:tc>
        <w:tc>
          <w:tcPr>
            <w:tcW w:w="1170" w:type="dxa"/>
            <w:shd w:val="clear" w:color="auto" w:fill="BFBFBF" w:themeFill="background1" w:themeFillShade="BF"/>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Professional</w:t>
            </w:r>
          </w:p>
        </w:tc>
        <w:tc>
          <w:tcPr>
            <w:tcW w:w="1170" w:type="dxa"/>
            <w:shd w:val="clear" w:color="auto" w:fill="BFBFBF" w:themeFill="background1" w:themeFillShade="BF"/>
            <w:tcMar>
              <w:left w:w="0" w:type="dxa"/>
              <w:right w:w="0" w:type="dxa"/>
            </w:tcMar>
            <w:vAlign w:val="center"/>
          </w:tcPr>
          <w:p w:rsidR="0052420D" w:rsidRPr="00743A41" w:rsidRDefault="0052420D" w:rsidP="00A37ED6">
            <w:pPr>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Categorized as Public Health*</w:t>
            </w:r>
          </w:p>
        </w:tc>
        <w:tc>
          <w:tcPr>
            <w:tcW w:w="1080" w:type="dxa"/>
            <w:shd w:val="clear" w:color="auto" w:fill="BFBFBF" w:themeFill="background1" w:themeFillShade="BF"/>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Campus</w:t>
            </w:r>
          </w:p>
          <w:p w:rsidR="0052420D" w:rsidRPr="00743A41" w:rsidRDefault="0052420D" w:rsidP="00A37ED6">
            <w:pPr>
              <w:widowControl w:val="0"/>
              <w:pBdr>
                <w:top w:val="nil"/>
                <w:left w:val="nil"/>
                <w:bottom w:val="nil"/>
                <w:right w:val="nil"/>
                <w:between w:val="nil"/>
              </w:pBdr>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Based</w:t>
            </w:r>
          </w:p>
        </w:tc>
        <w:tc>
          <w:tcPr>
            <w:tcW w:w="900" w:type="dxa"/>
            <w:shd w:val="clear" w:color="auto" w:fill="BFBFBF" w:themeFill="background1" w:themeFillShade="BF"/>
            <w:tcMar>
              <w:left w:w="0" w:type="dxa"/>
              <w:right w:w="0" w:type="dxa"/>
            </w:tcMar>
            <w:vAlign w:val="center"/>
          </w:tcPr>
          <w:p w:rsidR="0052420D" w:rsidRPr="00743A41" w:rsidRDefault="0052420D" w:rsidP="00A37ED6">
            <w:pPr>
              <w:widowControl w:val="0"/>
              <w:pBdr>
                <w:top w:val="nil"/>
                <w:left w:val="nil"/>
                <w:bottom w:val="nil"/>
                <w:right w:val="nil"/>
                <w:between w:val="nil"/>
              </w:pBdr>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Executive</w:t>
            </w:r>
          </w:p>
        </w:tc>
        <w:tc>
          <w:tcPr>
            <w:tcW w:w="990" w:type="dxa"/>
            <w:shd w:val="clear" w:color="auto" w:fill="BFBFBF" w:themeFill="background1" w:themeFillShade="BF"/>
            <w:tcMar>
              <w:left w:w="0" w:type="dxa"/>
              <w:right w:w="0" w:type="dxa"/>
            </w:tcMar>
            <w:vAlign w:val="center"/>
          </w:tcPr>
          <w:p w:rsidR="0052420D" w:rsidRPr="00743A41" w:rsidRDefault="0052420D" w:rsidP="00A37ED6">
            <w:pPr>
              <w:widowControl w:val="0"/>
              <w:pBdr>
                <w:top w:val="nil"/>
                <w:left w:val="nil"/>
                <w:bottom w:val="nil"/>
                <w:right w:val="nil"/>
                <w:between w:val="nil"/>
              </w:pBdr>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Distance Based</w:t>
            </w:r>
          </w:p>
        </w:tc>
      </w:tr>
      <w:tr w:rsidR="0052420D" w:rsidRPr="00743A41" w:rsidTr="003172D4">
        <w:trPr>
          <w:trHeight w:val="168"/>
        </w:trPr>
        <w:tc>
          <w:tcPr>
            <w:tcW w:w="2610" w:type="dxa"/>
            <w:tcMar>
              <w:left w:w="0" w:type="dxa"/>
              <w:right w:w="0" w:type="dxa"/>
            </w:tcMar>
            <w:vAlign w:val="center"/>
          </w:tcPr>
          <w:p w:rsidR="0052420D" w:rsidRPr="00743A41" w:rsidRDefault="0052420D" w:rsidP="00A37ED6">
            <w:pPr>
              <w:tabs>
                <w:tab w:val="left" w:pos="720"/>
              </w:tabs>
              <w:ind w:left="360" w:hanging="270"/>
              <w:rPr>
                <w:rFonts w:asciiTheme="majorHAnsi" w:eastAsia="Arial" w:hAnsiTheme="majorHAnsi" w:cstheme="majorHAnsi"/>
                <w:sz w:val="20"/>
                <w:szCs w:val="20"/>
              </w:rPr>
            </w:pPr>
            <w:r w:rsidRPr="00743A41">
              <w:rPr>
                <w:rFonts w:asciiTheme="majorHAnsi" w:eastAsia="Arial" w:hAnsiTheme="majorHAnsi" w:cstheme="majorHAnsi"/>
                <w:sz w:val="20"/>
                <w:szCs w:val="20"/>
              </w:rPr>
              <w:t>Biostatistics</w:t>
            </w:r>
          </w:p>
        </w:tc>
        <w:tc>
          <w:tcPr>
            <w:tcW w:w="108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MS</w:t>
            </w:r>
          </w:p>
        </w:tc>
        <w:tc>
          <w:tcPr>
            <w:tcW w:w="117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i/>
                <w:sz w:val="20"/>
                <w:szCs w:val="20"/>
              </w:rPr>
            </w:pPr>
            <w:r w:rsidRPr="00743A41">
              <w:rPr>
                <w:rFonts w:asciiTheme="majorHAnsi" w:eastAsia="Arial" w:hAnsiTheme="majorHAnsi" w:cstheme="majorHAnsi"/>
                <w:i/>
                <w:sz w:val="20"/>
                <w:szCs w:val="20"/>
              </w:rPr>
              <w:t>MPH</w:t>
            </w:r>
            <w:r w:rsidR="00E565BF" w:rsidRPr="00743A41">
              <w:rPr>
                <w:rFonts w:asciiTheme="majorHAnsi" w:eastAsia="Arial" w:hAnsiTheme="majorHAnsi" w:cstheme="majorHAnsi"/>
                <w:i/>
                <w:sz w:val="20"/>
                <w:szCs w:val="20"/>
              </w:rPr>
              <w:t>*</w:t>
            </w:r>
          </w:p>
        </w:tc>
        <w:tc>
          <w:tcPr>
            <w:tcW w:w="117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Segoe UI Symbol" w:eastAsia="Wingdings" w:hAnsi="Segoe UI Symbol" w:cs="Segoe UI Symbol"/>
                <w:b/>
                <w:sz w:val="20"/>
                <w:szCs w:val="20"/>
              </w:rPr>
              <w:t>✓</w:t>
            </w:r>
          </w:p>
        </w:tc>
        <w:tc>
          <w:tcPr>
            <w:tcW w:w="1080" w:type="dxa"/>
            <w:tcMar>
              <w:left w:w="0" w:type="dxa"/>
              <w:right w:w="0" w:type="dxa"/>
            </w:tcMar>
            <w:vAlign w:val="center"/>
          </w:tcPr>
          <w:p w:rsidR="0052420D" w:rsidRPr="00743A41" w:rsidRDefault="009025E9"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i/>
                <w:sz w:val="20"/>
                <w:szCs w:val="20"/>
              </w:rPr>
              <w:t>MPH*</w:t>
            </w:r>
            <w:r w:rsidRPr="00743A41">
              <w:rPr>
                <w:rFonts w:asciiTheme="majorHAnsi" w:eastAsia="Arial" w:hAnsiTheme="majorHAnsi" w:cstheme="majorHAnsi"/>
                <w:sz w:val="20"/>
                <w:szCs w:val="20"/>
              </w:rPr>
              <w:t xml:space="preserve">, </w:t>
            </w:r>
            <w:r w:rsidR="0052420D" w:rsidRPr="00743A41">
              <w:rPr>
                <w:rFonts w:asciiTheme="majorHAnsi" w:eastAsia="Arial" w:hAnsiTheme="majorHAnsi" w:cstheme="majorHAnsi"/>
                <w:sz w:val="20"/>
                <w:szCs w:val="20"/>
              </w:rPr>
              <w:t xml:space="preserve">MS </w:t>
            </w:r>
          </w:p>
        </w:tc>
        <w:tc>
          <w:tcPr>
            <w:tcW w:w="90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99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r>
      <w:tr w:rsidR="0052420D" w:rsidRPr="00743A41" w:rsidTr="003172D4">
        <w:trPr>
          <w:trHeight w:val="168"/>
        </w:trPr>
        <w:tc>
          <w:tcPr>
            <w:tcW w:w="2610" w:type="dxa"/>
            <w:tcMar>
              <w:left w:w="0" w:type="dxa"/>
              <w:right w:w="0" w:type="dxa"/>
            </w:tcMar>
            <w:vAlign w:val="center"/>
          </w:tcPr>
          <w:p w:rsidR="0052420D" w:rsidRPr="00743A41" w:rsidRDefault="0052420D" w:rsidP="00A37ED6">
            <w:pPr>
              <w:tabs>
                <w:tab w:val="left" w:pos="720"/>
              </w:tabs>
              <w:ind w:left="360" w:hanging="270"/>
              <w:rPr>
                <w:rFonts w:asciiTheme="majorHAnsi" w:eastAsia="Arial" w:hAnsiTheme="majorHAnsi" w:cstheme="majorHAnsi"/>
                <w:sz w:val="20"/>
                <w:szCs w:val="20"/>
              </w:rPr>
            </w:pPr>
            <w:r w:rsidRPr="00743A41">
              <w:rPr>
                <w:rFonts w:asciiTheme="majorHAnsi" w:eastAsia="Arial" w:hAnsiTheme="majorHAnsi" w:cstheme="majorHAnsi"/>
                <w:sz w:val="20"/>
                <w:szCs w:val="20"/>
              </w:rPr>
              <w:t>Community Health Practice</w:t>
            </w:r>
          </w:p>
        </w:tc>
        <w:tc>
          <w:tcPr>
            <w:tcW w:w="108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117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MPH</w:t>
            </w:r>
          </w:p>
        </w:tc>
        <w:tc>
          <w:tcPr>
            <w:tcW w:w="117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Segoe UI Symbol" w:eastAsia="Wingdings" w:hAnsi="Segoe UI Symbol" w:cs="Segoe UI Symbol"/>
                <w:b/>
                <w:sz w:val="20"/>
                <w:szCs w:val="20"/>
              </w:rPr>
              <w:t>✓</w:t>
            </w:r>
          </w:p>
        </w:tc>
        <w:tc>
          <w:tcPr>
            <w:tcW w:w="108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MPH</w:t>
            </w:r>
          </w:p>
        </w:tc>
        <w:tc>
          <w:tcPr>
            <w:tcW w:w="90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99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r>
      <w:tr w:rsidR="0052420D" w:rsidRPr="00743A41" w:rsidTr="003172D4">
        <w:trPr>
          <w:trHeight w:val="168"/>
        </w:trPr>
        <w:tc>
          <w:tcPr>
            <w:tcW w:w="2610" w:type="dxa"/>
            <w:tcMar>
              <w:left w:w="0" w:type="dxa"/>
              <w:right w:w="0" w:type="dxa"/>
            </w:tcMar>
            <w:vAlign w:val="center"/>
          </w:tcPr>
          <w:p w:rsidR="0052420D" w:rsidRPr="00743A41" w:rsidRDefault="0052420D" w:rsidP="00A37ED6">
            <w:pPr>
              <w:tabs>
                <w:tab w:val="left" w:pos="720"/>
              </w:tabs>
              <w:ind w:firstLine="90"/>
              <w:rPr>
                <w:rFonts w:asciiTheme="majorHAnsi" w:eastAsia="Arial" w:hAnsiTheme="majorHAnsi" w:cstheme="majorHAnsi"/>
                <w:sz w:val="20"/>
                <w:szCs w:val="20"/>
              </w:rPr>
            </w:pPr>
            <w:r w:rsidRPr="00743A41">
              <w:rPr>
                <w:rFonts w:asciiTheme="majorHAnsi" w:eastAsia="Arial" w:hAnsiTheme="majorHAnsi" w:cstheme="majorHAnsi"/>
                <w:sz w:val="20"/>
                <w:szCs w:val="20"/>
              </w:rPr>
              <w:t>Customized</w:t>
            </w:r>
          </w:p>
        </w:tc>
        <w:tc>
          <w:tcPr>
            <w:tcW w:w="108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117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MPH</w:t>
            </w:r>
          </w:p>
        </w:tc>
        <w:tc>
          <w:tcPr>
            <w:tcW w:w="117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Segoe UI Symbol" w:eastAsia="Wingdings" w:hAnsi="Segoe UI Symbol" w:cs="Segoe UI Symbol"/>
                <w:b/>
                <w:sz w:val="20"/>
                <w:szCs w:val="20"/>
              </w:rPr>
              <w:t>✓</w:t>
            </w:r>
          </w:p>
        </w:tc>
        <w:tc>
          <w:tcPr>
            <w:tcW w:w="108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MPH</w:t>
            </w:r>
          </w:p>
        </w:tc>
        <w:tc>
          <w:tcPr>
            <w:tcW w:w="90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99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r>
      <w:tr w:rsidR="0052420D" w:rsidRPr="00743A41" w:rsidTr="003172D4">
        <w:trPr>
          <w:trHeight w:val="168"/>
        </w:trPr>
        <w:tc>
          <w:tcPr>
            <w:tcW w:w="2610" w:type="dxa"/>
            <w:tcMar>
              <w:left w:w="0" w:type="dxa"/>
              <w:right w:w="0" w:type="dxa"/>
            </w:tcMar>
            <w:vAlign w:val="center"/>
          </w:tcPr>
          <w:p w:rsidR="0052420D" w:rsidRPr="00743A41" w:rsidRDefault="0052420D" w:rsidP="00A37ED6">
            <w:pPr>
              <w:tabs>
                <w:tab w:val="left" w:pos="720"/>
              </w:tabs>
              <w:ind w:firstLine="90"/>
              <w:rPr>
                <w:rFonts w:asciiTheme="majorHAnsi" w:eastAsia="Arial" w:hAnsiTheme="majorHAnsi" w:cstheme="majorHAnsi"/>
                <w:sz w:val="20"/>
                <w:szCs w:val="20"/>
              </w:rPr>
            </w:pPr>
            <w:r w:rsidRPr="00743A41">
              <w:rPr>
                <w:rFonts w:asciiTheme="majorHAnsi" w:eastAsia="Arial" w:hAnsiTheme="majorHAnsi" w:cstheme="majorHAnsi"/>
                <w:sz w:val="20"/>
                <w:szCs w:val="20"/>
              </w:rPr>
              <w:t>Environmental Health</w:t>
            </w:r>
          </w:p>
        </w:tc>
        <w:tc>
          <w:tcPr>
            <w:tcW w:w="108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117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MPH</w:t>
            </w:r>
          </w:p>
        </w:tc>
        <w:tc>
          <w:tcPr>
            <w:tcW w:w="117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Wingdings" w:hAnsiTheme="majorHAnsi" w:cstheme="majorHAnsi"/>
                <w:b/>
                <w:sz w:val="20"/>
                <w:szCs w:val="20"/>
              </w:rPr>
            </w:pPr>
            <w:r w:rsidRPr="00743A41">
              <w:rPr>
                <w:rFonts w:ascii="Segoe UI Symbol" w:eastAsia="Wingdings" w:hAnsi="Segoe UI Symbol" w:cs="Segoe UI Symbol"/>
                <w:b/>
                <w:sz w:val="20"/>
                <w:szCs w:val="20"/>
              </w:rPr>
              <w:t>✓</w:t>
            </w:r>
          </w:p>
        </w:tc>
        <w:tc>
          <w:tcPr>
            <w:tcW w:w="108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MPH</w:t>
            </w:r>
          </w:p>
        </w:tc>
        <w:tc>
          <w:tcPr>
            <w:tcW w:w="90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99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r>
      <w:tr w:rsidR="0052420D" w:rsidRPr="00743A41" w:rsidTr="003172D4">
        <w:trPr>
          <w:trHeight w:val="168"/>
        </w:trPr>
        <w:tc>
          <w:tcPr>
            <w:tcW w:w="2610" w:type="dxa"/>
            <w:tcMar>
              <w:left w:w="0" w:type="dxa"/>
              <w:right w:w="0" w:type="dxa"/>
            </w:tcMar>
            <w:vAlign w:val="center"/>
          </w:tcPr>
          <w:p w:rsidR="0052420D" w:rsidRPr="00743A41" w:rsidRDefault="0052420D" w:rsidP="00A37ED6">
            <w:pPr>
              <w:tabs>
                <w:tab w:val="left" w:pos="720"/>
              </w:tabs>
              <w:ind w:left="360" w:hanging="270"/>
              <w:rPr>
                <w:rFonts w:asciiTheme="majorHAnsi" w:eastAsia="Arial" w:hAnsiTheme="majorHAnsi" w:cstheme="majorHAnsi"/>
                <w:sz w:val="20"/>
                <w:szCs w:val="20"/>
              </w:rPr>
            </w:pPr>
            <w:r w:rsidRPr="00743A41">
              <w:rPr>
                <w:rFonts w:asciiTheme="majorHAnsi" w:eastAsia="Arial" w:hAnsiTheme="majorHAnsi" w:cstheme="majorHAnsi"/>
                <w:sz w:val="20"/>
                <w:szCs w:val="20"/>
              </w:rPr>
              <w:t>Epidemiology</w:t>
            </w:r>
          </w:p>
        </w:tc>
        <w:tc>
          <w:tcPr>
            <w:tcW w:w="108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i/>
                <w:sz w:val="20"/>
                <w:szCs w:val="20"/>
              </w:rPr>
            </w:pPr>
            <w:r w:rsidRPr="00743A41">
              <w:rPr>
                <w:rFonts w:asciiTheme="majorHAnsi" w:eastAsia="Arial" w:hAnsiTheme="majorHAnsi" w:cstheme="majorHAnsi"/>
                <w:i/>
                <w:sz w:val="20"/>
                <w:szCs w:val="20"/>
              </w:rPr>
              <w:t>MS</w:t>
            </w:r>
            <w:r w:rsidR="00E565BF" w:rsidRPr="00743A41">
              <w:rPr>
                <w:rFonts w:asciiTheme="majorHAnsi" w:eastAsia="Arial" w:hAnsiTheme="majorHAnsi" w:cstheme="majorHAnsi"/>
                <w:i/>
                <w:sz w:val="20"/>
                <w:szCs w:val="20"/>
              </w:rPr>
              <w:t>*</w:t>
            </w:r>
          </w:p>
        </w:tc>
        <w:tc>
          <w:tcPr>
            <w:tcW w:w="117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MPH</w:t>
            </w:r>
          </w:p>
        </w:tc>
        <w:tc>
          <w:tcPr>
            <w:tcW w:w="117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Segoe UI Symbol" w:eastAsia="Wingdings" w:hAnsi="Segoe UI Symbol" w:cs="Segoe UI Symbol"/>
                <w:b/>
                <w:sz w:val="20"/>
                <w:szCs w:val="20"/>
              </w:rPr>
              <w:t>✓</w:t>
            </w:r>
          </w:p>
        </w:tc>
        <w:tc>
          <w:tcPr>
            <w:tcW w:w="1080" w:type="dxa"/>
            <w:tcMar>
              <w:left w:w="0" w:type="dxa"/>
              <w:right w:w="0" w:type="dxa"/>
            </w:tcMar>
            <w:vAlign w:val="center"/>
          </w:tcPr>
          <w:p w:rsidR="0052420D" w:rsidRPr="00743A41" w:rsidRDefault="009025E9"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 xml:space="preserve">MPH, </w:t>
            </w:r>
            <w:r w:rsidRPr="00743A41">
              <w:rPr>
                <w:rFonts w:asciiTheme="majorHAnsi" w:eastAsia="Arial" w:hAnsiTheme="majorHAnsi" w:cstheme="majorHAnsi"/>
                <w:i/>
                <w:sz w:val="20"/>
                <w:szCs w:val="20"/>
              </w:rPr>
              <w:t>MS*</w:t>
            </w:r>
          </w:p>
        </w:tc>
        <w:tc>
          <w:tcPr>
            <w:tcW w:w="90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99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MPH</w:t>
            </w:r>
          </w:p>
        </w:tc>
      </w:tr>
      <w:tr w:rsidR="0052420D" w:rsidRPr="00743A41" w:rsidTr="003172D4">
        <w:trPr>
          <w:trHeight w:val="168"/>
        </w:trPr>
        <w:tc>
          <w:tcPr>
            <w:tcW w:w="2610" w:type="dxa"/>
            <w:tcMar>
              <w:left w:w="0" w:type="dxa"/>
              <w:right w:w="0" w:type="dxa"/>
            </w:tcMar>
            <w:vAlign w:val="center"/>
          </w:tcPr>
          <w:p w:rsidR="0052420D" w:rsidRPr="00743A41" w:rsidRDefault="0052420D" w:rsidP="00A37ED6">
            <w:pPr>
              <w:tabs>
                <w:tab w:val="left" w:pos="720"/>
              </w:tabs>
              <w:ind w:left="180" w:hanging="90"/>
              <w:rPr>
                <w:rFonts w:asciiTheme="majorHAnsi" w:eastAsia="Arial" w:hAnsiTheme="majorHAnsi" w:cstheme="majorHAnsi"/>
                <w:sz w:val="20"/>
                <w:szCs w:val="20"/>
              </w:rPr>
            </w:pPr>
            <w:r w:rsidRPr="00743A41">
              <w:rPr>
                <w:rFonts w:asciiTheme="majorHAnsi" w:eastAsia="Arial" w:hAnsiTheme="majorHAnsi" w:cstheme="majorHAnsi"/>
                <w:sz w:val="20"/>
                <w:szCs w:val="20"/>
              </w:rPr>
              <w:t>Health Promotion/Health Education</w:t>
            </w:r>
          </w:p>
        </w:tc>
        <w:tc>
          <w:tcPr>
            <w:tcW w:w="108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117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MPH</w:t>
            </w:r>
          </w:p>
        </w:tc>
        <w:tc>
          <w:tcPr>
            <w:tcW w:w="117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Segoe UI Symbol" w:eastAsia="Wingdings" w:hAnsi="Segoe UI Symbol" w:cs="Segoe UI Symbol"/>
                <w:b/>
                <w:sz w:val="20"/>
                <w:szCs w:val="20"/>
              </w:rPr>
              <w:t>✓</w:t>
            </w:r>
          </w:p>
        </w:tc>
        <w:tc>
          <w:tcPr>
            <w:tcW w:w="108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MPH</w:t>
            </w:r>
          </w:p>
        </w:tc>
        <w:tc>
          <w:tcPr>
            <w:tcW w:w="90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99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r>
      <w:tr w:rsidR="0052420D" w:rsidRPr="00743A41" w:rsidTr="006B13C2">
        <w:trPr>
          <w:trHeight w:val="168"/>
        </w:trPr>
        <w:tc>
          <w:tcPr>
            <w:tcW w:w="2610" w:type="dxa"/>
            <w:tcBorders>
              <w:bottom w:val="single" w:sz="4" w:space="0" w:color="auto"/>
            </w:tcBorders>
            <w:tcMar>
              <w:left w:w="0" w:type="dxa"/>
              <w:right w:w="0" w:type="dxa"/>
            </w:tcMar>
            <w:vAlign w:val="center"/>
          </w:tcPr>
          <w:p w:rsidR="0052420D" w:rsidRPr="00743A41" w:rsidRDefault="0052420D" w:rsidP="00A37ED6">
            <w:pPr>
              <w:tabs>
                <w:tab w:val="left" w:pos="720"/>
              </w:tabs>
              <w:ind w:left="360" w:hanging="270"/>
              <w:rPr>
                <w:rFonts w:asciiTheme="majorHAnsi" w:eastAsia="Arial" w:hAnsiTheme="majorHAnsi" w:cstheme="majorHAnsi"/>
                <w:sz w:val="20"/>
                <w:szCs w:val="20"/>
              </w:rPr>
            </w:pPr>
            <w:r w:rsidRPr="00743A41">
              <w:rPr>
                <w:rFonts w:asciiTheme="majorHAnsi" w:eastAsia="Arial" w:hAnsiTheme="majorHAnsi" w:cstheme="majorHAnsi"/>
                <w:sz w:val="20"/>
                <w:szCs w:val="20"/>
              </w:rPr>
              <w:t>Health Services Organizations</w:t>
            </w:r>
          </w:p>
        </w:tc>
        <w:tc>
          <w:tcPr>
            <w:tcW w:w="1080" w:type="dxa"/>
            <w:tcBorders>
              <w:bottom w:val="single" w:sz="4" w:space="0" w:color="auto"/>
            </w:tcBorders>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1170" w:type="dxa"/>
            <w:tcBorders>
              <w:bottom w:val="single" w:sz="4" w:space="0" w:color="auto"/>
            </w:tcBorders>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MPH</w:t>
            </w:r>
          </w:p>
        </w:tc>
        <w:tc>
          <w:tcPr>
            <w:tcW w:w="1170" w:type="dxa"/>
            <w:tcBorders>
              <w:bottom w:val="single" w:sz="4" w:space="0" w:color="auto"/>
            </w:tcBorders>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Segoe UI Symbol" w:eastAsia="Wingdings" w:hAnsi="Segoe UI Symbol" w:cs="Segoe UI Symbol"/>
                <w:b/>
                <w:sz w:val="20"/>
                <w:szCs w:val="20"/>
              </w:rPr>
              <w:t>✓</w:t>
            </w:r>
          </w:p>
        </w:tc>
        <w:tc>
          <w:tcPr>
            <w:tcW w:w="1080" w:type="dxa"/>
            <w:tcBorders>
              <w:bottom w:val="single" w:sz="4" w:space="0" w:color="auto"/>
            </w:tcBorders>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MPH</w:t>
            </w:r>
          </w:p>
        </w:tc>
        <w:tc>
          <w:tcPr>
            <w:tcW w:w="900" w:type="dxa"/>
            <w:tcBorders>
              <w:bottom w:val="single" w:sz="4" w:space="0" w:color="auto"/>
            </w:tcBorders>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990" w:type="dxa"/>
            <w:tcBorders>
              <w:bottom w:val="single" w:sz="4" w:space="0" w:color="auto"/>
            </w:tcBorders>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r>
      <w:tr w:rsidR="0052420D" w:rsidRPr="00743A41" w:rsidTr="006B13C2">
        <w:trPr>
          <w:trHeight w:val="168"/>
        </w:trPr>
        <w:tc>
          <w:tcPr>
            <w:tcW w:w="2610" w:type="dxa"/>
            <w:tcBorders>
              <w:bottom w:val="single" w:sz="4" w:space="0" w:color="auto"/>
            </w:tcBorders>
            <w:tcMar>
              <w:left w:w="0" w:type="dxa"/>
              <w:right w:w="0" w:type="dxa"/>
            </w:tcMar>
            <w:vAlign w:val="center"/>
          </w:tcPr>
          <w:p w:rsidR="0052420D" w:rsidRPr="00743A41" w:rsidRDefault="0052420D" w:rsidP="00A37ED6">
            <w:pPr>
              <w:tabs>
                <w:tab w:val="left" w:pos="720"/>
              </w:tabs>
              <w:ind w:left="360" w:hanging="270"/>
              <w:rPr>
                <w:rFonts w:asciiTheme="majorHAnsi" w:eastAsia="Arial" w:hAnsiTheme="majorHAnsi" w:cstheme="majorHAnsi"/>
                <w:sz w:val="20"/>
                <w:szCs w:val="20"/>
              </w:rPr>
            </w:pPr>
            <w:r w:rsidRPr="00743A41">
              <w:rPr>
                <w:rFonts w:asciiTheme="majorHAnsi" w:eastAsia="Arial" w:hAnsiTheme="majorHAnsi" w:cstheme="majorHAnsi"/>
                <w:sz w:val="20"/>
                <w:szCs w:val="20"/>
              </w:rPr>
              <w:t>Healthcare Management</w:t>
            </w:r>
          </w:p>
        </w:tc>
        <w:tc>
          <w:tcPr>
            <w:tcW w:w="1080" w:type="dxa"/>
            <w:tcBorders>
              <w:bottom w:val="single" w:sz="4" w:space="0" w:color="auto"/>
            </w:tcBorders>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1170" w:type="dxa"/>
            <w:tcBorders>
              <w:bottom w:val="single" w:sz="4" w:space="0" w:color="auto"/>
            </w:tcBorders>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MPH</w:t>
            </w:r>
          </w:p>
        </w:tc>
        <w:tc>
          <w:tcPr>
            <w:tcW w:w="1170" w:type="dxa"/>
            <w:tcBorders>
              <w:bottom w:val="single" w:sz="4" w:space="0" w:color="auto"/>
            </w:tcBorders>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Segoe UI Symbol" w:eastAsia="Wingdings" w:hAnsi="Segoe UI Symbol" w:cs="Segoe UI Symbol"/>
                <w:b/>
                <w:sz w:val="20"/>
                <w:szCs w:val="20"/>
              </w:rPr>
              <w:t>✓</w:t>
            </w:r>
          </w:p>
        </w:tc>
        <w:tc>
          <w:tcPr>
            <w:tcW w:w="1080" w:type="dxa"/>
            <w:tcBorders>
              <w:bottom w:val="single" w:sz="4" w:space="0" w:color="auto"/>
            </w:tcBorders>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MPH</w:t>
            </w:r>
          </w:p>
        </w:tc>
        <w:tc>
          <w:tcPr>
            <w:tcW w:w="900" w:type="dxa"/>
            <w:tcBorders>
              <w:bottom w:val="single" w:sz="4" w:space="0" w:color="auto"/>
            </w:tcBorders>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990" w:type="dxa"/>
            <w:tcBorders>
              <w:bottom w:val="single" w:sz="4" w:space="0" w:color="auto"/>
            </w:tcBorders>
            <w:tcMar>
              <w:left w:w="0" w:type="dxa"/>
              <w:right w:w="0" w:type="dxa"/>
            </w:tcMar>
            <w:vAlign w:val="center"/>
          </w:tcPr>
          <w:p w:rsidR="0052420D" w:rsidRPr="00743A41" w:rsidRDefault="0052420D" w:rsidP="00A37ED6">
            <w:pPr>
              <w:tabs>
                <w:tab w:val="left" w:pos="720"/>
              </w:tabs>
              <w:jc w:val="center"/>
              <w:rPr>
                <w:rFonts w:asciiTheme="majorHAnsi" w:eastAsia="Arial" w:hAnsiTheme="majorHAnsi" w:cstheme="majorHAnsi"/>
                <w:sz w:val="20"/>
                <w:szCs w:val="20"/>
              </w:rPr>
            </w:pPr>
          </w:p>
        </w:tc>
      </w:tr>
      <w:tr w:rsidR="0052420D" w:rsidRPr="00743A41" w:rsidTr="006B13C2">
        <w:trPr>
          <w:trHeight w:val="203"/>
        </w:trPr>
        <w:tc>
          <w:tcPr>
            <w:tcW w:w="2610" w:type="dxa"/>
            <w:tcBorders>
              <w:top w:val="single" w:sz="4" w:space="0" w:color="auto"/>
              <w:bottom w:val="single" w:sz="4" w:space="0" w:color="auto"/>
            </w:tcBorders>
            <w:shd w:val="clear" w:color="auto" w:fill="BFBFBF" w:themeFill="background1" w:themeFillShade="BF"/>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Doctoral Degrees</w:t>
            </w:r>
          </w:p>
        </w:tc>
        <w:tc>
          <w:tcPr>
            <w:tcW w:w="1080" w:type="dxa"/>
            <w:tcBorders>
              <w:top w:val="single" w:sz="4" w:space="0" w:color="auto"/>
              <w:bottom w:val="single" w:sz="4" w:space="0" w:color="auto"/>
            </w:tcBorders>
            <w:shd w:val="clear" w:color="auto" w:fill="BFBFBF" w:themeFill="background1" w:themeFillShade="BF"/>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Academic</w:t>
            </w:r>
          </w:p>
        </w:tc>
        <w:tc>
          <w:tcPr>
            <w:tcW w:w="1170" w:type="dxa"/>
            <w:tcBorders>
              <w:top w:val="single" w:sz="4" w:space="0" w:color="auto"/>
              <w:bottom w:val="single" w:sz="4" w:space="0" w:color="auto"/>
            </w:tcBorders>
            <w:shd w:val="clear" w:color="auto" w:fill="BFBFBF" w:themeFill="background1" w:themeFillShade="BF"/>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Professional</w:t>
            </w:r>
          </w:p>
        </w:tc>
        <w:tc>
          <w:tcPr>
            <w:tcW w:w="1170" w:type="dxa"/>
            <w:tcBorders>
              <w:top w:val="single" w:sz="4" w:space="0" w:color="auto"/>
              <w:bottom w:val="single" w:sz="4" w:space="0" w:color="auto"/>
            </w:tcBorders>
            <w:shd w:val="clear" w:color="auto" w:fill="BFBFBF" w:themeFill="background1" w:themeFillShade="BF"/>
            <w:tcMar>
              <w:left w:w="0" w:type="dxa"/>
              <w:right w:w="0" w:type="dxa"/>
            </w:tcMar>
            <w:vAlign w:val="center"/>
          </w:tcPr>
          <w:p w:rsidR="0052420D" w:rsidRPr="00743A41" w:rsidRDefault="0052420D" w:rsidP="00A37ED6">
            <w:pPr>
              <w:ind w:left="3" w:hanging="3"/>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Categorized as Public Health*</w:t>
            </w:r>
          </w:p>
        </w:tc>
        <w:tc>
          <w:tcPr>
            <w:tcW w:w="1080" w:type="dxa"/>
            <w:tcBorders>
              <w:top w:val="single" w:sz="4" w:space="0" w:color="auto"/>
              <w:bottom w:val="single" w:sz="4" w:space="0" w:color="auto"/>
            </w:tcBorders>
            <w:shd w:val="clear" w:color="auto" w:fill="BFBFBF" w:themeFill="background1" w:themeFillShade="BF"/>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Campus</w:t>
            </w:r>
          </w:p>
          <w:p w:rsidR="0052420D" w:rsidRPr="00743A41" w:rsidRDefault="0052420D"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b/>
                <w:sz w:val="20"/>
                <w:szCs w:val="20"/>
              </w:rPr>
              <w:t>Based</w:t>
            </w:r>
          </w:p>
        </w:tc>
        <w:tc>
          <w:tcPr>
            <w:tcW w:w="900" w:type="dxa"/>
            <w:tcBorders>
              <w:top w:val="single" w:sz="4" w:space="0" w:color="auto"/>
              <w:bottom w:val="single" w:sz="4" w:space="0" w:color="auto"/>
            </w:tcBorders>
            <w:shd w:val="clear" w:color="auto" w:fill="BFBFBF" w:themeFill="background1" w:themeFillShade="BF"/>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b/>
                <w:sz w:val="20"/>
                <w:szCs w:val="20"/>
              </w:rPr>
              <w:t>Executive</w:t>
            </w:r>
          </w:p>
        </w:tc>
        <w:tc>
          <w:tcPr>
            <w:tcW w:w="990" w:type="dxa"/>
            <w:tcBorders>
              <w:top w:val="single" w:sz="4" w:space="0" w:color="auto"/>
              <w:bottom w:val="single" w:sz="4" w:space="0" w:color="auto"/>
            </w:tcBorders>
            <w:shd w:val="clear" w:color="auto" w:fill="BFBFBF" w:themeFill="background1" w:themeFillShade="BF"/>
            <w:tcMar>
              <w:left w:w="0" w:type="dxa"/>
              <w:right w:w="0" w:type="dxa"/>
            </w:tcMar>
            <w:vAlign w:val="center"/>
          </w:tcPr>
          <w:p w:rsidR="0052420D" w:rsidRPr="00743A41" w:rsidRDefault="0052420D" w:rsidP="00A37ED6">
            <w:pPr>
              <w:tabs>
                <w:tab w:val="left" w:pos="720"/>
              </w:tabs>
              <w:jc w:val="center"/>
              <w:rPr>
                <w:rFonts w:asciiTheme="majorHAnsi" w:eastAsia="Arial" w:hAnsiTheme="majorHAnsi" w:cstheme="majorHAnsi"/>
                <w:sz w:val="20"/>
                <w:szCs w:val="20"/>
              </w:rPr>
            </w:pPr>
            <w:r w:rsidRPr="00743A41">
              <w:rPr>
                <w:rFonts w:asciiTheme="majorHAnsi" w:eastAsia="Arial" w:hAnsiTheme="majorHAnsi" w:cstheme="majorHAnsi"/>
                <w:b/>
                <w:sz w:val="20"/>
                <w:szCs w:val="20"/>
              </w:rPr>
              <w:t>Distance Based</w:t>
            </w:r>
          </w:p>
        </w:tc>
      </w:tr>
      <w:tr w:rsidR="0052420D" w:rsidRPr="00743A41" w:rsidTr="006B13C2">
        <w:trPr>
          <w:trHeight w:val="168"/>
        </w:trPr>
        <w:tc>
          <w:tcPr>
            <w:tcW w:w="2610" w:type="dxa"/>
            <w:tcBorders>
              <w:top w:val="single" w:sz="4" w:space="0" w:color="auto"/>
            </w:tcBorders>
            <w:tcMar>
              <w:left w:w="0" w:type="dxa"/>
              <w:right w:w="0" w:type="dxa"/>
            </w:tcMar>
            <w:vAlign w:val="center"/>
          </w:tcPr>
          <w:p w:rsidR="0052420D" w:rsidRPr="00743A41" w:rsidRDefault="0052420D" w:rsidP="00A37ED6">
            <w:pPr>
              <w:tabs>
                <w:tab w:val="left" w:pos="720"/>
              </w:tabs>
              <w:ind w:left="180" w:hanging="90"/>
              <w:rPr>
                <w:rFonts w:asciiTheme="majorHAnsi" w:eastAsia="Arial" w:hAnsiTheme="majorHAnsi" w:cstheme="majorHAnsi"/>
                <w:sz w:val="20"/>
                <w:szCs w:val="20"/>
              </w:rPr>
            </w:pPr>
            <w:r w:rsidRPr="00743A41">
              <w:rPr>
                <w:rFonts w:asciiTheme="majorHAnsi" w:eastAsia="Arial" w:hAnsiTheme="majorHAnsi" w:cstheme="majorHAnsi"/>
                <w:sz w:val="20"/>
                <w:szCs w:val="20"/>
              </w:rPr>
              <w:t>Behavioral Sciences and Health Promotion</w:t>
            </w:r>
          </w:p>
        </w:tc>
        <w:tc>
          <w:tcPr>
            <w:tcW w:w="1080" w:type="dxa"/>
            <w:tcBorders>
              <w:top w:val="single" w:sz="4" w:space="0" w:color="auto"/>
            </w:tcBorders>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PhD</w:t>
            </w:r>
          </w:p>
        </w:tc>
        <w:tc>
          <w:tcPr>
            <w:tcW w:w="1170" w:type="dxa"/>
            <w:tcBorders>
              <w:top w:val="single" w:sz="4" w:space="0" w:color="auto"/>
            </w:tcBorders>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1170" w:type="dxa"/>
            <w:tcBorders>
              <w:top w:val="single" w:sz="4" w:space="0" w:color="auto"/>
            </w:tcBorders>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r w:rsidRPr="00743A41">
              <w:rPr>
                <w:rFonts w:ascii="Segoe UI Symbol" w:eastAsia="Wingdings" w:hAnsi="Segoe UI Symbol" w:cs="Segoe UI Symbol"/>
                <w:b/>
                <w:sz w:val="20"/>
                <w:szCs w:val="20"/>
              </w:rPr>
              <w:t>✓</w:t>
            </w:r>
          </w:p>
        </w:tc>
        <w:tc>
          <w:tcPr>
            <w:tcW w:w="1080" w:type="dxa"/>
            <w:tcBorders>
              <w:top w:val="single" w:sz="4" w:space="0" w:color="auto"/>
            </w:tcBorders>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PhD</w:t>
            </w:r>
          </w:p>
        </w:tc>
        <w:tc>
          <w:tcPr>
            <w:tcW w:w="900" w:type="dxa"/>
            <w:tcBorders>
              <w:top w:val="single" w:sz="4" w:space="0" w:color="auto"/>
            </w:tcBorders>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990" w:type="dxa"/>
            <w:tcBorders>
              <w:top w:val="single" w:sz="4" w:space="0" w:color="auto"/>
            </w:tcBorders>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r>
      <w:tr w:rsidR="0052420D" w:rsidRPr="00743A41" w:rsidTr="003172D4">
        <w:trPr>
          <w:trHeight w:val="168"/>
        </w:trPr>
        <w:tc>
          <w:tcPr>
            <w:tcW w:w="2610" w:type="dxa"/>
            <w:tcMar>
              <w:left w:w="0" w:type="dxa"/>
              <w:right w:w="0" w:type="dxa"/>
            </w:tcMar>
            <w:vAlign w:val="center"/>
          </w:tcPr>
          <w:p w:rsidR="0052420D" w:rsidRPr="00743A41" w:rsidRDefault="0052420D" w:rsidP="00A37ED6">
            <w:pPr>
              <w:tabs>
                <w:tab w:val="left" w:pos="720"/>
              </w:tabs>
              <w:ind w:left="180" w:hanging="90"/>
              <w:rPr>
                <w:rFonts w:asciiTheme="majorHAnsi" w:eastAsia="Arial" w:hAnsiTheme="majorHAnsi" w:cstheme="majorHAnsi"/>
                <w:sz w:val="20"/>
                <w:szCs w:val="20"/>
              </w:rPr>
            </w:pPr>
            <w:r w:rsidRPr="00743A41">
              <w:rPr>
                <w:rFonts w:asciiTheme="majorHAnsi" w:eastAsia="Arial" w:hAnsiTheme="majorHAnsi" w:cstheme="majorHAnsi"/>
                <w:sz w:val="20"/>
                <w:szCs w:val="20"/>
              </w:rPr>
              <w:t>Biostatistics</w:t>
            </w:r>
          </w:p>
        </w:tc>
        <w:tc>
          <w:tcPr>
            <w:tcW w:w="108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PhD</w:t>
            </w:r>
          </w:p>
        </w:tc>
        <w:tc>
          <w:tcPr>
            <w:tcW w:w="117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117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r w:rsidRPr="00743A41">
              <w:rPr>
                <w:rFonts w:ascii="Segoe UI Symbol" w:eastAsia="Wingdings" w:hAnsi="Segoe UI Symbol" w:cs="Segoe UI Symbol"/>
                <w:b/>
                <w:sz w:val="20"/>
                <w:szCs w:val="20"/>
              </w:rPr>
              <w:t>✓</w:t>
            </w:r>
          </w:p>
        </w:tc>
        <w:tc>
          <w:tcPr>
            <w:tcW w:w="108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PhD</w:t>
            </w:r>
          </w:p>
        </w:tc>
        <w:tc>
          <w:tcPr>
            <w:tcW w:w="90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99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r>
      <w:tr w:rsidR="0052420D" w:rsidRPr="00743A41" w:rsidTr="003172D4">
        <w:trPr>
          <w:trHeight w:val="168"/>
        </w:trPr>
        <w:tc>
          <w:tcPr>
            <w:tcW w:w="2610" w:type="dxa"/>
            <w:tcMar>
              <w:left w:w="0" w:type="dxa"/>
              <w:right w:w="0" w:type="dxa"/>
            </w:tcMar>
            <w:vAlign w:val="center"/>
          </w:tcPr>
          <w:p w:rsidR="0052420D" w:rsidRPr="00743A41" w:rsidRDefault="0052420D" w:rsidP="00A37ED6">
            <w:pPr>
              <w:tabs>
                <w:tab w:val="left" w:pos="720"/>
              </w:tabs>
              <w:ind w:left="180" w:hanging="90"/>
              <w:rPr>
                <w:rFonts w:asciiTheme="majorHAnsi" w:eastAsia="Arial" w:hAnsiTheme="majorHAnsi" w:cstheme="majorHAnsi"/>
                <w:sz w:val="20"/>
                <w:szCs w:val="20"/>
              </w:rPr>
            </w:pPr>
            <w:r w:rsidRPr="00743A41">
              <w:rPr>
                <w:rFonts w:asciiTheme="majorHAnsi" w:eastAsia="Arial" w:hAnsiTheme="majorHAnsi" w:cstheme="majorHAnsi"/>
                <w:sz w:val="20"/>
                <w:szCs w:val="20"/>
              </w:rPr>
              <w:t>Community Health Practice</w:t>
            </w:r>
          </w:p>
        </w:tc>
        <w:tc>
          <w:tcPr>
            <w:tcW w:w="108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117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DrPH</w:t>
            </w:r>
          </w:p>
        </w:tc>
        <w:tc>
          <w:tcPr>
            <w:tcW w:w="117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r w:rsidRPr="00743A41">
              <w:rPr>
                <w:rFonts w:ascii="Segoe UI Symbol" w:eastAsia="Wingdings" w:hAnsi="Segoe UI Symbol" w:cs="Segoe UI Symbol"/>
                <w:b/>
                <w:sz w:val="20"/>
                <w:szCs w:val="20"/>
              </w:rPr>
              <w:t>✓</w:t>
            </w:r>
          </w:p>
        </w:tc>
        <w:tc>
          <w:tcPr>
            <w:tcW w:w="108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DrPH</w:t>
            </w:r>
          </w:p>
        </w:tc>
        <w:tc>
          <w:tcPr>
            <w:tcW w:w="90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99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r>
      <w:tr w:rsidR="0052420D" w:rsidRPr="00743A41" w:rsidTr="003172D4">
        <w:trPr>
          <w:trHeight w:val="168"/>
        </w:trPr>
        <w:tc>
          <w:tcPr>
            <w:tcW w:w="2610" w:type="dxa"/>
            <w:tcMar>
              <w:left w:w="0" w:type="dxa"/>
              <w:right w:w="0" w:type="dxa"/>
            </w:tcMar>
            <w:vAlign w:val="center"/>
          </w:tcPr>
          <w:p w:rsidR="0052420D" w:rsidRPr="00743A41" w:rsidRDefault="0052420D" w:rsidP="00A37ED6">
            <w:pPr>
              <w:tabs>
                <w:tab w:val="left" w:pos="720"/>
              </w:tabs>
              <w:ind w:left="180" w:hanging="90"/>
              <w:rPr>
                <w:rFonts w:asciiTheme="majorHAnsi" w:eastAsia="Arial" w:hAnsiTheme="majorHAnsi" w:cstheme="majorHAnsi"/>
                <w:sz w:val="20"/>
                <w:szCs w:val="20"/>
              </w:rPr>
            </w:pPr>
            <w:r w:rsidRPr="00743A41">
              <w:rPr>
                <w:rFonts w:asciiTheme="majorHAnsi" w:eastAsia="Arial" w:hAnsiTheme="majorHAnsi" w:cstheme="majorHAnsi"/>
                <w:sz w:val="20"/>
                <w:szCs w:val="20"/>
              </w:rPr>
              <w:t>Environmental Science – Environmental Disease Prevention (Track)</w:t>
            </w:r>
          </w:p>
        </w:tc>
        <w:tc>
          <w:tcPr>
            <w:tcW w:w="108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PhD</w:t>
            </w:r>
          </w:p>
        </w:tc>
        <w:tc>
          <w:tcPr>
            <w:tcW w:w="117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117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r w:rsidRPr="00743A41">
              <w:rPr>
                <w:rFonts w:ascii="Segoe UI Symbol" w:eastAsia="Wingdings" w:hAnsi="Segoe UI Symbol" w:cs="Segoe UI Symbol"/>
                <w:b/>
                <w:sz w:val="20"/>
                <w:szCs w:val="20"/>
              </w:rPr>
              <w:t>✓</w:t>
            </w:r>
          </w:p>
        </w:tc>
        <w:tc>
          <w:tcPr>
            <w:tcW w:w="108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PhD</w:t>
            </w:r>
          </w:p>
        </w:tc>
        <w:tc>
          <w:tcPr>
            <w:tcW w:w="90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99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r>
      <w:tr w:rsidR="0052420D" w:rsidRPr="00743A41" w:rsidTr="003172D4">
        <w:trPr>
          <w:trHeight w:val="168"/>
        </w:trPr>
        <w:tc>
          <w:tcPr>
            <w:tcW w:w="2610" w:type="dxa"/>
            <w:tcMar>
              <w:left w:w="0" w:type="dxa"/>
              <w:right w:w="0" w:type="dxa"/>
            </w:tcMar>
            <w:vAlign w:val="center"/>
          </w:tcPr>
          <w:p w:rsidR="0052420D" w:rsidRPr="00743A41" w:rsidRDefault="0052420D" w:rsidP="00A37ED6">
            <w:pPr>
              <w:tabs>
                <w:tab w:val="left" w:pos="720"/>
              </w:tabs>
              <w:ind w:left="180" w:hanging="90"/>
              <w:rPr>
                <w:rFonts w:asciiTheme="majorHAnsi" w:eastAsia="Arial" w:hAnsiTheme="majorHAnsi" w:cstheme="majorHAnsi"/>
                <w:sz w:val="20"/>
                <w:szCs w:val="20"/>
              </w:rPr>
            </w:pPr>
            <w:r w:rsidRPr="00743A41">
              <w:rPr>
                <w:rFonts w:asciiTheme="majorHAnsi" w:eastAsia="Arial" w:hAnsiTheme="majorHAnsi" w:cstheme="majorHAnsi"/>
                <w:sz w:val="20"/>
                <w:szCs w:val="20"/>
              </w:rPr>
              <w:t>Environmental Science –Total Worker Health (Track)</w:t>
            </w:r>
          </w:p>
        </w:tc>
        <w:tc>
          <w:tcPr>
            <w:tcW w:w="108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PhD</w:t>
            </w:r>
          </w:p>
        </w:tc>
        <w:tc>
          <w:tcPr>
            <w:tcW w:w="117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117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r w:rsidRPr="00743A41">
              <w:rPr>
                <w:rFonts w:ascii="Segoe UI Symbol" w:eastAsia="Wingdings" w:hAnsi="Segoe UI Symbol" w:cs="Segoe UI Symbol"/>
                <w:b/>
                <w:sz w:val="20"/>
                <w:szCs w:val="20"/>
              </w:rPr>
              <w:t>✓</w:t>
            </w:r>
          </w:p>
        </w:tc>
        <w:tc>
          <w:tcPr>
            <w:tcW w:w="108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PhD</w:t>
            </w:r>
          </w:p>
        </w:tc>
        <w:tc>
          <w:tcPr>
            <w:tcW w:w="90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99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r>
      <w:tr w:rsidR="0052420D" w:rsidRPr="00743A41" w:rsidTr="003172D4">
        <w:trPr>
          <w:trHeight w:val="168"/>
        </w:trPr>
        <w:tc>
          <w:tcPr>
            <w:tcW w:w="2610" w:type="dxa"/>
            <w:tcMar>
              <w:left w:w="0" w:type="dxa"/>
              <w:right w:w="0" w:type="dxa"/>
            </w:tcMar>
            <w:vAlign w:val="center"/>
          </w:tcPr>
          <w:p w:rsidR="0052420D" w:rsidRPr="00743A41" w:rsidRDefault="0052420D" w:rsidP="00A37ED6">
            <w:pPr>
              <w:tabs>
                <w:tab w:val="left" w:pos="720"/>
              </w:tabs>
              <w:ind w:left="180" w:hanging="90"/>
              <w:rPr>
                <w:rFonts w:asciiTheme="majorHAnsi" w:eastAsia="Arial" w:hAnsiTheme="majorHAnsi" w:cstheme="majorHAnsi"/>
                <w:sz w:val="20"/>
                <w:szCs w:val="20"/>
              </w:rPr>
            </w:pPr>
            <w:r w:rsidRPr="00743A41">
              <w:rPr>
                <w:rFonts w:asciiTheme="majorHAnsi" w:eastAsia="Arial" w:hAnsiTheme="majorHAnsi" w:cstheme="majorHAnsi"/>
                <w:sz w:val="20"/>
                <w:szCs w:val="20"/>
              </w:rPr>
              <w:t>Epidemiology</w:t>
            </w:r>
          </w:p>
        </w:tc>
        <w:tc>
          <w:tcPr>
            <w:tcW w:w="108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PhD</w:t>
            </w:r>
          </w:p>
        </w:tc>
        <w:tc>
          <w:tcPr>
            <w:tcW w:w="1170" w:type="dxa"/>
            <w:tcMar>
              <w:left w:w="0" w:type="dxa"/>
              <w:right w:w="0" w:type="dxa"/>
            </w:tcMar>
            <w:vAlign w:val="center"/>
          </w:tcPr>
          <w:p w:rsidR="0052420D" w:rsidRPr="00743A41" w:rsidRDefault="0052420D" w:rsidP="00A37ED6">
            <w:pPr>
              <w:tabs>
                <w:tab w:val="left" w:pos="720"/>
              </w:tabs>
              <w:jc w:val="center"/>
              <w:rPr>
                <w:rFonts w:asciiTheme="majorHAnsi" w:eastAsia="Arial" w:hAnsiTheme="majorHAnsi" w:cstheme="majorHAnsi"/>
                <w:b/>
                <w:sz w:val="20"/>
                <w:szCs w:val="20"/>
              </w:rPr>
            </w:pPr>
          </w:p>
        </w:tc>
        <w:tc>
          <w:tcPr>
            <w:tcW w:w="117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r w:rsidRPr="00743A41">
              <w:rPr>
                <w:rFonts w:ascii="Segoe UI Symbol" w:eastAsia="Wingdings" w:hAnsi="Segoe UI Symbol" w:cs="Segoe UI Symbol"/>
                <w:b/>
                <w:sz w:val="20"/>
                <w:szCs w:val="20"/>
              </w:rPr>
              <w:t>✓</w:t>
            </w:r>
          </w:p>
        </w:tc>
        <w:tc>
          <w:tcPr>
            <w:tcW w:w="108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PhD</w:t>
            </w:r>
          </w:p>
        </w:tc>
        <w:tc>
          <w:tcPr>
            <w:tcW w:w="90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99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r>
      <w:tr w:rsidR="0052420D" w:rsidRPr="00743A41" w:rsidTr="003172D4">
        <w:trPr>
          <w:trHeight w:val="168"/>
        </w:trPr>
        <w:tc>
          <w:tcPr>
            <w:tcW w:w="2610" w:type="dxa"/>
            <w:tcMar>
              <w:left w:w="0" w:type="dxa"/>
              <w:right w:w="0" w:type="dxa"/>
            </w:tcMar>
            <w:vAlign w:val="center"/>
          </w:tcPr>
          <w:p w:rsidR="0052420D" w:rsidRPr="00743A41" w:rsidRDefault="0052420D" w:rsidP="00A37ED6">
            <w:pPr>
              <w:tabs>
                <w:tab w:val="left" w:pos="720"/>
              </w:tabs>
              <w:ind w:left="180" w:hanging="90"/>
              <w:rPr>
                <w:rFonts w:asciiTheme="majorHAnsi" w:eastAsia="Arial" w:hAnsiTheme="majorHAnsi" w:cstheme="majorHAnsi"/>
                <w:sz w:val="20"/>
                <w:szCs w:val="20"/>
              </w:rPr>
            </w:pPr>
            <w:r w:rsidRPr="00743A41">
              <w:rPr>
                <w:rFonts w:asciiTheme="majorHAnsi" w:eastAsia="Arial" w:hAnsiTheme="majorHAnsi" w:cstheme="majorHAnsi"/>
                <w:sz w:val="20"/>
                <w:szCs w:val="20"/>
              </w:rPr>
              <w:t>Health Promotion/Health Education</w:t>
            </w:r>
          </w:p>
        </w:tc>
        <w:tc>
          <w:tcPr>
            <w:tcW w:w="108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117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DrPH</w:t>
            </w:r>
          </w:p>
        </w:tc>
        <w:tc>
          <w:tcPr>
            <w:tcW w:w="117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r w:rsidRPr="00743A41">
              <w:rPr>
                <w:rFonts w:ascii="Segoe UI Symbol" w:eastAsia="Wingdings" w:hAnsi="Segoe UI Symbol" w:cs="Segoe UI Symbol"/>
                <w:b/>
                <w:sz w:val="20"/>
                <w:szCs w:val="20"/>
              </w:rPr>
              <w:t>✓</w:t>
            </w:r>
          </w:p>
        </w:tc>
        <w:tc>
          <w:tcPr>
            <w:tcW w:w="108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DrPH</w:t>
            </w:r>
          </w:p>
        </w:tc>
        <w:tc>
          <w:tcPr>
            <w:tcW w:w="90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99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r>
      <w:tr w:rsidR="0052420D" w:rsidRPr="00743A41" w:rsidTr="003172D4">
        <w:trPr>
          <w:trHeight w:val="168"/>
        </w:trPr>
        <w:tc>
          <w:tcPr>
            <w:tcW w:w="2610" w:type="dxa"/>
            <w:tcMar>
              <w:left w:w="0" w:type="dxa"/>
              <w:right w:w="0" w:type="dxa"/>
            </w:tcMar>
            <w:vAlign w:val="center"/>
          </w:tcPr>
          <w:p w:rsidR="0052420D" w:rsidRPr="00743A41" w:rsidRDefault="0052420D" w:rsidP="00A37ED6">
            <w:pPr>
              <w:tabs>
                <w:tab w:val="left" w:pos="720"/>
              </w:tabs>
              <w:ind w:left="180" w:hanging="90"/>
              <w:rPr>
                <w:rFonts w:asciiTheme="majorHAnsi" w:eastAsia="Arial" w:hAnsiTheme="majorHAnsi" w:cstheme="majorHAnsi"/>
                <w:sz w:val="20"/>
                <w:szCs w:val="20"/>
              </w:rPr>
            </w:pPr>
            <w:r w:rsidRPr="00743A41">
              <w:rPr>
                <w:rFonts w:asciiTheme="majorHAnsi" w:eastAsia="Arial" w:hAnsiTheme="majorHAnsi" w:cstheme="majorHAnsi"/>
                <w:sz w:val="20"/>
                <w:szCs w:val="20"/>
              </w:rPr>
              <w:t>Management and Policy Studies</w:t>
            </w:r>
          </w:p>
          <w:p w:rsidR="0052420D" w:rsidRPr="00743A41" w:rsidRDefault="0052420D" w:rsidP="00A37ED6">
            <w:pPr>
              <w:pStyle w:val="ListParagraph"/>
              <w:numPr>
                <w:ilvl w:val="0"/>
                <w:numId w:val="62"/>
              </w:numPr>
              <w:tabs>
                <w:tab w:val="left" w:pos="720"/>
              </w:tabs>
              <w:ind w:left="540" w:hanging="180"/>
              <w:contextualSpacing/>
              <w:rPr>
                <w:rFonts w:asciiTheme="majorHAnsi" w:eastAsia="Arial" w:hAnsiTheme="majorHAnsi" w:cstheme="majorHAnsi"/>
                <w:szCs w:val="20"/>
              </w:rPr>
            </w:pPr>
            <w:r w:rsidRPr="00743A41">
              <w:rPr>
                <w:rFonts w:asciiTheme="majorHAnsi" w:eastAsia="Arial" w:hAnsiTheme="majorHAnsi" w:cstheme="majorHAnsi"/>
                <w:szCs w:val="20"/>
              </w:rPr>
              <w:t>Health Economics and Health Services Research</w:t>
            </w:r>
          </w:p>
          <w:p w:rsidR="0052420D" w:rsidRPr="00743A41" w:rsidRDefault="0052420D" w:rsidP="00A37ED6">
            <w:pPr>
              <w:pStyle w:val="ListParagraph"/>
              <w:numPr>
                <w:ilvl w:val="0"/>
                <w:numId w:val="62"/>
              </w:numPr>
              <w:tabs>
                <w:tab w:val="left" w:pos="720"/>
              </w:tabs>
              <w:ind w:left="540" w:hanging="180"/>
              <w:contextualSpacing/>
              <w:rPr>
                <w:rFonts w:asciiTheme="majorHAnsi" w:eastAsia="Arial" w:hAnsiTheme="majorHAnsi" w:cstheme="majorHAnsi"/>
                <w:szCs w:val="20"/>
              </w:rPr>
            </w:pPr>
            <w:r w:rsidRPr="00743A41">
              <w:rPr>
                <w:rFonts w:asciiTheme="majorHAnsi" w:eastAsia="Arial" w:hAnsiTheme="majorHAnsi" w:cstheme="majorHAnsi"/>
                <w:szCs w:val="20"/>
              </w:rPr>
              <w:t>Healthcare Management and Health Policy</w:t>
            </w:r>
          </w:p>
        </w:tc>
        <w:tc>
          <w:tcPr>
            <w:tcW w:w="108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PhD</w:t>
            </w:r>
          </w:p>
        </w:tc>
        <w:tc>
          <w:tcPr>
            <w:tcW w:w="117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117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r w:rsidRPr="00743A41">
              <w:rPr>
                <w:rFonts w:ascii="Segoe UI Symbol" w:eastAsia="Wingdings" w:hAnsi="Segoe UI Symbol" w:cs="Segoe UI Symbol"/>
                <w:b/>
                <w:sz w:val="20"/>
                <w:szCs w:val="20"/>
              </w:rPr>
              <w:t>✓</w:t>
            </w:r>
          </w:p>
        </w:tc>
        <w:tc>
          <w:tcPr>
            <w:tcW w:w="108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PhD</w:t>
            </w:r>
          </w:p>
        </w:tc>
        <w:tc>
          <w:tcPr>
            <w:tcW w:w="90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c>
          <w:tcPr>
            <w:tcW w:w="990" w:type="dxa"/>
            <w:tcMar>
              <w:left w:w="0" w:type="dxa"/>
              <w:right w:w="0" w:type="dxa"/>
            </w:tcMar>
            <w:vAlign w:val="center"/>
          </w:tcPr>
          <w:p w:rsidR="0052420D" w:rsidRPr="00743A41" w:rsidRDefault="0052420D" w:rsidP="00A37ED6">
            <w:pPr>
              <w:tabs>
                <w:tab w:val="left" w:pos="720"/>
              </w:tabs>
              <w:ind w:left="360" w:hanging="360"/>
              <w:jc w:val="center"/>
              <w:rPr>
                <w:rFonts w:asciiTheme="majorHAnsi" w:eastAsia="Arial" w:hAnsiTheme="majorHAnsi" w:cstheme="majorHAnsi"/>
                <w:sz w:val="20"/>
                <w:szCs w:val="20"/>
              </w:rPr>
            </w:pPr>
          </w:p>
        </w:tc>
      </w:tr>
    </w:tbl>
    <w:p w:rsidR="00DB185D" w:rsidRPr="00743A41" w:rsidRDefault="00E565BF" w:rsidP="00A37ED6">
      <w:pPr>
        <w:ind w:left="360"/>
        <w:rPr>
          <w:rFonts w:asciiTheme="majorHAnsi" w:eastAsia="Arial" w:hAnsiTheme="majorHAnsi" w:cstheme="majorHAnsi"/>
          <w:i/>
          <w:color w:val="000000"/>
          <w:sz w:val="20"/>
          <w:szCs w:val="20"/>
        </w:rPr>
      </w:pPr>
      <w:r w:rsidRPr="00743A41">
        <w:rPr>
          <w:rFonts w:asciiTheme="majorHAnsi" w:eastAsia="Arial" w:hAnsiTheme="majorHAnsi" w:cstheme="majorHAnsi"/>
          <w:i/>
          <w:color w:val="000000"/>
          <w:sz w:val="20"/>
          <w:szCs w:val="20"/>
        </w:rPr>
        <w:t xml:space="preserve">*The MPH in Biostatistics and the MS in Epidemiology </w:t>
      </w:r>
      <w:r w:rsidR="000419FA" w:rsidRPr="00743A41">
        <w:rPr>
          <w:rFonts w:asciiTheme="majorHAnsi" w:eastAsia="Arial" w:hAnsiTheme="majorHAnsi" w:cstheme="majorHAnsi"/>
          <w:i/>
          <w:color w:val="000000"/>
          <w:sz w:val="20"/>
          <w:szCs w:val="20"/>
        </w:rPr>
        <w:t xml:space="preserve">are scheduled to be discontinued; the last cohort of students entering these programs matriculated in fall 2019. </w:t>
      </w:r>
    </w:p>
    <w:p w:rsidR="00E565BF" w:rsidRPr="00743A41" w:rsidRDefault="00E565BF" w:rsidP="00A37ED6">
      <w:pPr>
        <w:rPr>
          <w:rFonts w:asciiTheme="majorHAnsi" w:eastAsia="Arial" w:hAnsiTheme="majorHAnsi" w:cstheme="majorHAnsi"/>
          <w:color w:val="000000"/>
          <w:sz w:val="20"/>
          <w:szCs w:val="20"/>
        </w:rPr>
      </w:pPr>
    </w:p>
    <w:p w:rsidR="007F15BE" w:rsidRPr="00743A41" w:rsidRDefault="007F15BE" w:rsidP="00A37ED6">
      <w:pPr>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br w:type="page"/>
      </w:r>
    </w:p>
    <w:p w:rsidR="00304C53" w:rsidRPr="00743A41" w:rsidRDefault="00304C53" w:rsidP="00A37ED6">
      <w:pPr>
        <w:ind w:left="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lastRenderedPageBreak/>
        <w:t>Table Intro.3.b. Instructional Matrix, Degrees and Concentrations - Dual Degrees</w:t>
      </w:r>
      <w:r w:rsidRPr="00743A41">
        <w:rPr>
          <w:rFonts w:asciiTheme="majorHAnsi" w:hAnsiTheme="majorHAnsi" w:cstheme="majorHAnsi"/>
          <w:sz w:val="20"/>
          <w:szCs w:val="20"/>
        </w:rPr>
        <w:t xml:space="preserve"> </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260"/>
        <w:gridCol w:w="1170"/>
        <w:gridCol w:w="810"/>
        <w:gridCol w:w="1170"/>
        <w:gridCol w:w="1080"/>
        <w:gridCol w:w="810"/>
        <w:gridCol w:w="900"/>
        <w:gridCol w:w="720"/>
      </w:tblGrid>
      <w:tr w:rsidR="00C66AB2" w:rsidRPr="00743A41" w:rsidTr="00B036EB">
        <w:trPr>
          <w:cantSplit/>
          <w:trHeight w:val="458"/>
          <w:tblHeader/>
        </w:trPr>
        <w:tc>
          <w:tcPr>
            <w:tcW w:w="35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right w:w="0" w:type="dxa"/>
            </w:tcMar>
            <w:vAlign w:val="center"/>
          </w:tcPr>
          <w:p w:rsidR="00C66AB2" w:rsidRPr="00743A41" w:rsidRDefault="00C66AB2" w:rsidP="00A37ED6">
            <w:pPr>
              <w:tabs>
                <w:tab w:val="left" w:pos="720"/>
              </w:tabs>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Joint Degrees (Dual Degrees, Combined Degree Programs, Concurrent Degrees)</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b/>
                <w:sz w:val="20"/>
                <w:szCs w:val="20"/>
              </w:rPr>
              <w:t>Academic</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b/>
                <w:sz w:val="20"/>
                <w:szCs w:val="20"/>
              </w:rPr>
              <w:t>Professionals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right w:w="0" w:type="dxa"/>
            </w:tcMar>
            <w:vAlign w:val="center"/>
          </w:tcPr>
          <w:p w:rsidR="00C66AB2" w:rsidRPr="00743A41" w:rsidRDefault="00C66AB2" w:rsidP="00A37ED6">
            <w:pPr>
              <w:tabs>
                <w:tab w:val="left" w:pos="720"/>
              </w:tabs>
              <w:jc w:val="center"/>
              <w:rPr>
                <w:rFonts w:asciiTheme="majorHAnsi" w:eastAsia="Wingdings" w:hAnsiTheme="majorHAnsi" w:cstheme="majorHAnsi"/>
                <w:b/>
                <w:sz w:val="20"/>
                <w:szCs w:val="20"/>
              </w:rPr>
            </w:pPr>
            <w:r w:rsidRPr="00743A41">
              <w:rPr>
                <w:rFonts w:asciiTheme="majorHAnsi" w:eastAsia="Arial" w:hAnsiTheme="majorHAnsi" w:cstheme="majorHAnsi"/>
                <w:b/>
                <w:sz w:val="20"/>
                <w:szCs w:val="20"/>
              </w:rPr>
              <w:t>Categorized as Public Health*</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right w:w="0" w:type="dxa"/>
            </w:tcMar>
            <w:vAlign w:val="center"/>
          </w:tcPr>
          <w:p w:rsidR="00C66AB2" w:rsidRPr="00743A41" w:rsidRDefault="00C66AB2" w:rsidP="00A37ED6">
            <w:pPr>
              <w:tabs>
                <w:tab w:val="left" w:pos="720"/>
              </w:tabs>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Campus</w:t>
            </w:r>
          </w:p>
          <w:p w:rsidR="00C66AB2" w:rsidRPr="00743A41" w:rsidRDefault="00C66AB2" w:rsidP="00A37ED6">
            <w:pPr>
              <w:tabs>
                <w:tab w:val="left" w:pos="720"/>
              </w:tabs>
              <w:jc w:val="center"/>
              <w:rPr>
                <w:rFonts w:asciiTheme="majorHAnsi" w:eastAsia="Arial" w:hAnsiTheme="majorHAnsi" w:cstheme="majorHAnsi"/>
                <w:sz w:val="20"/>
                <w:szCs w:val="20"/>
              </w:rPr>
            </w:pPr>
            <w:r w:rsidRPr="00743A41">
              <w:rPr>
                <w:rFonts w:asciiTheme="majorHAnsi" w:eastAsia="Arial" w:hAnsiTheme="majorHAnsi" w:cstheme="majorHAnsi"/>
                <w:b/>
                <w:sz w:val="20"/>
                <w:szCs w:val="20"/>
              </w:rPr>
              <w:t>Based</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b/>
                <w:sz w:val="20"/>
                <w:szCs w:val="20"/>
              </w:rPr>
              <w:t>Executive</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right w:w="0" w:type="dxa"/>
            </w:tcMar>
            <w:vAlign w:val="center"/>
          </w:tcPr>
          <w:p w:rsidR="00C66AB2" w:rsidRPr="00743A41" w:rsidRDefault="00C66AB2" w:rsidP="00A37ED6">
            <w:pPr>
              <w:tabs>
                <w:tab w:val="left" w:pos="720"/>
              </w:tabs>
              <w:jc w:val="center"/>
              <w:rPr>
                <w:rFonts w:asciiTheme="majorHAnsi" w:eastAsia="Arial" w:hAnsiTheme="majorHAnsi" w:cstheme="majorHAnsi"/>
                <w:sz w:val="20"/>
                <w:szCs w:val="20"/>
              </w:rPr>
            </w:pPr>
            <w:r w:rsidRPr="00743A41">
              <w:rPr>
                <w:rFonts w:asciiTheme="majorHAnsi" w:eastAsia="Arial" w:hAnsiTheme="majorHAnsi" w:cstheme="majorHAnsi"/>
                <w:b/>
                <w:sz w:val="20"/>
                <w:szCs w:val="20"/>
              </w:rPr>
              <w:t>Distance Based</w:t>
            </w:r>
          </w:p>
        </w:tc>
      </w:tr>
      <w:tr w:rsidR="00C66AB2" w:rsidRPr="00743A41" w:rsidTr="00B036EB">
        <w:trPr>
          <w:cantSplit/>
          <w:trHeight w:val="458"/>
          <w:tblHeader/>
        </w:trPr>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right w:w="0" w:type="dxa"/>
            </w:tcMar>
            <w:vAlign w:val="center"/>
          </w:tcPr>
          <w:p w:rsidR="00C66AB2" w:rsidRPr="00743A41" w:rsidRDefault="00C66AB2" w:rsidP="00A37ED6">
            <w:pPr>
              <w:tabs>
                <w:tab w:val="left" w:pos="0"/>
              </w:tabs>
              <w:ind w:left="165"/>
              <w:jc w:val="center"/>
              <w:rPr>
                <w:rFonts w:asciiTheme="majorHAnsi" w:eastAsia="Arial" w:hAnsiTheme="majorHAnsi" w:cstheme="majorHAnsi"/>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right w:w="0" w:type="dxa"/>
            </w:tcMar>
            <w:vAlign w:val="center"/>
          </w:tcPr>
          <w:p w:rsidR="00C66AB2" w:rsidRPr="00743A41" w:rsidRDefault="00C66AB2" w:rsidP="00A37ED6">
            <w:pPr>
              <w:tabs>
                <w:tab w:val="left" w:pos="720"/>
              </w:tabs>
              <w:jc w:val="center"/>
              <w:rPr>
                <w:rFonts w:asciiTheme="majorHAnsi" w:eastAsia="Arial" w:hAnsiTheme="majorHAnsi" w:cstheme="majorHAnsi"/>
                <w:b/>
                <w:sz w:val="20"/>
                <w:szCs w:val="20"/>
              </w:rPr>
            </w:pPr>
            <w:r w:rsidRPr="00743A41">
              <w:rPr>
                <w:rFonts w:asciiTheme="majorHAnsi" w:hAnsiTheme="majorHAnsi" w:cstheme="majorHAnsi"/>
                <w:b/>
                <w:bCs/>
                <w:color w:val="000000"/>
                <w:sz w:val="20"/>
                <w:szCs w:val="20"/>
              </w:rPr>
              <w:t>Existing concentration</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right w:w="0" w:type="dxa"/>
            </w:tcMar>
            <w:vAlign w:val="center"/>
          </w:tcPr>
          <w:p w:rsidR="00C66AB2" w:rsidRPr="00743A41" w:rsidRDefault="00C66AB2" w:rsidP="00A37ED6">
            <w:pPr>
              <w:tabs>
                <w:tab w:val="left" w:pos="720"/>
              </w:tabs>
              <w:jc w:val="center"/>
              <w:rPr>
                <w:rFonts w:asciiTheme="majorHAnsi" w:eastAsia="Arial" w:hAnsiTheme="majorHAnsi" w:cstheme="majorHAnsi"/>
                <w:b/>
                <w:sz w:val="20"/>
                <w:szCs w:val="20"/>
              </w:rPr>
            </w:pPr>
            <w:r w:rsidRPr="00743A41">
              <w:rPr>
                <w:rFonts w:asciiTheme="majorHAnsi" w:hAnsiTheme="majorHAnsi" w:cstheme="majorHAnsi"/>
                <w:b/>
                <w:bCs/>
                <w:color w:val="000000"/>
                <w:sz w:val="20"/>
                <w:szCs w:val="20"/>
              </w:rPr>
              <w:t>Joint-specific concentration</w:t>
            </w:r>
          </w:p>
        </w:tc>
        <w:tc>
          <w:tcPr>
            <w:tcW w:w="81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b/>
                <w:sz w:val="20"/>
                <w:szCs w:val="20"/>
              </w:rPr>
            </w:pPr>
          </w:p>
        </w:tc>
        <w:tc>
          <w:tcPr>
            <w:tcW w:w="117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b/>
                <w:sz w:val="20"/>
                <w:szCs w:val="20"/>
              </w:rPr>
            </w:pPr>
          </w:p>
        </w:tc>
        <w:tc>
          <w:tcPr>
            <w:tcW w:w="10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b/>
                <w:sz w:val="20"/>
                <w:szCs w:val="20"/>
              </w:rPr>
            </w:pPr>
          </w:p>
        </w:tc>
        <w:tc>
          <w:tcPr>
            <w:tcW w:w="81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b/>
                <w:sz w:val="20"/>
                <w:szCs w:val="20"/>
              </w:rPr>
            </w:pPr>
          </w:p>
        </w:tc>
        <w:tc>
          <w:tcPr>
            <w:tcW w:w="9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b/>
                <w:sz w:val="20"/>
                <w:szCs w:val="20"/>
              </w:rPr>
            </w:pPr>
          </w:p>
        </w:tc>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b/>
                <w:sz w:val="20"/>
                <w:szCs w:val="20"/>
              </w:rPr>
            </w:pPr>
          </w:p>
        </w:tc>
      </w:tr>
      <w:tr w:rsidR="00C66AB2" w:rsidRPr="00743A41" w:rsidTr="00B036EB">
        <w:trPr>
          <w:trHeight w:val="458"/>
        </w:trPr>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66AB2" w:rsidRPr="00743A41" w:rsidRDefault="00C66AB2" w:rsidP="00A37ED6">
            <w:pPr>
              <w:tabs>
                <w:tab w:val="left" w:pos="0"/>
              </w:tabs>
              <w:jc w:val="center"/>
              <w:rPr>
                <w:rFonts w:asciiTheme="majorHAnsi" w:hAnsiTheme="majorHAnsi" w:cstheme="majorHAnsi"/>
                <w:b/>
                <w:bCs/>
                <w:color w:val="000000"/>
                <w:sz w:val="20"/>
                <w:szCs w:val="20"/>
              </w:rPr>
            </w:pPr>
            <w:r w:rsidRPr="00743A41">
              <w:rPr>
                <w:rFonts w:asciiTheme="majorHAnsi" w:eastAsia="Arial" w:hAnsiTheme="majorHAnsi" w:cstheme="majorHAnsi"/>
                <w:sz w:val="20"/>
                <w:szCs w:val="20"/>
              </w:rPr>
              <w:t>Biomedical Informatics</w:t>
            </w:r>
          </w:p>
        </w:tc>
        <w:tc>
          <w:tcPr>
            <w:tcW w:w="12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66AB2" w:rsidRPr="00743A41" w:rsidRDefault="00C66AB2" w:rsidP="00A37ED6">
            <w:pPr>
              <w:tabs>
                <w:tab w:val="left" w:pos="720"/>
              </w:tabs>
              <w:jc w:val="center"/>
              <w:rPr>
                <w:rFonts w:asciiTheme="majorHAnsi" w:hAnsiTheme="majorHAnsi" w:cstheme="majorHAnsi"/>
                <w:b/>
                <w:bCs/>
                <w:color w:val="000000"/>
                <w:sz w:val="20"/>
                <w:szCs w:val="20"/>
              </w:rPr>
            </w:pPr>
            <w:r w:rsidRPr="00743A41">
              <w:rPr>
                <w:rFonts w:asciiTheme="majorHAnsi" w:eastAsia="Arial" w:hAnsiTheme="majorHAnsi" w:cstheme="majorHAnsi"/>
                <w:sz w:val="20"/>
                <w:szCs w:val="20"/>
              </w:rPr>
              <w:t>Customized</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66AB2" w:rsidRPr="00743A41" w:rsidRDefault="00C66AB2" w:rsidP="00A37ED6">
            <w:pPr>
              <w:tabs>
                <w:tab w:val="left" w:pos="720"/>
              </w:tabs>
              <w:jc w:val="center"/>
              <w:rPr>
                <w:rFonts w:asciiTheme="majorHAnsi" w:hAnsiTheme="majorHAnsi" w:cstheme="majorHAnsi"/>
                <w:b/>
                <w:bCs/>
                <w:color w:val="000000"/>
                <w:sz w:val="20"/>
                <w:szCs w:val="20"/>
              </w:rPr>
            </w:pPr>
          </w:p>
        </w:tc>
        <w:tc>
          <w:tcPr>
            <w:tcW w:w="8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b/>
                <w:sz w:val="20"/>
                <w:szCs w:val="20"/>
              </w:rPr>
            </w:pPr>
          </w:p>
        </w:tc>
        <w:tc>
          <w:tcPr>
            <w:tcW w:w="11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MPH-MS,</w:t>
            </w:r>
          </w:p>
          <w:p w:rsidR="00C66AB2" w:rsidRPr="00743A41" w:rsidRDefault="00C66AB2"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MPH-PhD</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b/>
                <w:sz w:val="20"/>
                <w:szCs w:val="20"/>
              </w:rPr>
            </w:pPr>
            <w:r w:rsidRPr="00743A41">
              <w:rPr>
                <w:rFonts w:ascii="Segoe UI Symbol" w:eastAsia="Wingdings" w:hAnsi="Segoe UI Symbol" w:cs="Segoe UI Symbol"/>
                <w:b/>
                <w:sz w:val="20"/>
                <w:szCs w:val="20"/>
              </w:rPr>
              <w:t>✓</w:t>
            </w:r>
          </w:p>
        </w:tc>
        <w:tc>
          <w:tcPr>
            <w:tcW w:w="8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sz w:val="20"/>
                <w:szCs w:val="20"/>
              </w:rPr>
              <w:t>MPH</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b/>
                <w:sz w:val="20"/>
                <w:szCs w:val="20"/>
              </w:rPr>
            </w:pP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b/>
                <w:sz w:val="20"/>
                <w:szCs w:val="20"/>
              </w:rPr>
            </w:pPr>
          </w:p>
        </w:tc>
      </w:tr>
      <w:tr w:rsidR="00C66AB2" w:rsidRPr="00743A41" w:rsidTr="00B036EB">
        <w:trPr>
          <w:trHeight w:val="499"/>
        </w:trPr>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0"/>
              </w:tabs>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Business</w:t>
            </w:r>
          </w:p>
        </w:tc>
        <w:tc>
          <w:tcPr>
            <w:tcW w:w="12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Customized</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c>
          <w:tcPr>
            <w:tcW w:w="8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c>
          <w:tcPr>
            <w:tcW w:w="11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MPH-MBA</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Wingdings" w:hAnsiTheme="majorHAnsi" w:cstheme="majorHAnsi"/>
                <w:b/>
                <w:sz w:val="20"/>
                <w:szCs w:val="20"/>
              </w:rPr>
            </w:pPr>
            <w:r w:rsidRPr="00743A41">
              <w:rPr>
                <w:rFonts w:ascii="Segoe UI Symbol" w:eastAsia="Wingdings" w:hAnsi="Segoe UI Symbol" w:cs="Segoe UI Symbol"/>
                <w:b/>
                <w:sz w:val="20"/>
                <w:szCs w:val="20"/>
              </w:rPr>
              <w:t>✓</w:t>
            </w:r>
          </w:p>
        </w:tc>
        <w:tc>
          <w:tcPr>
            <w:tcW w:w="8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MPH</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r>
      <w:tr w:rsidR="00C66AB2" w:rsidRPr="00743A41" w:rsidTr="00B036EB">
        <w:trPr>
          <w:trHeight w:val="499"/>
        </w:trPr>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0"/>
              </w:tabs>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Dentistry</w:t>
            </w:r>
          </w:p>
        </w:tc>
        <w:tc>
          <w:tcPr>
            <w:tcW w:w="12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Customized</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c>
          <w:tcPr>
            <w:tcW w:w="8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c>
          <w:tcPr>
            <w:tcW w:w="11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540"/>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MPH-DDS,</w:t>
            </w:r>
          </w:p>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Wingdings" w:hAnsiTheme="majorHAnsi" w:cstheme="majorHAnsi"/>
                <w:b/>
                <w:sz w:val="20"/>
                <w:szCs w:val="20"/>
              </w:rPr>
            </w:pPr>
            <w:r w:rsidRPr="00743A41">
              <w:rPr>
                <w:rFonts w:ascii="Segoe UI Symbol" w:eastAsia="Wingdings" w:hAnsi="Segoe UI Symbol" w:cs="Segoe UI Symbol"/>
                <w:b/>
                <w:sz w:val="20"/>
                <w:szCs w:val="20"/>
              </w:rPr>
              <w:t>✓</w:t>
            </w:r>
          </w:p>
        </w:tc>
        <w:tc>
          <w:tcPr>
            <w:tcW w:w="8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MPH</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r>
      <w:tr w:rsidR="00C66AB2" w:rsidRPr="00743A41" w:rsidTr="00B036EB">
        <w:trPr>
          <w:trHeight w:val="499"/>
        </w:trPr>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0"/>
              </w:tabs>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Global Policy Sciences</w:t>
            </w:r>
          </w:p>
        </w:tc>
        <w:tc>
          <w:tcPr>
            <w:tcW w:w="12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Customized</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c>
          <w:tcPr>
            <w:tcW w:w="8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c>
          <w:tcPr>
            <w:tcW w:w="11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540"/>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MPH-MGPS</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Wingdings" w:hAnsiTheme="majorHAnsi" w:cstheme="majorHAnsi"/>
                <w:b/>
                <w:sz w:val="20"/>
                <w:szCs w:val="20"/>
              </w:rPr>
            </w:pPr>
            <w:r w:rsidRPr="00743A41">
              <w:rPr>
                <w:rFonts w:ascii="Segoe UI Symbol" w:eastAsia="Wingdings" w:hAnsi="Segoe UI Symbol" w:cs="Segoe UI Symbol"/>
                <w:b/>
                <w:sz w:val="20"/>
                <w:szCs w:val="20"/>
              </w:rPr>
              <w:t>✓</w:t>
            </w:r>
          </w:p>
        </w:tc>
        <w:tc>
          <w:tcPr>
            <w:tcW w:w="8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MPH</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r>
      <w:tr w:rsidR="00C66AB2" w:rsidRPr="00743A41" w:rsidTr="00B036EB">
        <w:trPr>
          <w:trHeight w:val="499"/>
        </w:trPr>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0"/>
              </w:tabs>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Law</w:t>
            </w:r>
          </w:p>
        </w:tc>
        <w:tc>
          <w:tcPr>
            <w:tcW w:w="12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Customized</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c>
          <w:tcPr>
            <w:tcW w:w="8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c>
          <w:tcPr>
            <w:tcW w:w="11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MPH-JD</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Wingdings" w:hAnsiTheme="majorHAnsi" w:cstheme="majorHAnsi"/>
                <w:b/>
                <w:sz w:val="20"/>
                <w:szCs w:val="20"/>
              </w:rPr>
            </w:pPr>
            <w:r w:rsidRPr="00743A41">
              <w:rPr>
                <w:rFonts w:ascii="Segoe UI Symbol" w:eastAsia="Wingdings" w:hAnsi="Segoe UI Symbol" w:cs="Segoe UI Symbol"/>
                <w:b/>
                <w:sz w:val="20"/>
                <w:szCs w:val="20"/>
              </w:rPr>
              <w:t>✓</w:t>
            </w:r>
          </w:p>
        </w:tc>
        <w:tc>
          <w:tcPr>
            <w:tcW w:w="8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MPH</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r>
      <w:tr w:rsidR="00C66AB2" w:rsidRPr="00743A41" w:rsidTr="00B036EB">
        <w:trPr>
          <w:trHeight w:val="499"/>
        </w:trPr>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0"/>
              </w:tabs>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Medicine</w:t>
            </w:r>
          </w:p>
        </w:tc>
        <w:tc>
          <w:tcPr>
            <w:tcW w:w="12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Customized</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c>
          <w:tcPr>
            <w:tcW w:w="8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c>
          <w:tcPr>
            <w:tcW w:w="11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MPH-MD</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Wingdings" w:hAnsiTheme="majorHAnsi" w:cstheme="majorHAnsi"/>
                <w:b/>
                <w:sz w:val="20"/>
                <w:szCs w:val="20"/>
              </w:rPr>
            </w:pPr>
            <w:r w:rsidRPr="00743A41">
              <w:rPr>
                <w:rFonts w:ascii="Segoe UI Symbol" w:eastAsia="Wingdings" w:hAnsi="Segoe UI Symbol" w:cs="Segoe UI Symbol"/>
                <w:b/>
                <w:sz w:val="20"/>
                <w:szCs w:val="20"/>
              </w:rPr>
              <w:t>✓</w:t>
            </w:r>
          </w:p>
        </w:tc>
        <w:tc>
          <w:tcPr>
            <w:tcW w:w="8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MPH</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r>
      <w:tr w:rsidR="00C66AB2" w:rsidRPr="00743A41" w:rsidTr="00B036EB">
        <w:trPr>
          <w:trHeight w:val="499"/>
        </w:trPr>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0"/>
              </w:tabs>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Nursing</w:t>
            </w:r>
          </w:p>
        </w:tc>
        <w:tc>
          <w:tcPr>
            <w:tcW w:w="12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Customized</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c>
          <w:tcPr>
            <w:tcW w:w="8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c>
          <w:tcPr>
            <w:tcW w:w="11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MPH-MSN</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Wingdings" w:hAnsiTheme="majorHAnsi" w:cstheme="majorHAnsi"/>
                <w:b/>
                <w:sz w:val="20"/>
                <w:szCs w:val="20"/>
              </w:rPr>
            </w:pPr>
            <w:r w:rsidRPr="00743A41">
              <w:rPr>
                <w:rFonts w:ascii="Segoe UI Symbol" w:eastAsia="Wingdings" w:hAnsi="Segoe UI Symbol" w:cs="Segoe UI Symbol"/>
                <w:b/>
                <w:sz w:val="20"/>
                <w:szCs w:val="20"/>
              </w:rPr>
              <w:t>✓</w:t>
            </w:r>
          </w:p>
        </w:tc>
        <w:tc>
          <w:tcPr>
            <w:tcW w:w="8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MPH</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r>
      <w:tr w:rsidR="00C66AB2" w:rsidRPr="00743A41" w:rsidTr="00B036EB">
        <w:trPr>
          <w:trHeight w:val="499"/>
        </w:trPr>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0"/>
              </w:tabs>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Public Affairs</w:t>
            </w:r>
          </w:p>
        </w:tc>
        <w:tc>
          <w:tcPr>
            <w:tcW w:w="12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Customized</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c>
          <w:tcPr>
            <w:tcW w:w="8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c>
          <w:tcPr>
            <w:tcW w:w="11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MPH-MPAff</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Wingdings" w:hAnsiTheme="majorHAnsi" w:cstheme="majorHAnsi"/>
                <w:b/>
                <w:sz w:val="20"/>
                <w:szCs w:val="20"/>
              </w:rPr>
            </w:pPr>
            <w:r w:rsidRPr="00743A41">
              <w:rPr>
                <w:rFonts w:ascii="Segoe UI Symbol" w:eastAsia="Wingdings" w:hAnsi="Segoe UI Symbol" w:cs="Segoe UI Symbol"/>
                <w:b/>
                <w:sz w:val="20"/>
                <w:szCs w:val="20"/>
              </w:rPr>
              <w:t>✓</w:t>
            </w:r>
          </w:p>
        </w:tc>
        <w:tc>
          <w:tcPr>
            <w:tcW w:w="8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MPH</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r>
      <w:tr w:rsidR="00C66AB2" w:rsidRPr="00743A41" w:rsidTr="00B036EB">
        <w:trPr>
          <w:trHeight w:val="499"/>
        </w:trPr>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0"/>
              </w:tabs>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Social Work</w:t>
            </w:r>
          </w:p>
        </w:tc>
        <w:tc>
          <w:tcPr>
            <w:tcW w:w="12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Customized</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c>
          <w:tcPr>
            <w:tcW w:w="8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c>
          <w:tcPr>
            <w:tcW w:w="11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MPH-MSW,</w:t>
            </w:r>
          </w:p>
          <w:p w:rsidR="00C66AB2" w:rsidRPr="00743A41" w:rsidRDefault="00C66AB2" w:rsidP="00A37ED6">
            <w:pPr>
              <w:tabs>
                <w:tab w:val="left" w:pos="720"/>
              </w:tabs>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MPH-MSSW</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Wingdings" w:hAnsiTheme="majorHAnsi" w:cstheme="majorHAnsi"/>
                <w:b/>
                <w:sz w:val="20"/>
                <w:szCs w:val="20"/>
              </w:rPr>
            </w:pPr>
            <w:r w:rsidRPr="00743A41">
              <w:rPr>
                <w:rFonts w:ascii="Segoe UI Symbol" w:eastAsia="Wingdings" w:hAnsi="Segoe UI Symbol" w:cs="Segoe UI Symbol"/>
                <w:b/>
                <w:sz w:val="20"/>
                <w:szCs w:val="20"/>
              </w:rPr>
              <w:t>✓</w:t>
            </w:r>
          </w:p>
        </w:tc>
        <w:tc>
          <w:tcPr>
            <w:tcW w:w="8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MPH</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6AB2" w:rsidRPr="00743A41" w:rsidRDefault="00C66AB2" w:rsidP="00A37ED6">
            <w:pPr>
              <w:tabs>
                <w:tab w:val="left" w:pos="720"/>
              </w:tabs>
              <w:ind w:left="360" w:hanging="360"/>
              <w:jc w:val="center"/>
              <w:rPr>
                <w:rFonts w:asciiTheme="majorHAnsi" w:eastAsia="Arial" w:hAnsiTheme="majorHAnsi" w:cstheme="majorHAnsi"/>
                <w:sz w:val="20"/>
                <w:szCs w:val="20"/>
              </w:rPr>
            </w:pPr>
          </w:p>
        </w:tc>
      </w:tr>
    </w:tbl>
    <w:p w:rsidR="003172D4" w:rsidRPr="00743A41" w:rsidRDefault="00C3158F" w:rsidP="00A37ED6">
      <w:pPr>
        <w:tabs>
          <w:tab w:val="left" w:pos="0"/>
        </w:tabs>
        <w:ind w:left="360"/>
        <w:rPr>
          <w:rFonts w:asciiTheme="majorHAnsi" w:eastAsia="Arial" w:hAnsiTheme="majorHAnsi" w:cstheme="majorHAnsi"/>
          <w:i/>
          <w:sz w:val="20"/>
          <w:szCs w:val="20"/>
        </w:rPr>
      </w:pPr>
      <w:r w:rsidRPr="00743A41">
        <w:rPr>
          <w:rFonts w:asciiTheme="majorHAnsi" w:eastAsia="Arial" w:hAnsiTheme="majorHAnsi" w:cstheme="majorHAnsi"/>
          <w:i/>
          <w:sz w:val="20"/>
          <w:szCs w:val="20"/>
        </w:rPr>
        <w:t>*</w:t>
      </w:r>
      <w:r w:rsidR="009E31B1" w:rsidRPr="00743A41">
        <w:rPr>
          <w:rFonts w:asciiTheme="majorHAnsi" w:eastAsia="Arial" w:hAnsiTheme="majorHAnsi" w:cstheme="majorHAnsi"/>
          <w:i/>
          <w:sz w:val="20"/>
          <w:szCs w:val="20"/>
        </w:rPr>
        <w:t>All</w:t>
      </w:r>
      <w:r w:rsidR="00DE2C16" w:rsidRPr="00743A41">
        <w:rPr>
          <w:rFonts w:asciiTheme="majorHAnsi" w:eastAsia="Arial" w:hAnsiTheme="majorHAnsi" w:cstheme="majorHAnsi"/>
          <w:i/>
          <w:sz w:val="20"/>
          <w:szCs w:val="20"/>
        </w:rPr>
        <w:t xml:space="preserve"> d</w:t>
      </w:r>
      <w:r w:rsidRPr="00743A41">
        <w:rPr>
          <w:rFonts w:asciiTheme="majorHAnsi" w:eastAsia="Arial" w:hAnsiTheme="majorHAnsi" w:cstheme="majorHAnsi"/>
          <w:i/>
          <w:sz w:val="20"/>
          <w:szCs w:val="20"/>
        </w:rPr>
        <w:t>ual</w:t>
      </w:r>
      <w:r w:rsidR="009E31B1" w:rsidRPr="00743A41">
        <w:rPr>
          <w:rFonts w:asciiTheme="majorHAnsi" w:eastAsia="Arial" w:hAnsiTheme="majorHAnsi" w:cstheme="majorHAnsi"/>
          <w:i/>
          <w:sz w:val="20"/>
          <w:szCs w:val="20"/>
        </w:rPr>
        <w:t>-</w:t>
      </w:r>
      <w:r w:rsidRPr="00743A41">
        <w:rPr>
          <w:rFonts w:asciiTheme="majorHAnsi" w:eastAsia="Arial" w:hAnsiTheme="majorHAnsi" w:cstheme="majorHAnsi"/>
          <w:i/>
          <w:sz w:val="20"/>
          <w:szCs w:val="20"/>
        </w:rPr>
        <w:t xml:space="preserve">degree students </w:t>
      </w:r>
      <w:r w:rsidR="009E31B1" w:rsidRPr="00743A41">
        <w:rPr>
          <w:rFonts w:asciiTheme="majorHAnsi" w:eastAsia="Arial" w:hAnsiTheme="majorHAnsi" w:cstheme="majorHAnsi"/>
          <w:i/>
          <w:sz w:val="20"/>
          <w:szCs w:val="20"/>
        </w:rPr>
        <w:t xml:space="preserve">complete the customized MPH plan. </w:t>
      </w:r>
      <w:r w:rsidR="00D0592F" w:rsidRPr="00743A41">
        <w:rPr>
          <w:rFonts w:asciiTheme="majorHAnsi" w:eastAsia="Arial" w:hAnsiTheme="majorHAnsi" w:cstheme="majorHAnsi"/>
          <w:i/>
          <w:sz w:val="20"/>
          <w:szCs w:val="20"/>
        </w:rPr>
        <w:t xml:space="preserve">Dual-degree students </w:t>
      </w:r>
      <w:r w:rsidR="00005DEB" w:rsidRPr="00743A41">
        <w:rPr>
          <w:rFonts w:asciiTheme="majorHAnsi" w:eastAsia="Arial" w:hAnsiTheme="majorHAnsi" w:cstheme="majorHAnsi"/>
          <w:i/>
          <w:sz w:val="20"/>
          <w:szCs w:val="20"/>
        </w:rPr>
        <w:t xml:space="preserve">may </w:t>
      </w:r>
      <w:r w:rsidR="00D0592F" w:rsidRPr="00743A41">
        <w:rPr>
          <w:rFonts w:asciiTheme="majorHAnsi" w:eastAsia="Arial" w:hAnsiTheme="majorHAnsi" w:cstheme="majorHAnsi"/>
          <w:i/>
          <w:sz w:val="20"/>
          <w:szCs w:val="20"/>
        </w:rPr>
        <w:t>use approved shared credit hours</w:t>
      </w:r>
      <w:r w:rsidR="00466F1F" w:rsidRPr="00743A41">
        <w:rPr>
          <w:rFonts w:asciiTheme="majorHAnsi" w:eastAsia="Arial" w:hAnsiTheme="majorHAnsi" w:cstheme="majorHAnsi"/>
          <w:i/>
          <w:sz w:val="20"/>
          <w:szCs w:val="20"/>
        </w:rPr>
        <w:t xml:space="preserve"> from their respective dual-</w:t>
      </w:r>
      <w:r w:rsidR="00A62EAE" w:rsidRPr="00743A41">
        <w:rPr>
          <w:rFonts w:asciiTheme="majorHAnsi" w:eastAsia="Arial" w:hAnsiTheme="majorHAnsi" w:cstheme="majorHAnsi"/>
          <w:i/>
          <w:sz w:val="20"/>
          <w:szCs w:val="20"/>
        </w:rPr>
        <w:t>degree program</w:t>
      </w:r>
      <w:r w:rsidR="00D0592F" w:rsidRPr="00743A41">
        <w:rPr>
          <w:rFonts w:asciiTheme="majorHAnsi" w:eastAsia="Arial" w:hAnsiTheme="majorHAnsi" w:cstheme="majorHAnsi"/>
          <w:i/>
          <w:sz w:val="20"/>
          <w:szCs w:val="20"/>
        </w:rPr>
        <w:t xml:space="preserve"> to fulfill the elective require</w:t>
      </w:r>
      <w:r w:rsidR="00E7614E" w:rsidRPr="00743A41">
        <w:rPr>
          <w:rFonts w:asciiTheme="majorHAnsi" w:eastAsia="Arial" w:hAnsiTheme="majorHAnsi" w:cstheme="majorHAnsi"/>
          <w:i/>
          <w:sz w:val="20"/>
          <w:szCs w:val="20"/>
        </w:rPr>
        <w:t xml:space="preserve">ment of the MPH customized plan. </w:t>
      </w:r>
      <w:r w:rsidR="00E734AD" w:rsidRPr="00743A41">
        <w:rPr>
          <w:rFonts w:asciiTheme="majorHAnsi" w:eastAsia="Arial" w:hAnsiTheme="majorHAnsi" w:cstheme="majorHAnsi"/>
          <w:i/>
          <w:sz w:val="20"/>
          <w:szCs w:val="20"/>
        </w:rPr>
        <w:t xml:space="preserve">More information on the customized MPH plan can be found in </w:t>
      </w:r>
      <w:hyperlink w:anchor="D42Customized" w:history="1">
        <w:r w:rsidR="0081244D">
          <w:rPr>
            <w:rStyle w:val="Hyperlink"/>
            <w:rFonts w:asciiTheme="majorHAnsi" w:eastAsia="Arial" w:hAnsiTheme="majorHAnsi" w:cstheme="majorHAnsi"/>
            <w:i/>
            <w:sz w:val="20"/>
            <w:szCs w:val="20"/>
          </w:rPr>
          <w:t>Criterion D4.2. Documentation for MPH Customized</w:t>
        </w:r>
      </w:hyperlink>
      <w:r w:rsidR="00E734AD" w:rsidRPr="00743A41">
        <w:rPr>
          <w:rFonts w:asciiTheme="majorHAnsi" w:eastAsia="Arial" w:hAnsiTheme="majorHAnsi" w:cstheme="majorHAnsi"/>
          <w:i/>
          <w:sz w:val="20"/>
          <w:szCs w:val="20"/>
        </w:rPr>
        <w:t>.</w:t>
      </w:r>
    </w:p>
    <w:p w:rsidR="00933038" w:rsidRPr="00743A41" w:rsidRDefault="00933038" w:rsidP="00A37ED6">
      <w:pPr>
        <w:pStyle w:val="Default"/>
        <w:jc w:val="both"/>
        <w:rPr>
          <w:rFonts w:asciiTheme="majorHAnsi" w:hAnsiTheme="majorHAnsi" w:cstheme="majorHAnsi"/>
          <w:b/>
          <w:color w:val="auto"/>
          <w:szCs w:val="20"/>
        </w:rPr>
      </w:pPr>
    </w:p>
    <w:p w:rsidR="00933038" w:rsidRPr="00743A41" w:rsidRDefault="00933038" w:rsidP="00A37ED6">
      <w:pPr>
        <w:pStyle w:val="Default"/>
        <w:numPr>
          <w:ilvl w:val="0"/>
          <w:numId w:val="45"/>
        </w:numPr>
        <w:ind w:left="360"/>
        <w:jc w:val="both"/>
        <w:rPr>
          <w:rFonts w:asciiTheme="majorHAnsi" w:hAnsiTheme="majorHAnsi" w:cstheme="majorHAnsi"/>
          <w:b/>
          <w:color w:val="auto"/>
          <w:szCs w:val="20"/>
        </w:rPr>
      </w:pPr>
      <w:r w:rsidRPr="00743A41">
        <w:rPr>
          <w:rFonts w:asciiTheme="majorHAnsi" w:hAnsiTheme="majorHAnsi" w:cstheme="majorHAnsi"/>
          <w:b/>
          <w:color w:val="auto"/>
          <w:szCs w:val="20"/>
        </w:rPr>
        <w:t xml:space="preserve">Enrollment data for all of the school’s degree schools, including bachelor’s, master’s and doctoral degrees, in </w:t>
      </w:r>
      <w:r w:rsidR="006124B7" w:rsidRPr="00743A41">
        <w:rPr>
          <w:rFonts w:asciiTheme="majorHAnsi" w:hAnsiTheme="majorHAnsi" w:cstheme="majorHAnsi"/>
          <w:b/>
          <w:color w:val="auto"/>
          <w:szCs w:val="20"/>
        </w:rPr>
        <w:t>the format of Template Intro-2. Schools that house “other” degrees and concentrations (as defined in Criterion D19) should separate those degrees and concentrations from the public health degrees for reporting student enrollments.</w:t>
      </w:r>
    </w:p>
    <w:p w:rsidR="00933038" w:rsidRPr="00743A41" w:rsidRDefault="00933038" w:rsidP="00A37ED6">
      <w:pPr>
        <w:pStyle w:val="Default"/>
        <w:jc w:val="both"/>
        <w:rPr>
          <w:rFonts w:asciiTheme="majorHAnsi" w:hAnsiTheme="majorHAnsi" w:cstheme="majorHAnsi"/>
          <w:b/>
          <w:color w:val="auto"/>
          <w:szCs w:val="20"/>
        </w:rPr>
      </w:pPr>
    </w:p>
    <w:p w:rsidR="00304C53" w:rsidRPr="00743A41" w:rsidRDefault="00304C53" w:rsidP="00A37ED6">
      <w:pPr>
        <w:pBdr>
          <w:top w:val="nil"/>
          <w:left w:val="nil"/>
          <w:bottom w:val="nil"/>
          <w:right w:val="nil"/>
          <w:between w:val="nil"/>
        </w:pBdr>
        <w:ind w:left="360"/>
        <w:rPr>
          <w:rFonts w:asciiTheme="majorHAnsi" w:eastAsia="Arial" w:hAnsiTheme="majorHAnsi" w:cstheme="majorHAnsi"/>
          <w:color w:val="000000"/>
          <w:sz w:val="20"/>
          <w:szCs w:val="20"/>
        </w:rPr>
      </w:pPr>
      <w:r w:rsidRPr="00DE25B3">
        <w:rPr>
          <w:rFonts w:asciiTheme="majorHAnsi" w:eastAsia="Arial" w:hAnsiTheme="majorHAnsi" w:cstheme="majorHAnsi"/>
          <w:sz w:val="20"/>
          <w:szCs w:val="20"/>
        </w:rPr>
        <w:t>Table Intro.4.a. UTHealth School of Public Health Current Enrollment by Degree Program</w:t>
      </w:r>
    </w:p>
    <w:tbl>
      <w:tblPr>
        <w:tblStyle w:val="15"/>
        <w:tblW w:w="481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09"/>
        <w:gridCol w:w="3951"/>
        <w:gridCol w:w="2251"/>
        <w:gridCol w:w="1884"/>
      </w:tblGrid>
      <w:tr w:rsidR="005931D6" w:rsidRPr="00743A41" w:rsidTr="007E5C5E">
        <w:trPr>
          <w:cnfStyle w:val="000000100000" w:firstRow="0" w:lastRow="0" w:firstColumn="0" w:lastColumn="0" w:oddVBand="0" w:evenVBand="0" w:oddHBand="1" w:evenHBand="0" w:firstRowFirstColumn="0" w:firstRowLastColumn="0" w:lastRowFirstColumn="0" w:lastRowLastColumn="0"/>
          <w:trHeight w:val="300"/>
        </w:trPr>
        <w:tc>
          <w:tcPr>
            <w:tcW w:w="2702" w:type="pct"/>
            <w:gridSpan w:val="2"/>
          </w:tcPr>
          <w:p w:rsidR="005931D6" w:rsidRPr="00743A41" w:rsidRDefault="005931D6" w:rsidP="00A37ED6">
            <w:pPr>
              <w:tabs>
                <w:tab w:val="left" w:pos="720"/>
              </w:tabs>
              <w:ind w:left="360" w:hanging="360"/>
              <w:rPr>
                <w:rFonts w:asciiTheme="majorHAnsi" w:eastAsia="Arial" w:hAnsiTheme="majorHAnsi" w:cstheme="majorHAnsi"/>
                <w:b/>
                <w:color w:val="000000"/>
                <w:sz w:val="20"/>
                <w:szCs w:val="20"/>
              </w:rPr>
            </w:pPr>
            <w:r w:rsidRPr="00743A41">
              <w:rPr>
                <w:rFonts w:asciiTheme="majorHAnsi" w:eastAsia="Arial" w:hAnsiTheme="majorHAnsi" w:cstheme="majorHAnsi"/>
                <w:b/>
                <w:color w:val="000000"/>
                <w:sz w:val="20"/>
                <w:szCs w:val="20"/>
              </w:rPr>
              <w:t>Degree</w:t>
            </w:r>
          </w:p>
        </w:tc>
        <w:tc>
          <w:tcPr>
            <w:tcW w:w="2298" w:type="pct"/>
            <w:gridSpan w:val="2"/>
          </w:tcPr>
          <w:p w:rsidR="005931D6" w:rsidRPr="00743A41" w:rsidRDefault="005931D6" w:rsidP="00A37ED6">
            <w:pPr>
              <w:tabs>
                <w:tab w:val="left" w:pos="720"/>
              </w:tabs>
              <w:ind w:left="360" w:hanging="360"/>
              <w:jc w:val="center"/>
              <w:rPr>
                <w:rFonts w:asciiTheme="majorHAnsi" w:eastAsia="Arial" w:hAnsiTheme="majorHAnsi" w:cstheme="majorHAnsi"/>
                <w:b/>
                <w:color w:val="000000"/>
                <w:sz w:val="20"/>
                <w:szCs w:val="20"/>
              </w:rPr>
            </w:pPr>
            <w:r w:rsidRPr="00743A41">
              <w:rPr>
                <w:rFonts w:asciiTheme="majorHAnsi" w:eastAsia="Arial" w:hAnsiTheme="majorHAnsi" w:cstheme="majorHAnsi"/>
                <w:b/>
                <w:color w:val="000000"/>
                <w:sz w:val="20"/>
                <w:szCs w:val="20"/>
              </w:rPr>
              <w:t>Current Enrollment</w:t>
            </w:r>
          </w:p>
        </w:tc>
      </w:tr>
      <w:tr w:rsidR="00F0554E" w:rsidRPr="00743A41" w:rsidTr="007E5C5E">
        <w:trPr>
          <w:trHeight w:val="280"/>
        </w:trPr>
        <w:tc>
          <w:tcPr>
            <w:tcW w:w="2702" w:type="pct"/>
            <w:gridSpan w:val="2"/>
          </w:tcPr>
          <w:p w:rsidR="00F0554E" w:rsidRPr="00743A41" w:rsidRDefault="00F0554E" w:rsidP="00A37ED6">
            <w:pPr>
              <w:tabs>
                <w:tab w:val="left" w:pos="720"/>
              </w:tabs>
              <w:ind w:left="360" w:hanging="360"/>
              <w:rPr>
                <w:rFonts w:asciiTheme="majorHAnsi" w:eastAsia="Arial" w:hAnsiTheme="majorHAnsi" w:cstheme="majorHAnsi"/>
                <w:b/>
                <w:color w:val="000000"/>
                <w:sz w:val="20"/>
                <w:szCs w:val="20"/>
              </w:rPr>
            </w:pPr>
            <w:r w:rsidRPr="00743A41">
              <w:rPr>
                <w:rFonts w:asciiTheme="majorHAnsi" w:eastAsia="Arial" w:hAnsiTheme="majorHAnsi" w:cstheme="majorHAnsi"/>
                <w:b/>
                <w:color w:val="000000"/>
                <w:sz w:val="20"/>
                <w:szCs w:val="20"/>
              </w:rPr>
              <w:t>Master's</w:t>
            </w:r>
          </w:p>
          <w:p w:rsidR="00F0554E" w:rsidRPr="00743A41" w:rsidRDefault="00F0554E" w:rsidP="00A37ED6">
            <w:pPr>
              <w:tabs>
                <w:tab w:val="left" w:pos="720"/>
              </w:tabs>
              <w:ind w:left="360" w:hanging="360"/>
              <w:rPr>
                <w:rFonts w:asciiTheme="majorHAnsi" w:eastAsia="Arial" w:hAnsiTheme="majorHAnsi" w:cstheme="majorHAnsi"/>
                <w:b/>
                <w:color w:val="000000"/>
                <w:sz w:val="20"/>
                <w:szCs w:val="20"/>
              </w:rPr>
            </w:pPr>
            <w:r w:rsidRPr="00743A41">
              <w:rPr>
                <w:rFonts w:asciiTheme="majorHAnsi" w:eastAsia="Arial" w:hAnsiTheme="majorHAnsi" w:cstheme="majorHAnsi"/>
                <w:b/>
                <w:color w:val="000000"/>
                <w:sz w:val="20"/>
                <w:szCs w:val="20"/>
              </w:rPr>
              <w:t> </w:t>
            </w:r>
          </w:p>
        </w:tc>
        <w:tc>
          <w:tcPr>
            <w:tcW w:w="1251" w:type="pct"/>
          </w:tcPr>
          <w:p w:rsidR="00F0554E" w:rsidRPr="00743A41" w:rsidRDefault="00F0554E" w:rsidP="00A37ED6">
            <w:pPr>
              <w:tabs>
                <w:tab w:val="left" w:pos="720"/>
              </w:tabs>
              <w:ind w:left="-104"/>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AY 19 (Fall 2018, Spring 2019, Summer 2019)</w:t>
            </w:r>
          </w:p>
        </w:tc>
        <w:tc>
          <w:tcPr>
            <w:tcW w:w="1048" w:type="pct"/>
          </w:tcPr>
          <w:p w:rsidR="00F0554E" w:rsidRPr="00743A41" w:rsidRDefault="00F0554E"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Fall 2019</w:t>
            </w:r>
          </w:p>
        </w:tc>
      </w:tr>
      <w:tr w:rsidR="003C4E2A" w:rsidRPr="00743A41" w:rsidTr="007E5C5E">
        <w:trPr>
          <w:cnfStyle w:val="000000100000" w:firstRow="0" w:lastRow="0" w:firstColumn="0" w:lastColumn="0" w:oddVBand="0" w:evenVBand="0" w:oddHBand="1" w:evenHBand="0" w:firstRowFirstColumn="0" w:firstRowLastColumn="0" w:lastRowFirstColumn="0" w:lastRowLastColumn="0"/>
          <w:trHeight w:val="300"/>
        </w:trPr>
        <w:tc>
          <w:tcPr>
            <w:tcW w:w="506" w:type="pct"/>
            <w:vMerge w:val="restart"/>
          </w:tcPr>
          <w:p w:rsidR="00F0554E" w:rsidRPr="00743A41" w:rsidRDefault="00F0554E" w:rsidP="00A37ED6">
            <w:pPr>
              <w:tabs>
                <w:tab w:val="left" w:pos="720"/>
              </w:tabs>
              <w:ind w:left="360" w:hanging="360"/>
              <w:rPr>
                <w:rFonts w:asciiTheme="majorHAnsi" w:eastAsia="Arial" w:hAnsiTheme="majorHAnsi" w:cstheme="majorHAnsi"/>
                <w:color w:val="000000"/>
                <w:sz w:val="20"/>
                <w:szCs w:val="20"/>
              </w:rPr>
            </w:pPr>
          </w:p>
          <w:p w:rsidR="00F0554E" w:rsidRPr="00743A41" w:rsidRDefault="00F0554E" w:rsidP="00A37ED6">
            <w:pPr>
              <w:rPr>
                <w:rFonts w:asciiTheme="majorHAnsi" w:eastAsia="Arial" w:hAnsiTheme="majorHAnsi" w:cstheme="majorHAnsi"/>
                <w:sz w:val="20"/>
                <w:szCs w:val="20"/>
              </w:rPr>
            </w:pPr>
          </w:p>
          <w:p w:rsidR="003C4E2A" w:rsidRPr="00743A41" w:rsidRDefault="003C4E2A" w:rsidP="00A37ED6">
            <w:pPr>
              <w:rPr>
                <w:rFonts w:asciiTheme="majorHAnsi" w:eastAsia="Arial" w:hAnsiTheme="majorHAnsi" w:cstheme="majorHAnsi"/>
                <w:sz w:val="20"/>
                <w:szCs w:val="20"/>
              </w:rPr>
            </w:pPr>
          </w:p>
        </w:tc>
        <w:tc>
          <w:tcPr>
            <w:tcW w:w="2195" w:type="pct"/>
          </w:tcPr>
          <w:p w:rsidR="003C4E2A" w:rsidRPr="00743A41" w:rsidRDefault="003C4E2A"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MPH Biostatistics*</w:t>
            </w:r>
          </w:p>
        </w:tc>
        <w:tc>
          <w:tcPr>
            <w:tcW w:w="1251" w:type="pct"/>
          </w:tcPr>
          <w:p w:rsidR="003C4E2A" w:rsidRPr="00743A41" w:rsidRDefault="00455DDC"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16</w:t>
            </w:r>
          </w:p>
        </w:tc>
        <w:tc>
          <w:tcPr>
            <w:tcW w:w="1048" w:type="pct"/>
          </w:tcPr>
          <w:p w:rsidR="003C4E2A" w:rsidRPr="00743A41" w:rsidDel="008A4385" w:rsidRDefault="003C4E2A"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24</w:t>
            </w:r>
          </w:p>
        </w:tc>
      </w:tr>
      <w:tr w:rsidR="003C4E2A" w:rsidRPr="00743A41" w:rsidTr="007E5C5E">
        <w:trPr>
          <w:trHeight w:val="300"/>
        </w:trPr>
        <w:tc>
          <w:tcPr>
            <w:tcW w:w="506" w:type="pct"/>
            <w:vMerge/>
          </w:tcPr>
          <w:p w:rsidR="003C4E2A" w:rsidRPr="00743A41" w:rsidRDefault="003C4E2A" w:rsidP="00A37ED6">
            <w:pPr>
              <w:tabs>
                <w:tab w:val="left" w:pos="720"/>
              </w:tabs>
              <w:ind w:left="360" w:hanging="360"/>
              <w:rPr>
                <w:rFonts w:asciiTheme="majorHAnsi" w:eastAsia="Arial" w:hAnsiTheme="majorHAnsi" w:cstheme="majorHAnsi"/>
                <w:color w:val="000000"/>
                <w:sz w:val="20"/>
                <w:szCs w:val="20"/>
              </w:rPr>
            </w:pPr>
          </w:p>
        </w:tc>
        <w:tc>
          <w:tcPr>
            <w:tcW w:w="2195" w:type="pct"/>
          </w:tcPr>
          <w:p w:rsidR="003C4E2A" w:rsidRPr="00743A41" w:rsidRDefault="003C4E2A"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MPH Community Health Practice</w:t>
            </w:r>
          </w:p>
        </w:tc>
        <w:tc>
          <w:tcPr>
            <w:tcW w:w="1251" w:type="pct"/>
          </w:tcPr>
          <w:p w:rsidR="003C4E2A" w:rsidRPr="00743A41" w:rsidRDefault="00455DDC"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39</w:t>
            </w:r>
          </w:p>
        </w:tc>
        <w:tc>
          <w:tcPr>
            <w:tcW w:w="1048" w:type="pct"/>
          </w:tcPr>
          <w:p w:rsidR="003C4E2A" w:rsidRPr="00743A41" w:rsidDel="008A4385" w:rsidRDefault="003C4E2A"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34</w:t>
            </w:r>
          </w:p>
        </w:tc>
      </w:tr>
      <w:tr w:rsidR="003C4E2A" w:rsidRPr="00743A41" w:rsidTr="007E5C5E">
        <w:trPr>
          <w:cnfStyle w:val="000000100000" w:firstRow="0" w:lastRow="0" w:firstColumn="0" w:lastColumn="0" w:oddVBand="0" w:evenVBand="0" w:oddHBand="1" w:evenHBand="0" w:firstRowFirstColumn="0" w:firstRowLastColumn="0" w:lastRowFirstColumn="0" w:lastRowLastColumn="0"/>
          <w:trHeight w:val="300"/>
        </w:trPr>
        <w:tc>
          <w:tcPr>
            <w:tcW w:w="506" w:type="pct"/>
            <w:vMerge/>
          </w:tcPr>
          <w:p w:rsidR="003C4E2A" w:rsidRPr="00743A41" w:rsidRDefault="003C4E2A" w:rsidP="00A37ED6">
            <w:pPr>
              <w:tabs>
                <w:tab w:val="left" w:pos="720"/>
              </w:tabs>
              <w:ind w:left="360" w:hanging="360"/>
              <w:rPr>
                <w:rFonts w:asciiTheme="majorHAnsi" w:eastAsia="Arial" w:hAnsiTheme="majorHAnsi" w:cstheme="majorHAnsi"/>
                <w:color w:val="000000"/>
                <w:sz w:val="20"/>
                <w:szCs w:val="20"/>
              </w:rPr>
            </w:pPr>
          </w:p>
        </w:tc>
        <w:tc>
          <w:tcPr>
            <w:tcW w:w="2195" w:type="pct"/>
          </w:tcPr>
          <w:p w:rsidR="003C4E2A" w:rsidRPr="00743A41" w:rsidRDefault="003C4E2A"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MPH Customized</w:t>
            </w:r>
          </w:p>
        </w:tc>
        <w:tc>
          <w:tcPr>
            <w:tcW w:w="1251" w:type="pct"/>
          </w:tcPr>
          <w:p w:rsidR="003C4E2A" w:rsidRPr="00743A41" w:rsidRDefault="00455DDC"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391</w:t>
            </w:r>
          </w:p>
        </w:tc>
        <w:tc>
          <w:tcPr>
            <w:tcW w:w="1048" w:type="pct"/>
          </w:tcPr>
          <w:p w:rsidR="003C4E2A" w:rsidRPr="00743A41" w:rsidDel="008A4385" w:rsidRDefault="003C4E2A"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212</w:t>
            </w:r>
          </w:p>
        </w:tc>
      </w:tr>
      <w:tr w:rsidR="003C4E2A" w:rsidRPr="00743A41" w:rsidTr="007E5C5E">
        <w:trPr>
          <w:trHeight w:val="300"/>
        </w:trPr>
        <w:tc>
          <w:tcPr>
            <w:tcW w:w="506" w:type="pct"/>
            <w:vMerge/>
          </w:tcPr>
          <w:p w:rsidR="003C4E2A" w:rsidRPr="00743A41" w:rsidRDefault="003C4E2A" w:rsidP="00A37ED6">
            <w:pPr>
              <w:widowControl w:val="0"/>
              <w:pBdr>
                <w:top w:val="nil"/>
                <w:left w:val="nil"/>
                <w:bottom w:val="nil"/>
                <w:right w:val="nil"/>
                <w:between w:val="nil"/>
              </w:pBdr>
              <w:rPr>
                <w:rFonts w:asciiTheme="majorHAnsi" w:eastAsia="Arial" w:hAnsiTheme="majorHAnsi" w:cstheme="majorHAnsi"/>
                <w:color w:val="000000"/>
                <w:sz w:val="20"/>
                <w:szCs w:val="20"/>
              </w:rPr>
            </w:pPr>
          </w:p>
        </w:tc>
        <w:tc>
          <w:tcPr>
            <w:tcW w:w="2195" w:type="pct"/>
          </w:tcPr>
          <w:p w:rsidR="003C4E2A" w:rsidRPr="00743A41" w:rsidRDefault="003C4E2A"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MPH Environmental Health</w:t>
            </w:r>
          </w:p>
        </w:tc>
        <w:tc>
          <w:tcPr>
            <w:tcW w:w="1251" w:type="pct"/>
          </w:tcPr>
          <w:p w:rsidR="003C4E2A" w:rsidRPr="00743A41" w:rsidRDefault="00455DDC"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22</w:t>
            </w:r>
          </w:p>
        </w:tc>
        <w:tc>
          <w:tcPr>
            <w:tcW w:w="1048" w:type="pct"/>
          </w:tcPr>
          <w:p w:rsidR="003C4E2A" w:rsidRPr="00743A41" w:rsidDel="009D3205" w:rsidRDefault="003C4E2A"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25</w:t>
            </w:r>
          </w:p>
        </w:tc>
      </w:tr>
      <w:tr w:rsidR="003C4E2A" w:rsidRPr="00743A41" w:rsidTr="007E5C5E">
        <w:trPr>
          <w:cnfStyle w:val="000000100000" w:firstRow="0" w:lastRow="0" w:firstColumn="0" w:lastColumn="0" w:oddVBand="0" w:evenVBand="0" w:oddHBand="1" w:evenHBand="0" w:firstRowFirstColumn="0" w:firstRowLastColumn="0" w:lastRowFirstColumn="0" w:lastRowLastColumn="0"/>
          <w:trHeight w:val="300"/>
        </w:trPr>
        <w:tc>
          <w:tcPr>
            <w:tcW w:w="506" w:type="pct"/>
            <w:vMerge/>
          </w:tcPr>
          <w:p w:rsidR="003C4E2A" w:rsidRPr="00743A41" w:rsidRDefault="003C4E2A" w:rsidP="00A37ED6">
            <w:pPr>
              <w:widowControl w:val="0"/>
              <w:pBdr>
                <w:top w:val="nil"/>
                <w:left w:val="nil"/>
                <w:bottom w:val="nil"/>
                <w:right w:val="nil"/>
                <w:between w:val="nil"/>
              </w:pBdr>
              <w:rPr>
                <w:rFonts w:asciiTheme="majorHAnsi" w:eastAsia="Arial" w:hAnsiTheme="majorHAnsi" w:cstheme="majorHAnsi"/>
                <w:color w:val="000000"/>
                <w:sz w:val="20"/>
                <w:szCs w:val="20"/>
              </w:rPr>
            </w:pPr>
          </w:p>
        </w:tc>
        <w:tc>
          <w:tcPr>
            <w:tcW w:w="2195" w:type="pct"/>
          </w:tcPr>
          <w:p w:rsidR="003C4E2A" w:rsidRPr="00743A41" w:rsidRDefault="003C4E2A"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 xml:space="preserve">MPH Epidemiology </w:t>
            </w:r>
          </w:p>
        </w:tc>
        <w:tc>
          <w:tcPr>
            <w:tcW w:w="1251" w:type="pct"/>
          </w:tcPr>
          <w:p w:rsidR="003C4E2A" w:rsidRPr="00743A41" w:rsidRDefault="00455DDC"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250</w:t>
            </w:r>
          </w:p>
        </w:tc>
        <w:tc>
          <w:tcPr>
            <w:tcW w:w="1048" w:type="pct"/>
          </w:tcPr>
          <w:p w:rsidR="003C4E2A" w:rsidRPr="00743A41" w:rsidDel="009D3205" w:rsidRDefault="003C4E2A"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209</w:t>
            </w:r>
          </w:p>
        </w:tc>
      </w:tr>
      <w:tr w:rsidR="003C4E2A" w:rsidRPr="00743A41" w:rsidTr="007E5C5E">
        <w:trPr>
          <w:trHeight w:val="300"/>
        </w:trPr>
        <w:tc>
          <w:tcPr>
            <w:tcW w:w="506" w:type="pct"/>
            <w:vMerge/>
          </w:tcPr>
          <w:p w:rsidR="003C4E2A" w:rsidRPr="00743A41" w:rsidRDefault="003C4E2A" w:rsidP="00A37ED6">
            <w:pPr>
              <w:widowControl w:val="0"/>
              <w:pBdr>
                <w:top w:val="nil"/>
                <w:left w:val="nil"/>
                <w:bottom w:val="nil"/>
                <w:right w:val="nil"/>
                <w:between w:val="nil"/>
              </w:pBdr>
              <w:rPr>
                <w:rFonts w:asciiTheme="majorHAnsi" w:eastAsia="Arial" w:hAnsiTheme="majorHAnsi" w:cstheme="majorHAnsi"/>
                <w:color w:val="000000"/>
                <w:sz w:val="20"/>
                <w:szCs w:val="20"/>
              </w:rPr>
            </w:pPr>
          </w:p>
        </w:tc>
        <w:tc>
          <w:tcPr>
            <w:tcW w:w="2195" w:type="pct"/>
          </w:tcPr>
          <w:p w:rsidR="003C4E2A" w:rsidRPr="00743A41" w:rsidRDefault="003C4E2A"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MPH Health Promotion/Health Education</w:t>
            </w:r>
          </w:p>
        </w:tc>
        <w:tc>
          <w:tcPr>
            <w:tcW w:w="1251" w:type="pct"/>
          </w:tcPr>
          <w:p w:rsidR="003C4E2A" w:rsidRPr="00743A41" w:rsidRDefault="00C40A1A"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118</w:t>
            </w:r>
          </w:p>
        </w:tc>
        <w:tc>
          <w:tcPr>
            <w:tcW w:w="1048" w:type="pct"/>
          </w:tcPr>
          <w:p w:rsidR="003C4E2A" w:rsidRPr="00743A41" w:rsidDel="009D3205" w:rsidRDefault="00C40A1A"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122</w:t>
            </w:r>
          </w:p>
        </w:tc>
      </w:tr>
      <w:tr w:rsidR="003C4E2A" w:rsidRPr="00743A41" w:rsidTr="007E5C5E">
        <w:trPr>
          <w:cnfStyle w:val="000000100000" w:firstRow="0" w:lastRow="0" w:firstColumn="0" w:lastColumn="0" w:oddVBand="0" w:evenVBand="0" w:oddHBand="1" w:evenHBand="0" w:firstRowFirstColumn="0" w:firstRowLastColumn="0" w:lastRowFirstColumn="0" w:lastRowLastColumn="0"/>
          <w:trHeight w:val="300"/>
        </w:trPr>
        <w:tc>
          <w:tcPr>
            <w:tcW w:w="506" w:type="pct"/>
            <w:vMerge/>
          </w:tcPr>
          <w:p w:rsidR="003C4E2A" w:rsidRPr="00743A41" w:rsidRDefault="003C4E2A" w:rsidP="00A37ED6">
            <w:pPr>
              <w:widowControl w:val="0"/>
              <w:pBdr>
                <w:top w:val="nil"/>
                <w:left w:val="nil"/>
                <w:bottom w:val="nil"/>
                <w:right w:val="nil"/>
                <w:between w:val="nil"/>
              </w:pBdr>
              <w:rPr>
                <w:rFonts w:asciiTheme="majorHAnsi" w:eastAsia="Arial" w:hAnsiTheme="majorHAnsi" w:cstheme="majorHAnsi"/>
                <w:color w:val="000000"/>
                <w:sz w:val="20"/>
                <w:szCs w:val="20"/>
              </w:rPr>
            </w:pPr>
          </w:p>
        </w:tc>
        <w:tc>
          <w:tcPr>
            <w:tcW w:w="2195" w:type="pct"/>
          </w:tcPr>
          <w:p w:rsidR="003C4E2A" w:rsidRPr="00743A41" w:rsidRDefault="003C4E2A"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MPH Health Promotion/Health Education, Dietetic Internship Track</w:t>
            </w:r>
          </w:p>
        </w:tc>
        <w:tc>
          <w:tcPr>
            <w:tcW w:w="1251" w:type="pct"/>
          </w:tcPr>
          <w:p w:rsidR="003C4E2A" w:rsidRPr="00743A41" w:rsidRDefault="00C40A1A"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22</w:t>
            </w:r>
          </w:p>
        </w:tc>
        <w:tc>
          <w:tcPr>
            <w:tcW w:w="1048" w:type="pct"/>
          </w:tcPr>
          <w:p w:rsidR="003C4E2A" w:rsidRPr="00743A41" w:rsidRDefault="00C40A1A"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18</w:t>
            </w:r>
          </w:p>
        </w:tc>
      </w:tr>
      <w:tr w:rsidR="003C4E2A" w:rsidRPr="00743A41" w:rsidTr="007E5C5E">
        <w:trPr>
          <w:trHeight w:val="300"/>
        </w:trPr>
        <w:tc>
          <w:tcPr>
            <w:tcW w:w="506" w:type="pct"/>
            <w:vMerge/>
          </w:tcPr>
          <w:p w:rsidR="003C4E2A" w:rsidRPr="00743A41" w:rsidRDefault="003C4E2A" w:rsidP="00A37ED6">
            <w:pPr>
              <w:widowControl w:val="0"/>
              <w:pBdr>
                <w:top w:val="nil"/>
                <w:left w:val="nil"/>
                <w:bottom w:val="nil"/>
                <w:right w:val="nil"/>
                <w:between w:val="nil"/>
              </w:pBdr>
              <w:rPr>
                <w:rFonts w:asciiTheme="majorHAnsi" w:eastAsia="Arial" w:hAnsiTheme="majorHAnsi" w:cstheme="majorHAnsi"/>
                <w:color w:val="000000"/>
                <w:sz w:val="20"/>
                <w:szCs w:val="20"/>
              </w:rPr>
            </w:pPr>
          </w:p>
        </w:tc>
        <w:tc>
          <w:tcPr>
            <w:tcW w:w="2195" w:type="pct"/>
          </w:tcPr>
          <w:p w:rsidR="003C4E2A" w:rsidRPr="00743A41" w:rsidRDefault="003C4E2A" w:rsidP="00A37ED6">
            <w:pPr>
              <w:tabs>
                <w:tab w:val="left" w:pos="720"/>
              </w:tabs>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 xml:space="preserve">MPH Health Services Organizations </w:t>
            </w:r>
          </w:p>
        </w:tc>
        <w:tc>
          <w:tcPr>
            <w:tcW w:w="1251" w:type="pct"/>
          </w:tcPr>
          <w:p w:rsidR="003C4E2A" w:rsidRPr="00743A41" w:rsidRDefault="00455DDC"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21</w:t>
            </w:r>
          </w:p>
        </w:tc>
        <w:tc>
          <w:tcPr>
            <w:tcW w:w="1048" w:type="pct"/>
          </w:tcPr>
          <w:p w:rsidR="003C4E2A" w:rsidRPr="00743A41" w:rsidDel="009D3205" w:rsidRDefault="003C4E2A"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21</w:t>
            </w:r>
          </w:p>
        </w:tc>
      </w:tr>
      <w:tr w:rsidR="003C4E2A" w:rsidRPr="00743A41" w:rsidTr="007E5C5E">
        <w:trPr>
          <w:cnfStyle w:val="000000100000" w:firstRow="0" w:lastRow="0" w:firstColumn="0" w:lastColumn="0" w:oddVBand="0" w:evenVBand="0" w:oddHBand="1" w:evenHBand="0" w:firstRowFirstColumn="0" w:firstRowLastColumn="0" w:lastRowFirstColumn="0" w:lastRowLastColumn="0"/>
          <w:trHeight w:val="300"/>
        </w:trPr>
        <w:tc>
          <w:tcPr>
            <w:tcW w:w="506" w:type="pct"/>
            <w:vMerge/>
          </w:tcPr>
          <w:p w:rsidR="003C4E2A" w:rsidRPr="00743A41" w:rsidRDefault="003C4E2A" w:rsidP="00A37ED6">
            <w:pPr>
              <w:widowControl w:val="0"/>
              <w:pBdr>
                <w:top w:val="nil"/>
                <w:left w:val="nil"/>
                <w:bottom w:val="nil"/>
                <w:right w:val="nil"/>
                <w:between w:val="nil"/>
              </w:pBdr>
              <w:rPr>
                <w:rFonts w:asciiTheme="majorHAnsi" w:eastAsia="Arial" w:hAnsiTheme="majorHAnsi" w:cstheme="majorHAnsi"/>
                <w:color w:val="000000"/>
                <w:sz w:val="20"/>
                <w:szCs w:val="20"/>
              </w:rPr>
            </w:pPr>
          </w:p>
        </w:tc>
        <w:tc>
          <w:tcPr>
            <w:tcW w:w="2195" w:type="pct"/>
          </w:tcPr>
          <w:p w:rsidR="003C4E2A" w:rsidRPr="00743A41" w:rsidRDefault="003C4E2A" w:rsidP="00A37ED6">
            <w:pPr>
              <w:tabs>
                <w:tab w:val="left" w:pos="720"/>
              </w:tabs>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MPH Healthcare Management</w:t>
            </w:r>
          </w:p>
        </w:tc>
        <w:tc>
          <w:tcPr>
            <w:tcW w:w="1251" w:type="pct"/>
          </w:tcPr>
          <w:p w:rsidR="003C4E2A" w:rsidRPr="00743A41" w:rsidRDefault="00455DDC"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42</w:t>
            </w:r>
          </w:p>
        </w:tc>
        <w:tc>
          <w:tcPr>
            <w:tcW w:w="1048" w:type="pct"/>
          </w:tcPr>
          <w:p w:rsidR="003C4E2A" w:rsidRPr="00743A41" w:rsidDel="009D3205" w:rsidRDefault="003C4E2A"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41</w:t>
            </w:r>
          </w:p>
        </w:tc>
      </w:tr>
      <w:tr w:rsidR="003C4E2A" w:rsidRPr="00743A41" w:rsidTr="007E5C5E">
        <w:trPr>
          <w:trHeight w:val="300"/>
        </w:trPr>
        <w:tc>
          <w:tcPr>
            <w:tcW w:w="506" w:type="pct"/>
            <w:vMerge/>
          </w:tcPr>
          <w:p w:rsidR="003C4E2A" w:rsidRPr="00743A41" w:rsidRDefault="003C4E2A" w:rsidP="00A37ED6">
            <w:pPr>
              <w:widowControl w:val="0"/>
              <w:pBdr>
                <w:top w:val="nil"/>
                <w:left w:val="nil"/>
                <w:bottom w:val="nil"/>
                <w:right w:val="nil"/>
                <w:between w:val="nil"/>
              </w:pBdr>
              <w:rPr>
                <w:rFonts w:asciiTheme="majorHAnsi" w:eastAsia="Arial" w:hAnsiTheme="majorHAnsi" w:cstheme="majorHAnsi"/>
                <w:color w:val="000000"/>
                <w:sz w:val="20"/>
                <w:szCs w:val="20"/>
              </w:rPr>
            </w:pPr>
          </w:p>
        </w:tc>
        <w:tc>
          <w:tcPr>
            <w:tcW w:w="2195" w:type="pct"/>
          </w:tcPr>
          <w:p w:rsidR="003C4E2A" w:rsidRPr="00743A41" w:rsidRDefault="003C4E2A"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MS Biostatistics</w:t>
            </w:r>
          </w:p>
        </w:tc>
        <w:tc>
          <w:tcPr>
            <w:tcW w:w="1251" w:type="pct"/>
          </w:tcPr>
          <w:p w:rsidR="003C4E2A" w:rsidRPr="00743A41" w:rsidRDefault="00455DDC"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30</w:t>
            </w:r>
          </w:p>
        </w:tc>
        <w:tc>
          <w:tcPr>
            <w:tcW w:w="1048" w:type="pct"/>
          </w:tcPr>
          <w:p w:rsidR="003C4E2A" w:rsidRPr="00743A41" w:rsidDel="009D3205" w:rsidRDefault="003C4E2A"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29</w:t>
            </w:r>
          </w:p>
        </w:tc>
      </w:tr>
      <w:tr w:rsidR="003C4E2A" w:rsidRPr="00743A41" w:rsidTr="007E5C5E">
        <w:trPr>
          <w:cnfStyle w:val="000000100000" w:firstRow="0" w:lastRow="0" w:firstColumn="0" w:lastColumn="0" w:oddVBand="0" w:evenVBand="0" w:oddHBand="1" w:evenHBand="0" w:firstRowFirstColumn="0" w:firstRowLastColumn="0" w:lastRowFirstColumn="0" w:lastRowLastColumn="0"/>
          <w:trHeight w:val="300"/>
        </w:trPr>
        <w:tc>
          <w:tcPr>
            <w:tcW w:w="506" w:type="pct"/>
            <w:vMerge/>
          </w:tcPr>
          <w:p w:rsidR="003C4E2A" w:rsidRPr="00743A41" w:rsidRDefault="003C4E2A" w:rsidP="00A37ED6">
            <w:pPr>
              <w:widowControl w:val="0"/>
              <w:pBdr>
                <w:top w:val="nil"/>
                <w:left w:val="nil"/>
                <w:bottom w:val="nil"/>
                <w:right w:val="nil"/>
                <w:between w:val="nil"/>
              </w:pBdr>
              <w:rPr>
                <w:rFonts w:asciiTheme="majorHAnsi" w:eastAsia="Arial" w:hAnsiTheme="majorHAnsi" w:cstheme="majorHAnsi"/>
                <w:color w:val="000000"/>
                <w:sz w:val="20"/>
                <w:szCs w:val="20"/>
              </w:rPr>
            </w:pPr>
          </w:p>
        </w:tc>
        <w:tc>
          <w:tcPr>
            <w:tcW w:w="2195" w:type="pct"/>
          </w:tcPr>
          <w:p w:rsidR="003C4E2A" w:rsidRPr="00743A41" w:rsidRDefault="003C4E2A"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 xml:space="preserve">MS Epidemiology* </w:t>
            </w:r>
          </w:p>
        </w:tc>
        <w:tc>
          <w:tcPr>
            <w:tcW w:w="1251" w:type="pct"/>
          </w:tcPr>
          <w:p w:rsidR="003C4E2A" w:rsidRPr="00743A41" w:rsidRDefault="00455DDC"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19</w:t>
            </w:r>
          </w:p>
        </w:tc>
        <w:tc>
          <w:tcPr>
            <w:tcW w:w="1048" w:type="pct"/>
          </w:tcPr>
          <w:p w:rsidR="003C4E2A" w:rsidRPr="00743A41" w:rsidDel="009D3205" w:rsidRDefault="003C4E2A"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16</w:t>
            </w:r>
          </w:p>
        </w:tc>
      </w:tr>
      <w:tr w:rsidR="00F0554E" w:rsidRPr="00743A41" w:rsidTr="007E5C5E">
        <w:trPr>
          <w:trHeight w:val="280"/>
        </w:trPr>
        <w:tc>
          <w:tcPr>
            <w:tcW w:w="2702" w:type="pct"/>
            <w:gridSpan w:val="2"/>
          </w:tcPr>
          <w:p w:rsidR="00F0554E" w:rsidRPr="00743A41" w:rsidRDefault="00F0554E" w:rsidP="00A37ED6">
            <w:pPr>
              <w:tabs>
                <w:tab w:val="left" w:pos="720"/>
              </w:tabs>
              <w:ind w:left="360" w:hanging="360"/>
              <w:rPr>
                <w:rFonts w:asciiTheme="majorHAnsi" w:eastAsia="Arial" w:hAnsiTheme="majorHAnsi" w:cstheme="majorHAnsi"/>
                <w:b/>
                <w:color w:val="000000"/>
                <w:sz w:val="20"/>
                <w:szCs w:val="20"/>
              </w:rPr>
            </w:pPr>
            <w:r w:rsidRPr="00743A41">
              <w:rPr>
                <w:rFonts w:asciiTheme="majorHAnsi" w:eastAsia="Arial" w:hAnsiTheme="majorHAnsi" w:cstheme="majorHAnsi"/>
                <w:b/>
                <w:color w:val="000000"/>
                <w:sz w:val="20"/>
                <w:szCs w:val="20"/>
              </w:rPr>
              <w:lastRenderedPageBreak/>
              <w:t>Doctoral</w:t>
            </w:r>
          </w:p>
          <w:p w:rsidR="00F0554E" w:rsidRPr="00743A41" w:rsidRDefault="00F0554E" w:rsidP="00A37ED6">
            <w:pPr>
              <w:tabs>
                <w:tab w:val="left" w:pos="720"/>
              </w:tabs>
              <w:ind w:left="360" w:hanging="360"/>
              <w:rPr>
                <w:rFonts w:asciiTheme="majorHAnsi" w:eastAsia="Arial" w:hAnsiTheme="majorHAnsi" w:cstheme="majorHAnsi"/>
                <w:b/>
                <w:color w:val="000000"/>
                <w:sz w:val="20"/>
                <w:szCs w:val="20"/>
              </w:rPr>
            </w:pPr>
            <w:r w:rsidRPr="00743A41">
              <w:rPr>
                <w:rFonts w:asciiTheme="majorHAnsi" w:eastAsia="Arial" w:hAnsiTheme="majorHAnsi" w:cstheme="majorHAnsi"/>
                <w:b/>
                <w:color w:val="000000"/>
                <w:sz w:val="20"/>
                <w:szCs w:val="20"/>
              </w:rPr>
              <w:t> </w:t>
            </w:r>
          </w:p>
        </w:tc>
        <w:tc>
          <w:tcPr>
            <w:tcW w:w="1251" w:type="pct"/>
          </w:tcPr>
          <w:p w:rsidR="00F0554E" w:rsidRPr="00743A41" w:rsidRDefault="00D83916" w:rsidP="00A37ED6">
            <w:pPr>
              <w:tabs>
                <w:tab w:val="left" w:pos="720"/>
              </w:tabs>
              <w:ind w:left="-16" w:firstLine="16"/>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AY 19 (Fall 2018, Spring 2019, Summer 2019)</w:t>
            </w:r>
          </w:p>
        </w:tc>
        <w:tc>
          <w:tcPr>
            <w:tcW w:w="1048" w:type="pct"/>
          </w:tcPr>
          <w:p w:rsidR="00F0554E" w:rsidRPr="00743A41" w:rsidRDefault="00D83916" w:rsidP="00A37ED6">
            <w:pPr>
              <w:tabs>
                <w:tab w:val="left" w:pos="720"/>
              </w:tabs>
              <w:ind w:left="360" w:hanging="360"/>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Fall 2019</w:t>
            </w:r>
          </w:p>
        </w:tc>
      </w:tr>
      <w:tr w:rsidR="00B64F60" w:rsidRPr="00743A41" w:rsidTr="007E5C5E">
        <w:trPr>
          <w:cnfStyle w:val="000000100000" w:firstRow="0" w:lastRow="0" w:firstColumn="0" w:lastColumn="0" w:oddVBand="0" w:evenVBand="0" w:oddHBand="1" w:evenHBand="0" w:firstRowFirstColumn="0" w:firstRowLastColumn="0" w:lastRowFirstColumn="0" w:lastRowLastColumn="0"/>
          <w:trHeight w:val="300"/>
        </w:trPr>
        <w:tc>
          <w:tcPr>
            <w:tcW w:w="506" w:type="pct"/>
            <w:vMerge w:val="restart"/>
          </w:tcPr>
          <w:p w:rsidR="00B64F60" w:rsidRPr="00743A41" w:rsidRDefault="00B64F60" w:rsidP="00A37ED6">
            <w:pPr>
              <w:tabs>
                <w:tab w:val="left" w:pos="720"/>
              </w:tabs>
              <w:ind w:left="360" w:hanging="360"/>
              <w:rPr>
                <w:rFonts w:asciiTheme="majorHAnsi" w:eastAsia="Arial" w:hAnsiTheme="majorHAnsi" w:cstheme="majorHAnsi"/>
                <w:color w:val="000000"/>
                <w:sz w:val="20"/>
                <w:szCs w:val="20"/>
              </w:rPr>
            </w:pPr>
          </w:p>
        </w:tc>
        <w:tc>
          <w:tcPr>
            <w:tcW w:w="2195" w:type="pct"/>
          </w:tcPr>
          <w:p w:rsidR="00B64F60" w:rsidRPr="00743A41" w:rsidRDefault="00B64F60"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DrPH Community Health Practice</w:t>
            </w:r>
          </w:p>
        </w:tc>
        <w:tc>
          <w:tcPr>
            <w:tcW w:w="1251" w:type="pct"/>
          </w:tcPr>
          <w:p w:rsidR="00B64F60" w:rsidRPr="00743A41" w:rsidRDefault="00F15144"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40</w:t>
            </w:r>
          </w:p>
        </w:tc>
        <w:tc>
          <w:tcPr>
            <w:tcW w:w="1048" w:type="pct"/>
          </w:tcPr>
          <w:p w:rsidR="00B64F60" w:rsidRPr="00743A41" w:rsidDel="008A4385" w:rsidRDefault="00B64F60"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33</w:t>
            </w:r>
          </w:p>
        </w:tc>
      </w:tr>
      <w:tr w:rsidR="00B64F60" w:rsidRPr="00743A41" w:rsidTr="007E5C5E">
        <w:trPr>
          <w:trHeight w:val="300"/>
        </w:trPr>
        <w:tc>
          <w:tcPr>
            <w:tcW w:w="506" w:type="pct"/>
            <w:vMerge/>
          </w:tcPr>
          <w:p w:rsidR="00B64F60" w:rsidRPr="00743A41" w:rsidRDefault="00B64F60" w:rsidP="00A37ED6">
            <w:pPr>
              <w:tabs>
                <w:tab w:val="left" w:pos="720"/>
              </w:tabs>
              <w:ind w:left="360" w:hanging="360"/>
              <w:rPr>
                <w:rFonts w:asciiTheme="majorHAnsi" w:eastAsia="Arial" w:hAnsiTheme="majorHAnsi" w:cstheme="majorHAnsi"/>
                <w:color w:val="000000"/>
                <w:sz w:val="20"/>
                <w:szCs w:val="20"/>
              </w:rPr>
            </w:pPr>
          </w:p>
        </w:tc>
        <w:tc>
          <w:tcPr>
            <w:tcW w:w="2195" w:type="pct"/>
          </w:tcPr>
          <w:p w:rsidR="00B64F60" w:rsidRPr="00743A41" w:rsidRDefault="00B64F60"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DrPH Environmental Health*</w:t>
            </w:r>
          </w:p>
        </w:tc>
        <w:tc>
          <w:tcPr>
            <w:tcW w:w="1251" w:type="pct"/>
          </w:tcPr>
          <w:p w:rsidR="00B64F60" w:rsidRPr="00743A41" w:rsidRDefault="00455DDC"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12</w:t>
            </w:r>
          </w:p>
        </w:tc>
        <w:tc>
          <w:tcPr>
            <w:tcW w:w="1048" w:type="pct"/>
          </w:tcPr>
          <w:p w:rsidR="00B64F60" w:rsidRPr="00743A41" w:rsidDel="008A4385" w:rsidRDefault="00B64F60"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7</w:t>
            </w:r>
          </w:p>
        </w:tc>
      </w:tr>
      <w:tr w:rsidR="00B64F60" w:rsidRPr="00743A41" w:rsidTr="007E5C5E">
        <w:trPr>
          <w:cnfStyle w:val="000000100000" w:firstRow="0" w:lastRow="0" w:firstColumn="0" w:lastColumn="0" w:oddVBand="0" w:evenVBand="0" w:oddHBand="1" w:evenHBand="0" w:firstRowFirstColumn="0" w:firstRowLastColumn="0" w:lastRowFirstColumn="0" w:lastRowLastColumn="0"/>
          <w:trHeight w:val="300"/>
        </w:trPr>
        <w:tc>
          <w:tcPr>
            <w:tcW w:w="506" w:type="pct"/>
            <w:vMerge/>
          </w:tcPr>
          <w:p w:rsidR="00B64F60" w:rsidRPr="00743A41" w:rsidRDefault="00B64F60" w:rsidP="00A37ED6">
            <w:pPr>
              <w:widowControl w:val="0"/>
              <w:pBdr>
                <w:top w:val="nil"/>
                <w:left w:val="nil"/>
                <w:bottom w:val="nil"/>
                <w:right w:val="nil"/>
                <w:between w:val="nil"/>
              </w:pBdr>
              <w:rPr>
                <w:rFonts w:asciiTheme="majorHAnsi" w:eastAsia="Arial" w:hAnsiTheme="majorHAnsi" w:cstheme="majorHAnsi"/>
                <w:color w:val="000000"/>
                <w:sz w:val="20"/>
                <w:szCs w:val="20"/>
              </w:rPr>
            </w:pPr>
          </w:p>
        </w:tc>
        <w:tc>
          <w:tcPr>
            <w:tcW w:w="2195" w:type="pct"/>
          </w:tcPr>
          <w:p w:rsidR="00B64F60" w:rsidRPr="00743A41" w:rsidRDefault="00B64F60"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DrPH Epidemiology*</w:t>
            </w:r>
          </w:p>
        </w:tc>
        <w:tc>
          <w:tcPr>
            <w:tcW w:w="1251" w:type="pct"/>
          </w:tcPr>
          <w:p w:rsidR="00B64F60" w:rsidRPr="00743A41" w:rsidRDefault="00455DDC"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1</w:t>
            </w:r>
          </w:p>
        </w:tc>
        <w:tc>
          <w:tcPr>
            <w:tcW w:w="1048" w:type="pct"/>
          </w:tcPr>
          <w:p w:rsidR="00B64F60" w:rsidRPr="00743A41" w:rsidDel="008A4385" w:rsidRDefault="00B64F60"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1</w:t>
            </w:r>
          </w:p>
        </w:tc>
      </w:tr>
      <w:tr w:rsidR="00B64F60" w:rsidRPr="00743A41" w:rsidTr="007E5C5E">
        <w:trPr>
          <w:trHeight w:val="300"/>
        </w:trPr>
        <w:tc>
          <w:tcPr>
            <w:tcW w:w="506" w:type="pct"/>
            <w:vMerge/>
          </w:tcPr>
          <w:p w:rsidR="00B64F60" w:rsidRPr="00743A41" w:rsidRDefault="00B64F60" w:rsidP="00A37ED6">
            <w:pPr>
              <w:widowControl w:val="0"/>
              <w:pBdr>
                <w:top w:val="nil"/>
                <w:left w:val="nil"/>
                <w:bottom w:val="nil"/>
                <w:right w:val="nil"/>
                <w:between w:val="nil"/>
              </w:pBdr>
              <w:rPr>
                <w:rFonts w:asciiTheme="majorHAnsi" w:eastAsia="Arial" w:hAnsiTheme="majorHAnsi" w:cstheme="majorHAnsi"/>
                <w:color w:val="000000"/>
                <w:sz w:val="20"/>
                <w:szCs w:val="20"/>
              </w:rPr>
            </w:pPr>
          </w:p>
        </w:tc>
        <w:tc>
          <w:tcPr>
            <w:tcW w:w="2195" w:type="pct"/>
          </w:tcPr>
          <w:p w:rsidR="00B64F60" w:rsidRPr="00743A41" w:rsidRDefault="00B64F60"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DrPH Health Promotion/Health Education</w:t>
            </w:r>
          </w:p>
        </w:tc>
        <w:tc>
          <w:tcPr>
            <w:tcW w:w="1251" w:type="pct"/>
          </w:tcPr>
          <w:p w:rsidR="00B64F60" w:rsidRPr="00743A41" w:rsidRDefault="00455DDC"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48</w:t>
            </w:r>
          </w:p>
        </w:tc>
        <w:tc>
          <w:tcPr>
            <w:tcW w:w="1048" w:type="pct"/>
          </w:tcPr>
          <w:p w:rsidR="00B64F60" w:rsidRPr="00743A41" w:rsidDel="008A4385" w:rsidRDefault="00B64F60"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47</w:t>
            </w:r>
          </w:p>
        </w:tc>
      </w:tr>
      <w:tr w:rsidR="00B64F60" w:rsidRPr="00743A41" w:rsidTr="007E5C5E">
        <w:trPr>
          <w:cnfStyle w:val="000000100000" w:firstRow="0" w:lastRow="0" w:firstColumn="0" w:lastColumn="0" w:oddVBand="0" w:evenVBand="0" w:oddHBand="1" w:evenHBand="0" w:firstRowFirstColumn="0" w:firstRowLastColumn="0" w:lastRowFirstColumn="0" w:lastRowLastColumn="0"/>
          <w:trHeight w:val="300"/>
        </w:trPr>
        <w:tc>
          <w:tcPr>
            <w:tcW w:w="506" w:type="pct"/>
            <w:vMerge/>
          </w:tcPr>
          <w:p w:rsidR="00B64F60" w:rsidRPr="00743A41" w:rsidRDefault="00B64F60" w:rsidP="00A37ED6">
            <w:pPr>
              <w:widowControl w:val="0"/>
              <w:pBdr>
                <w:top w:val="nil"/>
                <w:left w:val="nil"/>
                <w:bottom w:val="nil"/>
                <w:right w:val="nil"/>
                <w:between w:val="nil"/>
              </w:pBdr>
              <w:rPr>
                <w:rFonts w:asciiTheme="majorHAnsi" w:eastAsia="Arial" w:hAnsiTheme="majorHAnsi" w:cstheme="majorHAnsi"/>
                <w:color w:val="000000"/>
                <w:sz w:val="20"/>
                <w:szCs w:val="20"/>
              </w:rPr>
            </w:pPr>
          </w:p>
        </w:tc>
        <w:tc>
          <w:tcPr>
            <w:tcW w:w="2195" w:type="pct"/>
          </w:tcPr>
          <w:p w:rsidR="00B64F60" w:rsidRPr="00743A41" w:rsidRDefault="00B64F60"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DrPH Health Services Organizations*</w:t>
            </w:r>
          </w:p>
        </w:tc>
        <w:tc>
          <w:tcPr>
            <w:tcW w:w="1251" w:type="pct"/>
          </w:tcPr>
          <w:p w:rsidR="00B64F60" w:rsidRPr="00743A41" w:rsidRDefault="00455DDC"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5</w:t>
            </w:r>
          </w:p>
        </w:tc>
        <w:tc>
          <w:tcPr>
            <w:tcW w:w="1048" w:type="pct"/>
          </w:tcPr>
          <w:p w:rsidR="00B64F60" w:rsidRPr="00743A41" w:rsidDel="008A4385" w:rsidRDefault="00B64F60"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3</w:t>
            </w:r>
          </w:p>
        </w:tc>
      </w:tr>
      <w:tr w:rsidR="00B64F60" w:rsidRPr="00743A41" w:rsidTr="007E5C5E">
        <w:trPr>
          <w:trHeight w:val="300"/>
        </w:trPr>
        <w:tc>
          <w:tcPr>
            <w:tcW w:w="506" w:type="pct"/>
            <w:vMerge/>
          </w:tcPr>
          <w:p w:rsidR="00B64F60" w:rsidRPr="00743A41" w:rsidRDefault="00B64F60" w:rsidP="00A37ED6">
            <w:pPr>
              <w:widowControl w:val="0"/>
              <w:pBdr>
                <w:top w:val="nil"/>
                <w:left w:val="nil"/>
                <w:bottom w:val="nil"/>
                <w:right w:val="nil"/>
                <w:between w:val="nil"/>
              </w:pBdr>
              <w:rPr>
                <w:rFonts w:asciiTheme="majorHAnsi" w:eastAsia="Arial" w:hAnsiTheme="majorHAnsi" w:cstheme="majorHAnsi"/>
                <w:color w:val="000000"/>
                <w:sz w:val="20"/>
                <w:szCs w:val="20"/>
              </w:rPr>
            </w:pPr>
          </w:p>
        </w:tc>
        <w:tc>
          <w:tcPr>
            <w:tcW w:w="2195" w:type="pct"/>
          </w:tcPr>
          <w:p w:rsidR="00B64F60" w:rsidRPr="00743A41" w:rsidRDefault="00B64F60"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 xml:space="preserve">PhD Behavioral Sciences and Health Promotion </w:t>
            </w:r>
          </w:p>
        </w:tc>
        <w:tc>
          <w:tcPr>
            <w:tcW w:w="1251" w:type="pct"/>
          </w:tcPr>
          <w:p w:rsidR="00B64F60" w:rsidRPr="00743A41" w:rsidRDefault="00455DDC"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46</w:t>
            </w:r>
          </w:p>
        </w:tc>
        <w:tc>
          <w:tcPr>
            <w:tcW w:w="1048" w:type="pct"/>
          </w:tcPr>
          <w:p w:rsidR="00B64F60" w:rsidRPr="00743A41" w:rsidDel="009D3205" w:rsidRDefault="0088030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53</w:t>
            </w:r>
          </w:p>
        </w:tc>
      </w:tr>
      <w:tr w:rsidR="00B64F60" w:rsidRPr="00743A41" w:rsidTr="007E5C5E">
        <w:trPr>
          <w:cnfStyle w:val="000000100000" w:firstRow="0" w:lastRow="0" w:firstColumn="0" w:lastColumn="0" w:oddVBand="0" w:evenVBand="0" w:oddHBand="1" w:evenHBand="0" w:firstRowFirstColumn="0" w:firstRowLastColumn="0" w:lastRowFirstColumn="0" w:lastRowLastColumn="0"/>
          <w:trHeight w:val="300"/>
        </w:trPr>
        <w:tc>
          <w:tcPr>
            <w:tcW w:w="506" w:type="pct"/>
            <w:vMerge/>
          </w:tcPr>
          <w:p w:rsidR="00B64F60" w:rsidRPr="00743A41" w:rsidRDefault="00B64F60" w:rsidP="00A37ED6">
            <w:pPr>
              <w:widowControl w:val="0"/>
              <w:pBdr>
                <w:top w:val="nil"/>
                <w:left w:val="nil"/>
                <w:bottom w:val="nil"/>
                <w:right w:val="nil"/>
                <w:between w:val="nil"/>
              </w:pBdr>
              <w:rPr>
                <w:rFonts w:asciiTheme="majorHAnsi" w:eastAsia="Arial" w:hAnsiTheme="majorHAnsi" w:cstheme="majorHAnsi"/>
                <w:color w:val="000000"/>
                <w:sz w:val="20"/>
                <w:szCs w:val="20"/>
              </w:rPr>
            </w:pPr>
          </w:p>
        </w:tc>
        <w:tc>
          <w:tcPr>
            <w:tcW w:w="2195" w:type="pct"/>
          </w:tcPr>
          <w:p w:rsidR="00B64F60" w:rsidRPr="00743A41" w:rsidRDefault="00B64F60"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PhD Biostatistics</w:t>
            </w:r>
          </w:p>
        </w:tc>
        <w:tc>
          <w:tcPr>
            <w:tcW w:w="1251" w:type="pct"/>
          </w:tcPr>
          <w:p w:rsidR="00B64F60" w:rsidRPr="00743A41" w:rsidRDefault="00455DDC"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72</w:t>
            </w:r>
          </w:p>
        </w:tc>
        <w:tc>
          <w:tcPr>
            <w:tcW w:w="1048" w:type="pct"/>
          </w:tcPr>
          <w:p w:rsidR="00B64F60" w:rsidRPr="00743A41" w:rsidDel="009D3205" w:rsidRDefault="0088030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84</w:t>
            </w:r>
          </w:p>
        </w:tc>
      </w:tr>
      <w:tr w:rsidR="00B64F60" w:rsidRPr="00743A41" w:rsidTr="007E5C5E">
        <w:trPr>
          <w:trHeight w:val="300"/>
        </w:trPr>
        <w:tc>
          <w:tcPr>
            <w:tcW w:w="506" w:type="pct"/>
            <w:vMerge/>
          </w:tcPr>
          <w:p w:rsidR="00B64F60" w:rsidRPr="00743A41" w:rsidRDefault="00B64F60" w:rsidP="00A37ED6">
            <w:pPr>
              <w:widowControl w:val="0"/>
              <w:pBdr>
                <w:top w:val="nil"/>
                <w:left w:val="nil"/>
                <w:bottom w:val="nil"/>
                <w:right w:val="nil"/>
                <w:between w:val="nil"/>
              </w:pBdr>
              <w:rPr>
                <w:rFonts w:asciiTheme="majorHAnsi" w:eastAsia="Arial" w:hAnsiTheme="majorHAnsi" w:cstheme="majorHAnsi"/>
                <w:color w:val="000000"/>
                <w:sz w:val="20"/>
                <w:szCs w:val="20"/>
              </w:rPr>
            </w:pPr>
          </w:p>
        </w:tc>
        <w:tc>
          <w:tcPr>
            <w:tcW w:w="2195" w:type="pct"/>
          </w:tcPr>
          <w:p w:rsidR="00B64F60" w:rsidRPr="00743A41" w:rsidRDefault="00B64F60"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PhD Environmental Science*</w:t>
            </w:r>
          </w:p>
        </w:tc>
        <w:tc>
          <w:tcPr>
            <w:tcW w:w="1251" w:type="pct"/>
          </w:tcPr>
          <w:p w:rsidR="00B64F60" w:rsidRPr="00743A41" w:rsidRDefault="00455DDC"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12</w:t>
            </w:r>
          </w:p>
        </w:tc>
        <w:tc>
          <w:tcPr>
            <w:tcW w:w="1048" w:type="pct"/>
          </w:tcPr>
          <w:p w:rsidR="00B64F60" w:rsidRPr="00743A41" w:rsidDel="009D3205" w:rsidRDefault="0088030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9</w:t>
            </w:r>
          </w:p>
        </w:tc>
      </w:tr>
      <w:tr w:rsidR="00B64F60" w:rsidRPr="00743A41" w:rsidTr="007E5C5E">
        <w:trPr>
          <w:cnfStyle w:val="000000100000" w:firstRow="0" w:lastRow="0" w:firstColumn="0" w:lastColumn="0" w:oddVBand="0" w:evenVBand="0" w:oddHBand="1" w:evenHBand="0" w:firstRowFirstColumn="0" w:firstRowLastColumn="0" w:lastRowFirstColumn="0" w:lastRowLastColumn="0"/>
          <w:trHeight w:val="300"/>
        </w:trPr>
        <w:tc>
          <w:tcPr>
            <w:tcW w:w="506" w:type="pct"/>
            <w:vMerge/>
          </w:tcPr>
          <w:p w:rsidR="00B64F60" w:rsidRPr="00743A41" w:rsidRDefault="00B64F60" w:rsidP="00A37ED6">
            <w:pPr>
              <w:widowControl w:val="0"/>
              <w:pBdr>
                <w:top w:val="nil"/>
                <w:left w:val="nil"/>
                <w:bottom w:val="nil"/>
                <w:right w:val="nil"/>
                <w:between w:val="nil"/>
              </w:pBdr>
              <w:rPr>
                <w:rFonts w:asciiTheme="majorHAnsi" w:eastAsia="Arial" w:hAnsiTheme="majorHAnsi" w:cstheme="majorHAnsi"/>
                <w:color w:val="000000"/>
                <w:sz w:val="20"/>
                <w:szCs w:val="20"/>
              </w:rPr>
            </w:pPr>
          </w:p>
        </w:tc>
        <w:tc>
          <w:tcPr>
            <w:tcW w:w="2195" w:type="pct"/>
          </w:tcPr>
          <w:p w:rsidR="00B64F60" w:rsidRPr="00743A41" w:rsidRDefault="00B64F60" w:rsidP="00A37ED6">
            <w:pPr>
              <w:tabs>
                <w:tab w:val="left" w:pos="720"/>
              </w:tabs>
              <w:ind w:left="331"/>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PhD Environmental Science, Environmental Disease Prevention Track</w:t>
            </w:r>
          </w:p>
        </w:tc>
        <w:tc>
          <w:tcPr>
            <w:tcW w:w="1251" w:type="pct"/>
          </w:tcPr>
          <w:p w:rsidR="00B64F60" w:rsidRPr="00743A41" w:rsidDel="009D3205" w:rsidRDefault="00455DDC"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1</w:t>
            </w:r>
          </w:p>
        </w:tc>
        <w:tc>
          <w:tcPr>
            <w:tcW w:w="1048" w:type="pct"/>
          </w:tcPr>
          <w:p w:rsidR="00B64F60" w:rsidRPr="00743A41" w:rsidDel="009D3205" w:rsidRDefault="0088030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4</w:t>
            </w:r>
          </w:p>
        </w:tc>
      </w:tr>
      <w:tr w:rsidR="00B64F60" w:rsidRPr="00743A41" w:rsidTr="007E5C5E">
        <w:trPr>
          <w:trHeight w:val="300"/>
        </w:trPr>
        <w:tc>
          <w:tcPr>
            <w:tcW w:w="506" w:type="pct"/>
            <w:vMerge/>
          </w:tcPr>
          <w:p w:rsidR="00B64F60" w:rsidRPr="00743A41" w:rsidRDefault="00B64F60" w:rsidP="00A37ED6">
            <w:pPr>
              <w:widowControl w:val="0"/>
              <w:pBdr>
                <w:top w:val="nil"/>
                <w:left w:val="nil"/>
                <w:bottom w:val="nil"/>
                <w:right w:val="nil"/>
                <w:between w:val="nil"/>
              </w:pBdr>
              <w:rPr>
                <w:rFonts w:asciiTheme="majorHAnsi" w:eastAsia="Arial" w:hAnsiTheme="majorHAnsi" w:cstheme="majorHAnsi"/>
                <w:color w:val="000000"/>
                <w:sz w:val="20"/>
                <w:szCs w:val="20"/>
              </w:rPr>
            </w:pPr>
          </w:p>
        </w:tc>
        <w:tc>
          <w:tcPr>
            <w:tcW w:w="2195" w:type="pct"/>
          </w:tcPr>
          <w:p w:rsidR="00B64F60" w:rsidRPr="00743A41" w:rsidRDefault="00B64F60" w:rsidP="00A37ED6">
            <w:pPr>
              <w:tabs>
                <w:tab w:val="left" w:pos="720"/>
              </w:tabs>
              <w:ind w:left="331"/>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PhD Environmental Science, Total Worker Health Track</w:t>
            </w:r>
          </w:p>
        </w:tc>
        <w:tc>
          <w:tcPr>
            <w:tcW w:w="1251" w:type="pct"/>
          </w:tcPr>
          <w:p w:rsidR="00B64F60" w:rsidRPr="00743A41" w:rsidDel="009D3205" w:rsidRDefault="00455DDC"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1</w:t>
            </w:r>
          </w:p>
        </w:tc>
        <w:tc>
          <w:tcPr>
            <w:tcW w:w="1048" w:type="pct"/>
          </w:tcPr>
          <w:p w:rsidR="00B64F60" w:rsidRPr="00743A41" w:rsidDel="009D3205" w:rsidRDefault="0088030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1</w:t>
            </w:r>
          </w:p>
        </w:tc>
      </w:tr>
      <w:tr w:rsidR="00B64F60" w:rsidRPr="00743A41" w:rsidTr="007E5C5E">
        <w:trPr>
          <w:cnfStyle w:val="000000100000" w:firstRow="0" w:lastRow="0" w:firstColumn="0" w:lastColumn="0" w:oddVBand="0" w:evenVBand="0" w:oddHBand="1" w:evenHBand="0" w:firstRowFirstColumn="0" w:firstRowLastColumn="0" w:lastRowFirstColumn="0" w:lastRowLastColumn="0"/>
          <w:trHeight w:val="300"/>
        </w:trPr>
        <w:tc>
          <w:tcPr>
            <w:tcW w:w="506" w:type="pct"/>
            <w:vMerge/>
          </w:tcPr>
          <w:p w:rsidR="00B64F60" w:rsidRPr="00743A41" w:rsidRDefault="00B64F60" w:rsidP="00A37ED6">
            <w:pPr>
              <w:widowControl w:val="0"/>
              <w:pBdr>
                <w:top w:val="nil"/>
                <w:left w:val="nil"/>
                <w:bottom w:val="nil"/>
                <w:right w:val="nil"/>
                <w:between w:val="nil"/>
              </w:pBdr>
              <w:rPr>
                <w:rFonts w:asciiTheme="majorHAnsi" w:eastAsia="Arial" w:hAnsiTheme="majorHAnsi" w:cstheme="majorHAnsi"/>
                <w:color w:val="000000"/>
                <w:sz w:val="20"/>
                <w:szCs w:val="20"/>
              </w:rPr>
            </w:pPr>
          </w:p>
        </w:tc>
        <w:tc>
          <w:tcPr>
            <w:tcW w:w="2195" w:type="pct"/>
          </w:tcPr>
          <w:p w:rsidR="00B64F60" w:rsidRPr="00743A41" w:rsidRDefault="00B64F60"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 xml:space="preserve">PhD Epidemiology </w:t>
            </w:r>
          </w:p>
        </w:tc>
        <w:tc>
          <w:tcPr>
            <w:tcW w:w="1251" w:type="pct"/>
          </w:tcPr>
          <w:p w:rsidR="00B64F60" w:rsidRPr="00743A41" w:rsidRDefault="00455DDC"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104</w:t>
            </w:r>
          </w:p>
        </w:tc>
        <w:tc>
          <w:tcPr>
            <w:tcW w:w="1048" w:type="pct"/>
          </w:tcPr>
          <w:p w:rsidR="00B64F60" w:rsidRPr="00743A41" w:rsidDel="009D3205" w:rsidRDefault="0088030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110</w:t>
            </w:r>
          </w:p>
        </w:tc>
      </w:tr>
      <w:tr w:rsidR="00B64F60" w:rsidRPr="00743A41" w:rsidTr="007E5C5E">
        <w:trPr>
          <w:trHeight w:val="300"/>
        </w:trPr>
        <w:tc>
          <w:tcPr>
            <w:tcW w:w="506" w:type="pct"/>
            <w:vMerge/>
          </w:tcPr>
          <w:p w:rsidR="00B64F60" w:rsidRPr="00743A41" w:rsidRDefault="00B64F60" w:rsidP="00A37ED6">
            <w:pPr>
              <w:widowControl w:val="0"/>
              <w:pBdr>
                <w:top w:val="nil"/>
                <w:left w:val="nil"/>
                <w:bottom w:val="nil"/>
                <w:right w:val="nil"/>
                <w:between w:val="nil"/>
              </w:pBdr>
              <w:rPr>
                <w:rFonts w:asciiTheme="majorHAnsi" w:eastAsia="Arial" w:hAnsiTheme="majorHAnsi" w:cstheme="majorHAnsi"/>
                <w:color w:val="000000"/>
                <w:sz w:val="20"/>
                <w:szCs w:val="20"/>
              </w:rPr>
            </w:pPr>
          </w:p>
        </w:tc>
        <w:tc>
          <w:tcPr>
            <w:tcW w:w="2195" w:type="pct"/>
          </w:tcPr>
          <w:p w:rsidR="00B64F60" w:rsidRPr="00743A41" w:rsidRDefault="00B64F60"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PhD Management and Policy Sciences *</w:t>
            </w:r>
          </w:p>
        </w:tc>
        <w:tc>
          <w:tcPr>
            <w:tcW w:w="1251" w:type="pct"/>
          </w:tcPr>
          <w:p w:rsidR="00B64F60" w:rsidRPr="00743A41" w:rsidRDefault="00455DDC"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87</w:t>
            </w:r>
          </w:p>
        </w:tc>
        <w:tc>
          <w:tcPr>
            <w:tcW w:w="1048" w:type="pct"/>
          </w:tcPr>
          <w:p w:rsidR="00B64F60" w:rsidRPr="00743A41" w:rsidDel="009D3205" w:rsidRDefault="0088030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68</w:t>
            </w:r>
          </w:p>
        </w:tc>
      </w:tr>
      <w:tr w:rsidR="00B64F60" w:rsidRPr="00743A41" w:rsidTr="007E5C5E">
        <w:trPr>
          <w:cnfStyle w:val="000000100000" w:firstRow="0" w:lastRow="0" w:firstColumn="0" w:lastColumn="0" w:oddVBand="0" w:evenVBand="0" w:oddHBand="1" w:evenHBand="0" w:firstRowFirstColumn="0" w:firstRowLastColumn="0" w:lastRowFirstColumn="0" w:lastRowLastColumn="0"/>
          <w:trHeight w:val="300"/>
        </w:trPr>
        <w:tc>
          <w:tcPr>
            <w:tcW w:w="506" w:type="pct"/>
            <w:vMerge/>
          </w:tcPr>
          <w:p w:rsidR="00B64F60" w:rsidRPr="00743A41" w:rsidRDefault="00B64F60" w:rsidP="00A37ED6">
            <w:pPr>
              <w:widowControl w:val="0"/>
              <w:pBdr>
                <w:top w:val="nil"/>
                <w:left w:val="nil"/>
                <w:bottom w:val="nil"/>
                <w:right w:val="nil"/>
                <w:between w:val="nil"/>
              </w:pBdr>
              <w:rPr>
                <w:rFonts w:asciiTheme="majorHAnsi" w:eastAsia="Arial" w:hAnsiTheme="majorHAnsi" w:cstheme="majorHAnsi"/>
                <w:color w:val="000000"/>
                <w:sz w:val="20"/>
                <w:szCs w:val="20"/>
              </w:rPr>
            </w:pPr>
          </w:p>
        </w:tc>
        <w:tc>
          <w:tcPr>
            <w:tcW w:w="2195" w:type="pct"/>
          </w:tcPr>
          <w:p w:rsidR="00B64F60" w:rsidRPr="00743A41" w:rsidRDefault="00B64F60" w:rsidP="00A37ED6">
            <w:pPr>
              <w:tabs>
                <w:tab w:val="left" w:pos="720"/>
              </w:tabs>
              <w:ind w:left="331"/>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PhD Health Economics/Health Services Research</w:t>
            </w:r>
          </w:p>
        </w:tc>
        <w:tc>
          <w:tcPr>
            <w:tcW w:w="1251" w:type="pct"/>
          </w:tcPr>
          <w:p w:rsidR="00B64F60" w:rsidRPr="00743A41" w:rsidDel="009D3205" w:rsidRDefault="00B64F60" w:rsidP="00A37ED6">
            <w:pPr>
              <w:tabs>
                <w:tab w:val="left" w:pos="720"/>
              </w:tabs>
              <w:rPr>
                <w:rFonts w:asciiTheme="majorHAnsi" w:eastAsia="Arial" w:hAnsiTheme="majorHAnsi" w:cstheme="majorHAnsi"/>
                <w:sz w:val="20"/>
                <w:szCs w:val="20"/>
              </w:rPr>
            </w:pPr>
            <w:r w:rsidRPr="00743A41">
              <w:rPr>
                <w:rFonts w:asciiTheme="majorHAnsi" w:eastAsia="Arial" w:hAnsiTheme="majorHAnsi" w:cstheme="majorHAnsi"/>
                <w:sz w:val="20"/>
                <w:szCs w:val="20"/>
              </w:rPr>
              <w:t>-</w:t>
            </w:r>
          </w:p>
        </w:tc>
        <w:tc>
          <w:tcPr>
            <w:tcW w:w="1048" w:type="pct"/>
          </w:tcPr>
          <w:p w:rsidR="00B64F60" w:rsidRPr="00743A41" w:rsidDel="009D3205" w:rsidRDefault="0088030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6</w:t>
            </w:r>
          </w:p>
        </w:tc>
      </w:tr>
      <w:tr w:rsidR="00B64F60" w:rsidRPr="00743A41" w:rsidTr="007E5C5E">
        <w:trPr>
          <w:trHeight w:val="300"/>
        </w:trPr>
        <w:tc>
          <w:tcPr>
            <w:tcW w:w="506" w:type="pct"/>
            <w:vMerge/>
          </w:tcPr>
          <w:p w:rsidR="00B64F60" w:rsidRPr="00743A41" w:rsidRDefault="00B64F60" w:rsidP="00A37ED6">
            <w:pPr>
              <w:widowControl w:val="0"/>
              <w:pBdr>
                <w:top w:val="nil"/>
                <w:left w:val="nil"/>
                <w:bottom w:val="nil"/>
                <w:right w:val="nil"/>
                <w:between w:val="nil"/>
              </w:pBdr>
              <w:rPr>
                <w:rFonts w:asciiTheme="majorHAnsi" w:eastAsia="Arial" w:hAnsiTheme="majorHAnsi" w:cstheme="majorHAnsi"/>
                <w:color w:val="000000"/>
                <w:sz w:val="20"/>
                <w:szCs w:val="20"/>
              </w:rPr>
            </w:pPr>
          </w:p>
        </w:tc>
        <w:tc>
          <w:tcPr>
            <w:tcW w:w="2195" w:type="pct"/>
          </w:tcPr>
          <w:p w:rsidR="00B64F60" w:rsidRPr="00743A41" w:rsidRDefault="00B64F60" w:rsidP="00A37ED6">
            <w:pPr>
              <w:tabs>
                <w:tab w:val="left" w:pos="720"/>
              </w:tabs>
              <w:ind w:left="331"/>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PhD Healthcare Management/Health Policy</w:t>
            </w:r>
          </w:p>
        </w:tc>
        <w:tc>
          <w:tcPr>
            <w:tcW w:w="1251" w:type="pct"/>
          </w:tcPr>
          <w:p w:rsidR="00B64F60" w:rsidRPr="00743A41" w:rsidDel="009D3205" w:rsidRDefault="00455DDC"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1</w:t>
            </w:r>
          </w:p>
        </w:tc>
        <w:tc>
          <w:tcPr>
            <w:tcW w:w="1048" w:type="pct"/>
          </w:tcPr>
          <w:p w:rsidR="00B64F60" w:rsidRPr="00743A41" w:rsidDel="009D3205" w:rsidRDefault="0088030F" w:rsidP="00A37ED6">
            <w:pPr>
              <w:tabs>
                <w:tab w:val="left" w:pos="720"/>
              </w:tabs>
              <w:ind w:left="360" w:hanging="360"/>
              <w:rPr>
                <w:rFonts w:asciiTheme="majorHAnsi" w:eastAsia="Arial" w:hAnsiTheme="majorHAnsi" w:cstheme="majorHAnsi"/>
                <w:sz w:val="20"/>
                <w:szCs w:val="20"/>
              </w:rPr>
            </w:pPr>
            <w:r w:rsidRPr="00743A41">
              <w:rPr>
                <w:rFonts w:asciiTheme="majorHAnsi" w:eastAsia="Arial" w:hAnsiTheme="majorHAnsi" w:cstheme="majorHAnsi"/>
                <w:sz w:val="20"/>
                <w:szCs w:val="20"/>
              </w:rPr>
              <w:t>3</w:t>
            </w:r>
          </w:p>
        </w:tc>
      </w:tr>
    </w:tbl>
    <w:p w:rsidR="00B94E7C" w:rsidRPr="00743A41" w:rsidRDefault="00B94E7C" w:rsidP="00A37ED6">
      <w:pPr>
        <w:pBdr>
          <w:top w:val="nil"/>
          <w:left w:val="nil"/>
          <w:bottom w:val="nil"/>
          <w:right w:val="nil"/>
          <w:between w:val="nil"/>
        </w:pBdr>
        <w:ind w:left="360"/>
        <w:rPr>
          <w:rFonts w:asciiTheme="majorHAnsi" w:eastAsia="Arial" w:hAnsiTheme="majorHAnsi" w:cstheme="majorHAnsi"/>
          <w:i/>
          <w:color w:val="000000"/>
          <w:sz w:val="20"/>
          <w:szCs w:val="20"/>
        </w:rPr>
      </w:pPr>
      <w:r w:rsidRPr="00743A41">
        <w:rPr>
          <w:rFonts w:asciiTheme="majorHAnsi" w:eastAsia="Arial" w:hAnsiTheme="majorHAnsi" w:cstheme="majorHAnsi"/>
          <w:i/>
          <w:color w:val="000000"/>
          <w:sz w:val="20"/>
          <w:szCs w:val="20"/>
        </w:rPr>
        <w:t>*</w:t>
      </w:r>
      <w:r w:rsidR="00304C53" w:rsidRPr="00743A41">
        <w:rPr>
          <w:rFonts w:asciiTheme="majorHAnsi" w:eastAsia="Arial" w:hAnsiTheme="majorHAnsi" w:cstheme="majorHAnsi"/>
          <w:i/>
          <w:color w:val="000000"/>
          <w:sz w:val="20"/>
          <w:szCs w:val="20"/>
        </w:rPr>
        <w:t xml:space="preserve"> Program has been discontinued and is no longer accepting new student enrollment, or is in the process of being discontinued. See </w:t>
      </w:r>
      <w:hyperlink w:anchor="Table_Intro4b" w:history="1">
        <w:r w:rsidR="00304C53" w:rsidRPr="00743A41">
          <w:rPr>
            <w:rStyle w:val="Hyperlink"/>
            <w:rFonts w:asciiTheme="majorHAnsi" w:eastAsia="Arial" w:hAnsiTheme="majorHAnsi" w:cstheme="majorHAnsi"/>
            <w:sz w:val="20"/>
            <w:szCs w:val="20"/>
          </w:rPr>
          <w:t>Table Intro.4.b</w:t>
        </w:r>
      </w:hyperlink>
      <w:r w:rsidR="00304C53" w:rsidRPr="00743A41">
        <w:rPr>
          <w:rFonts w:asciiTheme="majorHAnsi" w:eastAsia="Arial" w:hAnsiTheme="majorHAnsi" w:cstheme="majorHAnsi"/>
          <w:i/>
          <w:color w:val="000000"/>
          <w:sz w:val="20"/>
          <w:szCs w:val="20"/>
        </w:rPr>
        <w:t xml:space="preserve">. for more detailed information regarding program changes. </w:t>
      </w:r>
    </w:p>
    <w:p w:rsidR="00CC2D53" w:rsidRPr="00743A41" w:rsidRDefault="00CC2D53" w:rsidP="00A37ED6">
      <w:pPr>
        <w:tabs>
          <w:tab w:val="left" w:pos="720"/>
        </w:tabs>
        <w:ind w:left="360"/>
        <w:rPr>
          <w:rFonts w:asciiTheme="majorHAnsi" w:hAnsiTheme="majorHAnsi" w:cstheme="majorHAnsi"/>
          <w:sz w:val="20"/>
          <w:szCs w:val="20"/>
        </w:rPr>
      </w:pPr>
    </w:p>
    <w:p w:rsidR="00C513FB" w:rsidRPr="00743A41" w:rsidRDefault="008C704B" w:rsidP="00A37ED6">
      <w:pPr>
        <w:tabs>
          <w:tab w:val="left" w:pos="720"/>
        </w:tabs>
        <w:ind w:left="360"/>
        <w:rPr>
          <w:rFonts w:asciiTheme="majorHAnsi" w:eastAsia="Arial" w:hAnsiTheme="majorHAnsi" w:cstheme="majorHAnsi"/>
          <w:color w:val="000000"/>
          <w:sz w:val="20"/>
          <w:szCs w:val="20"/>
        </w:rPr>
      </w:pPr>
      <w:bookmarkStart w:id="9" w:name="Table_Intro4b"/>
      <w:r w:rsidRPr="00DE25B3">
        <w:rPr>
          <w:rFonts w:asciiTheme="majorHAnsi" w:eastAsia="Arial" w:hAnsiTheme="majorHAnsi" w:cstheme="majorHAnsi"/>
          <w:sz w:val="20"/>
          <w:szCs w:val="20"/>
        </w:rPr>
        <w:t>Table Intro.4b.</w:t>
      </w:r>
      <w:bookmarkEnd w:id="9"/>
      <w:r w:rsidRPr="00DE25B3">
        <w:rPr>
          <w:rFonts w:asciiTheme="majorHAnsi" w:eastAsia="Arial" w:hAnsiTheme="majorHAnsi" w:cstheme="majorHAnsi"/>
          <w:sz w:val="20"/>
          <w:szCs w:val="20"/>
        </w:rPr>
        <w:t xml:space="preserve"> UTHealth School of Public Health Program Changes</w:t>
      </w:r>
      <w:r w:rsidR="000244BA" w:rsidRPr="00DE25B3">
        <w:rPr>
          <w:rFonts w:asciiTheme="majorHAnsi" w:eastAsia="Arial" w:hAnsiTheme="majorHAnsi" w:cstheme="majorHAnsi"/>
          <w:sz w:val="20"/>
          <w:szCs w:val="20"/>
        </w:rPr>
        <w:t xml:space="preserve"> and Discontinuations</w:t>
      </w:r>
      <w:r w:rsidR="000244BA" w:rsidRPr="00743A41">
        <w:rPr>
          <w:rFonts w:asciiTheme="majorHAnsi" w:eastAsia="Arial" w:hAnsiTheme="majorHAnsi" w:cstheme="majorHAnsi"/>
          <w:color w:val="000000"/>
          <w:sz w:val="20"/>
          <w:szCs w:val="20"/>
        </w:rPr>
        <w:t xml:space="preserve"> </w:t>
      </w:r>
      <w:r w:rsidR="000241CF">
        <w:rPr>
          <w:rFonts w:asciiTheme="majorHAnsi" w:eastAsia="Arial" w:hAnsiTheme="majorHAnsi" w:cstheme="majorHAnsi"/>
          <w:color w:val="000000"/>
          <w:sz w:val="20"/>
          <w:szCs w:val="20"/>
        </w:rPr>
        <w:t>(</w:t>
      </w:r>
      <w:r w:rsidR="000241CF" w:rsidRPr="000241CF">
        <w:rPr>
          <w:rFonts w:asciiTheme="majorHAnsi" w:eastAsia="Arial" w:hAnsiTheme="majorHAnsi" w:cstheme="majorHAnsi"/>
          <w:i/>
          <w:color w:val="000000"/>
          <w:sz w:val="20"/>
          <w:szCs w:val="20"/>
        </w:rPr>
        <w:t>ERF, Program Changes and Discontinuations</w:t>
      </w:r>
      <w:r w:rsidR="000241CF">
        <w:rPr>
          <w:rFonts w:asciiTheme="majorHAnsi" w:eastAsia="Arial" w:hAnsiTheme="majorHAnsi" w:cstheme="majorHAnsi"/>
          <w:color w:val="000000"/>
          <w:sz w:val="20"/>
          <w:szCs w:val="20"/>
        </w:rPr>
        <w:t>)</w:t>
      </w:r>
    </w:p>
    <w:tbl>
      <w:tblPr>
        <w:tblStyle w:val="15"/>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1486"/>
        <w:gridCol w:w="2610"/>
        <w:gridCol w:w="3510"/>
      </w:tblGrid>
      <w:tr w:rsidR="000E7155" w:rsidRPr="00743A41" w:rsidTr="00F026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4" w:type="dxa"/>
            <w:tcBorders>
              <w:top w:val="none" w:sz="0" w:space="0" w:color="auto"/>
              <w:bottom w:val="none" w:sz="0" w:space="0" w:color="auto"/>
              <w:right w:val="none" w:sz="0" w:space="0" w:color="auto"/>
            </w:tcBorders>
            <w:vAlign w:val="center"/>
          </w:tcPr>
          <w:p w:rsidR="00304C53" w:rsidRPr="00743A41" w:rsidRDefault="00304C53" w:rsidP="00A37ED6">
            <w:pPr>
              <w:tabs>
                <w:tab w:val="left" w:pos="720"/>
              </w:tabs>
              <w:jc w:val="center"/>
              <w:rPr>
                <w:rFonts w:asciiTheme="majorHAnsi" w:eastAsia="Arial" w:hAnsiTheme="majorHAnsi" w:cstheme="majorHAnsi"/>
                <w:b w:val="0"/>
                <w:color w:val="000000"/>
                <w:sz w:val="20"/>
                <w:szCs w:val="20"/>
              </w:rPr>
            </w:pPr>
            <w:r w:rsidRPr="00743A41">
              <w:rPr>
                <w:rFonts w:asciiTheme="majorHAnsi" w:eastAsia="Arial" w:hAnsiTheme="majorHAnsi" w:cstheme="majorHAnsi"/>
                <w:color w:val="000000"/>
                <w:sz w:val="20"/>
                <w:szCs w:val="20"/>
              </w:rPr>
              <w:t>Degree Program and Concentration</w:t>
            </w:r>
          </w:p>
        </w:tc>
        <w:tc>
          <w:tcPr>
            <w:tcW w:w="1486" w:type="dxa"/>
            <w:tcBorders>
              <w:top w:val="none" w:sz="0" w:space="0" w:color="auto"/>
              <w:left w:val="none" w:sz="0" w:space="0" w:color="auto"/>
              <w:bottom w:val="none" w:sz="0" w:space="0" w:color="auto"/>
              <w:right w:val="none" w:sz="0" w:space="0" w:color="auto"/>
            </w:tcBorders>
            <w:vAlign w:val="center"/>
          </w:tcPr>
          <w:p w:rsidR="00304C53" w:rsidRPr="00743A41" w:rsidRDefault="00304C53" w:rsidP="00A37ED6">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 w:val="0"/>
                <w:color w:val="000000"/>
                <w:sz w:val="20"/>
                <w:szCs w:val="20"/>
              </w:rPr>
            </w:pPr>
            <w:r w:rsidRPr="00743A41">
              <w:rPr>
                <w:rFonts w:asciiTheme="majorHAnsi" w:eastAsia="Arial" w:hAnsiTheme="majorHAnsi" w:cstheme="majorHAnsi"/>
                <w:color w:val="000000"/>
                <w:sz w:val="20"/>
                <w:szCs w:val="20"/>
              </w:rPr>
              <w:t>Date of Discontinuation</w:t>
            </w:r>
          </w:p>
        </w:tc>
        <w:tc>
          <w:tcPr>
            <w:tcW w:w="2610" w:type="dxa"/>
            <w:tcBorders>
              <w:top w:val="none" w:sz="0" w:space="0" w:color="auto"/>
              <w:left w:val="none" w:sz="0" w:space="0" w:color="auto"/>
              <w:bottom w:val="none" w:sz="0" w:space="0" w:color="auto"/>
              <w:right w:val="none" w:sz="0" w:space="0" w:color="auto"/>
            </w:tcBorders>
            <w:vAlign w:val="center"/>
          </w:tcPr>
          <w:p w:rsidR="00304C53" w:rsidRPr="00743A41" w:rsidRDefault="00304C53" w:rsidP="00A37ED6">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 w:val="0"/>
                <w:color w:val="000000"/>
                <w:sz w:val="20"/>
                <w:szCs w:val="20"/>
              </w:rPr>
            </w:pPr>
            <w:r w:rsidRPr="00743A41">
              <w:rPr>
                <w:rFonts w:asciiTheme="majorHAnsi" w:eastAsia="Arial" w:hAnsiTheme="majorHAnsi" w:cstheme="majorHAnsi"/>
                <w:color w:val="000000"/>
                <w:sz w:val="20"/>
                <w:szCs w:val="20"/>
              </w:rPr>
              <w:t>Notes</w:t>
            </w:r>
          </w:p>
        </w:tc>
        <w:tc>
          <w:tcPr>
            <w:tcW w:w="3510" w:type="dxa"/>
            <w:tcBorders>
              <w:top w:val="none" w:sz="0" w:space="0" w:color="auto"/>
              <w:left w:val="none" w:sz="0" w:space="0" w:color="auto"/>
              <w:bottom w:val="none" w:sz="0" w:space="0" w:color="auto"/>
            </w:tcBorders>
            <w:vAlign w:val="center"/>
          </w:tcPr>
          <w:p w:rsidR="00304C53" w:rsidRPr="00743A41" w:rsidRDefault="00304C53" w:rsidP="00A37ED6">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 w:val="0"/>
                <w:color w:val="000000"/>
                <w:sz w:val="20"/>
                <w:szCs w:val="20"/>
              </w:rPr>
            </w:pPr>
            <w:r w:rsidRPr="00743A41">
              <w:rPr>
                <w:rFonts w:asciiTheme="majorHAnsi" w:eastAsia="Arial" w:hAnsiTheme="majorHAnsi" w:cstheme="majorHAnsi"/>
                <w:color w:val="000000"/>
                <w:sz w:val="20"/>
                <w:szCs w:val="20"/>
              </w:rPr>
              <w:t>Documentation of Approval from CEPH</w:t>
            </w:r>
          </w:p>
        </w:tc>
      </w:tr>
      <w:tr w:rsidR="00304C53" w:rsidRPr="00743A41" w:rsidTr="00F02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rsidR="00304C53" w:rsidRPr="00743A41" w:rsidRDefault="00304C53" w:rsidP="00A37ED6">
            <w:pPr>
              <w:tabs>
                <w:tab w:val="left" w:pos="720"/>
              </w:tabs>
              <w:rPr>
                <w:rFonts w:asciiTheme="majorHAnsi" w:eastAsia="Arial" w:hAnsiTheme="majorHAnsi" w:cstheme="majorHAnsi"/>
                <w:b w:val="0"/>
                <w:i/>
                <w:color w:val="000000"/>
                <w:sz w:val="20"/>
                <w:szCs w:val="20"/>
              </w:rPr>
            </w:pPr>
            <w:r w:rsidRPr="00743A41">
              <w:rPr>
                <w:rFonts w:asciiTheme="majorHAnsi" w:eastAsia="Arial" w:hAnsiTheme="majorHAnsi" w:cstheme="majorHAnsi"/>
                <w:b w:val="0"/>
                <w:i/>
                <w:color w:val="000000"/>
                <w:sz w:val="20"/>
                <w:szCs w:val="20"/>
              </w:rPr>
              <w:t>DrPH in Environmental Health</w:t>
            </w:r>
          </w:p>
        </w:tc>
        <w:tc>
          <w:tcPr>
            <w:tcW w:w="1486" w:type="dxa"/>
          </w:tcPr>
          <w:p w:rsidR="00304C53" w:rsidRPr="00743A41" w:rsidRDefault="00304C53" w:rsidP="00A37ED6">
            <w:pPr>
              <w:tabs>
                <w:tab w:val="left" w:pos="720"/>
              </w:tabs>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i/>
                <w:color w:val="000000"/>
                <w:sz w:val="20"/>
                <w:szCs w:val="20"/>
              </w:rPr>
            </w:pPr>
            <w:r w:rsidRPr="00743A41">
              <w:rPr>
                <w:rFonts w:asciiTheme="majorHAnsi" w:eastAsia="Arial" w:hAnsiTheme="majorHAnsi" w:cstheme="majorHAnsi"/>
                <w:i/>
                <w:color w:val="000000"/>
                <w:sz w:val="20"/>
                <w:szCs w:val="20"/>
              </w:rPr>
              <w:t>Fall 2017</w:t>
            </w:r>
          </w:p>
        </w:tc>
        <w:tc>
          <w:tcPr>
            <w:tcW w:w="2610" w:type="dxa"/>
          </w:tcPr>
          <w:p w:rsidR="00304C53" w:rsidRPr="00743A41" w:rsidRDefault="00304C53" w:rsidP="00A37ED6">
            <w:pPr>
              <w:tabs>
                <w:tab w:val="left" w:pos="720"/>
              </w:tabs>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i/>
                <w:color w:val="000000"/>
                <w:sz w:val="20"/>
                <w:szCs w:val="20"/>
              </w:rPr>
            </w:pPr>
            <w:r w:rsidRPr="00743A41">
              <w:rPr>
                <w:rFonts w:asciiTheme="majorHAnsi" w:eastAsia="Arial" w:hAnsiTheme="majorHAnsi" w:cstheme="majorHAnsi"/>
                <w:i/>
                <w:color w:val="000000"/>
                <w:sz w:val="20"/>
                <w:szCs w:val="20"/>
              </w:rPr>
              <w:t xml:space="preserve">This program has been discontinued and is no longer enrolling new students, but it does have students still enrolled. </w:t>
            </w:r>
          </w:p>
        </w:tc>
        <w:tc>
          <w:tcPr>
            <w:tcW w:w="3510" w:type="dxa"/>
          </w:tcPr>
          <w:p w:rsidR="00304C53" w:rsidRPr="00F57C55" w:rsidRDefault="00304C53" w:rsidP="00A37ED6">
            <w:pPr>
              <w:tabs>
                <w:tab w:val="left" w:pos="720"/>
              </w:tabs>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i/>
                <w:color w:val="000000"/>
                <w:sz w:val="20"/>
                <w:szCs w:val="20"/>
              </w:rPr>
            </w:pPr>
            <w:r w:rsidRPr="00F57C55">
              <w:rPr>
                <w:rFonts w:asciiTheme="majorHAnsi" w:eastAsia="Arial" w:hAnsiTheme="majorHAnsi" w:cstheme="majorHAnsi"/>
                <w:i/>
                <w:color w:val="000000"/>
                <w:sz w:val="20"/>
                <w:szCs w:val="20"/>
              </w:rPr>
              <w:t xml:space="preserve">Approved by CEPH, December 2017 </w:t>
            </w:r>
            <w:r w:rsidR="00F57C55" w:rsidRPr="00F57C55">
              <w:rPr>
                <w:rFonts w:asciiTheme="majorHAnsi" w:eastAsia="Arial" w:hAnsiTheme="majorHAnsi" w:cstheme="majorHAnsi"/>
                <w:i/>
                <w:color w:val="000000"/>
                <w:sz w:val="20"/>
                <w:szCs w:val="20"/>
              </w:rPr>
              <w:t>(ERF, Introduction, Program Changes and Discontinuations)</w:t>
            </w:r>
          </w:p>
        </w:tc>
      </w:tr>
      <w:tr w:rsidR="00304C53" w:rsidRPr="00743A41" w:rsidTr="00F026B3">
        <w:tc>
          <w:tcPr>
            <w:cnfStyle w:val="001000000000" w:firstRow="0" w:lastRow="0" w:firstColumn="1" w:lastColumn="0" w:oddVBand="0" w:evenVBand="0" w:oddHBand="0" w:evenHBand="0" w:firstRowFirstColumn="0" w:firstRowLastColumn="0" w:lastRowFirstColumn="0" w:lastRowLastColumn="0"/>
            <w:tcW w:w="1394" w:type="dxa"/>
          </w:tcPr>
          <w:p w:rsidR="00304C53" w:rsidRPr="00743A41" w:rsidRDefault="00304C53" w:rsidP="00A37ED6">
            <w:pPr>
              <w:tabs>
                <w:tab w:val="left" w:pos="720"/>
              </w:tabs>
              <w:rPr>
                <w:rFonts w:asciiTheme="majorHAnsi" w:eastAsia="Arial" w:hAnsiTheme="majorHAnsi" w:cstheme="majorHAnsi"/>
                <w:b w:val="0"/>
                <w:i/>
                <w:color w:val="000000"/>
                <w:sz w:val="20"/>
                <w:szCs w:val="20"/>
              </w:rPr>
            </w:pPr>
            <w:r w:rsidRPr="00743A41">
              <w:rPr>
                <w:rFonts w:asciiTheme="majorHAnsi" w:eastAsia="Arial" w:hAnsiTheme="majorHAnsi" w:cstheme="majorHAnsi"/>
                <w:b w:val="0"/>
                <w:i/>
                <w:color w:val="000000"/>
                <w:sz w:val="20"/>
                <w:szCs w:val="20"/>
              </w:rPr>
              <w:t>DrPH in Epidemiology</w:t>
            </w:r>
          </w:p>
        </w:tc>
        <w:tc>
          <w:tcPr>
            <w:tcW w:w="1486" w:type="dxa"/>
          </w:tcPr>
          <w:p w:rsidR="00304C53" w:rsidRPr="00743A41" w:rsidRDefault="00304C53" w:rsidP="00A37ED6">
            <w:pPr>
              <w:tabs>
                <w:tab w:val="left" w:pos="720"/>
              </w:tabs>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i/>
                <w:color w:val="000000"/>
                <w:sz w:val="20"/>
                <w:szCs w:val="20"/>
              </w:rPr>
            </w:pPr>
            <w:r w:rsidRPr="00743A41">
              <w:rPr>
                <w:rFonts w:asciiTheme="majorHAnsi" w:eastAsia="Arial" w:hAnsiTheme="majorHAnsi" w:cstheme="majorHAnsi"/>
                <w:i/>
                <w:color w:val="000000"/>
                <w:sz w:val="20"/>
                <w:szCs w:val="20"/>
              </w:rPr>
              <w:t>Fall 2017</w:t>
            </w:r>
          </w:p>
        </w:tc>
        <w:tc>
          <w:tcPr>
            <w:tcW w:w="2610" w:type="dxa"/>
          </w:tcPr>
          <w:p w:rsidR="00304C53" w:rsidRPr="00743A41" w:rsidRDefault="00304C53" w:rsidP="00A37ED6">
            <w:pPr>
              <w:tabs>
                <w:tab w:val="left" w:pos="720"/>
              </w:tabs>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i/>
                <w:color w:val="000000"/>
                <w:sz w:val="20"/>
                <w:szCs w:val="20"/>
              </w:rPr>
            </w:pPr>
            <w:r w:rsidRPr="00743A41">
              <w:rPr>
                <w:rFonts w:asciiTheme="majorHAnsi" w:eastAsia="Arial" w:hAnsiTheme="majorHAnsi" w:cstheme="majorHAnsi"/>
                <w:i/>
                <w:color w:val="000000"/>
                <w:sz w:val="20"/>
                <w:szCs w:val="20"/>
              </w:rPr>
              <w:t xml:space="preserve">This program has been discontinued and is no longer enrolling new students, but it does have students still enrolled. </w:t>
            </w:r>
          </w:p>
        </w:tc>
        <w:tc>
          <w:tcPr>
            <w:tcW w:w="3510" w:type="dxa"/>
          </w:tcPr>
          <w:p w:rsidR="004D4B23" w:rsidRPr="00F57C55" w:rsidRDefault="00304C53" w:rsidP="00A37ED6">
            <w:pPr>
              <w:tabs>
                <w:tab w:val="left" w:pos="720"/>
              </w:tabs>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i/>
                <w:color w:val="000000"/>
                <w:sz w:val="20"/>
                <w:szCs w:val="20"/>
              </w:rPr>
            </w:pPr>
            <w:r w:rsidRPr="00F57C55">
              <w:rPr>
                <w:rFonts w:asciiTheme="majorHAnsi" w:eastAsia="Arial" w:hAnsiTheme="majorHAnsi" w:cstheme="majorHAnsi"/>
                <w:i/>
                <w:color w:val="000000"/>
                <w:sz w:val="20"/>
                <w:szCs w:val="20"/>
              </w:rPr>
              <w:t xml:space="preserve">Approved by CEPH, December 2017 </w:t>
            </w:r>
            <w:r w:rsidR="00F57C55" w:rsidRPr="00F57C55">
              <w:rPr>
                <w:rFonts w:asciiTheme="majorHAnsi" w:eastAsia="Arial" w:hAnsiTheme="majorHAnsi" w:cstheme="majorHAnsi"/>
                <w:i/>
                <w:color w:val="000000"/>
                <w:sz w:val="20"/>
                <w:szCs w:val="20"/>
              </w:rPr>
              <w:t>(ERF, Introduction, Program Changes and Discontinuations)</w:t>
            </w:r>
          </w:p>
        </w:tc>
      </w:tr>
      <w:tr w:rsidR="00304C53" w:rsidRPr="00743A41" w:rsidTr="00F02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rsidR="00304C53" w:rsidRPr="00743A41" w:rsidRDefault="00304C53" w:rsidP="00A37ED6">
            <w:pPr>
              <w:tabs>
                <w:tab w:val="left" w:pos="720"/>
              </w:tabs>
              <w:rPr>
                <w:rFonts w:asciiTheme="majorHAnsi" w:eastAsia="Arial" w:hAnsiTheme="majorHAnsi" w:cstheme="majorHAnsi"/>
                <w:b w:val="0"/>
                <w:i/>
                <w:color w:val="000000"/>
                <w:sz w:val="20"/>
                <w:szCs w:val="20"/>
              </w:rPr>
            </w:pPr>
            <w:r w:rsidRPr="00743A41">
              <w:rPr>
                <w:rFonts w:asciiTheme="majorHAnsi" w:eastAsia="Arial" w:hAnsiTheme="majorHAnsi" w:cstheme="majorHAnsi"/>
                <w:b w:val="0"/>
                <w:i/>
                <w:color w:val="000000"/>
                <w:sz w:val="20"/>
                <w:szCs w:val="20"/>
              </w:rPr>
              <w:t>DrPH in Health Services Organizations</w:t>
            </w:r>
          </w:p>
        </w:tc>
        <w:tc>
          <w:tcPr>
            <w:tcW w:w="1486" w:type="dxa"/>
          </w:tcPr>
          <w:p w:rsidR="00304C53" w:rsidRPr="00743A41" w:rsidRDefault="00304C53" w:rsidP="00A37ED6">
            <w:pPr>
              <w:tabs>
                <w:tab w:val="left" w:pos="720"/>
              </w:tabs>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i/>
                <w:color w:val="000000"/>
                <w:sz w:val="20"/>
                <w:szCs w:val="20"/>
              </w:rPr>
            </w:pPr>
            <w:r w:rsidRPr="00743A41">
              <w:rPr>
                <w:rFonts w:asciiTheme="majorHAnsi" w:eastAsia="Arial" w:hAnsiTheme="majorHAnsi" w:cstheme="majorHAnsi"/>
                <w:i/>
                <w:color w:val="000000"/>
                <w:sz w:val="20"/>
                <w:szCs w:val="20"/>
              </w:rPr>
              <w:t>Fall 2013</w:t>
            </w:r>
          </w:p>
        </w:tc>
        <w:tc>
          <w:tcPr>
            <w:tcW w:w="2610" w:type="dxa"/>
          </w:tcPr>
          <w:p w:rsidR="00304C53" w:rsidRPr="00743A41" w:rsidRDefault="00304C53" w:rsidP="00A37ED6">
            <w:pPr>
              <w:tabs>
                <w:tab w:val="left" w:pos="720"/>
              </w:tabs>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i/>
                <w:color w:val="000000"/>
                <w:sz w:val="20"/>
                <w:szCs w:val="20"/>
              </w:rPr>
            </w:pPr>
            <w:r w:rsidRPr="00743A41">
              <w:rPr>
                <w:rFonts w:asciiTheme="majorHAnsi" w:eastAsia="Arial" w:hAnsiTheme="majorHAnsi" w:cstheme="majorHAnsi"/>
                <w:i/>
                <w:color w:val="000000"/>
                <w:sz w:val="20"/>
                <w:szCs w:val="20"/>
              </w:rPr>
              <w:t xml:space="preserve">This program has been suspended and is no longer enrolling new students, but it does have students still enrolled. </w:t>
            </w:r>
          </w:p>
        </w:tc>
        <w:tc>
          <w:tcPr>
            <w:tcW w:w="3510" w:type="dxa"/>
          </w:tcPr>
          <w:p w:rsidR="00304C53" w:rsidRPr="00743A41" w:rsidRDefault="00304C53" w:rsidP="00A37ED6">
            <w:pPr>
              <w:tabs>
                <w:tab w:val="left" w:pos="720"/>
              </w:tabs>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i/>
                <w:color w:val="000000"/>
                <w:sz w:val="20"/>
                <w:szCs w:val="20"/>
              </w:rPr>
            </w:pPr>
            <w:r w:rsidRPr="00743A41">
              <w:rPr>
                <w:rFonts w:asciiTheme="majorHAnsi" w:eastAsia="Arial" w:hAnsiTheme="majorHAnsi" w:cstheme="majorHAnsi"/>
                <w:i/>
                <w:color w:val="000000"/>
                <w:sz w:val="20"/>
                <w:szCs w:val="20"/>
              </w:rPr>
              <w:t xml:space="preserve">During the self-study process, the school determined that the previous administration did not submit a substantive change form to suspend this program. A substantive change form will be submitted to rectify this oversight. </w:t>
            </w:r>
          </w:p>
        </w:tc>
      </w:tr>
      <w:tr w:rsidR="00304C53" w:rsidRPr="00743A41" w:rsidTr="00F026B3">
        <w:tc>
          <w:tcPr>
            <w:cnfStyle w:val="001000000000" w:firstRow="0" w:lastRow="0" w:firstColumn="1" w:lastColumn="0" w:oddVBand="0" w:evenVBand="0" w:oddHBand="0" w:evenHBand="0" w:firstRowFirstColumn="0" w:firstRowLastColumn="0" w:lastRowFirstColumn="0" w:lastRowLastColumn="0"/>
            <w:tcW w:w="1394" w:type="dxa"/>
          </w:tcPr>
          <w:p w:rsidR="00304C53" w:rsidRPr="00743A41" w:rsidRDefault="00304C53" w:rsidP="00A37ED6">
            <w:pPr>
              <w:tabs>
                <w:tab w:val="left" w:pos="720"/>
              </w:tabs>
              <w:rPr>
                <w:rFonts w:asciiTheme="majorHAnsi" w:eastAsia="Arial" w:hAnsiTheme="majorHAnsi" w:cstheme="majorHAnsi"/>
                <w:b w:val="0"/>
                <w:i/>
                <w:color w:val="000000"/>
                <w:sz w:val="20"/>
                <w:szCs w:val="20"/>
              </w:rPr>
            </w:pPr>
            <w:r w:rsidRPr="00743A41">
              <w:rPr>
                <w:rFonts w:asciiTheme="majorHAnsi" w:eastAsia="Arial" w:hAnsiTheme="majorHAnsi" w:cstheme="majorHAnsi"/>
                <w:b w:val="0"/>
                <w:i/>
                <w:color w:val="000000"/>
                <w:sz w:val="20"/>
                <w:szCs w:val="20"/>
              </w:rPr>
              <w:t>MPH in Biostatistics</w:t>
            </w:r>
          </w:p>
        </w:tc>
        <w:tc>
          <w:tcPr>
            <w:tcW w:w="1486" w:type="dxa"/>
          </w:tcPr>
          <w:p w:rsidR="00304C53" w:rsidRPr="00743A41" w:rsidRDefault="00304C53" w:rsidP="00A37ED6">
            <w:pPr>
              <w:tabs>
                <w:tab w:val="left" w:pos="720"/>
              </w:tabs>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i/>
                <w:color w:val="000000"/>
                <w:sz w:val="20"/>
                <w:szCs w:val="20"/>
              </w:rPr>
            </w:pPr>
            <w:r w:rsidRPr="00743A41">
              <w:rPr>
                <w:rFonts w:asciiTheme="majorHAnsi" w:eastAsia="Arial" w:hAnsiTheme="majorHAnsi" w:cstheme="majorHAnsi"/>
                <w:i/>
                <w:color w:val="000000"/>
                <w:sz w:val="20"/>
                <w:szCs w:val="20"/>
              </w:rPr>
              <w:t>Fall 2019</w:t>
            </w:r>
          </w:p>
        </w:tc>
        <w:tc>
          <w:tcPr>
            <w:tcW w:w="2610" w:type="dxa"/>
          </w:tcPr>
          <w:p w:rsidR="00304C53" w:rsidRPr="00743A41" w:rsidRDefault="00304C53" w:rsidP="00A37ED6">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i/>
                <w:color w:val="000000"/>
                <w:sz w:val="20"/>
                <w:szCs w:val="20"/>
              </w:rPr>
            </w:pPr>
            <w:r w:rsidRPr="00743A41">
              <w:rPr>
                <w:rFonts w:asciiTheme="majorHAnsi" w:eastAsia="Arial" w:hAnsiTheme="majorHAnsi" w:cstheme="majorHAnsi"/>
                <w:i/>
                <w:color w:val="000000"/>
                <w:sz w:val="20"/>
                <w:szCs w:val="20"/>
              </w:rPr>
              <w:t xml:space="preserve">This program is scheduled to be discontinued; the last cohort of students entering this program matriculated in Fall 2019. </w:t>
            </w:r>
          </w:p>
        </w:tc>
        <w:tc>
          <w:tcPr>
            <w:tcW w:w="3510" w:type="dxa"/>
          </w:tcPr>
          <w:p w:rsidR="004D4B23" w:rsidRPr="00F57C55" w:rsidRDefault="00304C53" w:rsidP="004D4B23">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i/>
                <w:color w:val="000000"/>
                <w:sz w:val="20"/>
                <w:szCs w:val="20"/>
              </w:rPr>
            </w:pPr>
            <w:r w:rsidRPr="00F57C55">
              <w:rPr>
                <w:rFonts w:asciiTheme="majorHAnsi" w:eastAsia="Arial" w:hAnsiTheme="majorHAnsi" w:cstheme="majorHAnsi"/>
                <w:i/>
                <w:color w:val="000000"/>
                <w:sz w:val="20"/>
                <w:szCs w:val="20"/>
              </w:rPr>
              <w:t>Substantive change form to discontinue the MPH in Biostatistics was submitted to CEPH for review at September 6, 2019 Council meeting</w:t>
            </w:r>
            <w:r w:rsidR="000E7155" w:rsidRPr="00F57C55">
              <w:rPr>
                <w:rFonts w:asciiTheme="majorHAnsi" w:eastAsia="Arial" w:hAnsiTheme="majorHAnsi" w:cstheme="majorHAnsi"/>
                <w:i/>
                <w:color w:val="000000"/>
                <w:sz w:val="20"/>
                <w:szCs w:val="20"/>
              </w:rPr>
              <w:t xml:space="preserve">. </w:t>
            </w:r>
            <w:r w:rsidR="004D4B23" w:rsidRPr="00F57C55">
              <w:rPr>
                <w:rFonts w:asciiTheme="majorHAnsi" w:eastAsia="Arial" w:hAnsiTheme="majorHAnsi" w:cstheme="majorHAnsi"/>
                <w:i/>
                <w:color w:val="000000"/>
                <w:sz w:val="20"/>
                <w:szCs w:val="20"/>
              </w:rPr>
              <w:t xml:space="preserve">(ERF, </w:t>
            </w:r>
            <w:r w:rsidR="00F57C55" w:rsidRPr="00F57C55">
              <w:rPr>
                <w:rFonts w:asciiTheme="majorHAnsi" w:eastAsia="Arial" w:hAnsiTheme="majorHAnsi" w:cstheme="majorHAnsi"/>
                <w:i/>
                <w:color w:val="000000"/>
                <w:sz w:val="20"/>
                <w:szCs w:val="20"/>
              </w:rPr>
              <w:t xml:space="preserve">Introduction, </w:t>
            </w:r>
            <w:r w:rsidR="004D4B23" w:rsidRPr="00F57C55">
              <w:rPr>
                <w:rFonts w:asciiTheme="majorHAnsi" w:eastAsia="Arial" w:hAnsiTheme="majorHAnsi" w:cstheme="majorHAnsi"/>
                <w:i/>
                <w:color w:val="000000"/>
                <w:sz w:val="20"/>
                <w:szCs w:val="20"/>
              </w:rPr>
              <w:t>Program Changes and Discontinuations)</w:t>
            </w:r>
          </w:p>
        </w:tc>
      </w:tr>
      <w:tr w:rsidR="00304C53" w:rsidRPr="00743A41" w:rsidTr="00F02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rsidR="00304C53" w:rsidRPr="00743A41" w:rsidRDefault="00304C53" w:rsidP="00A37ED6">
            <w:pPr>
              <w:tabs>
                <w:tab w:val="left" w:pos="720"/>
              </w:tabs>
              <w:rPr>
                <w:rFonts w:asciiTheme="majorHAnsi" w:eastAsia="Arial" w:hAnsiTheme="majorHAnsi" w:cstheme="majorHAnsi"/>
                <w:b w:val="0"/>
                <w:i/>
                <w:color w:val="000000"/>
                <w:sz w:val="20"/>
                <w:szCs w:val="20"/>
              </w:rPr>
            </w:pPr>
            <w:r w:rsidRPr="00743A41">
              <w:rPr>
                <w:rFonts w:asciiTheme="majorHAnsi" w:eastAsia="Arial" w:hAnsiTheme="majorHAnsi" w:cstheme="majorHAnsi"/>
                <w:b w:val="0"/>
                <w:i/>
                <w:color w:val="000000"/>
                <w:sz w:val="20"/>
                <w:szCs w:val="20"/>
              </w:rPr>
              <w:lastRenderedPageBreak/>
              <w:t>MS in Epidemiology</w:t>
            </w:r>
          </w:p>
        </w:tc>
        <w:tc>
          <w:tcPr>
            <w:tcW w:w="1486" w:type="dxa"/>
          </w:tcPr>
          <w:p w:rsidR="00304C53" w:rsidRPr="00743A41" w:rsidRDefault="00304C53" w:rsidP="00A37ED6">
            <w:pPr>
              <w:tabs>
                <w:tab w:val="left" w:pos="720"/>
              </w:tabs>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i/>
                <w:color w:val="000000"/>
                <w:sz w:val="20"/>
                <w:szCs w:val="20"/>
              </w:rPr>
            </w:pPr>
            <w:r w:rsidRPr="00743A41">
              <w:rPr>
                <w:rFonts w:asciiTheme="majorHAnsi" w:eastAsia="Arial" w:hAnsiTheme="majorHAnsi" w:cstheme="majorHAnsi"/>
                <w:i/>
                <w:color w:val="000000"/>
                <w:sz w:val="20"/>
                <w:szCs w:val="20"/>
              </w:rPr>
              <w:t>Fall 2019</w:t>
            </w:r>
          </w:p>
        </w:tc>
        <w:tc>
          <w:tcPr>
            <w:tcW w:w="2610" w:type="dxa"/>
          </w:tcPr>
          <w:p w:rsidR="00304C53" w:rsidRPr="00743A41" w:rsidRDefault="00304C53" w:rsidP="00A37ED6">
            <w:pPr>
              <w:tabs>
                <w:tab w:val="left" w:pos="720"/>
              </w:tabs>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i/>
                <w:color w:val="000000"/>
                <w:sz w:val="20"/>
                <w:szCs w:val="20"/>
              </w:rPr>
            </w:pPr>
            <w:r w:rsidRPr="00743A41">
              <w:rPr>
                <w:rFonts w:asciiTheme="majorHAnsi" w:eastAsia="Arial" w:hAnsiTheme="majorHAnsi" w:cstheme="majorHAnsi"/>
                <w:i/>
                <w:color w:val="000000"/>
                <w:sz w:val="20"/>
                <w:szCs w:val="20"/>
              </w:rPr>
              <w:t xml:space="preserve">This program is scheduled to be discontinued; the last cohort of students entering this program matriculated in Fall 2019. </w:t>
            </w:r>
          </w:p>
        </w:tc>
        <w:tc>
          <w:tcPr>
            <w:tcW w:w="3510" w:type="dxa"/>
          </w:tcPr>
          <w:p w:rsidR="00304C53" w:rsidRPr="00F57C55" w:rsidRDefault="00304C53" w:rsidP="00F57C55">
            <w:pPr>
              <w:tabs>
                <w:tab w:val="left" w:pos="720"/>
              </w:tabs>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i/>
                <w:color w:val="000000"/>
                <w:sz w:val="20"/>
                <w:szCs w:val="20"/>
              </w:rPr>
            </w:pPr>
            <w:r w:rsidRPr="00F57C55">
              <w:rPr>
                <w:rFonts w:asciiTheme="majorHAnsi" w:eastAsia="Arial" w:hAnsiTheme="majorHAnsi" w:cstheme="majorHAnsi"/>
                <w:i/>
                <w:color w:val="000000"/>
                <w:sz w:val="20"/>
                <w:szCs w:val="20"/>
              </w:rPr>
              <w:t>Substantive change form to discontinue the MS in Epidemiology was submitted to CEPH for review at Sep</w:t>
            </w:r>
            <w:r w:rsidR="00F57C55" w:rsidRPr="00F57C55">
              <w:rPr>
                <w:rFonts w:asciiTheme="majorHAnsi" w:eastAsia="Arial" w:hAnsiTheme="majorHAnsi" w:cstheme="majorHAnsi"/>
                <w:i/>
                <w:color w:val="000000"/>
                <w:sz w:val="20"/>
                <w:szCs w:val="20"/>
              </w:rPr>
              <w:t>tember 6, 2019 Council meeting. (ERF, Introduction, Program Changes and Discontinuations)</w:t>
            </w:r>
            <w:r w:rsidRPr="00F57C55">
              <w:rPr>
                <w:rFonts w:asciiTheme="majorHAnsi" w:eastAsia="Arial" w:hAnsiTheme="majorHAnsi" w:cstheme="majorHAnsi"/>
                <w:i/>
                <w:color w:val="000000"/>
                <w:sz w:val="20"/>
                <w:szCs w:val="20"/>
              </w:rPr>
              <w:t>)</w:t>
            </w:r>
          </w:p>
        </w:tc>
      </w:tr>
      <w:tr w:rsidR="00304C53" w:rsidRPr="00743A41" w:rsidTr="00F026B3">
        <w:tc>
          <w:tcPr>
            <w:cnfStyle w:val="001000000000" w:firstRow="0" w:lastRow="0" w:firstColumn="1" w:lastColumn="0" w:oddVBand="0" w:evenVBand="0" w:oddHBand="0" w:evenHBand="0" w:firstRowFirstColumn="0" w:firstRowLastColumn="0" w:lastRowFirstColumn="0" w:lastRowLastColumn="0"/>
            <w:tcW w:w="1394" w:type="dxa"/>
          </w:tcPr>
          <w:p w:rsidR="00304C53" w:rsidRPr="00743A41" w:rsidRDefault="00304C53" w:rsidP="00A37ED6">
            <w:pPr>
              <w:tabs>
                <w:tab w:val="left" w:pos="720"/>
              </w:tabs>
              <w:rPr>
                <w:rFonts w:asciiTheme="majorHAnsi" w:eastAsia="Arial" w:hAnsiTheme="majorHAnsi" w:cstheme="majorHAnsi"/>
                <w:b w:val="0"/>
                <w:i/>
                <w:color w:val="000000"/>
                <w:sz w:val="20"/>
                <w:szCs w:val="20"/>
              </w:rPr>
            </w:pPr>
            <w:r w:rsidRPr="00743A41">
              <w:rPr>
                <w:rFonts w:asciiTheme="majorHAnsi" w:eastAsia="Arial" w:hAnsiTheme="majorHAnsi" w:cstheme="majorHAnsi"/>
                <w:b w:val="0"/>
                <w:i/>
                <w:color w:val="000000"/>
                <w:sz w:val="20"/>
                <w:szCs w:val="20"/>
              </w:rPr>
              <w:t>PhD in Environmental Science</w:t>
            </w:r>
          </w:p>
        </w:tc>
        <w:tc>
          <w:tcPr>
            <w:tcW w:w="1486" w:type="dxa"/>
          </w:tcPr>
          <w:p w:rsidR="00304C53" w:rsidRPr="00743A41" w:rsidRDefault="00304C53" w:rsidP="00A37ED6">
            <w:pPr>
              <w:tabs>
                <w:tab w:val="left" w:pos="720"/>
              </w:tabs>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i/>
                <w:color w:val="000000"/>
                <w:sz w:val="20"/>
                <w:szCs w:val="20"/>
              </w:rPr>
            </w:pPr>
            <w:r w:rsidRPr="00743A41">
              <w:rPr>
                <w:rFonts w:asciiTheme="majorHAnsi" w:eastAsia="Arial" w:hAnsiTheme="majorHAnsi" w:cstheme="majorHAnsi"/>
                <w:i/>
                <w:color w:val="000000"/>
                <w:sz w:val="20"/>
                <w:szCs w:val="20"/>
              </w:rPr>
              <w:t>Fall 2018</w:t>
            </w:r>
          </w:p>
        </w:tc>
        <w:tc>
          <w:tcPr>
            <w:tcW w:w="2610" w:type="dxa"/>
          </w:tcPr>
          <w:p w:rsidR="00304C53" w:rsidRPr="00F57C55" w:rsidRDefault="00304C53" w:rsidP="00A37ED6">
            <w:pPr>
              <w:tabs>
                <w:tab w:val="left" w:pos="720"/>
              </w:tabs>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i/>
                <w:color w:val="000000"/>
                <w:sz w:val="20"/>
                <w:szCs w:val="20"/>
              </w:rPr>
            </w:pPr>
            <w:r w:rsidRPr="00F57C55">
              <w:rPr>
                <w:rFonts w:asciiTheme="majorHAnsi" w:eastAsia="Arial" w:hAnsiTheme="majorHAnsi" w:cstheme="majorHAnsi"/>
                <w:i/>
                <w:color w:val="000000"/>
                <w:sz w:val="20"/>
                <w:szCs w:val="20"/>
              </w:rPr>
              <w:t>The general PhD in Environmental Science has been discontinued and is no longer accepting students. As of Fall 2018, the PhD in Environmental Science no longer offers a general curriculum and now includes specialization tracks in Environmental Disease Prevention and Total Worker Health.</w:t>
            </w:r>
          </w:p>
        </w:tc>
        <w:tc>
          <w:tcPr>
            <w:tcW w:w="3510" w:type="dxa"/>
          </w:tcPr>
          <w:p w:rsidR="00304C53" w:rsidRPr="00F57C55" w:rsidRDefault="00304C53" w:rsidP="00A37ED6">
            <w:pPr>
              <w:tabs>
                <w:tab w:val="left" w:pos="720"/>
              </w:tabs>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i/>
                <w:color w:val="000000"/>
                <w:sz w:val="20"/>
                <w:szCs w:val="20"/>
              </w:rPr>
            </w:pPr>
            <w:r w:rsidRPr="00F57C55">
              <w:rPr>
                <w:rFonts w:asciiTheme="majorHAnsi" w:eastAsia="Arial" w:hAnsiTheme="majorHAnsi" w:cstheme="majorHAnsi"/>
                <w:i/>
                <w:color w:val="000000"/>
                <w:sz w:val="20"/>
                <w:szCs w:val="20"/>
              </w:rPr>
              <w:t xml:space="preserve">Substantive change form to create two tracks, Environmental Disease Prevention and Total Worker Health, for the PhD in Environmental Sciences has been submitted to CEPH. The school has not yet received a response. </w:t>
            </w:r>
          </w:p>
          <w:p w:rsidR="00304C53" w:rsidRPr="00F57C55" w:rsidRDefault="00F57C55" w:rsidP="00A37ED6">
            <w:pPr>
              <w:tabs>
                <w:tab w:val="left" w:pos="720"/>
              </w:tabs>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i/>
                <w:color w:val="000000"/>
                <w:sz w:val="20"/>
                <w:szCs w:val="20"/>
              </w:rPr>
            </w:pPr>
            <w:r w:rsidRPr="00F57C55">
              <w:rPr>
                <w:rFonts w:asciiTheme="majorHAnsi" w:eastAsia="Arial" w:hAnsiTheme="majorHAnsi" w:cstheme="majorHAnsi"/>
                <w:i/>
                <w:color w:val="000000"/>
                <w:sz w:val="20"/>
                <w:szCs w:val="20"/>
              </w:rPr>
              <w:t>(ERF, Introduction, Program Changes and Discontinuations)</w:t>
            </w:r>
          </w:p>
        </w:tc>
      </w:tr>
      <w:tr w:rsidR="00304C53" w:rsidRPr="00743A41" w:rsidTr="00F02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rsidR="00304C53" w:rsidRPr="00743A41" w:rsidRDefault="00304C53" w:rsidP="00A37ED6">
            <w:pPr>
              <w:tabs>
                <w:tab w:val="left" w:pos="720"/>
              </w:tabs>
              <w:rPr>
                <w:rFonts w:asciiTheme="majorHAnsi" w:eastAsia="Arial" w:hAnsiTheme="majorHAnsi" w:cstheme="majorHAnsi"/>
                <w:b w:val="0"/>
                <w:i/>
                <w:color w:val="000000"/>
                <w:sz w:val="20"/>
                <w:szCs w:val="20"/>
              </w:rPr>
            </w:pPr>
            <w:r w:rsidRPr="00743A41">
              <w:rPr>
                <w:rFonts w:asciiTheme="majorHAnsi" w:eastAsia="Arial" w:hAnsiTheme="majorHAnsi" w:cstheme="majorHAnsi"/>
                <w:b w:val="0"/>
                <w:i/>
                <w:color w:val="000000"/>
                <w:sz w:val="20"/>
                <w:szCs w:val="20"/>
              </w:rPr>
              <w:t xml:space="preserve">PhD in Management and Policy Sciences </w:t>
            </w:r>
          </w:p>
        </w:tc>
        <w:tc>
          <w:tcPr>
            <w:tcW w:w="1486" w:type="dxa"/>
          </w:tcPr>
          <w:p w:rsidR="00304C53" w:rsidRPr="00743A41" w:rsidRDefault="00304C53" w:rsidP="00A37ED6">
            <w:pPr>
              <w:tabs>
                <w:tab w:val="left" w:pos="720"/>
              </w:tabs>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i/>
                <w:color w:val="000000"/>
                <w:sz w:val="20"/>
                <w:szCs w:val="20"/>
              </w:rPr>
            </w:pPr>
            <w:r w:rsidRPr="00743A41">
              <w:rPr>
                <w:rFonts w:asciiTheme="majorHAnsi" w:eastAsia="Arial" w:hAnsiTheme="majorHAnsi" w:cstheme="majorHAnsi"/>
                <w:i/>
                <w:color w:val="000000"/>
                <w:sz w:val="20"/>
                <w:szCs w:val="20"/>
              </w:rPr>
              <w:t>Summer 2019</w:t>
            </w:r>
          </w:p>
        </w:tc>
        <w:tc>
          <w:tcPr>
            <w:tcW w:w="2610" w:type="dxa"/>
          </w:tcPr>
          <w:p w:rsidR="00304C53" w:rsidRPr="00743A41" w:rsidRDefault="00304C53" w:rsidP="00A37ED6">
            <w:pPr>
              <w:tabs>
                <w:tab w:val="left" w:pos="720"/>
              </w:tabs>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i/>
                <w:sz w:val="20"/>
                <w:szCs w:val="20"/>
              </w:rPr>
            </w:pPr>
            <w:r w:rsidRPr="00743A41">
              <w:rPr>
                <w:rFonts w:asciiTheme="majorHAnsi" w:eastAsia="Arial" w:hAnsiTheme="majorHAnsi" w:cstheme="majorHAnsi"/>
                <w:i/>
                <w:color w:val="000000"/>
                <w:sz w:val="20"/>
                <w:szCs w:val="20"/>
              </w:rPr>
              <w:t xml:space="preserve">The PhD in </w:t>
            </w:r>
            <w:r w:rsidRPr="00743A41">
              <w:rPr>
                <w:rFonts w:asciiTheme="majorHAnsi" w:eastAsia="Arial" w:hAnsiTheme="majorHAnsi" w:cstheme="majorHAnsi"/>
                <w:i/>
                <w:sz w:val="20"/>
                <w:szCs w:val="20"/>
              </w:rPr>
              <w:t>Management and Policy Studies includes specialized tracks in Health Economics &amp; Health Services Research and Healthcare Management &amp; Health Policy. Student enrollment has not historically been tracked based on specific specialization areas. Effective Summer 2019, new student enrollment for the PhD in Health Economics/Health Services Research and PhD in Healthcare Management/Health Policy is being formally tracked.</w:t>
            </w:r>
          </w:p>
        </w:tc>
        <w:tc>
          <w:tcPr>
            <w:tcW w:w="3510" w:type="dxa"/>
          </w:tcPr>
          <w:p w:rsidR="00304C53" w:rsidRPr="00743A41" w:rsidRDefault="00304C53" w:rsidP="00A37ED6">
            <w:pPr>
              <w:tabs>
                <w:tab w:val="left" w:pos="720"/>
              </w:tabs>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i/>
                <w:color w:val="000000"/>
                <w:sz w:val="20"/>
                <w:szCs w:val="20"/>
              </w:rPr>
            </w:pPr>
            <w:r w:rsidRPr="00743A41">
              <w:rPr>
                <w:rFonts w:asciiTheme="majorHAnsi" w:eastAsia="Arial" w:hAnsiTheme="majorHAnsi" w:cstheme="majorHAnsi"/>
                <w:i/>
                <w:color w:val="000000"/>
                <w:sz w:val="20"/>
                <w:szCs w:val="20"/>
              </w:rPr>
              <w:t>N/A</w:t>
            </w:r>
          </w:p>
        </w:tc>
      </w:tr>
    </w:tbl>
    <w:p w:rsidR="00304C53" w:rsidRPr="00743A41" w:rsidRDefault="00304C53" w:rsidP="00A37ED6">
      <w:pPr>
        <w:tabs>
          <w:tab w:val="left" w:pos="720"/>
        </w:tabs>
        <w:ind w:left="360"/>
        <w:rPr>
          <w:rFonts w:asciiTheme="majorHAnsi" w:eastAsia="Arial" w:hAnsiTheme="majorHAnsi" w:cstheme="majorHAnsi"/>
          <w:color w:val="000000"/>
          <w:sz w:val="20"/>
          <w:szCs w:val="20"/>
        </w:rPr>
      </w:pPr>
    </w:p>
    <w:p w:rsidR="00FA59E2" w:rsidRPr="00DE25B3" w:rsidRDefault="00FA59E2" w:rsidP="00A37ED6">
      <w:pPr>
        <w:pStyle w:val="Default"/>
        <w:tabs>
          <w:tab w:val="left" w:pos="2172"/>
        </w:tabs>
        <w:ind w:left="720"/>
        <w:jc w:val="both"/>
        <w:rPr>
          <w:rFonts w:asciiTheme="majorHAnsi" w:hAnsiTheme="majorHAnsi" w:cstheme="majorHAnsi"/>
          <w:color w:val="auto"/>
          <w:szCs w:val="20"/>
        </w:rPr>
      </w:pPr>
      <w:r w:rsidRPr="00743A41">
        <w:rPr>
          <w:rFonts w:asciiTheme="majorHAnsi" w:hAnsiTheme="majorHAnsi" w:cstheme="majorHAnsi"/>
          <w:color w:val="auto"/>
          <w:szCs w:val="20"/>
        </w:rPr>
        <w:t>Assoc</w:t>
      </w:r>
      <w:r w:rsidRPr="00DE25B3">
        <w:rPr>
          <w:rFonts w:asciiTheme="majorHAnsi" w:hAnsiTheme="majorHAnsi" w:cstheme="majorHAnsi"/>
          <w:color w:val="auto"/>
          <w:szCs w:val="20"/>
        </w:rPr>
        <w:t>iated documents in the electronic resource file:</w:t>
      </w:r>
    </w:p>
    <w:p w:rsidR="00406536" w:rsidRPr="002A7B3F" w:rsidRDefault="00406536" w:rsidP="00A37ED6">
      <w:pPr>
        <w:pStyle w:val="ListParagraph"/>
        <w:numPr>
          <w:ilvl w:val="0"/>
          <w:numId w:val="63"/>
        </w:numPr>
        <w:jc w:val="both"/>
        <w:rPr>
          <w:rFonts w:asciiTheme="majorHAnsi" w:eastAsia="Arial Unicode MS" w:hAnsiTheme="majorHAnsi" w:cstheme="majorHAnsi"/>
          <w:bCs/>
          <w:i/>
          <w:kern w:val="32"/>
          <w:szCs w:val="20"/>
          <w:lang w:eastAsia="x-none"/>
        </w:rPr>
      </w:pPr>
      <w:r w:rsidRPr="002A7B3F">
        <w:rPr>
          <w:rFonts w:asciiTheme="majorHAnsi" w:eastAsia="Arial Unicode MS" w:hAnsiTheme="majorHAnsi" w:cstheme="majorHAnsi"/>
          <w:bCs/>
          <w:i/>
          <w:kern w:val="32"/>
          <w:szCs w:val="20"/>
          <w:lang w:eastAsia="x-none"/>
        </w:rPr>
        <w:t>Introduction</w:t>
      </w:r>
    </w:p>
    <w:p w:rsidR="00933038" w:rsidRPr="00EE72FB" w:rsidRDefault="00FA59E2" w:rsidP="004D0F52">
      <w:pPr>
        <w:pStyle w:val="ListParagraph"/>
        <w:numPr>
          <w:ilvl w:val="1"/>
          <w:numId w:val="63"/>
        </w:numPr>
        <w:rPr>
          <w:rFonts w:asciiTheme="majorHAnsi" w:eastAsia="Arial Unicode MS" w:hAnsiTheme="majorHAnsi" w:cstheme="majorHAnsi"/>
          <w:b/>
          <w:bCs/>
          <w:i/>
          <w:kern w:val="32"/>
          <w:szCs w:val="20"/>
          <w:lang w:eastAsia="x-none"/>
        </w:rPr>
      </w:pPr>
      <w:r w:rsidRPr="00EE72FB">
        <w:rPr>
          <w:rFonts w:asciiTheme="majorHAnsi" w:hAnsiTheme="majorHAnsi" w:cstheme="majorHAnsi"/>
          <w:i/>
          <w:szCs w:val="20"/>
        </w:rPr>
        <w:t>Current Enrollment by Degree Program, Academic Year 19 (Fall 2018, Spring 2019, Summer 2019)</w:t>
      </w:r>
    </w:p>
    <w:p w:rsidR="00FA59E2" w:rsidRPr="00EE72FB" w:rsidRDefault="00FA59E2" w:rsidP="004D0F52">
      <w:pPr>
        <w:pStyle w:val="ListParagraph"/>
        <w:numPr>
          <w:ilvl w:val="1"/>
          <w:numId w:val="63"/>
        </w:numPr>
        <w:rPr>
          <w:rFonts w:asciiTheme="majorHAnsi" w:eastAsia="Arial Unicode MS" w:hAnsiTheme="majorHAnsi" w:cstheme="majorHAnsi"/>
          <w:b/>
          <w:bCs/>
          <w:i/>
          <w:kern w:val="32"/>
          <w:szCs w:val="20"/>
          <w:lang w:eastAsia="x-none"/>
        </w:rPr>
      </w:pPr>
      <w:r w:rsidRPr="00EE72FB">
        <w:rPr>
          <w:rFonts w:asciiTheme="majorHAnsi" w:hAnsiTheme="majorHAnsi" w:cstheme="majorHAnsi"/>
          <w:i/>
          <w:szCs w:val="20"/>
        </w:rPr>
        <w:t>Current Enrollment by Degree Program, Fall 2019</w:t>
      </w:r>
    </w:p>
    <w:p w:rsidR="00634528" w:rsidRPr="004D0F52" w:rsidRDefault="00634528" w:rsidP="004D0F52">
      <w:pPr>
        <w:pStyle w:val="ListParagraph"/>
        <w:numPr>
          <w:ilvl w:val="1"/>
          <w:numId w:val="63"/>
        </w:numPr>
        <w:rPr>
          <w:rFonts w:asciiTheme="majorHAnsi" w:eastAsia="Arial Unicode MS" w:hAnsiTheme="majorHAnsi" w:cstheme="majorHAnsi"/>
          <w:b/>
          <w:bCs/>
          <w:i/>
          <w:kern w:val="32"/>
          <w:szCs w:val="20"/>
          <w:lang w:eastAsia="x-none"/>
        </w:rPr>
      </w:pPr>
      <w:r w:rsidRPr="00EE72FB">
        <w:rPr>
          <w:rFonts w:asciiTheme="majorHAnsi" w:hAnsiTheme="majorHAnsi" w:cstheme="majorHAnsi"/>
          <w:i/>
          <w:szCs w:val="20"/>
        </w:rPr>
        <w:t>Program Changes and Discontinuations</w:t>
      </w:r>
    </w:p>
    <w:p w:rsidR="004D0F52" w:rsidRPr="004D0F52" w:rsidRDefault="004D0F52" w:rsidP="004D0F52">
      <w:pPr>
        <w:pStyle w:val="ListParagraph"/>
        <w:numPr>
          <w:ilvl w:val="2"/>
          <w:numId w:val="63"/>
        </w:numPr>
        <w:rPr>
          <w:rFonts w:asciiTheme="majorHAnsi" w:eastAsia="Arial Unicode MS" w:hAnsiTheme="majorHAnsi" w:cstheme="majorHAnsi"/>
          <w:b/>
          <w:bCs/>
          <w:i/>
          <w:kern w:val="32"/>
          <w:szCs w:val="20"/>
          <w:lang w:eastAsia="x-none"/>
        </w:rPr>
      </w:pPr>
      <w:r>
        <w:rPr>
          <w:rFonts w:asciiTheme="majorHAnsi" w:hAnsiTheme="majorHAnsi" w:cstheme="majorHAnsi"/>
          <w:i/>
          <w:szCs w:val="20"/>
        </w:rPr>
        <w:t xml:space="preserve">Approval Letter, Discontinuation of DrPH in Environmental Health and DrPH in Epidemiology </w:t>
      </w:r>
    </w:p>
    <w:p w:rsidR="004D0F52" w:rsidRPr="004D0F52" w:rsidRDefault="004D0F52" w:rsidP="004D0F52">
      <w:pPr>
        <w:pStyle w:val="ListParagraph"/>
        <w:numPr>
          <w:ilvl w:val="2"/>
          <w:numId w:val="63"/>
        </w:numPr>
        <w:jc w:val="both"/>
        <w:rPr>
          <w:rFonts w:asciiTheme="majorHAnsi" w:eastAsia="Arial Unicode MS" w:hAnsiTheme="majorHAnsi" w:cstheme="majorHAnsi"/>
          <w:b/>
          <w:bCs/>
          <w:i/>
          <w:kern w:val="32"/>
          <w:szCs w:val="20"/>
          <w:lang w:eastAsia="x-none"/>
        </w:rPr>
      </w:pPr>
      <w:r>
        <w:rPr>
          <w:rFonts w:asciiTheme="majorHAnsi" w:eastAsia="Arial Unicode MS" w:hAnsiTheme="majorHAnsi" w:cstheme="majorHAnsi"/>
          <w:bCs/>
          <w:i/>
          <w:kern w:val="32"/>
          <w:szCs w:val="20"/>
          <w:lang w:eastAsia="x-none"/>
        </w:rPr>
        <w:t>Substantive Change Form, Discontinuation of MPH in Biostatistics</w:t>
      </w:r>
    </w:p>
    <w:p w:rsidR="004D0F52" w:rsidRPr="004D0F52" w:rsidRDefault="004D0F52" w:rsidP="004D0F52">
      <w:pPr>
        <w:pStyle w:val="ListParagraph"/>
        <w:numPr>
          <w:ilvl w:val="2"/>
          <w:numId w:val="63"/>
        </w:numPr>
        <w:jc w:val="both"/>
        <w:rPr>
          <w:rFonts w:asciiTheme="majorHAnsi" w:eastAsia="Arial Unicode MS" w:hAnsiTheme="majorHAnsi" w:cstheme="majorHAnsi"/>
          <w:b/>
          <w:bCs/>
          <w:i/>
          <w:kern w:val="32"/>
          <w:szCs w:val="20"/>
          <w:lang w:eastAsia="x-none"/>
        </w:rPr>
      </w:pPr>
      <w:r>
        <w:rPr>
          <w:rFonts w:asciiTheme="majorHAnsi" w:eastAsia="Arial Unicode MS" w:hAnsiTheme="majorHAnsi" w:cstheme="majorHAnsi"/>
          <w:bCs/>
          <w:i/>
          <w:kern w:val="32"/>
          <w:szCs w:val="20"/>
          <w:lang w:eastAsia="x-none"/>
        </w:rPr>
        <w:t>Substantive Change Form, Discontinuation of MS in Epidemiology</w:t>
      </w:r>
    </w:p>
    <w:p w:rsidR="004D0F52" w:rsidRPr="00EE72FB" w:rsidRDefault="004D0F52" w:rsidP="004D0F52">
      <w:pPr>
        <w:pStyle w:val="ListParagraph"/>
        <w:numPr>
          <w:ilvl w:val="2"/>
          <w:numId w:val="63"/>
        </w:numPr>
        <w:jc w:val="both"/>
        <w:rPr>
          <w:rFonts w:asciiTheme="majorHAnsi" w:eastAsia="Arial Unicode MS" w:hAnsiTheme="majorHAnsi" w:cstheme="majorHAnsi"/>
          <w:b/>
          <w:bCs/>
          <w:i/>
          <w:kern w:val="32"/>
          <w:szCs w:val="20"/>
          <w:lang w:eastAsia="x-none"/>
        </w:rPr>
      </w:pPr>
      <w:r>
        <w:rPr>
          <w:rFonts w:asciiTheme="majorHAnsi" w:eastAsia="Arial Unicode MS" w:hAnsiTheme="majorHAnsi" w:cstheme="majorHAnsi"/>
          <w:bCs/>
          <w:i/>
          <w:kern w:val="32"/>
          <w:szCs w:val="20"/>
          <w:lang w:eastAsia="x-none"/>
        </w:rPr>
        <w:t xml:space="preserve">Substantive Change Form, New Concentrations for PhD in Environmental Science (Environmental Disease Prevention, Total Worker Health) </w:t>
      </w:r>
    </w:p>
    <w:p w:rsidR="00C3188F" w:rsidRPr="00743A41" w:rsidRDefault="00C3188F" w:rsidP="00A37ED6">
      <w:pPr>
        <w:rPr>
          <w:rFonts w:asciiTheme="majorHAnsi" w:eastAsia="Arial Unicode MS" w:hAnsiTheme="majorHAnsi" w:cstheme="majorHAnsi"/>
          <w:b/>
          <w:bCs/>
          <w:kern w:val="32"/>
          <w:sz w:val="20"/>
          <w:szCs w:val="20"/>
          <w:lang w:eastAsia="x-none"/>
        </w:rPr>
      </w:pPr>
      <w:bookmarkStart w:id="10" w:name="_A1._Organization_and"/>
      <w:bookmarkStart w:id="11" w:name="_Toc7118184"/>
      <w:bookmarkEnd w:id="10"/>
      <w:r w:rsidRPr="00743A41">
        <w:rPr>
          <w:rFonts w:asciiTheme="majorHAnsi" w:hAnsiTheme="majorHAnsi" w:cstheme="majorHAnsi"/>
          <w:sz w:val="20"/>
          <w:szCs w:val="20"/>
        </w:rPr>
        <w:br w:type="page"/>
      </w:r>
    </w:p>
    <w:p w:rsidR="00933038" w:rsidRPr="00743A41" w:rsidRDefault="00933038" w:rsidP="007A68BE">
      <w:pPr>
        <w:pStyle w:val="Heading1"/>
      </w:pPr>
      <w:bookmarkStart w:id="12" w:name="_A1._Organization_and_1"/>
      <w:bookmarkEnd w:id="12"/>
      <w:r w:rsidRPr="00743A41">
        <w:t>A1. Organization and Administrative Processes</w:t>
      </w:r>
      <w:bookmarkEnd w:id="11"/>
      <w:r w:rsidRPr="00743A41">
        <w:t xml:space="preserve"> </w:t>
      </w:r>
      <w:bookmarkEnd w:id="1"/>
    </w:p>
    <w:p w:rsidR="00933038" w:rsidRPr="00743A41" w:rsidRDefault="00933038" w:rsidP="00A37ED6">
      <w:pPr>
        <w:pStyle w:val="Default"/>
        <w:rPr>
          <w:rFonts w:asciiTheme="majorHAnsi" w:hAnsiTheme="majorHAnsi" w:cstheme="majorHAnsi"/>
          <w:b/>
          <w:color w:val="auto"/>
          <w:szCs w:val="20"/>
        </w:rPr>
      </w:pPr>
    </w:p>
    <w:p w:rsidR="00933038" w:rsidRPr="00743A41" w:rsidRDefault="00933038" w:rsidP="00A37ED6">
      <w:pPr>
        <w:pStyle w:val="Default"/>
        <w:jc w:val="both"/>
        <w:rPr>
          <w:rFonts w:asciiTheme="majorHAnsi" w:hAnsiTheme="majorHAnsi" w:cstheme="majorHAnsi"/>
          <w:b/>
          <w:color w:val="auto"/>
          <w:szCs w:val="20"/>
        </w:rPr>
      </w:pPr>
      <w:r w:rsidRPr="00743A41">
        <w:rPr>
          <w:rFonts w:asciiTheme="majorHAnsi" w:hAnsiTheme="majorHAnsi" w:cstheme="majorHAnsi"/>
          <w:b/>
          <w:color w:val="auto"/>
          <w:szCs w:val="20"/>
        </w:rPr>
        <w:t xml:space="preserve">The school demonstrates effective administrative processes that are sufficient to affirm its ability to fulfill its mission and goals and to conform to the conditions for accreditation. </w:t>
      </w:r>
    </w:p>
    <w:p w:rsidR="00933038" w:rsidRPr="00743A41" w:rsidRDefault="00933038" w:rsidP="00A37ED6">
      <w:pPr>
        <w:pStyle w:val="Default"/>
        <w:jc w:val="both"/>
        <w:rPr>
          <w:rFonts w:asciiTheme="majorHAnsi" w:hAnsiTheme="majorHAnsi" w:cstheme="majorHAnsi"/>
          <w:b/>
          <w:color w:val="auto"/>
          <w:szCs w:val="20"/>
        </w:rPr>
      </w:pPr>
    </w:p>
    <w:p w:rsidR="00933038" w:rsidRPr="00743A41" w:rsidRDefault="00933038" w:rsidP="00A37ED6">
      <w:pPr>
        <w:pStyle w:val="Default"/>
        <w:jc w:val="both"/>
        <w:rPr>
          <w:rFonts w:asciiTheme="majorHAnsi" w:hAnsiTheme="majorHAnsi" w:cstheme="majorHAnsi"/>
          <w:b/>
          <w:color w:val="auto"/>
          <w:szCs w:val="20"/>
        </w:rPr>
      </w:pPr>
      <w:r w:rsidRPr="00743A41">
        <w:rPr>
          <w:rFonts w:asciiTheme="majorHAnsi" w:hAnsiTheme="majorHAnsi" w:cstheme="majorHAnsi"/>
          <w:b/>
          <w:color w:val="auto"/>
          <w:szCs w:val="20"/>
        </w:rPr>
        <w:t>The school establishes appropriate decision-making structures for all significant functions and designates appropriate committees or individuals for decision making and implementation.</w:t>
      </w:r>
    </w:p>
    <w:p w:rsidR="00933038" w:rsidRPr="00743A41" w:rsidRDefault="00933038" w:rsidP="00A37ED6">
      <w:pPr>
        <w:rPr>
          <w:rFonts w:asciiTheme="majorHAnsi" w:hAnsiTheme="majorHAnsi" w:cstheme="majorHAnsi"/>
          <w:sz w:val="20"/>
          <w:szCs w:val="20"/>
        </w:rPr>
      </w:pPr>
    </w:p>
    <w:p w:rsidR="00933038" w:rsidRPr="00743A41" w:rsidRDefault="00933038" w:rsidP="00A37ED6">
      <w:pPr>
        <w:pStyle w:val="Default"/>
        <w:jc w:val="both"/>
        <w:rPr>
          <w:rFonts w:asciiTheme="majorHAnsi" w:hAnsiTheme="majorHAnsi" w:cstheme="majorHAnsi"/>
          <w:b/>
          <w:color w:val="auto"/>
          <w:szCs w:val="20"/>
        </w:rPr>
      </w:pPr>
      <w:r w:rsidRPr="00743A41">
        <w:rPr>
          <w:rFonts w:asciiTheme="majorHAnsi" w:hAnsiTheme="majorHAnsi" w:cstheme="majorHAnsi"/>
          <w:b/>
          <w:color w:val="auto"/>
          <w:szCs w:val="20"/>
        </w:rPr>
        <w:t>The school ensures that faculty (including full-time and part-time faculty) regularly interact with their colleagues and are engaged in ways that benefit the instructional school (eg, participating in instructional workshops, engaging in school</w:t>
      </w:r>
      <w:r w:rsidR="00907750" w:rsidRPr="00743A41">
        <w:rPr>
          <w:rFonts w:asciiTheme="majorHAnsi" w:hAnsiTheme="majorHAnsi" w:cstheme="majorHAnsi"/>
          <w:b/>
          <w:color w:val="auto"/>
          <w:szCs w:val="20"/>
        </w:rPr>
        <w:t>-</w:t>
      </w:r>
      <w:r w:rsidRPr="00743A41">
        <w:rPr>
          <w:rFonts w:asciiTheme="majorHAnsi" w:hAnsiTheme="majorHAnsi" w:cstheme="majorHAnsi"/>
          <w:b/>
          <w:color w:val="auto"/>
          <w:szCs w:val="20"/>
        </w:rPr>
        <w:t>specific curriculum development and oversight).</w:t>
      </w:r>
    </w:p>
    <w:p w:rsidR="00933038" w:rsidRPr="00743A41" w:rsidRDefault="00933038" w:rsidP="00A37ED6">
      <w:pPr>
        <w:pStyle w:val="Default"/>
        <w:jc w:val="both"/>
        <w:rPr>
          <w:rFonts w:asciiTheme="majorHAnsi" w:hAnsiTheme="majorHAnsi" w:cstheme="majorHAnsi"/>
          <w:color w:val="auto"/>
          <w:szCs w:val="20"/>
        </w:rPr>
      </w:pPr>
    </w:p>
    <w:p w:rsidR="00933038" w:rsidRPr="00743A41" w:rsidRDefault="00933038" w:rsidP="00A37ED6">
      <w:pPr>
        <w:pStyle w:val="Default"/>
        <w:numPr>
          <w:ilvl w:val="0"/>
          <w:numId w:val="2"/>
        </w:numPr>
        <w:ind w:left="720"/>
        <w:jc w:val="both"/>
        <w:rPr>
          <w:rFonts w:asciiTheme="majorHAnsi" w:hAnsiTheme="majorHAnsi" w:cstheme="majorHAnsi"/>
          <w:color w:val="auto"/>
          <w:szCs w:val="20"/>
        </w:rPr>
      </w:pPr>
      <w:r w:rsidRPr="00743A41">
        <w:rPr>
          <w:rFonts w:asciiTheme="majorHAnsi" w:hAnsiTheme="majorHAnsi" w:cstheme="majorHAnsi"/>
          <w:color w:val="auto"/>
          <w:szCs w:val="20"/>
        </w:rPr>
        <w:t xml:space="preserve">List the school’s standing and significant ad hoc committees. For each, indicate the formula for membership (eg, two appointed faculty members from each concentration) and list the current members. </w:t>
      </w:r>
    </w:p>
    <w:p w:rsidR="00933038" w:rsidRPr="00743A41" w:rsidRDefault="00933038" w:rsidP="00A37ED6">
      <w:pPr>
        <w:pStyle w:val="Default"/>
        <w:tabs>
          <w:tab w:val="left" w:pos="2172"/>
        </w:tabs>
        <w:ind w:left="720"/>
        <w:jc w:val="both"/>
        <w:rPr>
          <w:rFonts w:asciiTheme="majorHAnsi" w:hAnsiTheme="majorHAnsi" w:cstheme="majorHAnsi"/>
          <w:i/>
          <w:color w:val="auto"/>
          <w:szCs w:val="20"/>
        </w:rPr>
      </w:pPr>
    </w:p>
    <w:p w:rsidR="00CC7E6E" w:rsidRPr="00743A41" w:rsidRDefault="00CC7E6E" w:rsidP="00A37ED6">
      <w:pPr>
        <w:pBdr>
          <w:top w:val="nil"/>
          <w:left w:val="nil"/>
          <w:bottom w:val="nil"/>
          <w:right w:val="nil"/>
          <w:between w:val="nil"/>
        </w:pBdr>
        <w:tabs>
          <w:tab w:val="left" w:pos="2172"/>
        </w:tabs>
        <w:ind w:left="72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The decision-making structure at the UTHealth School of Public Health is designed such that faculty have maximum opportunities to provide input on the curriculum; student and faculty policies and processes; research; service; and the mission and vision of the school. Faculty provide input through participation in departmental meetings and involvement on various committees, all of which inform and make policy decisions. A diagram of the decision-making structure is shown in</w:t>
      </w:r>
      <w:r w:rsidRPr="006E28EE">
        <w:rPr>
          <w:rFonts w:asciiTheme="majorHAnsi" w:eastAsia="Arial" w:hAnsiTheme="majorHAnsi" w:cstheme="majorHAnsi"/>
          <w:i/>
          <w:color w:val="000000"/>
          <w:sz w:val="20"/>
          <w:szCs w:val="20"/>
        </w:rPr>
        <w:t xml:space="preserve"> </w:t>
      </w:r>
      <w:hyperlink w:anchor="FigureA11" w:history="1">
        <w:r w:rsidR="00F822DC" w:rsidRPr="006E28EE">
          <w:rPr>
            <w:rStyle w:val="Hyperlink"/>
            <w:rFonts w:asciiTheme="majorHAnsi" w:eastAsia="Arial" w:hAnsiTheme="majorHAnsi" w:cstheme="majorHAnsi"/>
            <w:i/>
            <w:sz w:val="20"/>
            <w:szCs w:val="20"/>
          </w:rPr>
          <w:t>Figure A.1.1 UTHealth School of Public Health Decision-Making Structure</w:t>
        </w:r>
      </w:hyperlink>
      <w:r w:rsidRPr="00743A41">
        <w:rPr>
          <w:rFonts w:asciiTheme="majorHAnsi" w:eastAsia="Arial" w:hAnsiTheme="majorHAnsi" w:cstheme="majorHAnsi"/>
          <w:color w:val="000000"/>
          <w:sz w:val="20"/>
          <w:szCs w:val="20"/>
        </w:rPr>
        <w:t>.</w:t>
      </w:r>
      <w:r w:rsidR="00D22D65" w:rsidRPr="00743A41">
        <w:rPr>
          <w:rFonts w:asciiTheme="majorHAnsi" w:eastAsia="Arial" w:hAnsiTheme="majorHAnsi" w:cstheme="majorHAnsi"/>
          <w:color w:val="000000"/>
          <w:sz w:val="20"/>
          <w:szCs w:val="20"/>
        </w:rPr>
        <w:t xml:space="preserve"> The UTHealth School of Public Health</w:t>
      </w:r>
      <w:r w:rsidR="00F822DC" w:rsidRPr="00743A41">
        <w:rPr>
          <w:rFonts w:asciiTheme="majorHAnsi" w:eastAsia="Arial" w:hAnsiTheme="majorHAnsi" w:cstheme="majorHAnsi"/>
          <w:color w:val="000000"/>
          <w:sz w:val="20"/>
          <w:szCs w:val="20"/>
        </w:rPr>
        <w:t xml:space="preserve"> standing and significant ad-hoc committees are represented in </w:t>
      </w:r>
      <w:hyperlink w:anchor="Tablea11" w:history="1">
        <w:r w:rsidR="00F822DC" w:rsidRPr="006E28EE">
          <w:rPr>
            <w:rStyle w:val="Hyperlink"/>
            <w:rFonts w:asciiTheme="majorHAnsi" w:hAnsiTheme="majorHAnsi" w:cstheme="majorHAnsi"/>
            <w:i/>
            <w:sz w:val="20"/>
            <w:szCs w:val="20"/>
          </w:rPr>
          <w:t xml:space="preserve">Table A.1.1. </w:t>
        </w:r>
        <w:r w:rsidR="00AA3F71" w:rsidRPr="006E28EE">
          <w:rPr>
            <w:rStyle w:val="Hyperlink"/>
            <w:rFonts w:asciiTheme="majorHAnsi" w:hAnsiTheme="majorHAnsi" w:cstheme="majorHAnsi"/>
            <w:i/>
            <w:sz w:val="20"/>
            <w:szCs w:val="20"/>
          </w:rPr>
          <w:t>UTHealth School of Public Health Standing and Significant Ad-Hoc Committees</w:t>
        </w:r>
      </w:hyperlink>
      <w:r w:rsidR="006F1F0B" w:rsidRPr="006E28EE">
        <w:rPr>
          <w:rFonts w:asciiTheme="majorHAnsi" w:eastAsia="Arial" w:hAnsiTheme="majorHAnsi" w:cstheme="majorHAnsi"/>
          <w:color w:val="000000"/>
          <w:sz w:val="20"/>
          <w:szCs w:val="20"/>
        </w:rPr>
        <w:t xml:space="preserve">, including meeting frequency, committee charge, membership composition and voting structure. </w:t>
      </w:r>
      <w:r w:rsidR="00ED20CA" w:rsidRPr="006E28EE">
        <w:rPr>
          <w:rFonts w:asciiTheme="majorHAnsi" w:eastAsia="Arial" w:hAnsiTheme="majorHAnsi" w:cstheme="majorHAnsi"/>
          <w:color w:val="000000"/>
          <w:sz w:val="20"/>
          <w:szCs w:val="20"/>
        </w:rPr>
        <w:t>Ad</w:t>
      </w:r>
      <w:r w:rsidR="00ED20CA" w:rsidRPr="00743A41">
        <w:rPr>
          <w:rFonts w:asciiTheme="majorHAnsi" w:eastAsia="Arial" w:hAnsiTheme="majorHAnsi" w:cstheme="majorHAnsi"/>
          <w:color w:val="000000"/>
          <w:sz w:val="20"/>
          <w:szCs w:val="20"/>
        </w:rPr>
        <w:t xml:space="preserve">ditional documentation for each committee, including bylaws, membership, meeting minutes, </w:t>
      </w:r>
      <w:r w:rsidR="009D39F0" w:rsidRPr="00743A41">
        <w:rPr>
          <w:rFonts w:asciiTheme="majorHAnsi" w:eastAsia="Arial" w:hAnsiTheme="majorHAnsi" w:cstheme="majorHAnsi"/>
          <w:color w:val="000000"/>
          <w:sz w:val="20"/>
          <w:szCs w:val="20"/>
        </w:rPr>
        <w:t xml:space="preserve">and meeting agendas </w:t>
      </w:r>
      <w:r w:rsidR="00371AD4">
        <w:rPr>
          <w:rFonts w:asciiTheme="majorHAnsi" w:eastAsia="Arial" w:hAnsiTheme="majorHAnsi" w:cstheme="majorHAnsi"/>
          <w:color w:val="000000"/>
          <w:sz w:val="20"/>
          <w:szCs w:val="20"/>
        </w:rPr>
        <w:t>is available in the electronic resource file</w:t>
      </w:r>
      <w:r w:rsidR="00170A34" w:rsidRPr="00743A41">
        <w:rPr>
          <w:rFonts w:asciiTheme="majorHAnsi" w:eastAsia="Arial" w:hAnsiTheme="majorHAnsi" w:cstheme="majorHAnsi"/>
          <w:color w:val="000000"/>
          <w:sz w:val="20"/>
          <w:szCs w:val="20"/>
        </w:rPr>
        <w:t xml:space="preserve"> (</w:t>
      </w:r>
      <w:r w:rsidR="00170A34" w:rsidRPr="006E28EE">
        <w:rPr>
          <w:rFonts w:asciiTheme="majorHAnsi" w:eastAsia="Arial" w:hAnsiTheme="majorHAnsi" w:cstheme="majorHAnsi"/>
          <w:i/>
          <w:color w:val="000000"/>
          <w:sz w:val="20"/>
          <w:szCs w:val="20"/>
        </w:rPr>
        <w:t xml:space="preserve">ERF, </w:t>
      </w:r>
      <w:r w:rsidR="00B50C00" w:rsidRPr="006E28EE">
        <w:rPr>
          <w:rFonts w:asciiTheme="majorHAnsi" w:eastAsia="Arial" w:hAnsiTheme="majorHAnsi" w:cstheme="majorHAnsi"/>
          <w:i/>
          <w:color w:val="000000"/>
          <w:sz w:val="20"/>
          <w:szCs w:val="20"/>
        </w:rPr>
        <w:t>A1. Organization and Administrative Processes</w:t>
      </w:r>
      <w:r w:rsidR="00B50C00" w:rsidRPr="00743A41">
        <w:rPr>
          <w:rFonts w:asciiTheme="majorHAnsi" w:eastAsia="Arial" w:hAnsiTheme="majorHAnsi" w:cstheme="majorHAnsi"/>
          <w:color w:val="000000"/>
          <w:sz w:val="20"/>
          <w:szCs w:val="20"/>
        </w:rPr>
        <w:t xml:space="preserve">). </w:t>
      </w:r>
    </w:p>
    <w:p w:rsidR="000B4889" w:rsidRPr="00743A41" w:rsidRDefault="000B4889" w:rsidP="00A37ED6">
      <w:pPr>
        <w:pBdr>
          <w:top w:val="nil"/>
          <w:left w:val="nil"/>
          <w:bottom w:val="nil"/>
          <w:right w:val="nil"/>
          <w:between w:val="nil"/>
        </w:pBdr>
        <w:tabs>
          <w:tab w:val="left" w:pos="2172"/>
        </w:tabs>
        <w:ind w:left="720"/>
        <w:jc w:val="both"/>
        <w:rPr>
          <w:rFonts w:asciiTheme="majorHAnsi" w:eastAsia="Arial" w:hAnsiTheme="majorHAnsi" w:cstheme="majorHAnsi"/>
          <w:color w:val="000000"/>
          <w:sz w:val="20"/>
          <w:szCs w:val="20"/>
        </w:rPr>
      </w:pPr>
    </w:p>
    <w:p w:rsidR="000B4889" w:rsidRPr="00743A41" w:rsidRDefault="000B4889" w:rsidP="00A37ED6">
      <w:pPr>
        <w:pStyle w:val="Default"/>
        <w:tabs>
          <w:tab w:val="left" w:pos="2172"/>
        </w:tabs>
        <w:ind w:left="720"/>
        <w:jc w:val="both"/>
        <w:rPr>
          <w:rFonts w:asciiTheme="majorHAnsi" w:eastAsia="Arial" w:hAnsiTheme="majorHAnsi" w:cstheme="majorHAnsi"/>
          <w:szCs w:val="20"/>
        </w:rPr>
      </w:pPr>
    </w:p>
    <w:p w:rsidR="000B4889" w:rsidRPr="00743A41" w:rsidRDefault="000B4889" w:rsidP="00A37ED6">
      <w:pPr>
        <w:rPr>
          <w:rFonts w:asciiTheme="majorHAnsi" w:eastAsia="Arial" w:hAnsiTheme="majorHAnsi" w:cstheme="majorHAnsi"/>
          <w:color w:val="000000"/>
          <w:sz w:val="20"/>
          <w:szCs w:val="20"/>
        </w:rPr>
      </w:pPr>
      <w:r w:rsidRPr="00743A41">
        <w:rPr>
          <w:rFonts w:asciiTheme="majorHAnsi" w:eastAsia="Arial" w:hAnsiTheme="majorHAnsi" w:cstheme="majorHAnsi"/>
          <w:sz w:val="20"/>
          <w:szCs w:val="20"/>
        </w:rPr>
        <w:br w:type="page"/>
      </w:r>
    </w:p>
    <w:p w:rsidR="00E866EA" w:rsidRPr="00743A41" w:rsidRDefault="00E866EA" w:rsidP="00A37ED6">
      <w:pPr>
        <w:pStyle w:val="Default"/>
        <w:tabs>
          <w:tab w:val="left" w:pos="2172"/>
        </w:tabs>
        <w:ind w:left="720"/>
        <w:jc w:val="both"/>
        <w:rPr>
          <w:rFonts w:asciiTheme="majorHAnsi" w:eastAsia="Arial" w:hAnsiTheme="majorHAnsi" w:cstheme="majorHAnsi"/>
          <w:szCs w:val="20"/>
        </w:rPr>
      </w:pPr>
      <w:bookmarkStart w:id="13" w:name="FigureA11"/>
      <w:r w:rsidRPr="00743A41">
        <w:rPr>
          <w:rFonts w:asciiTheme="majorHAnsi" w:eastAsia="Arial" w:hAnsiTheme="majorHAnsi" w:cstheme="majorHAnsi"/>
          <w:szCs w:val="20"/>
        </w:rPr>
        <w:t>Figure A</w:t>
      </w:r>
      <w:r w:rsidR="009C6BF9" w:rsidRPr="00743A41">
        <w:rPr>
          <w:rFonts w:asciiTheme="majorHAnsi" w:eastAsia="Arial" w:hAnsiTheme="majorHAnsi" w:cstheme="majorHAnsi"/>
          <w:szCs w:val="20"/>
        </w:rPr>
        <w:t>.</w:t>
      </w:r>
      <w:r w:rsidRPr="00743A41">
        <w:rPr>
          <w:rFonts w:asciiTheme="majorHAnsi" w:eastAsia="Arial" w:hAnsiTheme="majorHAnsi" w:cstheme="majorHAnsi"/>
          <w:szCs w:val="20"/>
        </w:rPr>
        <w:t>1.1</w:t>
      </w:r>
      <w:bookmarkEnd w:id="13"/>
      <w:r w:rsidRPr="00743A41">
        <w:rPr>
          <w:rFonts w:asciiTheme="majorHAnsi" w:eastAsia="Arial" w:hAnsiTheme="majorHAnsi" w:cstheme="majorHAnsi"/>
          <w:szCs w:val="20"/>
        </w:rPr>
        <w:t>. UTHealth School of Public Health Decision-Making Structure</w:t>
      </w:r>
    </w:p>
    <w:p w:rsidR="0039710E" w:rsidRPr="00743A41" w:rsidRDefault="001B6321" w:rsidP="00A37ED6">
      <w:pPr>
        <w:pStyle w:val="Default"/>
        <w:tabs>
          <w:tab w:val="left" w:pos="2172"/>
        </w:tabs>
        <w:ind w:left="720"/>
        <w:jc w:val="both"/>
        <w:rPr>
          <w:rFonts w:asciiTheme="majorHAnsi" w:eastAsia="Arial" w:hAnsiTheme="majorHAnsi" w:cstheme="majorHAnsi"/>
          <w:szCs w:val="20"/>
        </w:rPr>
      </w:pPr>
      <w:r w:rsidRPr="00743A41">
        <w:rPr>
          <w:rFonts w:asciiTheme="majorHAnsi" w:eastAsia="Arial" w:hAnsiTheme="majorHAnsi" w:cstheme="majorHAnsi"/>
          <w:noProof/>
          <w:color w:val="auto"/>
          <w:szCs w:val="20"/>
        </w:rPr>
        <mc:AlternateContent>
          <mc:Choice Requires="wps">
            <w:drawing>
              <wp:anchor distT="45720" distB="45720" distL="114300" distR="114300" simplePos="0" relativeHeight="251661312" behindDoc="0" locked="0" layoutInCell="1" allowOverlap="1" wp14:anchorId="4A98BDEB" wp14:editId="61296561">
                <wp:simplePos x="0" y="0"/>
                <wp:positionH relativeFrom="column">
                  <wp:posOffset>-171450</wp:posOffset>
                </wp:positionH>
                <wp:positionV relativeFrom="paragraph">
                  <wp:posOffset>2978785</wp:posOffset>
                </wp:positionV>
                <wp:extent cx="340995" cy="1934210"/>
                <wp:effectExtent l="0" t="0" r="20955" b="279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934210"/>
                        </a:xfrm>
                        <a:prstGeom prst="rect">
                          <a:avLst/>
                        </a:prstGeom>
                        <a:solidFill>
                          <a:srgbClr val="FFFFFF"/>
                        </a:solidFill>
                        <a:ln w="9525">
                          <a:solidFill>
                            <a:srgbClr val="000000"/>
                          </a:solidFill>
                          <a:miter lim="800000"/>
                          <a:headEnd/>
                          <a:tailEnd/>
                        </a:ln>
                      </wps:spPr>
                      <wps:txbx>
                        <w:txbxContent>
                          <w:p w:rsidR="004D4B23" w:rsidRPr="007322D5" w:rsidRDefault="004D4B23" w:rsidP="0039710E">
                            <w:pPr>
                              <w:jc w:val="center"/>
                              <w:rPr>
                                <w:sz w:val="18"/>
                                <w:szCs w:val="18"/>
                              </w:rPr>
                            </w:pPr>
                            <w:r w:rsidRPr="007322D5">
                              <w:rPr>
                                <w:sz w:val="18"/>
                                <w:szCs w:val="18"/>
                              </w:rPr>
                              <w:t>Policy recommendations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98BDEB" id="_x0000_t202" coordsize="21600,21600" o:spt="202" path="m,l,21600r21600,l21600,xe">
                <v:stroke joinstyle="miter"/>
                <v:path gradientshapeok="t" o:connecttype="rect"/>
              </v:shapetype>
              <v:shape id="Text Box 2" o:spid="_x0000_s1026" type="#_x0000_t202" style="position:absolute;left:0;text-align:left;margin-left:-13.5pt;margin-top:234.55pt;width:26.85pt;height:15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mJAIAAEgEAAAOAAAAZHJzL2Uyb0RvYy54bWysVNtu2zAMfR+wfxD0vvjSZG2MOEWXLsOA&#10;7gK0+wBZlmNhkqhJSuz8/Sg5zYJuexnmB0EUqaPDQ9Kr21ErchDOSzA1LWY5JcJwaKXZ1fTb0/bN&#10;DSU+MNMyBUbU9Cg8vV2/frUabCVK6EG1whEEMb4abE37EGyVZZ73QjM/AysMOjtwmgU03S5rHRsQ&#10;XauszPO32QCutQ648B5P7ycnXSf8rhM8fOk6LwJRNUVuIa0urU1cs/WKVTvHbC/5iQb7BxaaSYOP&#10;nqHuWWBk7+RvUFpyBx66MOOgM+g6yUXKAbMp8hfZPPbMipQLiuPtWSb//2D558NXR2SLtVtQYpjG&#10;Gj2JMZB3MJIyyjNYX2HUo8W4MOIxhqZUvX0A/t0TA5uemZ24cw6GXrAW6RXxZnZxdcLxEaQZPkGL&#10;z7B9gAQ0dk5H7VANguhYpuO5NJEKx8Oreb5cIkOOrmJ5NS+LVLuMVc+3rfPhgwBN4qamDkuf0Nnh&#10;wYfIhlXPIfExD0q2W6lUMtyu2ShHDgzbZJu+lMCLMGXIUNPlolxMAvwVIk/fnyC0DNjvSuqa3pyD&#10;WBVle2/a1I2BSTXtkbIyJx2jdJOIYWzGU10aaI+oqIOpr3EOcRPX8hpVHLCta+p/7JkTlKiPBguz&#10;LObzOAfJmC+uSzTcpae59DDDe8BpCZRM201IsxM1M3CHBexk0jZWeiJzoovtmiQ/jVach0s7Rf36&#10;Aax/AgAA//8DAFBLAwQUAAYACAAAACEAI8yy5+EAAAAKAQAADwAAAGRycy9kb3ducmV2LnhtbEyP&#10;UUvDMBSF3wX/Q7iCb1u6OpqtNh1TGChIp50/IGvu0mJzU5psq//e+KSPh3M45zvFZrI9u+DoO0cS&#10;FvMEGFLjdEdGwudhN1sB80GRVr0jlPCNHjbl7U2hcu2u9IGXOhgWS8jnSkIbwpBz7psWrfJzNyBF&#10;7+RGq0KUo+F6VNdYbnueJknGreooLrRqwOcWm6/6bCVU9V4/naZ99V6Nrwez3G3fkhcj5f3dtH0E&#10;FnAKf2H4xY/oUEamozuT9qyXMEtF/BIkLLP1AlhMpJkAdpQgxIMAXhb8/4XyBwAA//8DAFBLAQIt&#10;ABQABgAIAAAAIQC2gziS/gAAAOEBAAATAAAAAAAAAAAAAAAAAAAAAABbQ29udGVudF9UeXBlc10u&#10;eG1sUEsBAi0AFAAGAAgAAAAhADj9If/WAAAAlAEAAAsAAAAAAAAAAAAAAAAALwEAAF9yZWxzLy5y&#10;ZWxzUEsBAi0AFAAGAAgAAAAhAP4Vh6YkAgAASAQAAA4AAAAAAAAAAAAAAAAALgIAAGRycy9lMm9E&#10;b2MueG1sUEsBAi0AFAAGAAgAAAAhACPMsufhAAAACgEAAA8AAAAAAAAAAAAAAAAAfgQAAGRycy9k&#10;b3ducmV2LnhtbFBLBQYAAAAABAAEAPMAAACMBQAAAAA=&#10;">
                <v:textbox style="layout-flow:vertical;mso-layout-flow-alt:bottom-to-top">
                  <w:txbxContent>
                    <w:p w:rsidR="004D4B23" w:rsidRPr="007322D5" w:rsidRDefault="004D4B23" w:rsidP="0039710E">
                      <w:pPr>
                        <w:jc w:val="center"/>
                        <w:rPr>
                          <w:sz w:val="18"/>
                          <w:szCs w:val="18"/>
                        </w:rPr>
                      </w:pPr>
                      <w:r w:rsidRPr="007322D5">
                        <w:rPr>
                          <w:sz w:val="18"/>
                          <w:szCs w:val="18"/>
                        </w:rPr>
                        <w:t>Policy recommendations</w:t>
                      </w:r>
                    </w:p>
                  </w:txbxContent>
                </v:textbox>
                <w10:wrap type="square"/>
              </v:shape>
            </w:pict>
          </mc:Fallback>
        </mc:AlternateContent>
      </w:r>
      <w:r w:rsidRPr="00743A41">
        <w:rPr>
          <w:rFonts w:asciiTheme="majorHAnsi" w:eastAsia="Arial" w:hAnsiTheme="majorHAnsi" w:cstheme="majorHAnsi"/>
          <w:noProof/>
          <w:color w:val="auto"/>
          <w:szCs w:val="20"/>
        </w:rPr>
        <mc:AlternateContent>
          <mc:Choice Requires="wps">
            <w:drawing>
              <wp:anchor distT="45720" distB="45720" distL="114300" distR="114300" simplePos="0" relativeHeight="251662336" behindDoc="0" locked="0" layoutInCell="1" allowOverlap="1" wp14:anchorId="0A9D439E" wp14:editId="5F0E250E">
                <wp:simplePos x="0" y="0"/>
                <wp:positionH relativeFrom="column">
                  <wp:posOffset>-158750</wp:posOffset>
                </wp:positionH>
                <wp:positionV relativeFrom="paragraph">
                  <wp:posOffset>109855</wp:posOffset>
                </wp:positionV>
                <wp:extent cx="2360930" cy="1948180"/>
                <wp:effectExtent l="0" t="0" r="1143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48180"/>
                        </a:xfrm>
                        <a:prstGeom prst="rect">
                          <a:avLst/>
                        </a:prstGeom>
                        <a:solidFill>
                          <a:srgbClr val="FFFFFF"/>
                        </a:solidFill>
                        <a:ln w="9525">
                          <a:solidFill>
                            <a:srgbClr val="000000"/>
                          </a:solidFill>
                          <a:miter lim="800000"/>
                          <a:headEnd/>
                          <a:tailEnd/>
                        </a:ln>
                      </wps:spPr>
                      <wps:txbx>
                        <w:txbxContent>
                          <w:p w:rsidR="004D4B23" w:rsidRPr="007322D5" w:rsidRDefault="004D4B23" w:rsidP="0039710E">
                            <w:pPr>
                              <w:jc w:val="center"/>
                              <w:rPr>
                                <w:sz w:val="18"/>
                                <w:szCs w:val="18"/>
                              </w:rPr>
                            </w:pPr>
                            <w:r w:rsidRPr="007322D5">
                              <w:rPr>
                                <w:sz w:val="18"/>
                                <w:szCs w:val="18"/>
                              </w:rPr>
                              <w:t xml:space="preserve">Policy </w:t>
                            </w:r>
                            <w:r>
                              <w:rPr>
                                <w:sz w:val="18"/>
                                <w:szCs w:val="18"/>
                              </w:rPr>
                              <w:t>approval</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0A9D439E" id="_x0000_s1027" type="#_x0000_t202" style="position:absolute;left:0;text-align:left;margin-left:-12.5pt;margin-top:8.65pt;width:185.9pt;height:153.4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aJwIAAFAEAAAOAAAAZHJzL2Uyb0RvYy54bWysVNtu2zAMfR+wfxD0vthxkzYx4hRdugwD&#10;2m1Auw+gZTkWptskJXb/fpScZEG3vQzzgyCK1BF5DunV7aAkOXDnhdEVnU5ySrhmphF6V9Fvz9t3&#10;C0p8AN2ANJpX9IV7ert++2bV25IXpjOy4Y4giPZlbyvahWDLLPOs4wr8xFiu0dkapyCg6XZZ46BH&#10;dCWzIs+vs964xjrDuPd4ej866Trhty1n4Uvbeh6IrCjmFtLq0lrHNVuvoNw5sJ1gxzTgH7JQIDQ+&#10;eoa6hwBk78RvUEowZ7xpw4QZlZm2FYynGrCaaf6qmqcOLE+1IDnenmny/w+WfT58dUQ0qN2MEg0K&#10;NXrmQyDvzUCKSE9vfYlRTxbjwoDHGJpK9fbBsO+eaLPpQO/4nXOm7zg0mN403swuro44PoLU/aNp&#10;8BnYB5OAhtapyB2yQRAdZXo5SxNTYXhYXF3nyyt0MfRNl7PFdJHEy6A8XbfOh4/cKBI3FXWofYKH&#10;w4MPMR0oTyHxNW+kaLZCymS4Xb2RjhwA+2SbvlTBqzCpSV/R5byYjwz8FSJP358glAjY8FKoii7O&#10;QVBG3j7oJrVjACHHPaYs9ZHIyN3IYhjqYZTspE9tmhdk1pmxv3EecRPX4gYp67G9K+p/7MFxSuQn&#10;jQItp7NZnIdkzOY3BRru0lNfekCzzuDUBErG7SakGUrU2TsUcisSxVHxMZlj1ti2ifnjiMW5uLRT&#10;1K8fwfonAAAA//8DAFBLAwQUAAYACAAAACEATFvtTuIAAAAKAQAADwAAAGRycy9kb3ducmV2Lnht&#10;bEyPQU/CQBCF7yb+h82QeDGwpQU0tVtCNJyMB0GF49Id2mp3tnSXUv+940lv8/Je3rwvWw62ET12&#10;vnakYDqJQCAVztRUKnjbrsf3IHzQZHTjCBV8o4dlfn2V6dS4C71ivwml4BLyqVZQhdCmUvqiQqv9&#10;xLVI7B1dZ3Vg2ZXSdPrC5baRcRQtpNU18YdKt/hYYfG1OVsFSTHs1y+7+TudTk929XG7fY77T6Vu&#10;RsPqAUTAIfyF4Xc+T4ecNx3cmYwXjYJxPGeWwMZdAoIDyWzBLAc+4tkUZJ7J/wj5DwAAAP//AwBQ&#10;SwECLQAUAAYACAAAACEAtoM4kv4AAADhAQAAEwAAAAAAAAAAAAAAAAAAAAAAW0NvbnRlbnRfVHlw&#10;ZXNdLnhtbFBLAQItABQABgAIAAAAIQA4/SH/1gAAAJQBAAALAAAAAAAAAAAAAAAAAC8BAABfcmVs&#10;cy8ucmVsc1BLAQItABQABgAIAAAAIQAkui+aJwIAAFAEAAAOAAAAAAAAAAAAAAAAAC4CAABkcnMv&#10;ZTJvRG9jLnhtbFBLAQItABQABgAIAAAAIQBMW+1O4gAAAAoBAAAPAAAAAAAAAAAAAAAAAIEEAABk&#10;cnMvZG93bnJldi54bWxQSwUGAAAAAAQABADzAAAAkAUAAAAA&#10;">
                <v:textbox style="layout-flow:vertical;mso-layout-flow-alt:bottom-to-top;mso-fit-shape-to-text:t">
                  <w:txbxContent>
                    <w:p w:rsidR="004D4B23" w:rsidRPr="007322D5" w:rsidRDefault="004D4B23" w:rsidP="0039710E">
                      <w:pPr>
                        <w:jc w:val="center"/>
                        <w:rPr>
                          <w:sz w:val="18"/>
                          <w:szCs w:val="18"/>
                        </w:rPr>
                      </w:pPr>
                      <w:r w:rsidRPr="007322D5">
                        <w:rPr>
                          <w:sz w:val="18"/>
                          <w:szCs w:val="18"/>
                        </w:rPr>
                        <w:t xml:space="preserve">Policy </w:t>
                      </w:r>
                      <w:r>
                        <w:rPr>
                          <w:sz w:val="18"/>
                          <w:szCs w:val="18"/>
                        </w:rPr>
                        <w:t>approval</w:t>
                      </w:r>
                    </w:p>
                  </w:txbxContent>
                </v:textbox>
                <w10:wrap type="square"/>
              </v:shape>
            </w:pict>
          </mc:Fallback>
        </mc:AlternateContent>
      </w:r>
      <w:r w:rsidR="0039710E" w:rsidRPr="00743A41">
        <w:rPr>
          <w:rFonts w:asciiTheme="majorHAnsi" w:eastAsia="Arial" w:hAnsiTheme="majorHAnsi" w:cstheme="majorHAnsi"/>
          <w:noProof/>
          <w:szCs w:val="20"/>
        </w:rPr>
        <w:drawing>
          <wp:inline distT="0" distB="0" distL="0" distR="0" wp14:anchorId="75D7232D" wp14:editId="45F37B75">
            <wp:extent cx="5419726" cy="5704204"/>
            <wp:effectExtent l="0" t="0" r="9525" b="1143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39710E" w:rsidRPr="00743A41" w:rsidRDefault="0039710E" w:rsidP="00A37ED6">
      <w:pPr>
        <w:pStyle w:val="Default"/>
        <w:tabs>
          <w:tab w:val="left" w:pos="2172"/>
        </w:tabs>
        <w:ind w:left="720"/>
        <w:jc w:val="both"/>
        <w:rPr>
          <w:rFonts w:asciiTheme="majorHAnsi" w:eastAsia="Arial" w:hAnsiTheme="majorHAnsi" w:cstheme="majorHAnsi"/>
          <w:szCs w:val="20"/>
        </w:rPr>
      </w:pPr>
      <w:r w:rsidRPr="00743A41">
        <w:rPr>
          <w:rFonts w:asciiTheme="majorHAnsi" w:eastAsia="Arial" w:hAnsiTheme="majorHAnsi" w:cstheme="majorHAnsi"/>
          <w:noProof/>
          <w:szCs w:val="20"/>
        </w:rPr>
        <mc:AlternateContent>
          <mc:Choice Requires="wps">
            <w:drawing>
              <wp:anchor distT="0" distB="0" distL="114300" distR="114300" simplePos="0" relativeHeight="251660288" behindDoc="0" locked="0" layoutInCell="1" allowOverlap="1" wp14:anchorId="5230CF61" wp14:editId="27B5FC10">
                <wp:simplePos x="0" y="0"/>
                <wp:positionH relativeFrom="margin">
                  <wp:posOffset>542925</wp:posOffset>
                </wp:positionH>
                <wp:positionV relativeFrom="paragraph">
                  <wp:posOffset>96520</wp:posOffset>
                </wp:positionV>
                <wp:extent cx="5257586" cy="847725"/>
                <wp:effectExtent l="0" t="0" r="19685" b="28575"/>
                <wp:wrapNone/>
                <wp:docPr id="13" name="Round Single Corner Rectangle 13"/>
                <wp:cNvGraphicFramePr/>
                <a:graphic xmlns:a="http://schemas.openxmlformats.org/drawingml/2006/main">
                  <a:graphicData uri="http://schemas.microsoft.com/office/word/2010/wordprocessingShape">
                    <wps:wsp>
                      <wps:cNvSpPr/>
                      <wps:spPr>
                        <a:xfrm>
                          <a:off x="0" y="0"/>
                          <a:ext cx="5257586" cy="847725"/>
                        </a:xfrm>
                        <a:prstGeom prst="round1Rect">
                          <a:avLst/>
                        </a:prstGeom>
                      </wps:spPr>
                      <wps:style>
                        <a:lnRef idx="2">
                          <a:schemeClr val="dk1"/>
                        </a:lnRef>
                        <a:fillRef idx="1">
                          <a:schemeClr val="lt1"/>
                        </a:fillRef>
                        <a:effectRef idx="0">
                          <a:schemeClr val="dk1"/>
                        </a:effectRef>
                        <a:fontRef idx="minor">
                          <a:schemeClr val="dk1"/>
                        </a:fontRef>
                      </wps:style>
                      <wps:txbx>
                        <w:txbxContent>
                          <w:p w:rsidR="004D4B23" w:rsidRPr="00321053" w:rsidRDefault="004D4B23" w:rsidP="0039710E">
                            <w:pPr>
                              <w:jc w:val="center"/>
                              <w:rPr>
                                <w:sz w:val="20"/>
                              </w:rPr>
                            </w:pPr>
                            <w:r w:rsidRPr="00321053">
                              <w:rPr>
                                <w:sz w:val="20"/>
                              </w:rPr>
                              <w:t>Faculty provides input and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0CF61" id="Round Single Corner Rectangle 13" o:spid="_x0000_s1028" style="position:absolute;left:0;text-align:left;margin-left:42.75pt;margin-top:7.6pt;width:414pt;height:6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257586,847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2leAIAADgFAAAOAAAAZHJzL2Uyb0RvYy54bWysVEtv2zAMvg/YfxB0Xx17SdMFdYogRYcB&#10;RRs0HXpWZKkxJomapMTOfv0o+dGiK3YYdrFFkR+fH3V51WpFjsL5GkxJ87MJJcJwqGrzXNLvjzef&#10;LijxgZmKKTCipCfh6dXy44fLxi5EAXtQlXAEnRi/aGxJ9yHYRZZ5vhea+TOwwqBSgtMsoOies8qx&#10;Br1rlRWTyXnWgKusAy68x9vrTkmXyb+Ugod7Kb0IRJUUcwvp69J3F7/Z8pItnh2z+5r3abB/yEKz&#10;2mDQ0dU1C4wcXP2HK11zBx5kOOOgM5Cy5iLVgNXkkzfVbPfMilQLNsfbsU3+/7nld8eNI3WFs/tM&#10;iWEaZ/QAB1ORLbZTCbIGZ3BCD9hJli7QDpvWWL9A7NZuXC95PMYOtNLp+MfaSJsafRobLdpAOF7O&#10;itl8dnFOCUfdxXQ+L2bRafaCts6HrwI0iYeSuphSHpNIXWbHWx86wGCI6JhTl0U6hZMSMRFlHoTE&#10;EjFukdCJXGKtHDkypEX1I++DJ8sIkbVSIyh/D6TCAOptI0wkwo3AyXvAl2ijdYoIJoxAXRtwfwfL&#10;zn6ouqs1lh3aXZvmWQxj2kF1whk76MjvLb+psam3zIcNc8h23Avc4HCPH6mgKSn0J0r24H69dx/t&#10;kYSopaTB7Smp/3lgTlCivhmk55d8Oo3rloTpbF6g4F5rdq815qDXgJPI8a2wPB2jfVDDUTrQT7jo&#10;qxgVVcxwjF1SHtwgrEO31fhUcLFaJTNcMcvCrdlaHp3HPke6PLZPzNmeWQE5eQfDprHFG2p1thFp&#10;YHUIIOvEu9jprq/9BHA9E3/7pyTu/2s5Wb08eMvfAAAA//8DAFBLAwQUAAYACAAAACEATsHw1eAA&#10;AAAJAQAADwAAAGRycy9kb3ducmV2LnhtbEyPzU7DMBCE70i8g7VI3KjT0kAa4lQIUYEqOPTnUG5u&#10;vMSBeB3Fbht4epYTHPeb0exMMR9cK47Yh8aTgvEoAYFUedNQrWC7WVxlIELUZHTrCRV8YYB5eX5W&#10;6Nz4E63wuI614BAKuVZgY+xyKUNl0ekw8h0Sa+++dzry2dfS9PrE4a6VkyS5kU43xB+s7vDBYvW5&#10;PjgFEacv9vlp4f3q7WO73D1+L1+rjVKXF8P9HYiIQ/wzw299rg4ld9r7A5kgWgVZmrKTeToBwfps&#10;fM1gz2Ca3YIsC/l/QfkDAAD//wMAUEsBAi0AFAAGAAgAAAAhALaDOJL+AAAA4QEAABMAAAAAAAAA&#10;AAAAAAAAAAAAAFtDb250ZW50X1R5cGVzXS54bWxQSwECLQAUAAYACAAAACEAOP0h/9YAAACUAQAA&#10;CwAAAAAAAAAAAAAAAAAvAQAAX3JlbHMvLnJlbHNQSwECLQAUAAYACAAAACEAAZeNpXgCAAA4BQAA&#10;DgAAAAAAAAAAAAAAAAAuAgAAZHJzL2Uyb0RvYy54bWxQSwECLQAUAAYACAAAACEATsHw1eAAAAAJ&#10;AQAADwAAAAAAAAAAAAAAAADSBAAAZHJzL2Rvd25yZXYueG1sUEsFBgAAAAAEAAQA8wAAAN8FAAAA&#10;AA==&#10;" adj="-11796480,,5400" path="m,l5116296,v78032,,141290,63258,141290,141290l5257586,847725,,847725,,xe" fillcolor="white [3201]" strokecolor="black [3200]" strokeweight="1pt">
                <v:stroke joinstyle="miter"/>
                <v:formulas/>
                <v:path arrowok="t" o:connecttype="custom" o:connectlocs="0,0;5116296,0;5257586,141290;5257586,847725;0,847725;0,0" o:connectangles="0,0,0,0,0,0" textboxrect="0,0,5257586,847725"/>
                <v:textbox>
                  <w:txbxContent>
                    <w:p w:rsidR="004D4B23" w:rsidRPr="00321053" w:rsidRDefault="004D4B23" w:rsidP="0039710E">
                      <w:pPr>
                        <w:jc w:val="center"/>
                        <w:rPr>
                          <w:sz w:val="20"/>
                        </w:rPr>
                      </w:pPr>
                      <w:r w:rsidRPr="00321053">
                        <w:rPr>
                          <w:sz w:val="20"/>
                        </w:rPr>
                        <w:t>Faculty provides input and feedback</w:t>
                      </w:r>
                    </w:p>
                  </w:txbxContent>
                </v:textbox>
                <w10:wrap anchorx="margin"/>
              </v:shape>
            </w:pict>
          </mc:Fallback>
        </mc:AlternateContent>
      </w:r>
    </w:p>
    <w:p w:rsidR="0039710E" w:rsidRPr="00743A41" w:rsidRDefault="0039710E" w:rsidP="00A37ED6">
      <w:pPr>
        <w:pStyle w:val="Default"/>
        <w:tabs>
          <w:tab w:val="left" w:pos="2172"/>
        </w:tabs>
        <w:ind w:left="720"/>
        <w:jc w:val="both"/>
        <w:rPr>
          <w:rFonts w:asciiTheme="majorHAnsi" w:eastAsia="Arial" w:hAnsiTheme="majorHAnsi" w:cstheme="majorHAnsi"/>
          <w:szCs w:val="20"/>
        </w:rPr>
      </w:pPr>
    </w:p>
    <w:p w:rsidR="00933038" w:rsidRPr="00743A41" w:rsidRDefault="00933038" w:rsidP="00A37ED6">
      <w:pPr>
        <w:pStyle w:val="Default"/>
        <w:tabs>
          <w:tab w:val="left" w:pos="2172"/>
        </w:tabs>
        <w:ind w:left="720"/>
        <w:jc w:val="both"/>
        <w:rPr>
          <w:rFonts w:asciiTheme="majorHAnsi" w:hAnsiTheme="majorHAnsi" w:cstheme="majorHAnsi"/>
          <w:color w:val="auto"/>
          <w:szCs w:val="20"/>
        </w:rPr>
      </w:pPr>
    </w:p>
    <w:p w:rsidR="00782343" w:rsidRPr="00743A41" w:rsidRDefault="00782343" w:rsidP="00A37ED6">
      <w:pPr>
        <w:pStyle w:val="Default"/>
        <w:tabs>
          <w:tab w:val="left" w:pos="2172"/>
        </w:tabs>
        <w:ind w:left="720"/>
        <w:rPr>
          <w:rFonts w:asciiTheme="majorHAnsi" w:eastAsia="Arial" w:hAnsiTheme="majorHAnsi" w:cstheme="majorHAnsi"/>
          <w:b/>
          <w:szCs w:val="20"/>
        </w:rPr>
      </w:pPr>
    </w:p>
    <w:p w:rsidR="00782343" w:rsidRPr="00743A41" w:rsidRDefault="00782343" w:rsidP="00A37ED6">
      <w:pPr>
        <w:pStyle w:val="Default"/>
        <w:tabs>
          <w:tab w:val="left" w:pos="2172"/>
        </w:tabs>
        <w:ind w:left="720"/>
        <w:rPr>
          <w:rFonts w:asciiTheme="majorHAnsi" w:eastAsia="Arial" w:hAnsiTheme="majorHAnsi" w:cstheme="majorHAnsi"/>
          <w:b/>
          <w:szCs w:val="20"/>
        </w:rPr>
      </w:pPr>
    </w:p>
    <w:p w:rsidR="00782343" w:rsidRPr="00743A41" w:rsidRDefault="00782343" w:rsidP="00A37ED6">
      <w:pPr>
        <w:pStyle w:val="Default"/>
        <w:tabs>
          <w:tab w:val="left" w:pos="2172"/>
        </w:tabs>
        <w:ind w:left="720"/>
        <w:rPr>
          <w:rFonts w:asciiTheme="majorHAnsi" w:eastAsia="Arial" w:hAnsiTheme="majorHAnsi" w:cstheme="majorHAnsi"/>
          <w:b/>
          <w:szCs w:val="20"/>
        </w:rPr>
      </w:pPr>
    </w:p>
    <w:p w:rsidR="00782343" w:rsidRPr="00743A41" w:rsidRDefault="00782343" w:rsidP="00A37ED6">
      <w:pPr>
        <w:pStyle w:val="Default"/>
        <w:tabs>
          <w:tab w:val="left" w:pos="2172"/>
        </w:tabs>
        <w:ind w:left="720"/>
        <w:rPr>
          <w:rFonts w:asciiTheme="majorHAnsi" w:eastAsia="Arial" w:hAnsiTheme="majorHAnsi" w:cstheme="majorHAnsi"/>
          <w:b/>
          <w:szCs w:val="20"/>
        </w:rPr>
      </w:pPr>
    </w:p>
    <w:p w:rsidR="00782343" w:rsidRPr="00743A41" w:rsidRDefault="00782343" w:rsidP="00A37ED6">
      <w:pPr>
        <w:pStyle w:val="Default"/>
        <w:tabs>
          <w:tab w:val="left" w:pos="2172"/>
        </w:tabs>
        <w:ind w:left="720"/>
        <w:rPr>
          <w:rFonts w:asciiTheme="majorHAnsi" w:eastAsia="Arial" w:hAnsiTheme="majorHAnsi" w:cstheme="majorHAnsi"/>
          <w:b/>
          <w:szCs w:val="20"/>
        </w:rPr>
      </w:pPr>
    </w:p>
    <w:p w:rsidR="00782343" w:rsidRPr="00743A41" w:rsidRDefault="00782343" w:rsidP="00A37ED6">
      <w:pPr>
        <w:pStyle w:val="Default"/>
        <w:tabs>
          <w:tab w:val="left" w:pos="2172"/>
        </w:tabs>
        <w:ind w:left="720"/>
        <w:rPr>
          <w:rFonts w:asciiTheme="majorHAnsi" w:eastAsia="Arial" w:hAnsiTheme="majorHAnsi" w:cstheme="majorHAnsi"/>
          <w:b/>
          <w:szCs w:val="20"/>
        </w:rPr>
      </w:pPr>
    </w:p>
    <w:p w:rsidR="00782343" w:rsidRPr="00743A41" w:rsidRDefault="00782343" w:rsidP="00A37ED6">
      <w:pPr>
        <w:pStyle w:val="Default"/>
        <w:tabs>
          <w:tab w:val="left" w:pos="2172"/>
        </w:tabs>
        <w:ind w:left="720"/>
        <w:rPr>
          <w:rFonts w:asciiTheme="majorHAnsi" w:eastAsia="Arial" w:hAnsiTheme="majorHAnsi" w:cstheme="majorHAnsi"/>
          <w:b/>
          <w:szCs w:val="20"/>
        </w:rPr>
      </w:pPr>
    </w:p>
    <w:p w:rsidR="00782343" w:rsidRPr="00743A41" w:rsidRDefault="00782343" w:rsidP="00A37ED6">
      <w:pPr>
        <w:pStyle w:val="Default"/>
        <w:tabs>
          <w:tab w:val="left" w:pos="2172"/>
        </w:tabs>
        <w:ind w:left="720"/>
        <w:rPr>
          <w:rFonts w:asciiTheme="majorHAnsi" w:eastAsia="Arial" w:hAnsiTheme="majorHAnsi" w:cstheme="majorHAnsi"/>
          <w:b/>
          <w:szCs w:val="20"/>
        </w:rPr>
      </w:pPr>
    </w:p>
    <w:p w:rsidR="00782343" w:rsidRPr="00743A41" w:rsidRDefault="00782343" w:rsidP="00A37ED6">
      <w:pPr>
        <w:pStyle w:val="Default"/>
        <w:tabs>
          <w:tab w:val="left" w:pos="2172"/>
        </w:tabs>
        <w:ind w:left="720"/>
        <w:rPr>
          <w:rFonts w:asciiTheme="majorHAnsi" w:eastAsia="Arial" w:hAnsiTheme="majorHAnsi" w:cstheme="majorHAnsi"/>
          <w:b/>
          <w:szCs w:val="20"/>
        </w:rPr>
      </w:pPr>
    </w:p>
    <w:p w:rsidR="00782343" w:rsidRPr="00743A41" w:rsidRDefault="00782343" w:rsidP="00A37ED6">
      <w:pPr>
        <w:pStyle w:val="Default"/>
        <w:tabs>
          <w:tab w:val="left" w:pos="2172"/>
        </w:tabs>
        <w:ind w:left="720"/>
        <w:rPr>
          <w:rFonts w:asciiTheme="majorHAnsi" w:eastAsia="Arial" w:hAnsiTheme="majorHAnsi" w:cstheme="majorHAnsi"/>
          <w:b/>
          <w:szCs w:val="20"/>
        </w:rPr>
      </w:pPr>
    </w:p>
    <w:p w:rsidR="00782343" w:rsidRPr="00743A41" w:rsidRDefault="00782343" w:rsidP="00A37ED6">
      <w:pPr>
        <w:pStyle w:val="Default"/>
        <w:tabs>
          <w:tab w:val="left" w:pos="2172"/>
        </w:tabs>
        <w:ind w:left="720"/>
        <w:rPr>
          <w:rFonts w:asciiTheme="majorHAnsi" w:eastAsia="Arial" w:hAnsiTheme="majorHAnsi" w:cstheme="majorHAnsi"/>
          <w:b/>
          <w:szCs w:val="20"/>
        </w:rPr>
      </w:pPr>
    </w:p>
    <w:p w:rsidR="009C6BF9" w:rsidRPr="00743A41" w:rsidRDefault="009C6BF9" w:rsidP="00A37ED6">
      <w:pPr>
        <w:pStyle w:val="Default"/>
        <w:tabs>
          <w:tab w:val="left" w:pos="2172"/>
        </w:tabs>
        <w:ind w:left="720"/>
        <w:rPr>
          <w:rFonts w:asciiTheme="majorHAnsi" w:eastAsia="Arial" w:hAnsiTheme="majorHAnsi" w:cstheme="majorHAnsi"/>
          <w:b/>
          <w:szCs w:val="20"/>
        </w:rPr>
      </w:pPr>
    </w:p>
    <w:p w:rsidR="009C6BF9" w:rsidRPr="00743A41" w:rsidRDefault="009C6BF9" w:rsidP="00360DB7">
      <w:pPr>
        <w:pStyle w:val="Default"/>
        <w:tabs>
          <w:tab w:val="left" w:pos="2172"/>
        </w:tabs>
        <w:ind w:left="-180"/>
        <w:rPr>
          <w:rFonts w:asciiTheme="majorHAnsi" w:eastAsia="Arial" w:hAnsiTheme="majorHAnsi" w:cstheme="majorHAnsi"/>
          <w:szCs w:val="20"/>
        </w:rPr>
      </w:pPr>
      <w:bookmarkStart w:id="14" w:name="Tablea11"/>
      <w:r w:rsidRPr="00743A41">
        <w:rPr>
          <w:rFonts w:asciiTheme="majorHAnsi" w:eastAsia="Arial" w:hAnsiTheme="majorHAnsi" w:cstheme="majorHAnsi"/>
          <w:szCs w:val="20"/>
        </w:rPr>
        <w:t xml:space="preserve">Table A.1.1. </w:t>
      </w:r>
      <w:bookmarkEnd w:id="14"/>
      <w:r w:rsidRPr="00743A41">
        <w:rPr>
          <w:rFonts w:asciiTheme="majorHAnsi" w:eastAsia="Arial" w:hAnsiTheme="majorHAnsi" w:cstheme="majorHAnsi"/>
          <w:szCs w:val="20"/>
        </w:rPr>
        <w:t>UTHealth School of Public Health Standing and Significant Ad-Hoc Committees</w:t>
      </w:r>
      <w:r w:rsidR="00360DB7" w:rsidRPr="00743A41">
        <w:rPr>
          <w:rFonts w:asciiTheme="majorHAnsi" w:eastAsia="Arial" w:hAnsiTheme="majorHAnsi" w:cstheme="majorHAnsi"/>
          <w:szCs w:val="20"/>
        </w:rPr>
        <w:t xml:space="preserve"> </w:t>
      </w:r>
      <w:r w:rsidR="00360DB7" w:rsidRPr="00743A41">
        <w:rPr>
          <w:rFonts w:asciiTheme="majorHAnsi" w:hAnsiTheme="majorHAnsi" w:cstheme="majorHAnsi"/>
          <w:color w:val="auto"/>
          <w:szCs w:val="20"/>
        </w:rPr>
        <w:t>(</w:t>
      </w:r>
      <w:r w:rsidR="00D20CD7" w:rsidRPr="008C5305">
        <w:rPr>
          <w:rFonts w:asciiTheme="majorHAnsi" w:eastAsia="Arial" w:hAnsiTheme="majorHAnsi" w:cstheme="majorHAnsi"/>
          <w:i/>
          <w:szCs w:val="20"/>
        </w:rPr>
        <w:t>ERF, A1.1. Organization and Administrative Processes</w:t>
      </w:r>
      <w:r w:rsidR="00360DB7" w:rsidRPr="006E28EE">
        <w:rPr>
          <w:rFonts w:asciiTheme="majorHAnsi" w:eastAsia="Arial" w:hAnsiTheme="majorHAnsi" w:cstheme="majorHAnsi"/>
          <w:szCs w:val="20"/>
        </w:rPr>
        <w:t>)</w:t>
      </w:r>
    </w:p>
    <w:tbl>
      <w:tblPr>
        <w:tblStyle w:val="GridTable1Light"/>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070"/>
        <w:gridCol w:w="2070"/>
        <w:gridCol w:w="1710"/>
        <w:gridCol w:w="2250"/>
      </w:tblGrid>
      <w:tr w:rsidR="006F6775" w:rsidRPr="006E28EE" w:rsidTr="006E28E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vAlign w:val="center"/>
          </w:tcPr>
          <w:p w:rsidR="001E54DF" w:rsidRPr="006E28EE" w:rsidRDefault="00203B83" w:rsidP="00FC4AEF">
            <w:pPr>
              <w:pStyle w:val="Default"/>
              <w:tabs>
                <w:tab w:val="left" w:pos="2172"/>
              </w:tabs>
              <w:jc w:val="center"/>
              <w:rPr>
                <w:rFonts w:asciiTheme="majorHAnsi" w:hAnsiTheme="majorHAnsi" w:cstheme="majorHAnsi"/>
                <w:color w:val="auto"/>
              </w:rPr>
            </w:pPr>
            <w:r w:rsidRPr="006E28EE">
              <w:rPr>
                <w:rFonts w:asciiTheme="majorHAnsi" w:eastAsia="Arial" w:hAnsiTheme="majorHAnsi" w:cstheme="majorHAnsi"/>
              </w:rPr>
              <w:br w:type="page"/>
            </w:r>
            <w:r w:rsidRPr="006E28EE">
              <w:rPr>
                <w:rFonts w:asciiTheme="majorHAnsi" w:hAnsiTheme="majorHAnsi" w:cstheme="majorHAnsi"/>
                <w:color w:val="auto"/>
              </w:rPr>
              <w:t xml:space="preserve">Committee </w:t>
            </w:r>
          </w:p>
          <w:p w:rsidR="00203B83" w:rsidRPr="005309FC" w:rsidRDefault="00FA2BDC" w:rsidP="00FC4AEF">
            <w:pPr>
              <w:pStyle w:val="Default"/>
              <w:tabs>
                <w:tab w:val="left" w:pos="2172"/>
              </w:tabs>
              <w:jc w:val="center"/>
              <w:rPr>
                <w:rFonts w:asciiTheme="majorHAnsi" w:hAnsiTheme="majorHAnsi" w:cstheme="majorHAnsi"/>
                <w:b w:val="0"/>
                <w:i/>
                <w:color w:val="auto"/>
              </w:rPr>
            </w:pPr>
            <w:r w:rsidRPr="005309FC">
              <w:rPr>
                <w:rFonts w:asciiTheme="majorHAnsi" w:hAnsiTheme="majorHAnsi" w:cstheme="majorHAnsi"/>
                <w:b w:val="0"/>
                <w:i/>
                <w:color w:val="auto"/>
              </w:rPr>
              <w:t>Meeting Frequency</w:t>
            </w:r>
          </w:p>
        </w:tc>
        <w:tc>
          <w:tcPr>
            <w:tcW w:w="2070" w:type="dxa"/>
            <w:shd w:val="clear" w:color="auto" w:fill="D9D9D9" w:themeFill="background1" w:themeFillShade="D9"/>
            <w:vAlign w:val="center"/>
          </w:tcPr>
          <w:p w:rsidR="00203B83" w:rsidRPr="006E28EE" w:rsidRDefault="00203B83" w:rsidP="00A37ED6">
            <w:pPr>
              <w:pStyle w:val="Default"/>
              <w:tabs>
                <w:tab w:val="left" w:pos="2172"/>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color w:val="auto"/>
              </w:rPr>
              <w:t>C</w:t>
            </w:r>
            <w:r w:rsidR="00FA2BDC" w:rsidRPr="006E28EE">
              <w:rPr>
                <w:rFonts w:asciiTheme="majorHAnsi" w:hAnsiTheme="majorHAnsi" w:cstheme="majorHAnsi"/>
                <w:color w:val="auto"/>
              </w:rPr>
              <w:t>ommittee Charge</w:t>
            </w:r>
          </w:p>
        </w:tc>
        <w:tc>
          <w:tcPr>
            <w:tcW w:w="2070" w:type="dxa"/>
            <w:shd w:val="clear" w:color="auto" w:fill="D9D9D9" w:themeFill="background1" w:themeFillShade="D9"/>
            <w:vAlign w:val="center"/>
          </w:tcPr>
          <w:p w:rsidR="00203B83" w:rsidRPr="006E28EE" w:rsidRDefault="00FA2BDC" w:rsidP="00A37ED6">
            <w:pPr>
              <w:pStyle w:val="Default"/>
              <w:tabs>
                <w:tab w:val="left" w:pos="2172"/>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color w:val="auto"/>
              </w:rPr>
              <w:t xml:space="preserve">Committee </w:t>
            </w:r>
            <w:r w:rsidR="00203B83" w:rsidRPr="006E28EE">
              <w:rPr>
                <w:rFonts w:asciiTheme="majorHAnsi" w:hAnsiTheme="majorHAnsi" w:cstheme="majorHAnsi"/>
                <w:color w:val="auto"/>
              </w:rPr>
              <w:t>Membership</w:t>
            </w:r>
          </w:p>
        </w:tc>
        <w:tc>
          <w:tcPr>
            <w:tcW w:w="1710" w:type="dxa"/>
            <w:shd w:val="clear" w:color="auto" w:fill="D9D9D9" w:themeFill="background1" w:themeFillShade="D9"/>
            <w:vAlign w:val="center"/>
          </w:tcPr>
          <w:p w:rsidR="00203B83" w:rsidRPr="006E28EE" w:rsidRDefault="00203B83" w:rsidP="00A37ED6">
            <w:pPr>
              <w:pStyle w:val="Default"/>
              <w:tabs>
                <w:tab w:val="left" w:pos="2172"/>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color w:val="auto"/>
              </w:rPr>
              <w:t>Voting</w:t>
            </w:r>
          </w:p>
        </w:tc>
        <w:tc>
          <w:tcPr>
            <w:tcW w:w="2250" w:type="dxa"/>
            <w:shd w:val="clear" w:color="auto" w:fill="D9D9D9" w:themeFill="background1" w:themeFillShade="D9"/>
            <w:vAlign w:val="center"/>
          </w:tcPr>
          <w:p w:rsidR="00203B83" w:rsidRPr="001A2AEC" w:rsidRDefault="004A46C3" w:rsidP="001A2AEC">
            <w:pPr>
              <w:pStyle w:val="Default"/>
              <w:tabs>
                <w:tab w:val="left" w:pos="2172"/>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rPr>
            </w:pPr>
            <w:r w:rsidRPr="006E28EE">
              <w:rPr>
                <w:rFonts w:asciiTheme="majorHAnsi" w:hAnsiTheme="majorHAnsi" w:cstheme="majorHAnsi"/>
                <w:color w:val="auto"/>
              </w:rPr>
              <w:t>Location of s</w:t>
            </w:r>
            <w:r w:rsidR="00203B83" w:rsidRPr="006E28EE">
              <w:rPr>
                <w:rFonts w:asciiTheme="majorHAnsi" w:hAnsiTheme="majorHAnsi" w:cstheme="majorHAnsi"/>
                <w:color w:val="auto"/>
              </w:rPr>
              <w:t xml:space="preserve">upporting </w:t>
            </w:r>
            <w:r w:rsidR="00FA2BDC" w:rsidRPr="006E28EE">
              <w:rPr>
                <w:rFonts w:asciiTheme="majorHAnsi" w:hAnsiTheme="majorHAnsi" w:cstheme="majorHAnsi"/>
                <w:color w:val="auto"/>
              </w:rPr>
              <w:t xml:space="preserve">documentation </w:t>
            </w:r>
            <w:r w:rsidR="00DB48AF" w:rsidRPr="006E28EE">
              <w:rPr>
                <w:rFonts w:asciiTheme="majorHAnsi" w:hAnsiTheme="majorHAnsi" w:cstheme="majorHAnsi"/>
                <w:color w:val="auto"/>
              </w:rPr>
              <w:t>in ERF</w:t>
            </w:r>
          </w:p>
        </w:tc>
      </w:tr>
      <w:tr w:rsidR="00690200" w:rsidRPr="006E28EE" w:rsidTr="006E28EE">
        <w:trPr>
          <w:cantSplit/>
        </w:trPr>
        <w:tc>
          <w:tcPr>
            <w:cnfStyle w:val="001000000000" w:firstRow="0" w:lastRow="0" w:firstColumn="1" w:lastColumn="0" w:oddVBand="0" w:evenVBand="0" w:oddHBand="0" w:evenHBand="0" w:firstRowFirstColumn="0" w:firstRowLastColumn="0" w:lastRowFirstColumn="0" w:lastRowLastColumn="0"/>
            <w:tcW w:w="1980" w:type="dxa"/>
          </w:tcPr>
          <w:p w:rsidR="00203B83" w:rsidRPr="0046308B" w:rsidRDefault="004A46C3" w:rsidP="00A37ED6">
            <w:pPr>
              <w:pStyle w:val="Default"/>
              <w:tabs>
                <w:tab w:val="left" w:pos="2172"/>
              </w:tabs>
              <w:rPr>
                <w:rFonts w:asciiTheme="majorHAnsi" w:eastAsia="Arial" w:hAnsiTheme="majorHAnsi" w:cstheme="majorHAnsi"/>
              </w:rPr>
            </w:pPr>
            <w:r w:rsidRPr="006E28EE">
              <w:rPr>
                <w:rFonts w:asciiTheme="majorHAnsi" w:hAnsiTheme="majorHAnsi" w:cstheme="majorHAnsi"/>
              </w:rPr>
              <w:t>School</w:t>
            </w:r>
            <w:r w:rsidRPr="006E28EE">
              <w:rPr>
                <w:rFonts w:asciiTheme="majorHAnsi" w:hAnsiTheme="majorHAnsi" w:cstheme="majorHAnsi"/>
                <w:b w:val="0"/>
              </w:rPr>
              <w:t xml:space="preserve"> </w:t>
            </w:r>
            <w:r w:rsidRPr="006E28EE">
              <w:rPr>
                <w:rFonts w:asciiTheme="majorHAnsi" w:hAnsiTheme="majorHAnsi" w:cstheme="majorHAnsi"/>
              </w:rPr>
              <w:t xml:space="preserve">of </w:t>
            </w:r>
            <w:r w:rsidRPr="0046308B">
              <w:rPr>
                <w:rFonts w:asciiTheme="majorHAnsi" w:hAnsiTheme="majorHAnsi" w:cstheme="majorHAnsi"/>
              </w:rPr>
              <w:t>Pub</w:t>
            </w:r>
            <w:r w:rsidR="00C33A0E" w:rsidRPr="0046308B">
              <w:rPr>
                <w:rFonts w:asciiTheme="majorHAnsi" w:eastAsia="Arial" w:hAnsiTheme="majorHAnsi" w:cstheme="majorHAnsi"/>
                <w:bCs w:val="0"/>
              </w:rPr>
              <w:t>lic Health Executive Committee (</w:t>
            </w:r>
            <w:r w:rsidRPr="0046308B">
              <w:rPr>
                <w:rFonts w:asciiTheme="majorHAnsi" w:hAnsiTheme="majorHAnsi" w:cstheme="majorHAnsi"/>
              </w:rPr>
              <w:t>SPHEC</w:t>
            </w:r>
            <w:r w:rsidR="00C33A0E" w:rsidRPr="0046308B">
              <w:rPr>
                <w:rFonts w:asciiTheme="majorHAnsi" w:eastAsia="Arial" w:hAnsiTheme="majorHAnsi" w:cstheme="majorHAnsi"/>
                <w:bCs w:val="0"/>
              </w:rPr>
              <w:t>)</w:t>
            </w:r>
          </w:p>
          <w:p w:rsidR="00203B83" w:rsidRPr="006E28EE" w:rsidRDefault="00203B83" w:rsidP="00A37ED6">
            <w:pPr>
              <w:pStyle w:val="Default"/>
              <w:tabs>
                <w:tab w:val="left" w:pos="2172"/>
              </w:tabs>
              <w:jc w:val="both"/>
              <w:rPr>
                <w:rFonts w:asciiTheme="majorHAnsi" w:hAnsiTheme="majorHAnsi" w:cstheme="majorHAnsi"/>
                <w:color w:val="auto"/>
              </w:rPr>
            </w:pPr>
          </w:p>
          <w:p w:rsidR="00203B83" w:rsidRPr="006E28EE" w:rsidRDefault="00203B83" w:rsidP="00A37ED6">
            <w:pPr>
              <w:pStyle w:val="Default"/>
              <w:tabs>
                <w:tab w:val="left" w:pos="2172"/>
              </w:tabs>
              <w:jc w:val="both"/>
              <w:rPr>
                <w:rFonts w:asciiTheme="majorHAnsi" w:hAnsiTheme="majorHAnsi" w:cstheme="majorHAnsi"/>
                <w:color w:val="auto"/>
              </w:rPr>
            </w:pPr>
          </w:p>
          <w:p w:rsidR="00203B83" w:rsidRPr="0046308B" w:rsidRDefault="00203B83" w:rsidP="00A37ED6">
            <w:pPr>
              <w:pStyle w:val="Default"/>
              <w:tabs>
                <w:tab w:val="left" w:pos="2172"/>
              </w:tabs>
              <w:rPr>
                <w:rFonts w:asciiTheme="majorHAnsi" w:hAnsiTheme="majorHAnsi" w:cstheme="majorHAnsi"/>
                <w:b w:val="0"/>
                <w:i/>
                <w:color w:val="auto"/>
              </w:rPr>
            </w:pPr>
            <w:r w:rsidRPr="0046308B">
              <w:rPr>
                <w:rFonts w:asciiTheme="majorHAnsi" w:hAnsiTheme="majorHAnsi" w:cstheme="majorHAnsi"/>
                <w:b w:val="0"/>
                <w:i/>
                <w:color w:val="auto"/>
              </w:rPr>
              <w:t>Meets monthly</w:t>
            </w:r>
          </w:p>
        </w:tc>
        <w:tc>
          <w:tcPr>
            <w:tcW w:w="2070" w:type="dxa"/>
          </w:tcPr>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eastAsia="Arial" w:hAnsiTheme="majorHAnsi" w:cstheme="majorHAnsi"/>
              </w:rPr>
              <w:t>Advises the dean on all academic, research, and administrative matters necessary for the school to achieve its mission, goals, and objectives.</w:t>
            </w:r>
          </w:p>
        </w:tc>
        <w:tc>
          <w:tcPr>
            <w:tcW w:w="2070" w:type="dxa"/>
          </w:tcPr>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color w:val="auto"/>
              </w:rPr>
              <w:t>Dean’s Office</w:t>
            </w:r>
          </w:p>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color w:val="auto"/>
              </w:rPr>
              <w:t>Office of Academic Affairs and Student Services</w:t>
            </w:r>
          </w:p>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color w:val="auto"/>
              </w:rPr>
              <w:t>Faculty Council representatives</w:t>
            </w:r>
          </w:p>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color w:val="auto"/>
              </w:rPr>
              <w:t>Department chairs</w:t>
            </w:r>
          </w:p>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color w:val="auto"/>
              </w:rPr>
              <w:t>Campus deans</w:t>
            </w:r>
          </w:p>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color w:val="auto"/>
              </w:rPr>
              <w:t xml:space="preserve">Center directors </w:t>
            </w:r>
          </w:p>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color w:val="auto"/>
              </w:rPr>
              <w:t>Student representative</w:t>
            </w:r>
          </w:p>
        </w:tc>
        <w:tc>
          <w:tcPr>
            <w:tcW w:w="1710" w:type="dxa"/>
          </w:tcPr>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rPr>
              <w:t xml:space="preserve">All members of SPHEC are voting members, with the exception of the Student Association representative.  </w:t>
            </w:r>
          </w:p>
        </w:tc>
        <w:tc>
          <w:tcPr>
            <w:tcW w:w="2250" w:type="dxa"/>
          </w:tcPr>
          <w:p w:rsidR="00203B83" w:rsidRPr="006E28EE" w:rsidRDefault="00BA3BF9"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i/>
              </w:rPr>
              <w:t>Supporting documentation</w:t>
            </w:r>
            <w:r w:rsidR="006F6775" w:rsidRPr="006E28EE">
              <w:rPr>
                <w:rFonts w:asciiTheme="majorHAnsi" w:hAnsiTheme="majorHAnsi" w:cstheme="majorHAnsi"/>
                <w:i/>
              </w:rPr>
              <w:t xml:space="preserve"> for the School of Public Health Executive Committee (SPHEC)</w:t>
            </w:r>
            <w:r w:rsidRPr="006E28EE">
              <w:rPr>
                <w:rFonts w:asciiTheme="majorHAnsi" w:hAnsiTheme="majorHAnsi" w:cstheme="majorHAnsi"/>
                <w:i/>
              </w:rPr>
              <w:t xml:space="preserve">, including committee bylaws, membership, meeting agendas, and meeting minutes </w:t>
            </w:r>
            <w:r w:rsidR="00D60DA2">
              <w:rPr>
                <w:rFonts w:asciiTheme="majorHAnsi" w:hAnsiTheme="majorHAnsi" w:cstheme="majorHAnsi"/>
                <w:i/>
              </w:rPr>
              <w:t>is available in the electronic resource file</w:t>
            </w:r>
            <w:r w:rsidR="0008312C" w:rsidRPr="006E28EE">
              <w:rPr>
                <w:rFonts w:asciiTheme="majorHAnsi" w:hAnsiTheme="majorHAnsi" w:cstheme="majorHAnsi"/>
                <w:i/>
              </w:rPr>
              <w:t xml:space="preserve"> (</w:t>
            </w:r>
            <w:r w:rsidR="004A46C3" w:rsidRPr="006E28EE">
              <w:rPr>
                <w:rFonts w:asciiTheme="majorHAnsi" w:hAnsiTheme="majorHAnsi" w:cstheme="majorHAnsi"/>
                <w:i/>
              </w:rPr>
              <w:t xml:space="preserve">ERF, </w:t>
            </w:r>
            <w:r w:rsidR="00E14B8D" w:rsidRPr="006E28EE">
              <w:rPr>
                <w:rFonts w:asciiTheme="majorHAnsi" w:hAnsiTheme="majorHAnsi" w:cstheme="majorHAnsi"/>
                <w:i/>
              </w:rPr>
              <w:t>A</w:t>
            </w:r>
            <w:r w:rsidR="004A46C3" w:rsidRPr="006E28EE">
              <w:rPr>
                <w:rFonts w:asciiTheme="majorHAnsi" w:hAnsiTheme="majorHAnsi" w:cstheme="majorHAnsi"/>
                <w:i/>
              </w:rPr>
              <w:t>1.1.a. School of Public Health Executive Commi</w:t>
            </w:r>
            <w:r w:rsidR="00E14B8D" w:rsidRPr="006E28EE">
              <w:rPr>
                <w:rFonts w:asciiTheme="majorHAnsi" w:hAnsiTheme="majorHAnsi" w:cstheme="majorHAnsi"/>
                <w:i/>
              </w:rPr>
              <w:t>ttee</w:t>
            </w:r>
            <w:r w:rsidR="0008312C" w:rsidRPr="006E28EE">
              <w:rPr>
                <w:rFonts w:asciiTheme="majorHAnsi" w:hAnsiTheme="majorHAnsi" w:cstheme="majorHAnsi"/>
                <w:i/>
              </w:rPr>
              <w:t xml:space="preserve">). </w:t>
            </w:r>
          </w:p>
        </w:tc>
      </w:tr>
      <w:tr w:rsidR="00690200" w:rsidRPr="006E28EE" w:rsidTr="006E28EE">
        <w:trPr>
          <w:cantSplit/>
        </w:trPr>
        <w:tc>
          <w:tcPr>
            <w:cnfStyle w:val="001000000000" w:firstRow="0" w:lastRow="0" w:firstColumn="1" w:lastColumn="0" w:oddVBand="0" w:evenVBand="0" w:oddHBand="0" w:evenHBand="0" w:firstRowFirstColumn="0" w:firstRowLastColumn="0" w:lastRowFirstColumn="0" w:lastRowLastColumn="0"/>
            <w:tcW w:w="1980" w:type="dxa"/>
          </w:tcPr>
          <w:p w:rsidR="00203B83" w:rsidRPr="006E28EE" w:rsidRDefault="00E77A7F" w:rsidP="00A37ED6">
            <w:pPr>
              <w:pStyle w:val="Default"/>
              <w:tabs>
                <w:tab w:val="left" w:pos="2172"/>
              </w:tabs>
              <w:jc w:val="both"/>
              <w:rPr>
                <w:rFonts w:asciiTheme="majorHAnsi" w:eastAsia="Arial" w:hAnsiTheme="majorHAnsi" w:cstheme="majorHAnsi"/>
                <w:bCs w:val="0"/>
                <w:u w:val="single"/>
              </w:rPr>
            </w:pPr>
            <w:r w:rsidRPr="006E28EE">
              <w:rPr>
                <w:rFonts w:asciiTheme="majorHAnsi" w:hAnsiTheme="majorHAnsi" w:cstheme="majorHAnsi"/>
              </w:rPr>
              <w:t>Academic Council</w:t>
            </w:r>
          </w:p>
          <w:p w:rsidR="00337D3D" w:rsidRPr="006E28EE" w:rsidRDefault="00337D3D" w:rsidP="00A37ED6">
            <w:pPr>
              <w:pStyle w:val="Default"/>
              <w:tabs>
                <w:tab w:val="left" w:pos="2172"/>
              </w:tabs>
              <w:jc w:val="both"/>
              <w:rPr>
                <w:rFonts w:asciiTheme="majorHAnsi" w:eastAsia="Arial" w:hAnsiTheme="majorHAnsi" w:cstheme="majorHAnsi"/>
                <w:b w:val="0"/>
              </w:rPr>
            </w:pPr>
          </w:p>
          <w:p w:rsidR="00203B83" w:rsidRPr="006E28EE" w:rsidRDefault="00203B83" w:rsidP="00A37ED6">
            <w:pPr>
              <w:pStyle w:val="Default"/>
              <w:tabs>
                <w:tab w:val="left" w:pos="2172"/>
              </w:tabs>
              <w:jc w:val="both"/>
              <w:rPr>
                <w:rFonts w:asciiTheme="majorHAnsi" w:hAnsiTheme="majorHAnsi" w:cstheme="majorHAnsi"/>
                <w:b w:val="0"/>
                <w:bCs w:val="0"/>
                <w:color w:val="auto"/>
              </w:rPr>
            </w:pPr>
          </w:p>
          <w:p w:rsidR="00203B83" w:rsidRPr="006E28EE" w:rsidRDefault="001E54DF" w:rsidP="00FC4AEF">
            <w:pPr>
              <w:pStyle w:val="Default"/>
              <w:tabs>
                <w:tab w:val="left" w:pos="2172"/>
              </w:tabs>
              <w:rPr>
                <w:rFonts w:asciiTheme="majorHAnsi" w:hAnsiTheme="majorHAnsi" w:cstheme="majorHAnsi"/>
                <w:color w:val="auto"/>
              </w:rPr>
            </w:pPr>
            <w:r w:rsidRPr="006E28EE">
              <w:rPr>
                <w:rFonts w:asciiTheme="majorHAnsi" w:hAnsiTheme="majorHAnsi" w:cstheme="majorHAnsi"/>
                <w:b w:val="0"/>
                <w:i/>
                <w:color w:val="auto"/>
              </w:rPr>
              <w:t>Meets monthly</w:t>
            </w:r>
            <w:r w:rsidRPr="006E28EE" w:rsidDel="001E54DF">
              <w:rPr>
                <w:rFonts w:asciiTheme="majorHAnsi" w:hAnsiTheme="majorHAnsi" w:cstheme="majorHAnsi"/>
                <w:b w:val="0"/>
                <w:color w:val="auto"/>
              </w:rPr>
              <w:t xml:space="preserve"> </w:t>
            </w:r>
          </w:p>
        </w:tc>
        <w:tc>
          <w:tcPr>
            <w:tcW w:w="2070" w:type="dxa"/>
          </w:tcPr>
          <w:p w:rsidR="00203B83" w:rsidRPr="006E28EE" w:rsidRDefault="00203B83" w:rsidP="00A37ED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E28EE">
              <w:rPr>
                <w:rFonts w:asciiTheme="majorHAnsi" w:hAnsiTheme="majorHAnsi" w:cstheme="majorHAnsi"/>
              </w:rPr>
              <w:t>Responsible for formulating academic policies and making decisions on academic issues that are school-wide in nature.</w:t>
            </w:r>
          </w:p>
        </w:tc>
        <w:tc>
          <w:tcPr>
            <w:tcW w:w="2070" w:type="dxa"/>
          </w:tcPr>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color w:val="auto"/>
              </w:rPr>
              <w:t>Senior associate dean of academic and research affairs</w:t>
            </w:r>
          </w:p>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color w:val="auto"/>
              </w:rPr>
              <w:t>Office of Academic Affairs and Student Services representation</w:t>
            </w:r>
          </w:p>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color w:val="auto"/>
              </w:rPr>
              <w:t>At least one faculty representative from each department</w:t>
            </w:r>
          </w:p>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color w:val="auto"/>
              </w:rPr>
              <w:t>One representative from each campus</w:t>
            </w:r>
          </w:p>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color w:val="auto"/>
              </w:rPr>
              <w:t>Student representative</w:t>
            </w:r>
          </w:p>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p w:rsidR="001E05E8"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color w:val="auto"/>
              </w:rPr>
              <w:t>Director of the Office of Public Health Practice</w:t>
            </w:r>
          </w:p>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c>
          <w:tcPr>
            <w:tcW w:w="1710" w:type="dxa"/>
          </w:tcPr>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rPr>
              <w:t xml:space="preserve">The voting members of the Academic Council consist of department and campus representatives, the director of the </w:t>
            </w:r>
            <w:r w:rsidRPr="006E28EE">
              <w:rPr>
                <w:rFonts w:asciiTheme="majorHAnsi" w:hAnsiTheme="majorHAnsi" w:cstheme="majorHAnsi"/>
                <w:color w:val="auto"/>
              </w:rPr>
              <w:t>Office of Academic Affairs and Student Services, and the student representative</w:t>
            </w:r>
          </w:p>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203B83" w:rsidRPr="006E28EE" w:rsidRDefault="00203B8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c>
          <w:tcPr>
            <w:tcW w:w="2250" w:type="dxa"/>
          </w:tcPr>
          <w:p w:rsidR="00203B83" w:rsidRPr="006E28EE" w:rsidRDefault="001204D8" w:rsidP="00FC4AEF">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E28EE">
              <w:rPr>
                <w:rFonts w:asciiTheme="majorHAnsi" w:hAnsiTheme="majorHAnsi" w:cstheme="majorHAnsi"/>
                <w:i/>
              </w:rPr>
              <w:t xml:space="preserve">Supporting documentation </w:t>
            </w:r>
            <w:r w:rsidR="008058FD" w:rsidRPr="006E28EE">
              <w:rPr>
                <w:rFonts w:asciiTheme="majorHAnsi" w:hAnsiTheme="majorHAnsi" w:cstheme="majorHAnsi"/>
                <w:i/>
              </w:rPr>
              <w:t xml:space="preserve">for </w:t>
            </w:r>
            <w:r w:rsidR="00431AFF" w:rsidRPr="006E28EE">
              <w:rPr>
                <w:rFonts w:asciiTheme="majorHAnsi" w:hAnsiTheme="majorHAnsi" w:cstheme="majorHAnsi"/>
                <w:i/>
              </w:rPr>
              <w:t>Academic Council</w:t>
            </w:r>
            <w:r w:rsidRPr="006E28EE">
              <w:rPr>
                <w:rFonts w:asciiTheme="majorHAnsi" w:hAnsiTheme="majorHAnsi" w:cstheme="majorHAnsi"/>
                <w:i/>
              </w:rPr>
              <w:t xml:space="preserve">, including committee bylaws, membership, meeting agendas, and meeting minutes </w:t>
            </w:r>
            <w:r w:rsidR="00D60DA2">
              <w:rPr>
                <w:rFonts w:asciiTheme="majorHAnsi" w:hAnsiTheme="majorHAnsi" w:cstheme="majorHAnsi"/>
                <w:i/>
              </w:rPr>
              <w:t>is available in the electronic resource file</w:t>
            </w:r>
            <w:r w:rsidRPr="006E28EE">
              <w:rPr>
                <w:rFonts w:asciiTheme="majorHAnsi" w:hAnsiTheme="majorHAnsi" w:cstheme="majorHAnsi"/>
                <w:i/>
              </w:rPr>
              <w:t xml:space="preserve"> (ERF, A1.1b. Academic Council).</w:t>
            </w:r>
          </w:p>
        </w:tc>
      </w:tr>
      <w:tr w:rsidR="00690200" w:rsidRPr="006E28EE" w:rsidTr="006E28EE">
        <w:trPr>
          <w:cantSplit/>
        </w:trPr>
        <w:tc>
          <w:tcPr>
            <w:cnfStyle w:val="001000000000" w:firstRow="0" w:lastRow="0" w:firstColumn="1" w:lastColumn="0" w:oddVBand="0" w:evenVBand="0" w:oddHBand="0" w:evenHBand="0" w:firstRowFirstColumn="0" w:firstRowLastColumn="0" w:lastRowFirstColumn="0" w:lastRowLastColumn="0"/>
            <w:tcW w:w="1980" w:type="dxa"/>
          </w:tcPr>
          <w:p w:rsidR="00A665A3" w:rsidRPr="006E28EE" w:rsidRDefault="00EF54B4" w:rsidP="00A37ED6">
            <w:pPr>
              <w:pStyle w:val="Default"/>
              <w:tabs>
                <w:tab w:val="left" w:pos="2172"/>
              </w:tabs>
              <w:rPr>
                <w:rFonts w:asciiTheme="majorHAnsi" w:hAnsiTheme="majorHAnsi" w:cstheme="majorHAnsi"/>
                <w:b w:val="0"/>
                <w:u w:val="single"/>
              </w:rPr>
            </w:pPr>
            <w:r w:rsidRPr="006E28EE">
              <w:rPr>
                <w:rFonts w:asciiTheme="majorHAnsi" w:hAnsiTheme="majorHAnsi" w:cstheme="majorHAnsi"/>
              </w:rPr>
              <w:t>Faculty Council</w:t>
            </w:r>
          </w:p>
          <w:p w:rsidR="00A665A3" w:rsidRPr="006E28EE" w:rsidRDefault="00A665A3" w:rsidP="00A37ED6">
            <w:pPr>
              <w:pStyle w:val="Default"/>
              <w:tabs>
                <w:tab w:val="left" w:pos="2172"/>
              </w:tabs>
              <w:jc w:val="both"/>
              <w:rPr>
                <w:rFonts w:asciiTheme="majorHAnsi" w:hAnsiTheme="majorHAnsi" w:cstheme="majorHAnsi"/>
                <w:b w:val="0"/>
                <w:bCs w:val="0"/>
                <w:color w:val="auto"/>
              </w:rPr>
            </w:pPr>
          </w:p>
          <w:p w:rsidR="00A665A3" w:rsidRPr="006E28EE" w:rsidRDefault="00A665A3" w:rsidP="00A37ED6">
            <w:pPr>
              <w:pStyle w:val="Default"/>
              <w:tabs>
                <w:tab w:val="left" w:pos="2172"/>
              </w:tabs>
              <w:jc w:val="both"/>
              <w:rPr>
                <w:rFonts w:asciiTheme="majorHAnsi" w:hAnsiTheme="majorHAnsi" w:cstheme="majorHAnsi"/>
                <w:b w:val="0"/>
                <w:bCs w:val="0"/>
                <w:color w:val="auto"/>
              </w:rPr>
            </w:pPr>
          </w:p>
          <w:p w:rsidR="00A665A3" w:rsidRPr="00B4396A" w:rsidRDefault="001E54DF" w:rsidP="00A37ED6">
            <w:pPr>
              <w:pStyle w:val="Default"/>
              <w:tabs>
                <w:tab w:val="left" w:pos="2172"/>
              </w:tabs>
              <w:jc w:val="both"/>
              <w:rPr>
                <w:rFonts w:asciiTheme="majorHAnsi" w:eastAsia="Arial" w:hAnsiTheme="majorHAnsi" w:cstheme="majorHAnsi"/>
                <w:b w:val="0"/>
              </w:rPr>
            </w:pPr>
            <w:r w:rsidRPr="00B4396A">
              <w:rPr>
                <w:rFonts w:asciiTheme="majorHAnsi" w:hAnsiTheme="majorHAnsi" w:cstheme="majorHAnsi"/>
                <w:b w:val="0"/>
                <w:i/>
                <w:color w:val="auto"/>
              </w:rPr>
              <w:t>Meets monthly</w:t>
            </w:r>
          </w:p>
        </w:tc>
        <w:tc>
          <w:tcPr>
            <w:tcW w:w="2070" w:type="dxa"/>
          </w:tcPr>
          <w:p w:rsidR="00A665A3" w:rsidRPr="006E28EE" w:rsidRDefault="00A665A3" w:rsidP="00A37ED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E28EE">
              <w:rPr>
                <w:rFonts w:asciiTheme="majorHAnsi" w:hAnsiTheme="majorHAnsi" w:cstheme="majorHAnsi"/>
              </w:rPr>
              <w:t>Represents the school faculty; advocates for the faculty in fulfilling its teaching, research, and service obligations; manages the general faculty meetings, tenure and promotion process, faculty awards, annual activities review, peer review, and the three-year review of faculty; and represents the faculty on the UTHealth Interfaculty Council.</w:t>
            </w:r>
          </w:p>
        </w:tc>
        <w:tc>
          <w:tcPr>
            <w:tcW w:w="2070" w:type="dxa"/>
          </w:tcPr>
          <w:p w:rsidR="00A665A3" w:rsidRPr="006E28EE" w:rsidRDefault="00A665A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E28EE">
              <w:rPr>
                <w:rFonts w:asciiTheme="majorHAnsi" w:hAnsiTheme="majorHAnsi" w:cstheme="majorHAnsi"/>
              </w:rPr>
              <w:t>Members include two representatives, as well as an alternate, from each department, and one representative, as well as an alternate, from each campus. Members serve a two-year term.</w:t>
            </w:r>
          </w:p>
          <w:p w:rsidR="00A665A3" w:rsidRPr="006E28EE" w:rsidRDefault="00A665A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A665A3" w:rsidRPr="006E28EE" w:rsidRDefault="00A665A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rPr>
              <w:t>A staff recorder also attends Faculty Council</w:t>
            </w:r>
          </w:p>
        </w:tc>
        <w:tc>
          <w:tcPr>
            <w:tcW w:w="1710" w:type="dxa"/>
          </w:tcPr>
          <w:p w:rsidR="00A665A3" w:rsidRPr="006E28EE" w:rsidRDefault="00A665A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E28EE">
              <w:rPr>
                <w:rFonts w:asciiTheme="majorHAnsi" w:hAnsiTheme="majorHAnsi" w:cstheme="majorHAnsi"/>
                <w:color w:val="auto"/>
              </w:rPr>
              <w:t>All faculty representatives</w:t>
            </w:r>
          </w:p>
        </w:tc>
        <w:tc>
          <w:tcPr>
            <w:tcW w:w="2250" w:type="dxa"/>
          </w:tcPr>
          <w:p w:rsidR="00A665A3" w:rsidRPr="006E28EE" w:rsidRDefault="000504E2"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i/>
              </w:rPr>
              <w:t xml:space="preserve">Supporting documentation for </w:t>
            </w:r>
            <w:r w:rsidR="00635E19" w:rsidRPr="006E28EE">
              <w:rPr>
                <w:rFonts w:asciiTheme="majorHAnsi" w:hAnsiTheme="majorHAnsi" w:cstheme="majorHAnsi"/>
                <w:i/>
              </w:rPr>
              <w:t>Faculty Council</w:t>
            </w:r>
            <w:r w:rsidRPr="006E28EE">
              <w:rPr>
                <w:rFonts w:asciiTheme="majorHAnsi" w:hAnsiTheme="majorHAnsi" w:cstheme="majorHAnsi"/>
                <w:i/>
              </w:rPr>
              <w:t xml:space="preserve">, including committee bylaws, membership, meeting agendas, and meeting minutes </w:t>
            </w:r>
            <w:r w:rsidR="00D60DA2">
              <w:rPr>
                <w:rFonts w:asciiTheme="majorHAnsi" w:hAnsiTheme="majorHAnsi" w:cstheme="majorHAnsi"/>
                <w:i/>
              </w:rPr>
              <w:t>is available in the electronic resource file</w:t>
            </w:r>
            <w:r w:rsidRPr="006E28EE">
              <w:rPr>
                <w:rFonts w:asciiTheme="majorHAnsi" w:hAnsiTheme="majorHAnsi" w:cstheme="majorHAnsi"/>
                <w:i/>
              </w:rPr>
              <w:t xml:space="preserve"> (ERF, </w:t>
            </w:r>
            <w:r w:rsidR="00325F58" w:rsidRPr="006E28EE">
              <w:rPr>
                <w:rFonts w:asciiTheme="majorHAnsi" w:hAnsiTheme="majorHAnsi" w:cstheme="majorHAnsi"/>
                <w:i/>
              </w:rPr>
              <w:t>A1.1c. Faculty Council</w:t>
            </w:r>
            <w:r w:rsidRPr="006E28EE">
              <w:rPr>
                <w:rFonts w:asciiTheme="majorHAnsi" w:hAnsiTheme="majorHAnsi" w:cstheme="majorHAnsi"/>
                <w:i/>
              </w:rPr>
              <w:t>).</w:t>
            </w:r>
          </w:p>
        </w:tc>
      </w:tr>
      <w:tr w:rsidR="00690200" w:rsidRPr="006E28EE" w:rsidTr="006E28EE">
        <w:trPr>
          <w:cantSplit/>
        </w:trPr>
        <w:tc>
          <w:tcPr>
            <w:cnfStyle w:val="001000000000" w:firstRow="0" w:lastRow="0" w:firstColumn="1" w:lastColumn="0" w:oddVBand="0" w:evenVBand="0" w:oddHBand="0" w:evenHBand="0" w:firstRowFirstColumn="0" w:firstRowLastColumn="0" w:lastRowFirstColumn="0" w:lastRowLastColumn="0"/>
            <w:tcW w:w="1980" w:type="dxa"/>
          </w:tcPr>
          <w:p w:rsidR="00A665A3" w:rsidRPr="006E28EE" w:rsidRDefault="00EF54B4" w:rsidP="00A37ED6">
            <w:pPr>
              <w:pStyle w:val="Default"/>
              <w:tabs>
                <w:tab w:val="left" w:pos="2172"/>
              </w:tabs>
              <w:rPr>
                <w:rFonts w:asciiTheme="majorHAnsi" w:eastAsia="Arial" w:hAnsiTheme="majorHAnsi" w:cstheme="majorHAnsi"/>
                <w:bCs w:val="0"/>
              </w:rPr>
            </w:pPr>
            <w:r w:rsidRPr="006E28EE">
              <w:rPr>
                <w:rFonts w:asciiTheme="majorHAnsi" w:hAnsiTheme="majorHAnsi" w:cstheme="majorHAnsi"/>
              </w:rPr>
              <w:t>Academic Grievance Committee</w:t>
            </w:r>
            <w:r w:rsidR="00A665A3" w:rsidRPr="006E28EE">
              <w:rPr>
                <w:rFonts w:asciiTheme="majorHAnsi" w:eastAsia="Arial" w:hAnsiTheme="majorHAnsi" w:cstheme="majorHAnsi"/>
                <w:b w:val="0"/>
              </w:rPr>
              <w:t xml:space="preserve"> [Subcommittee of the Academic Council]</w:t>
            </w:r>
          </w:p>
          <w:p w:rsidR="00A665A3" w:rsidRPr="006E28EE" w:rsidRDefault="00A665A3" w:rsidP="00A37ED6">
            <w:pPr>
              <w:pStyle w:val="Default"/>
              <w:tabs>
                <w:tab w:val="left" w:pos="2172"/>
              </w:tabs>
              <w:rPr>
                <w:rFonts w:asciiTheme="majorHAnsi" w:eastAsia="Arial" w:hAnsiTheme="majorHAnsi" w:cstheme="majorHAnsi"/>
                <w:b w:val="0"/>
              </w:rPr>
            </w:pPr>
          </w:p>
          <w:p w:rsidR="009F0ACC" w:rsidRPr="006E28EE" w:rsidRDefault="009F0ACC" w:rsidP="00A37ED6">
            <w:pPr>
              <w:pStyle w:val="Default"/>
              <w:tabs>
                <w:tab w:val="left" w:pos="2172"/>
              </w:tabs>
              <w:rPr>
                <w:rFonts w:asciiTheme="majorHAnsi" w:eastAsia="Arial" w:hAnsiTheme="majorHAnsi" w:cstheme="majorHAnsi"/>
                <w:b w:val="0"/>
              </w:rPr>
            </w:pPr>
          </w:p>
          <w:p w:rsidR="00A665A3" w:rsidRPr="00B4396A" w:rsidRDefault="00A665A3" w:rsidP="00A37ED6">
            <w:pPr>
              <w:pStyle w:val="Default"/>
              <w:tabs>
                <w:tab w:val="left" w:pos="2172"/>
              </w:tabs>
              <w:rPr>
                <w:rFonts w:asciiTheme="majorHAnsi" w:eastAsia="Arial" w:hAnsiTheme="majorHAnsi" w:cstheme="majorHAnsi"/>
                <w:b w:val="0"/>
                <w:bCs w:val="0"/>
                <w:i/>
              </w:rPr>
            </w:pPr>
            <w:r w:rsidRPr="00B4396A">
              <w:rPr>
                <w:rFonts w:asciiTheme="majorHAnsi" w:hAnsiTheme="majorHAnsi" w:cstheme="majorHAnsi"/>
                <w:b w:val="0"/>
                <w:i/>
                <w:color w:val="auto"/>
              </w:rPr>
              <w:t>Meets on an as-needed basis</w:t>
            </w:r>
          </w:p>
          <w:p w:rsidR="00A665A3" w:rsidRPr="006E28EE" w:rsidRDefault="00A665A3" w:rsidP="00A37ED6">
            <w:pPr>
              <w:pStyle w:val="Default"/>
              <w:tabs>
                <w:tab w:val="left" w:pos="2172"/>
              </w:tabs>
              <w:rPr>
                <w:rFonts w:asciiTheme="majorHAnsi" w:eastAsia="Arial" w:hAnsiTheme="majorHAnsi" w:cstheme="majorHAnsi"/>
              </w:rPr>
            </w:pPr>
          </w:p>
        </w:tc>
        <w:tc>
          <w:tcPr>
            <w:tcW w:w="2070" w:type="dxa"/>
          </w:tcPr>
          <w:p w:rsidR="00A665A3" w:rsidRPr="006E28EE" w:rsidRDefault="00A665A3" w:rsidP="00A37ED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E28EE">
              <w:rPr>
                <w:rFonts w:asciiTheme="majorHAnsi" w:hAnsiTheme="majorHAnsi" w:cstheme="majorHAnsi"/>
              </w:rPr>
              <w:t>Addresses a variety of grievance types including, but not limited to, instances when students raise concerns about grades, concerns about the reliability of a faculty advisor, concerns about the procedures related to the thesis or preliminary examination, etc.</w:t>
            </w:r>
          </w:p>
        </w:tc>
        <w:tc>
          <w:tcPr>
            <w:tcW w:w="2070" w:type="dxa"/>
          </w:tcPr>
          <w:p w:rsidR="00A665A3" w:rsidRPr="006E28EE" w:rsidRDefault="00A665A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6E28EE">
              <w:rPr>
                <w:rFonts w:asciiTheme="majorHAnsi" w:eastAsia="Times New Roman" w:hAnsiTheme="majorHAnsi" w:cstheme="majorHAnsi"/>
              </w:rPr>
              <w:t xml:space="preserve">Faculty representatives from the Academic Council. Members are elected by the Academic Council and serve a one-year term. </w:t>
            </w:r>
          </w:p>
          <w:p w:rsidR="00A665A3" w:rsidRPr="006E28EE" w:rsidRDefault="00A665A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rsidR="00A665A3" w:rsidRPr="006E28EE" w:rsidRDefault="00A665A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eastAsia="Times New Roman" w:hAnsiTheme="majorHAnsi" w:cstheme="majorHAnsi"/>
              </w:rPr>
              <w:t xml:space="preserve">Administrative representatives from the </w:t>
            </w:r>
            <w:r w:rsidRPr="006E28EE">
              <w:rPr>
                <w:rFonts w:asciiTheme="majorHAnsi" w:hAnsiTheme="majorHAnsi" w:cstheme="majorHAnsi"/>
                <w:color w:val="auto"/>
              </w:rPr>
              <w:t>Office of Academic Affairs and Student Services</w:t>
            </w:r>
          </w:p>
        </w:tc>
        <w:tc>
          <w:tcPr>
            <w:tcW w:w="1710" w:type="dxa"/>
          </w:tcPr>
          <w:p w:rsidR="00A665A3" w:rsidRPr="006E28EE" w:rsidRDefault="00A665A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E28EE">
              <w:rPr>
                <w:rFonts w:asciiTheme="majorHAnsi" w:hAnsiTheme="majorHAnsi" w:cstheme="majorHAnsi"/>
              </w:rPr>
              <w:t xml:space="preserve">All members </w:t>
            </w:r>
          </w:p>
        </w:tc>
        <w:tc>
          <w:tcPr>
            <w:tcW w:w="2250" w:type="dxa"/>
          </w:tcPr>
          <w:p w:rsidR="00A665A3" w:rsidRPr="00A0796A" w:rsidRDefault="00683170" w:rsidP="006E28EE">
            <w:pPr>
              <w:tabs>
                <w:tab w:val="left" w:pos="720"/>
              </w:tabs>
              <w:ind w:right="-2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i/>
              </w:rPr>
            </w:pPr>
            <w:bookmarkStart w:id="15" w:name="_Hlk19048533"/>
            <w:r w:rsidRPr="006E28EE">
              <w:rPr>
                <w:rFonts w:asciiTheme="majorHAnsi" w:hAnsiTheme="majorHAnsi" w:cstheme="majorHAnsi"/>
                <w:i/>
                <w:iCs/>
              </w:rPr>
              <w:t xml:space="preserve">Supporting documentation for </w:t>
            </w:r>
            <w:r w:rsidR="00857FA2" w:rsidRPr="006E28EE">
              <w:rPr>
                <w:rFonts w:asciiTheme="majorHAnsi" w:hAnsiTheme="majorHAnsi" w:cstheme="majorHAnsi"/>
                <w:i/>
                <w:iCs/>
              </w:rPr>
              <w:t xml:space="preserve">the Academic Grievance </w:t>
            </w:r>
            <w:r w:rsidR="00497EDB" w:rsidRPr="006E28EE">
              <w:rPr>
                <w:rFonts w:asciiTheme="majorHAnsi" w:hAnsiTheme="majorHAnsi" w:cstheme="majorHAnsi"/>
                <w:i/>
                <w:iCs/>
              </w:rPr>
              <w:t>Committee</w:t>
            </w:r>
            <w:r w:rsidRPr="006E28EE">
              <w:rPr>
                <w:rFonts w:asciiTheme="majorHAnsi" w:hAnsiTheme="majorHAnsi" w:cstheme="majorHAnsi"/>
                <w:i/>
                <w:iCs/>
              </w:rPr>
              <w:t xml:space="preserve">, including committee bylaws, membership, meeting agendas, and meeting minutes </w:t>
            </w:r>
            <w:r w:rsidR="00D60DA2">
              <w:rPr>
                <w:rFonts w:asciiTheme="majorHAnsi" w:hAnsiTheme="majorHAnsi" w:cstheme="majorHAnsi"/>
                <w:i/>
                <w:iCs/>
              </w:rPr>
              <w:t>is available in the electronic resource file</w:t>
            </w:r>
            <w:r w:rsidRPr="006E28EE">
              <w:rPr>
                <w:rFonts w:asciiTheme="majorHAnsi" w:hAnsiTheme="majorHAnsi" w:cstheme="majorHAnsi"/>
                <w:i/>
                <w:iCs/>
              </w:rPr>
              <w:t xml:space="preserve"> (ERF, </w:t>
            </w:r>
            <w:r w:rsidR="00497EDB" w:rsidRPr="006E28EE">
              <w:rPr>
                <w:rFonts w:asciiTheme="majorHAnsi" w:hAnsiTheme="majorHAnsi" w:cstheme="majorHAnsi"/>
                <w:i/>
                <w:iCs/>
              </w:rPr>
              <w:t>A1.1</w:t>
            </w:r>
            <w:r w:rsidR="00497EDB" w:rsidRPr="006E28EE">
              <w:rPr>
                <w:rFonts w:asciiTheme="majorHAnsi" w:hAnsiTheme="majorHAnsi" w:cstheme="majorHAnsi"/>
                <w:i/>
              </w:rPr>
              <w:t xml:space="preserve">d. Academic </w:t>
            </w:r>
            <w:r w:rsidR="00497EDB" w:rsidRPr="006E28EE">
              <w:rPr>
                <w:rFonts w:asciiTheme="majorHAnsi" w:hAnsiTheme="majorHAnsi" w:cstheme="majorHAnsi"/>
                <w:i/>
                <w:iCs/>
              </w:rPr>
              <w:t>Grievance Committee)</w:t>
            </w:r>
            <w:r w:rsidRPr="006E28EE">
              <w:rPr>
                <w:rFonts w:asciiTheme="majorHAnsi" w:hAnsiTheme="majorHAnsi" w:cstheme="majorHAnsi"/>
                <w:i/>
                <w:iCs/>
              </w:rPr>
              <w:t>.</w:t>
            </w:r>
            <w:r w:rsidR="00F63A00" w:rsidRPr="006E28EE">
              <w:rPr>
                <w:rFonts w:asciiTheme="majorHAnsi" w:hAnsiTheme="majorHAnsi" w:cstheme="majorHAnsi"/>
                <w:i/>
                <w:iCs/>
              </w:rPr>
              <w:t xml:space="preserve"> See </w:t>
            </w:r>
            <w:hyperlink w:anchor="_H3._Student_Complaint" w:history="1">
              <w:r w:rsidR="00F63A00" w:rsidRPr="006E28EE">
                <w:rPr>
                  <w:rStyle w:val="Hyperlink"/>
                  <w:rFonts w:asciiTheme="majorHAnsi" w:eastAsia="Times New Roman" w:hAnsiTheme="majorHAnsi" w:cstheme="majorHAnsi"/>
                  <w:i/>
                </w:rPr>
                <w:t>H3. Student Complaint Procedures</w:t>
              </w:r>
            </w:hyperlink>
            <w:r w:rsidR="00F63A00" w:rsidRPr="006E28EE">
              <w:rPr>
                <w:rFonts w:asciiTheme="majorHAnsi" w:eastAsia="Times New Roman" w:hAnsiTheme="majorHAnsi" w:cstheme="majorHAnsi"/>
                <w:i/>
              </w:rPr>
              <w:t xml:space="preserve"> for more information. </w:t>
            </w:r>
            <w:bookmarkEnd w:id="15"/>
          </w:p>
        </w:tc>
      </w:tr>
      <w:tr w:rsidR="00690200" w:rsidRPr="006E28EE" w:rsidTr="006E28EE">
        <w:trPr>
          <w:cantSplit/>
        </w:trPr>
        <w:tc>
          <w:tcPr>
            <w:cnfStyle w:val="001000000000" w:firstRow="0" w:lastRow="0" w:firstColumn="1" w:lastColumn="0" w:oddVBand="0" w:evenVBand="0" w:oddHBand="0" w:evenHBand="0" w:firstRowFirstColumn="0" w:firstRowLastColumn="0" w:lastRowFirstColumn="0" w:lastRowLastColumn="0"/>
            <w:tcW w:w="1980" w:type="dxa"/>
          </w:tcPr>
          <w:p w:rsidR="00A665A3" w:rsidRPr="006E28EE" w:rsidRDefault="004D7514" w:rsidP="00A37ED6">
            <w:pPr>
              <w:pStyle w:val="Default"/>
              <w:tabs>
                <w:tab w:val="left" w:pos="2172"/>
              </w:tabs>
              <w:rPr>
                <w:rFonts w:asciiTheme="majorHAnsi" w:eastAsia="Arial" w:hAnsiTheme="majorHAnsi" w:cstheme="majorHAnsi"/>
                <w:bCs w:val="0"/>
              </w:rPr>
            </w:pPr>
            <w:r w:rsidRPr="006E28EE">
              <w:rPr>
                <w:rFonts w:asciiTheme="majorHAnsi" w:hAnsiTheme="majorHAnsi" w:cstheme="majorHAnsi"/>
              </w:rPr>
              <w:t>Admissions Committee</w:t>
            </w:r>
            <w:r w:rsidR="00A665A3" w:rsidRPr="006E28EE">
              <w:rPr>
                <w:rFonts w:asciiTheme="majorHAnsi" w:eastAsia="Arial" w:hAnsiTheme="majorHAnsi" w:cstheme="majorHAnsi"/>
              </w:rPr>
              <w:t xml:space="preserve"> </w:t>
            </w:r>
            <w:r w:rsidR="00A665A3" w:rsidRPr="006E28EE">
              <w:rPr>
                <w:rFonts w:asciiTheme="majorHAnsi" w:eastAsia="Arial" w:hAnsiTheme="majorHAnsi" w:cstheme="majorHAnsi"/>
                <w:b w:val="0"/>
              </w:rPr>
              <w:t>[Subcommittee of the Academic Council]</w:t>
            </w:r>
          </w:p>
          <w:p w:rsidR="00A665A3" w:rsidRPr="006E28EE" w:rsidRDefault="00A665A3" w:rsidP="00A37ED6">
            <w:pPr>
              <w:pStyle w:val="Default"/>
              <w:tabs>
                <w:tab w:val="left" w:pos="2172"/>
              </w:tabs>
              <w:rPr>
                <w:rFonts w:asciiTheme="majorHAnsi" w:eastAsia="Arial" w:hAnsiTheme="majorHAnsi" w:cstheme="majorHAnsi"/>
                <w:b w:val="0"/>
              </w:rPr>
            </w:pPr>
          </w:p>
          <w:p w:rsidR="009F0ACC" w:rsidRPr="006E28EE" w:rsidRDefault="009F0ACC" w:rsidP="00A37ED6">
            <w:pPr>
              <w:pStyle w:val="Default"/>
              <w:tabs>
                <w:tab w:val="left" w:pos="2172"/>
              </w:tabs>
              <w:rPr>
                <w:rFonts w:asciiTheme="majorHAnsi" w:eastAsia="Arial" w:hAnsiTheme="majorHAnsi" w:cstheme="majorHAnsi"/>
                <w:b w:val="0"/>
              </w:rPr>
            </w:pPr>
          </w:p>
          <w:p w:rsidR="00A665A3" w:rsidRPr="00A0796A" w:rsidRDefault="00A665A3" w:rsidP="00A37ED6">
            <w:pPr>
              <w:pStyle w:val="Default"/>
              <w:tabs>
                <w:tab w:val="left" w:pos="2172"/>
              </w:tabs>
              <w:rPr>
                <w:rFonts w:asciiTheme="majorHAnsi" w:eastAsia="Arial" w:hAnsiTheme="majorHAnsi" w:cstheme="majorHAnsi"/>
                <w:b w:val="0"/>
                <w:bCs w:val="0"/>
                <w:i/>
              </w:rPr>
            </w:pPr>
            <w:r w:rsidRPr="00A0796A">
              <w:rPr>
                <w:rFonts w:asciiTheme="majorHAnsi" w:hAnsiTheme="majorHAnsi" w:cstheme="majorHAnsi"/>
                <w:b w:val="0"/>
                <w:i/>
                <w:color w:val="auto"/>
              </w:rPr>
              <w:t>Meets quarterly or on an as-needed basis</w:t>
            </w:r>
          </w:p>
          <w:p w:rsidR="00A665A3" w:rsidRPr="006E28EE" w:rsidRDefault="00A665A3" w:rsidP="00A37ED6">
            <w:pPr>
              <w:pStyle w:val="Default"/>
              <w:tabs>
                <w:tab w:val="left" w:pos="2172"/>
              </w:tabs>
              <w:rPr>
                <w:rFonts w:asciiTheme="majorHAnsi" w:eastAsia="Arial" w:hAnsiTheme="majorHAnsi" w:cstheme="majorHAnsi"/>
                <w:bCs w:val="0"/>
              </w:rPr>
            </w:pPr>
          </w:p>
          <w:p w:rsidR="00A665A3" w:rsidRPr="006E28EE" w:rsidRDefault="00A665A3" w:rsidP="00A37ED6">
            <w:pPr>
              <w:pStyle w:val="Default"/>
              <w:tabs>
                <w:tab w:val="left" w:pos="2172"/>
              </w:tabs>
              <w:rPr>
                <w:rFonts w:asciiTheme="majorHAnsi" w:hAnsiTheme="majorHAnsi" w:cstheme="majorHAnsi"/>
                <w:color w:val="auto"/>
              </w:rPr>
            </w:pPr>
          </w:p>
        </w:tc>
        <w:tc>
          <w:tcPr>
            <w:tcW w:w="2070" w:type="dxa"/>
          </w:tcPr>
          <w:p w:rsidR="00A665A3" w:rsidRPr="006E28EE" w:rsidRDefault="00A665A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eastAsia="Arial" w:hAnsiTheme="majorHAnsi" w:cstheme="majorHAnsi"/>
              </w:rPr>
              <w:t>Responsible for establishing recruitment and admissions goals, working with their respective admissions committees to review applications, developing admissions policies, and communicating admissions decisions.</w:t>
            </w:r>
          </w:p>
        </w:tc>
        <w:tc>
          <w:tcPr>
            <w:tcW w:w="2070" w:type="dxa"/>
          </w:tcPr>
          <w:p w:rsidR="00A665A3" w:rsidRPr="006E28EE" w:rsidRDefault="00A665A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eastAsia="Arial" w:hAnsiTheme="majorHAnsi" w:cstheme="majorHAnsi"/>
              </w:rPr>
              <w:t>Composed of faculty leads, as well as supporting coordinators, from each department and campus</w:t>
            </w:r>
          </w:p>
        </w:tc>
        <w:tc>
          <w:tcPr>
            <w:tcW w:w="1710" w:type="dxa"/>
          </w:tcPr>
          <w:p w:rsidR="00A665A3" w:rsidRPr="006E28EE" w:rsidRDefault="00A665A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rPr>
              <w:t>All members</w:t>
            </w:r>
          </w:p>
        </w:tc>
        <w:tc>
          <w:tcPr>
            <w:tcW w:w="2250" w:type="dxa"/>
          </w:tcPr>
          <w:p w:rsidR="00683170" w:rsidRPr="006E28EE" w:rsidRDefault="00683170"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6E28EE">
              <w:rPr>
                <w:rFonts w:asciiTheme="majorHAnsi" w:hAnsiTheme="majorHAnsi" w:cstheme="majorHAnsi"/>
                <w:i/>
              </w:rPr>
              <w:t xml:space="preserve">Supporting documentation for </w:t>
            </w:r>
            <w:r w:rsidR="009D099C" w:rsidRPr="006E28EE">
              <w:rPr>
                <w:rFonts w:asciiTheme="majorHAnsi" w:hAnsiTheme="majorHAnsi" w:cstheme="majorHAnsi"/>
                <w:i/>
              </w:rPr>
              <w:t>the School-Wide Admissions Committee</w:t>
            </w:r>
            <w:r w:rsidRPr="006E28EE">
              <w:rPr>
                <w:rFonts w:asciiTheme="majorHAnsi" w:hAnsiTheme="majorHAnsi" w:cstheme="majorHAnsi"/>
                <w:i/>
              </w:rPr>
              <w:t xml:space="preserve">, including committee bylaws, membership, meeting agendas, and meeting minutes </w:t>
            </w:r>
            <w:r w:rsidR="00D60DA2">
              <w:rPr>
                <w:rFonts w:asciiTheme="majorHAnsi" w:hAnsiTheme="majorHAnsi" w:cstheme="majorHAnsi"/>
                <w:i/>
              </w:rPr>
              <w:t>is available in the electronic resource file</w:t>
            </w:r>
            <w:r w:rsidRPr="006E28EE">
              <w:rPr>
                <w:rFonts w:asciiTheme="majorHAnsi" w:hAnsiTheme="majorHAnsi" w:cstheme="majorHAnsi"/>
                <w:i/>
              </w:rPr>
              <w:t xml:space="preserve"> (ERF, </w:t>
            </w:r>
            <w:r w:rsidR="009D099C" w:rsidRPr="006E28EE">
              <w:rPr>
                <w:rFonts w:asciiTheme="majorHAnsi" w:hAnsiTheme="majorHAnsi" w:cstheme="majorHAnsi"/>
                <w:i/>
              </w:rPr>
              <w:t>A1.1e. School-Wide Admissions Committee</w:t>
            </w:r>
            <w:r w:rsidRPr="006E28EE">
              <w:rPr>
                <w:rFonts w:asciiTheme="majorHAnsi" w:hAnsiTheme="majorHAnsi" w:cstheme="majorHAnsi"/>
                <w:i/>
              </w:rPr>
              <w:t>).</w:t>
            </w:r>
          </w:p>
          <w:p w:rsidR="00A665A3" w:rsidRPr="006E28EE" w:rsidRDefault="00A665A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r>
      <w:tr w:rsidR="00690200" w:rsidRPr="006E28EE" w:rsidTr="006E28EE">
        <w:trPr>
          <w:cantSplit/>
        </w:trPr>
        <w:tc>
          <w:tcPr>
            <w:cnfStyle w:val="001000000000" w:firstRow="0" w:lastRow="0" w:firstColumn="1" w:lastColumn="0" w:oddVBand="0" w:evenVBand="0" w:oddHBand="0" w:evenHBand="0" w:firstRowFirstColumn="0" w:firstRowLastColumn="0" w:lastRowFirstColumn="0" w:lastRowLastColumn="0"/>
            <w:tcW w:w="1980" w:type="dxa"/>
          </w:tcPr>
          <w:p w:rsidR="00A665A3" w:rsidRPr="006E28EE" w:rsidRDefault="0078373D" w:rsidP="00A37ED6">
            <w:pPr>
              <w:pStyle w:val="Default"/>
              <w:tabs>
                <w:tab w:val="left" w:pos="2172"/>
              </w:tabs>
              <w:rPr>
                <w:rFonts w:asciiTheme="majorHAnsi" w:eastAsia="Arial" w:hAnsiTheme="majorHAnsi" w:cstheme="majorHAnsi"/>
                <w:bCs w:val="0"/>
              </w:rPr>
            </w:pPr>
            <w:r w:rsidRPr="006E28EE">
              <w:rPr>
                <w:rFonts w:asciiTheme="majorHAnsi" w:hAnsiTheme="majorHAnsi" w:cstheme="majorHAnsi"/>
              </w:rPr>
              <w:t>CEPH Steering Committee</w:t>
            </w:r>
            <w:r w:rsidR="00A665A3" w:rsidRPr="006E28EE">
              <w:rPr>
                <w:rFonts w:asciiTheme="majorHAnsi" w:eastAsia="Arial" w:hAnsiTheme="majorHAnsi" w:cstheme="majorHAnsi"/>
              </w:rPr>
              <w:t xml:space="preserve"> </w:t>
            </w:r>
            <w:r w:rsidR="00A665A3" w:rsidRPr="006E28EE">
              <w:rPr>
                <w:rFonts w:asciiTheme="majorHAnsi" w:eastAsia="Arial" w:hAnsiTheme="majorHAnsi" w:cstheme="majorHAnsi"/>
                <w:b w:val="0"/>
              </w:rPr>
              <w:t>[Subcommittee of Academic Council]</w:t>
            </w:r>
          </w:p>
          <w:p w:rsidR="00A665A3" w:rsidRPr="006E28EE" w:rsidRDefault="00A665A3" w:rsidP="00A37ED6">
            <w:pPr>
              <w:pStyle w:val="Default"/>
              <w:tabs>
                <w:tab w:val="left" w:pos="2172"/>
              </w:tabs>
              <w:rPr>
                <w:rFonts w:asciiTheme="majorHAnsi" w:hAnsiTheme="majorHAnsi" w:cstheme="majorHAnsi"/>
                <w:b w:val="0"/>
                <w:bCs w:val="0"/>
                <w:color w:val="auto"/>
              </w:rPr>
            </w:pPr>
          </w:p>
          <w:p w:rsidR="00A665A3" w:rsidRPr="006E28EE" w:rsidRDefault="00A665A3" w:rsidP="00A37ED6">
            <w:pPr>
              <w:pStyle w:val="Default"/>
              <w:tabs>
                <w:tab w:val="left" w:pos="2172"/>
              </w:tabs>
              <w:jc w:val="both"/>
              <w:rPr>
                <w:rFonts w:asciiTheme="majorHAnsi" w:hAnsiTheme="majorHAnsi" w:cstheme="majorHAnsi"/>
                <w:b w:val="0"/>
                <w:bCs w:val="0"/>
                <w:color w:val="auto"/>
              </w:rPr>
            </w:pPr>
          </w:p>
          <w:p w:rsidR="00A665A3" w:rsidRPr="00392649" w:rsidRDefault="00A665A3" w:rsidP="00A37ED6">
            <w:pPr>
              <w:pStyle w:val="Default"/>
              <w:tabs>
                <w:tab w:val="left" w:pos="2172"/>
              </w:tabs>
              <w:rPr>
                <w:rFonts w:asciiTheme="majorHAnsi" w:hAnsiTheme="majorHAnsi" w:cstheme="majorHAnsi"/>
                <w:b w:val="0"/>
                <w:i/>
                <w:color w:val="auto"/>
              </w:rPr>
            </w:pPr>
            <w:r w:rsidRPr="00392649">
              <w:rPr>
                <w:rFonts w:asciiTheme="majorHAnsi" w:hAnsiTheme="majorHAnsi" w:cstheme="majorHAnsi"/>
                <w:b w:val="0"/>
                <w:i/>
                <w:color w:val="auto"/>
              </w:rPr>
              <w:t>Meets biweekly</w:t>
            </w:r>
          </w:p>
        </w:tc>
        <w:tc>
          <w:tcPr>
            <w:tcW w:w="2070" w:type="dxa"/>
          </w:tcPr>
          <w:p w:rsidR="00A665A3" w:rsidRPr="006E28EE" w:rsidRDefault="00A665A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eastAsia="Arial" w:hAnsiTheme="majorHAnsi" w:cstheme="majorHAnsi"/>
              </w:rPr>
              <w:t>This committee was formed in response to the newly revised 2016 CEPH criteria. The committee meets to discuss and prepare for changes in the school’s curriculum in response to the CEPH criteria. Additional working groups are formed as needed. For example, a working group was formed to discuss and develop the DrPH core curriculum.</w:t>
            </w:r>
          </w:p>
        </w:tc>
        <w:tc>
          <w:tcPr>
            <w:tcW w:w="2070" w:type="dxa"/>
          </w:tcPr>
          <w:p w:rsidR="00A665A3" w:rsidRPr="006E28EE" w:rsidRDefault="00A665A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eastAsia="Arial" w:hAnsiTheme="majorHAnsi" w:cstheme="majorHAnsi"/>
              </w:rPr>
              <w:t>Members include representatives from each department and campus, as well as the Practice Council Chair, Faculty Council Chair, practice partners, and student representative</w:t>
            </w:r>
          </w:p>
        </w:tc>
        <w:tc>
          <w:tcPr>
            <w:tcW w:w="1710" w:type="dxa"/>
          </w:tcPr>
          <w:p w:rsidR="00A665A3" w:rsidRPr="006E28EE" w:rsidRDefault="00A665A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color w:val="auto"/>
              </w:rPr>
              <w:t>Not applicable</w:t>
            </w:r>
          </w:p>
        </w:tc>
        <w:tc>
          <w:tcPr>
            <w:tcW w:w="2250" w:type="dxa"/>
          </w:tcPr>
          <w:p w:rsidR="008F2DCF" w:rsidRPr="006E28EE" w:rsidRDefault="00913C62" w:rsidP="006E28EE">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auto"/>
              </w:rPr>
            </w:pPr>
            <w:r w:rsidRPr="006E28EE">
              <w:rPr>
                <w:rFonts w:asciiTheme="majorHAnsi" w:hAnsiTheme="majorHAnsi" w:cstheme="majorHAnsi"/>
                <w:i/>
              </w:rPr>
              <w:t xml:space="preserve">Supporting documentation for the CEPH Steering Committee, including committee bylaws, membership, meeting agendas, and meeting minutes </w:t>
            </w:r>
            <w:r w:rsidR="00D60DA2">
              <w:rPr>
                <w:rFonts w:asciiTheme="majorHAnsi" w:hAnsiTheme="majorHAnsi" w:cstheme="majorHAnsi"/>
                <w:i/>
              </w:rPr>
              <w:t>is available in the electronic resource file</w:t>
            </w:r>
            <w:r w:rsidRPr="006E28EE">
              <w:rPr>
                <w:rFonts w:asciiTheme="majorHAnsi" w:hAnsiTheme="majorHAnsi" w:cstheme="majorHAnsi"/>
                <w:i/>
              </w:rPr>
              <w:t xml:space="preserve"> (ERF, </w:t>
            </w:r>
            <w:r w:rsidR="00BC4F65" w:rsidRPr="006E28EE">
              <w:rPr>
                <w:rFonts w:asciiTheme="majorHAnsi" w:hAnsiTheme="majorHAnsi" w:cstheme="majorHAnsi"/>
                <w:i/>
              </w:rPr>
              <w:t>A</w:t>
            </w:r>
            <w:r w:rsidR="00BC4F65" w:rsidRPr="006E28EE">
              <w:rPr>
                <w:rFonts w:asciiTheme="majorHAnsi" w:hAnsiTheme="majorHAnsi" w:cstheme="majorHAnsi"/>
              </w:rPr>
              <w:t>1.1f. CEPH Steering Committee</w:t>
            </w:r>
            <w:r w:rsidRPr="006E28EE">
              <w:rPr>
                <w:rFonts w:asciiTheme="majorHAnsi" w:hAnsiTheme="majorHAnsi" w:cstheme="majorHAnsi"/>
                <w:i/>
              </w:rPr>
              <w:t>).</w:t>
            </w:r>
          </w:p>
        </w:tc>
      </w:tr>
      <w:tr w:rsidR="00690200" w:rsidRPr="006E28EE" w:rsidTr="006E28EE">
        <w:trPr>
          <w:cantSplit/>
        </w:trPr>
        <w:tc>
          <w:tcPr>
            <w:cnfStyle w:val="001000000000" w:firstRow="0" w:lastRow="0" w:firstColumn="1" w:lastColumn="0" w:oddVBand="0" w:evenVBand="0" w:oddHBand="0" w:evenHBand="0" w:firstRowFirstColumn="0" w:firstRowLastColumn="0" w:lastRowFirstColumn="0" w:lastRowLastColumn="0"/>
            <w:tcW w:w="1980" w:type="dxa"/>
          </w:tcPr>
          <w:p w:rsidR="008F2DCF" w:rsidRPr="006E28EE" w:rsidRDefault="000449E8" w:rsidP="00A37ED6">
            <w:pPr>
              <w:pStyle w:val="Default"/>
              <w:tabs>
                <w:tab w:val="left" w:pos="2172"/>
              </w:tabs>
              <w:rPr>
                <w:rFonts w:asciiTheme="majorHAnsi" w:eastAsia="Arial" w:hAnsiTheme="majorHAnsi" w:cstheme="majorHAnsi"/>
                <w:bCs w:val="0"/>
              </w:rPr>
            </w:pPr>
            <w:r w:rsidRPr="006E28EE">
              <w:rPr>
                <w:rFonts w:asciiTheme="majorHAnsi" w:hAnsiTheme="majorHAnsi" w:cstheme="majorHAnsi"/>
              </w:rPr>
              <w:t>Inclusion</w:t>
            </w:r>
            <w:r w:rsidRPr="006E28EE">
              <w:rPr>
                <w:rFonts w:asciiTheme="majorHAnsi" w:eastAsia="Arial" w:hAnsiTheme="majorHAnsi" w:cstheme="majorHAnsi"/>
              </w:rPr>
              <w:t>, Diversity, Equity, and Advocacy (IDEA) Committee</w:t>
            </w:r>
            <w:r w:rsidR="008F2DCF" w:rsidRPr="006E28EE">
              <w:rPr>
                <w:rFonts w:asciiTheme="majorHAnsi" w:eastAsia="Arial" w:hAnsiTheme="majorHAnsi" w:cstheme="majorHAnsi"/>
              </w:rPr>
              <w:t xml:space="preserve"> </w:t>
            </w:r>
            <w:r w:rsidR="008F2DCF" w:rsidRPr="006E28EE">
              <w:rPr>
                <w:rFonts w:asciiTheme="majorHAnsi" w:eastAsia="Arial" w:hAnsiTheme="majorHAnsi" w:cstheme="majorHAnsi"/>
                <w:b w:val="0"/>
              </w:rPr>
              <w:t>[Subcommittee of the Dean’s Office]</w:t>
            </w:r>
          </w:p>
          <w:p w:rsidR="008F2DCF" w:rsidRPr="006E28EE" w:rsidRDefault="008F2DCF" w:rsidP="00A37ED6">
            <w:pPr>
              <w:pStyle w:val="Default"/>
              <w:tabs>
                <w:tab w:val="left" w:pos="2172"/>
              </w:tabs>
              <w:rPr>
                <w:rFonts w:asciiTheme="majorHAnsi" w:hAnsiTheme="majorHAnsi" w:cstheme="majorHAnsi"/>
                <w:b w:val="0"/>
                <w:bCs w:val="0"/>
                <w:color w:val="auto"/>
              </w:rPr>
            </w:pPr>
          </w:p>
          <w:p w:rsidR="00BA2899" w:rsidRPr="006E28EE" w:rsidRDefault="00BA2899" w:rsidP="00A37ED6">
            <w:pPr>
              <w:pStyle w:val="Default"/>
              <w:tabs>
                <w:tab w:val="left" w:pos="2172"/>
              </w:tabs>
              <w:rPr>
                <w:rFonts w:asciiTheme="majorHAnsi" w:hAnsiTheme="majorHAnsi" w:cstheme="majorHAnsi"/>
                <w:b w:val="0"/>
              </w:rPr>
            </w:pPr>
          </w:p>
          <w:p w:rsidR="008F2DCF" w:rsidRPr="008038F6" w:rsidRDefault="008F2DCF" w:rsidP="00A37ED6">
            <w:pPr>
              <w:pStyle w:val="Default"/>
              <w:tabs>
                <w:tab w:val="left" w:pos="2172"/>
              </w:tabs>
              <w:rPr>
                <w:rFonts w:asciiTheme="majorHAnsi" w:eastAsia="Arial" w:hAnsiTheme="majorHAnsi" w:cstheme="majorHAnsi"/>
                <w:b w:val="0"/>
                <w:i/>
              </w:rPr>
            </w:pPr>
            <w:r w:rsidRPr="008038F6">
              <w:rPr>
                <w:rFonts w:asciiTheme="majorHAnsi" w:hAnsiTheme="majorHAnsi" w:cstheme="majorHAnsi"/>
                <w:b w:val="0"/>
                <w:i/>
              </w:rPr>
              <w:t>Meets periodically</w:t>
            </w:r>
          </w:p>
        </w:tc>
        <w:tc>
          <w:tcPr>
            <w:tcW w:w="2070" w:type="dxa"/>
          </w:tcPr>
          <w:p w:rsidR="008F2DCF" w:rsidRPr="006E28EE" w:rsidRDefault="008F2DCF"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6E28EE">
              <w:rPr>
                <w:rFonts w:asciiTheme="majorHAnsi" w:eastAsia="Arial" w:hAnsiTheme="majorHAnsi" w:cstheme="majorHAnsi"/>
              </w:rPr>
              <w:t xml:space="preserve">Conducts ongoing assessments, makes recommendations to the school’s administration, and advocates for the implementation of effective diversity change efforts. </w:t>
            </w:r>
          </w:p>
        </w:tc>
        <w:tc>
          <w:tcPr>
            <w:tcW w:w="2070" w:type="dxa"/>
          </w:tcPr>
          <w:p w:rsidR="008F2DCF" w:rsidRPr="006E28EE" w:rsidRDefault="008F2DCF"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6E28EE">
              <w:rPr>
                <w:rFonts w:asciiTheme="majorHAnsi" w:hAnsiTheme="majorHAnsi" w:cstheme="majorHAnsi"/>
              </w:rPr>
              <w:t xml:space="preserve">Members include staff, faculty, and students </w:t>
            </w:r>
          </w:p>
        </w:tc>
        <w:tc>
          <w:tcPr>
            <w:tcW w:w="1710" w:type="dxa"/>
          </w:tcPr>
          <w:p w:rsidR="008F2DCF" w:rsidRPr="006E28EE" w:rsidRDefault="008F2DCF"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color w:val="auto"/>
              </w:rPr>
              <w:t xml:space="preserve">All members </w:t>
            </w:r>
          </w:p>
        </w:tc>
        <w:tc>
          <w:tcPr>
            <w:tcW w:w="2250" w:type="dxa"/>
          </w:tcPr>
          <w:p w:rsidR="008F2DCF" w:rsidRPr="006E28EE" w:rsidRDefault="00BE7FFB" w:rsidP="006E28EE">
            <w:pPr>
              <w:tabs>
                <w:tab w:val="left" w:pos="720"/>
              </w:tabs>
              <w:ind w:right="-1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E28EE">
              <w:rPr>
                <w:rFonts w:asciiTheme="majorHAnsi" w:hAnsiTheme="majorHAnsi" w:cstheme="majorHAnsi"/>
                <w:i/>
                <w:color w:val="000000"/>
              </w:rPr>
              <w:t>Supporting documentation for the Inclusion, Diversity, Equity,</w:t>
            </w:r>
            <w:r w:rsidR="00252E1B" w:rsidRPr="006E28EE">
              <w:rPr>
                <w:rFonts w:asciiTheme="majorHAnsi" w:hAnsiTheme="majorHAnsi" w:cstheme="majorHAnsi"/>
                <w:i/>
                <w:color w:val="000000"/>
              </w:rPr>
              <w:t xml:space="preserve"> and Advocacy (IDEA) Committee</w:t>
            </w:r>
            <w:r w:rsidRPr="006E28EE">
              <w:rPr>
                <w:rFonts w:asciiTheme="majorHAnsi" w:hAnsiTheme="majorHAnsi" w:cstheme="majorHAnsi"/>
                <w:i/>
                <w:color w:val="000000"/>
              </w:rPr>
              <w:t xml:space="preserve">, including committee bylaws, membership, meeting agendas, and meeting minutes </w:t>
            </w:r>
            <w:r w:rsidR="00D60DA2">
              <w:rPr>
                <w:rFonts w:asciiTheme="majorHAnsi" w:hAnsiTheme="majorHAnsi" w:cstheme="majorHAnsi"/>
                <w:i/>
                <w:color w:val="000000"/>
              </w:rPr>
              <w:t>is available in the electronic resource file</w:t>
            </w:r>
            <w:r w:rsidRPr="006E28EE">
              <w:rPr>
                <w:rFonts w:asciiTheme="majorHAnsi" w:hAnsiTheme="majorHAnsi" w:cstheme="majorHAnsi"/>
                <w:i/>
                <w:color w:val="000000"/>
              </w:rPr>
              <w:t xml:space="preserve"> (ERF,</w:t>
            </w:r>
            <w:r w:rsidR="0009053B" w:rsidRPr="006E28EE">
              <w:rPr>
                <w:rFonts w:asciiTheme="majorHAnsi" w:hAnsiTheme="majorHAnsi" w:cstheme="majorHAnsi"/>
                <w:i/>
                <w:color w:val="000000"/>
              </w:rPr>
              <w:t xml:space="preserve"> A1.1g. Inclusion, Diversity, Equity, and Advocacy (IDEA) Committee</w:t>
            </w:r>
            <w:r w:rsidRPr="006E28EE">
              <w:rPr>
                <w:rFonts w:asciiTheme="majorHAnsi" w:hAnsiTheme="majorHAnsi" w:cstheme="majorHAnsi"/>
                <w:i/>
                <w:color w:val="000000"/>
              </w:rPr>
              <w:t>).</w:t>
            </w:r>
          </w:p>
        </w:tc>
      </w:tr>
      <w:tr w:rsidR="00690200" w:rsidRPr="006E28EE" w:rsidTr="006E28EE">
        <w:trPr>
          <w:cantSplit/>
        </w:trPr>
        <w:tc>
          <w:tcPr>
            <w:cnfStyle w:val="001000000000" w:firstRow="0" w:lastRow="0" w:firstColumn="1" w:lastColumn="0" w:oddVBand="0" w:evenVBand="0" w:oddHBand="0" w:evenHBand="0" w:firstRowFirstColumn="0" w:firstRowLastColumn="0" w:lastRowFirstColumn="0" w:lastRowLastColumn="0"/>
            <w:tcW w:w="1980" w:type="dxa"/>
          </w:tcPr>
          <w:p w:rsidR="00684E14" w:rsidRPr="006E28EE" w:rsidRDefault="001B1530" w:rsidP="00A37ED6">
            <w:pPr>
              <w:pStyle w:val="Default"/>
              <w:tabs>
                <w:tab w:val="left" w:pos="2172"/>
              </w:tabs>
              <w:jc w:val="both"/>
              <w:rPr>
                <w:rFonts w:asciiTheme="majorHAnsi" w:eastAsia="Arial" w:hAnsiTheme="majorHAnsi" w:cstheme="majorHAnsi"/>
                <w:b w:val="0"/>
                <w:bCs w:val="0"/>
                <w:u w:val="single"/>
              </w:rPr>
            </w:pPr>
            <w:r w:rsidRPr="006E28EE">
              <w:rPr>
                <w:rFonts w:asciiTheme="majorHAnsi" w:hAnsiTheme="majorHAnsi" w:cstheme="majorHAnsi"/>
              </w:rPr>
              <w:t>Practice Council</w:t>
            </w:r>
          </w:p>
          <w:p w:rsidR="00684E14" w:rsidRPr="006E28EE" w:rsidRDefault="00684E14" w:rsidP="00A37ED6">
            <w:pPr>
              <w:pStyle w:val="Default"/>
              <w:tabs>
                <w:tab w:val="left" w:pos="2172"/>
              </w:tabs>
              <w:jc w:val="both"/>
              <w:rPr>
                <w:rFonts w:asciiTheme="majorHAnsi" w:hAnsiTheme="majorHAnsi" w:cstheme="majorHAnsi"/>
                <w:b w:val="0"/>
                <w:bCs w:val="0"/>
                <w:color w:val="auto"/>
              </w:rPr>
            </w:pPr>
          </w:p>
          <w:p w:rsidR="00D047D7" w:rsidRPr="006E28EE" w:rsidRDefault="00D047D7" w:rsidP="00A37ED6">
            <w:pPr>
              <w:pStyle w:val="Default"/>
              <w:tabs>
                <w:tab w:val="left" w:pos="2172"/>
              </w:tabs>
              <w:jc w:val="both"/>
              <w:rPr>
                <w:rFonts w:asciiTheme="majorHAnsi" w:hAnsiTheme="majorHAnsi" w:cstheme="majorHAnsi"/>
                <w:b w:val="0"/>
                <w:bCs w:val="0"/>
                <w:color w:val="auto"/>
              </w:rPr>
            </w:pPr>
          </w:p>
          <w:p w:rsidR="00684E14" w:rsidRPr="00E109E9" w:rsidRDefault="00684E14" w:rsidP="00A37ED6">
            <w:pPr>
              <w:pStyle w:val="Default"/>
              <w:tabs>
                <w:tab w:val="left" w:pos="2172"/>
              </w:tabs>
              <w:rPr>
                <w:rFonts w:asciiTheme="majorHAnsi" w:eastAsia="Arial" w:hAnsiTheme="majorHAnsi" w:cstheme="majorHAnsi"/>
                <w:b w:val="0"/>
                <w:i/>
              </w:rPr>
            </w:pPr>
            <w:r w:rsidRPr="00E109E9">
              <w:rPr>
                <w:rFonts w:asciiTheme="majorHAnsi" w:hAnsiTheme="majorHAnsi" w:cstheme="majorHAnsi"/>
                <w:b w:val="0"/>
                <w:i/>
                <w:color w:val="auto"/>
              </w:rPr>
              <w:t>Meets monthly</w:t>
            </w:r>
          </w:p>
        </w:tc>
        <w:tc>
          <w:tcPr>
            <w:tcW w:w="2070" w:type="dxa"/>
          </w:tcPr>
          <w:p w:rsidR="00684E14" w:rsidRPr="006E28EE" w:rsidRDefault="00684E14" w:rsidP="00A37E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6E28EE">
              <w:rPr>
                <w:rFonts w:asciiTheme="majorHAnsi" w:hAnsiTheme="majorHAnsi" w:cstheme="majorHAnsi"/>
                <w:color w:val="000000"/>
              </w:rPr>
              <w:t xml:space="preserve">Defines and promotes public health practice as it relates to scholarship among faculty and students. </w:t>
            </w:r>
          </w:p>
          <w:p w:rsidR="00684E14" w:rsidRPr="006E28EE" w:rsidRDefault="00684E14" w:rsidP="00A37E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p w:rsidR="00684E14" w:rsidRPr="006E28EE" w:rsidRDefault="00684E14" w:rsidP="00A37E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6E28EE">
              <w:rPr>
                <w:rFonts w:asciiTheme="majorHAnsi" w:hAnsiTheme="majorHAnsi" w:cstheme="majorHAnsi"/>
                <w:color w:val="000000"/>
              </w:rPr>
              <w:t xml:space="preserve">Advocates for its recognition in appropriate school policies and programs, such as the tenure and promotion process. </w:t>
            </w:r>
          </w:p>
          <w:p w:rsidR="00684E14" w:rsidRPr="006E28EE" w:rsidRDefault="00684E14" w:rsidP="00A37E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p w:rsidR="00684E14" w:rsidRPr="006E28EE" w:rsidRDefault="00684E14" w:rsidP="00A37E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6E28EE">
              <w:rPr>
                <w:rFonts w:asciiTheme="majorHAnsi" w:hAnsiTheme="majorHAnsi" w:cstheme="majorHAnsi"/>
                <w:color w:val="000000"/>
              </w:rPr>
              <w:t xml:space="preserve">Proposes essential public health practice content for academic degree programs. </w:t>
            </w:r>
          </w:p>
          <w:p w:rsidR="00684E14" w:rsidRPr="006E28EE" w:rsidRDefault="00684E14" w:rsidP="00A37E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p w:rsidR="00684E14" w:rsidRPr="006E28EE" w:rsidRDefault="00684E14" w:rsidP="00A37E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6E28EE">
              <w:rPr>
                <w:rFonts w:asciiTheme="majorHAnsi" w:hAnsiTheme="majorHAnsi" w:cstheme="majorHAnsi"/>
                <w:color w:val="000000"/>
              </w:rPr>
              <w:t xml:space="preserve">Ensures that practice-based teaching is included throughout the school curricula. </w:t>
            </w:r>
          </w:p>
          <w:p w:rsidR="00684E14" w:rsidRPr="006E28EE" w:rsidRDefault="00684E14" w:rsidP="00A37E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p w:rsidR="00684E14" w:rsidRPr="006E28EE" w:rsidRDefault="00684E14" w:rsidP="00A37E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6E28EE">
              <w:rPr>
                <w:rFonts w:asciiTheme="majorHAnsi" w:hAnsiTheme="majorHAnsi" w:cstheme="majorHAnsi"/>
                <w:color w:val="000000"/>
              </w:rPr>
              <w:t xml:space="preserve">Promotes and fosters practice-based research at the school. </w:t>
            </w:r>
          </w:p>
          <w:p w:rsidR="00684E14" w:rsidRPr="006E28EE" w:rsidRDefault="00684E14" w:rsidP="00A37E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p w:rsidR="00684E14" w:rsidRPr="006E28EE" w:rsidRDefault="00684E14" w:rsidP="00A37E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6E28EE">
              <w:rPr>
                <w:rFonts w:asciiTheme="majorHAnsi" w:hAnsiTheme="majorHAnsi" w:cstheme="majorHAnsi"/>
                <w:color w:val="000000"/>
              </w:rPr>
              <w:t xml:space="preserve">Promotes the expansion of practice-based collaborations between the school and organizations in the community. </w:t>
            </w:r>
          </w:p>
          <w:p w:rsidR="00684E14" w:rsidRPr="006E28EE" w:rsidRDefault="00684E14" w:rsidP="00A37E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p w:rsidR="00684E14" w:rsidRPr="006E28EE" w:rsidRDefault="00684E14" w:rsidP="00A37E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6E28EE">
              <w:rPr>
                <w:rFonts w:asciiTheme="majorHAnsi" w:hAnsiTheme="majorHAnsi" w:cstheme="majorHAnsi"/>
                <w:color w:val="000000"/>
              </w:rPr>
              <w:t>Promotes, monitors, and evaluates the practicum process and experience among students, faculty, and preceptors.</w:t>
            </w:r>
          </w:p>
        </w:tc>
        <w:tc>
          <w:tcPr>
            <w:tcW w:w="2070" w:type="dxa"/>
          </w:tcPr>
          <w:p w:rsidR="00684E14" w:rsidRPr="006E28EE" w:rsidRDefault="00684E14"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rPr>
            </w:pPr>
            <w:r w:rsidRPr="006E28EE">
              <w:rPr>
                <w:rFonts w:asciiTheme="majorHAnsi" w:eastAsiaTheme="minorHAnsi" w:hAnsiTheme="majorHAnsi" w:cstheme="majorHAnsi"/>
              </w:rPr>
              <w:t xml:space="preserve">Representatives from the public health practice community </w:t>
            </w:r>
          </w:p>
          <w:p w:rsidR="00684E14" w:rsidRPr="006E28EE" w:rsidRDefault="00684E14"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rPr>
            </w:pPr>
          </w:p>
          <w:p w:rsidR="00684E14" w:rsidRPr="006E28EE" w:rsidRDefault="00684E14"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rPr>
            </w:pPr>
            <w:r w:rsidRPr="006E28EE">
              <w:rPr>
                <w:rFonts w:asciiTheme="majorHAnsi" w:eastAsiaTheme="minorHAnsi" w:hAnsiTheme="majorHAnsi" w:cstheme="majorHAnsi"/>
              </w:rPr>
              <w:t>Faculty representatives from each department</w:t>
            </w:r>
          </w:p>
          <w:p w:rsidR="00684E14" w:rsidRPr="006E28EE" w:rsidRDefault="00684E14"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rPr>
            </w:pPr>
          </w:p>
          <w:p w:rsidR="00684E14" w:rsidRPr="006E28EE" w:rsidRDefault="00684E14"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rPr>
            </w:pPr>
            <w:r w:rsidRPr="006E28EE">
              <w:rPr>
                <w:rFonts w:asciiTheme="majorHAnsi" w:eastAsiaTheme="minorHAnsi" w:hAnsiTheme="majorHAnsi" w:cstheme="majorHAnsi"/>
              </w:rPr>
              <w:t>Faculty representatives from each campus</w:t>
            </w:r>
          </w:p>
          <w:p w:rsidR="00684E14" w:rsidRPr="006E28EE" w:rsidRDefault="00684E14"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rPr>
            </w:pPr>
          </w:p>
          <w:p w:rsidR="00684E14" w:rsidRPr="006E28EE" w:rsidRDefault="00684E14"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rPr>
            </w:pPr>
            <w:r w:rsidRPr="006E28EE">
              <w:rPr>
                <w:rFonts w:asciiTheme="majorHAnsi" w:eastAsiaTheme="minorHAnsi" w:hAnsiTheme="majorHAnsi" w:cstheme="majorHAnsi"/>
              </w:rPr>
              <w:t xml:space="preserve">Student representative </w:t>
            </w:r>
          </w:p>
          <w:p w:rsidR="00684E14" w:rsidRPr="006E28EE" w:rsidRDefault="00684E14"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rPr>
            </w:pPr>
          </w:p>
          <w:p w:rsidR="00684E14" w:rsidRPr="006E28EE" w:rsidRDefault="00684E14"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E28EE">
              <w:rPr>
                <w:rFonts w:asciiTheme="majorHAnsi" w:eastAsiaTheme="minorHAnsi" w:hAnsiTheme="majorHAnsi" w:cstheme="majorHAnsi"/>
              </w:rPr>
              <w:t>Staff from the Office of Public Health Practice</w:t>
            </w:r>
          </w:p>
        </w:tc>
        <w:tc>
          <w:tcPr>
            <w:tcW w:w="1710" w:type="dxa"/>
          </w:tcPr>
          <w:p w:rsidR="00684E14" w:rsidRPr="006E28EE" w:rsidRDefault="00684E14"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E28EE">
              <w:rPr>
                <w:rFonts w:asciiTheme="majorHAnsi" w:hAnsiTheme="majorHAnsi" w:cstheme="majorHAnsi"/>
              </w:rPr>
              <w:t>All members, with the exception of staff from the Office of Public Health Practice</w:t>
            </w:r>
          </w:p>
          <w:p w:rsidR="00684E14" w:rsidRPr="006E28EE" w:rsidRDefault="00684E14" w:rsidP="00A37ED6">
            <w:pPr>
              <w:pStyle w:val="Default"/>
              <w:tabs>
                <w:tab w:val="left" w:pos="2172"/>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p w:rsidR="00684E14" w:rsidRPr="006E28EE" w:rsidRDefault="00684E14"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c>
          <w:tcPr>
            <w:tcW w:w="2250" w:type="dxa"/>
          </w:tcPr>
          <w:p w:rsidR="00684E14" w:rsidRPr="006E28EE" w:rsidRDefault="00F32AA4" w:rsidP="00FC4AEF">
            <w:pPr>
              <w:tabs>
                <w:tab w:val="left" w:pos="720"/>
              </w:tabs>
              <w:ind w:right="-14"/>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6E28EE">
              <w:rPr>
                <w:rFonts w:asciiTheme="majorHAnsi" w:hAnsiTheme="majorHAnsi" w:cstheme="majorHAnsi"/>
                <w:i/>
                <w:color w:val="000000"/>
              </w:rPr>
              <w:t xml:space="preserve">Supporting documentation for Practice Council, including committee bylaws, membership, meeting agendas, and meeting minutes </w:t>
            </w:r>
            <w:r w:rsidR="00D60DA2">
              <w:rPr>
                <w:rFonts w:asciiTheme="majorHAnsi" w:hAnsiTheme="majorHAnsi" w:cstheme="majorHAnsi"/>
                <w:i/>
                <w:color w:val="000000"/>
              </w:rPr>
              <w:t>is available in the electronic resource file</w:t>
            </w:r>
            <w:r w:rsidRPr="006E28EE">
              <w:rPr>
                <w:rFonts w:asciiTheme="majorHAnsi" w:hAnsiTheme="majorHAnsi" w:cstheme="majorHAnsi"/>
                <w:i/>
                <w:color w:val="000000"/>
              </w:rPr>
              <w:t xml:space="preserve"> (ERF, A1.1h. Practice Council</w:t>
            </w:r>
            <w:r w:rsidR="005E3552" w:rsidRPr="006E28EE">
              <w:rPr>
                <w:rFonts w:asciiTheme="majorHAnsi" w:hAnsiTheme="majorHAnsi" w:cstheme="majorHAnsi"/>
                <w:i/>
                <w:color w:val="000000"/>
              </w:rPr>
              <w:t>).</w:t>
            </w:r>
            <w:r w:rsidR="005E3552" w:rsidRPr="006E28EE" w:rsidDel="005E3552">
              <w:rPr>
                <w:rFonts w:asciiTheme="majorHAnsi" w:hAnsiTheme="majorHAnsi" w:cstheme="majorHAnsi"/>
              </w:rPr>
              <w:t xml:space="preserve"> </w:t>
            </w:r>
          </w:p>
          <w:p w:rsidR="00684E14" w:rsidRPr="006E28EE" w:rsidRDefault="00684E14" w:rsidP="006E28EE">
            <w:pPr>
              <w:tabs>
                <w:tab w:val="left" w:pos="720"/>
              </w:tabs>
              <w:spacing w:before="17"/>
              <w:ind w:right="-1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690200" w:rsidRPr="006E28EE" w:rsidTr="006E28EE">
        <w:trPr>
          <w:cantSplit/>
        </w:trPr>
        <w:tc>
          <w:tcPr>
            <w:cnfStyle w:val="001000000000" w:firstRow="0" w:lastRow="0" w:firstColumn="1" w:lastColumn="0" w:oddVBand="0" w:evenVBand="0" w:oddHBand="0" w:evenHBand="0" w:firstRowFirstColumn="0" w:firstRowLastColumn="0" w:lastRowFirstColumn="0" w:lastRowLastColumn="0"/>
            <w:tcW w:w="1980" w:type="dxa"/>
          </w:tcPr>
          <w:p w:rsidR="00684E14" w:rsidRPr="006E28EE" w:rsidRDefault="00103892" w:rsidP="00A37ED6">
            <w:pPr>
              <w:pStyle w:val="Default"/>
              <w:tabs>
                <w:tab w:val="left" w:pos="2172"/>
              </w:tabs>
              <w:jc w:val="both"/>
              <w:rPr>
                <w:rFonts w:asciiTheme="majorHAnsi" w:eastAsia="Arial" w:hAnsiTheme="majorHAnsi" w:cstheme="majorHAnsi"/>
                <w:b w:val="0"/>
                <w:bCs w:val="0"/>
                <w:u w:val="single"/>
              </w:rPr>
            </w:pPr>
            <w:r w:rsidRPr="006E28EE">
              <w:rPr>
                <w:rFonts w:asciiTheme="majorHAnsi" w:hAnsiTheme="majorHAnsi" w:cstheme="majorHAnsi"/>
              </w:rPr>
              <w:t>Research Council</w:t>
            </w:r>
          </w:p>
          <w:p w:rsidR="00684E14" w:rsidRPr="006E28EE" w:rsidRDefault="00684E14" w:rsidP="00A37ED6">
            <w:pPr>
              <w:pStyle w:val="Default"/>
              <w:tabs>
                <w:tab w:val="left" w:pos="2172"/>
              </w:tabs>
              <w:jc w:val="both"/>
              <w:rPr>
                <w:rFonts w:asciiTheme="majorHAnsi" w:hAnsiTheme="majorHAnsi" w:cstheme="majorHAnsi"/>
                <w:b w:val="0"/>
                <w:bCs w:val="0"/>
                <w:color w:val="auto"/>
              </w:rPr>
            </w:pPr>
          </w:p>
          <w:p w:rsidR="00684E14" w:rsidRPr="006E28EE" w:rsidRDefault="00684E14" w:rsidP="00A37ED6">
            <w:pPr>
              <w:pStyle w:val="Default"/>
              <w:tabs>
                <w:tab w:val="left" w:pos="2172"/>
              </w:tabs>
              <w:jc w:val="both"/>
              <w:rPr>
                <w:rFonts w:asciiTheme="majorHAnsi" w:hAnsiTheme="majorHAnsi" w:cstheme="majorHAnsi"/>
                <w:b w:val="0"/>
                <w:bCs w:val="0"/>
                <w:color w:val="auto"/>
              </w:rPr>
            </w:pPr>
          </w:p>
          <w:p w:rsidR="00684E14" w:rsidRPr="00E109E9" w:rsidRDefault="00684E14" w:rsidP="00A37ED6">
            <w:pPr>
              <w:pStyle w:val="Default"/>
              <w:tabs>
                <w:tab w:val="left" w:pos="2172"/>
              </w:tabs>
              <w:rPr>
                <w:rFonts w:asciiTheme="majorHAnsi" w:eastAsia="Arial" w:hAnsiTheme="majorHAnsi" w:cstheme="majorHAnsi"/>
                <w:b w:val="0"/>
                <w:i/>
              </w:rPr>
            </w:pPr>
            <w:r w:rsidRPr="00E109E9">
              <w:rPr>
                <w:rFonts w:asciiTheme="majorHAnsi" w:hAnsiTheme="majorHAnsi" w:cstheme="majorHAnsi"/>
                <w:b w:val="0"/>
                <w:i/>
                <w:color w:val="auto"/>
              </w:rPr>
              <w:t>Meets monthly</w:t>
            </w:r>
          </w:p>
        </w:tc>
        <w:tc>
          <w:tcPr>
            <w:tcW w:w="2070" w:type="dxa"/>
          </w:tcPr>
          <w:p w:rsidR="00684E14" w:rsidRPr="006E28EE" w:rsidRDefault="00684E14"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6E28EE">
              <w:rPr>
                <w:rFonts w:asciiTheme="majorHAnsi" w:hAnsiTheme="majorHAnsi" w:cstheme="majorHAnsi"/>
              </w:rPr>
              <w:t>Responsible for formulating research policies and for making recommendations and decisions on research initiatives, practice, support, and issues that are school-wide in nature.</w:t>
            </w:r>
          </w:p>
        </w:tc>
        <w:tc>
          <w:tcPr>
            <w:tcW w:w="2070" w:type="dxa"/>
          </w:tcPr>
          <w:p w:rsidR="00684E14" w:rsidRPr="006E28EE" w:rsidRDefault="00684E14"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E28EE">
              <w:rPr>
                <w:rFonts w:asciiTheme="majorHAnsi" w:hAnsiTheme="majorHAnsi" w:cstheme="majorHAnsi"/>
              </w:rPr>
              <w:t>Center directors</w:t>
            </w:r>
          </w:p>
        </w:tc>
        <w:tc>
          <w:tcPr>
            <w:tcW w:w="1710" w:type="dxa"/>
          </w:tcPr>
          <w:p w:rsidR="00684E14" w:rsidRPr="006E28EE" w:rsidRDefault="00684E14"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color w:val="auto"/>
              </w:rPr>
              <w:t xml:space="preserve">All members </w:t>
            </w:r>
          </w:p>
        </w:tc>
        <w:tc>
          <w:tcPr>
            <w:tcW w:w="2250" w:type="dxa"/>
          </w:tcPr>
          <w:p w:rsidR="00C05CCB" w:rsidRPr="006E28EE" w:rsidRDefault="00B86DFC" w:rsidP="00A37ED6">
            <w:pPr>
              <w:tabs>
                <w:tab w:val="left" w:pos="720"/>
              </w:tabs>
              <w:ind w:right="-1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E28EE">
              <w:rPr>
                <w:rFonts w:asciiTheme="majorHAnsi" w:hAnsiTheme="majorHAnsi" w:cstheme="majorHAnsi"/>
                <w:i/>
              </w:rPr>
              <w:t xml:space="preserve">Supporting documentation for Research Council, including committee bylaws, membership, meeting agendas, and meeting minutes </w:t>
            </w:r>
            <w:r w:rsidR="00D60DA2">
              <w:rPr>
                <w:rFonts w:asciiTheme="majorHAnsi" w:hAnsiTheme="majorHAnsi" w:cstheme="majorHAnsi"/>
                <w:i/>
              </w:rPr>
              <w:t>is available in the electronic resource file</w:t>
            </w:r>
            <w:r w:rsidRPr="006E28EE">
              <w:rPr>
                <w:rFonts w:asciiTheme="majorHAnsi" w:hAnsiTheme="majorHAnsi" w:cstheme="majorHAnsi"/>
                <w:i/>
              </w:rPr>
              <w:t xml:space="preserve"> (ERF, A1.1i. Research Council).</w:t>
            </w:r>
            <w:r w:rsidRPr="006E28EE" w:rsidDel="005E3552">
              <w:rPr>
                <w:rFonts w:asciiTheme="majorHAnsi" w:hAnsiTheme="majorHAnsi" w:cstheme="majorHAnsi"/>
              </w:rPr>
              <w:t xml:space="preserve"> </w:t>
            </w:r>
          </w:p>
        </w:tc>
      </w:tr>
      <w:tr w:rsidR="00690200" w:rsidRPr="006E28EE" w:rsidTr="006E28EE">
        <w:trPr>
          <w:cantSplit/>
        </w:trPr>
        <w:tc>
          <w:tcPr>
            <w:cnfStyle w:val="001000000000" w:firstRow="0" w:lastRow="0" w:firstColumn="1" w:lastColumn="0" w:oddVBand="0" w:evenVBand="0" w:oddHBand="0" w:evenHBand="0" w:firstRowFirstColumn="0" w:firstRowLastColumn="0" w:lastRowFirstColumn="0" w:lastRowLastColumn="0"/>
            <w:tcW w:w="1980" w:type="dxa"/>
          </w:tcPr>
          <w:p w:rsidR="008F2DCF" w:rsidRPr="006E28EE" w:rsidRDefault="006844E2" w:rsidP="00A37ED6">
            <w:pPr>
              <w:pStyle w:val="Default"/>
              <w:tabs>
                <w:tab w:val="left" w:pos="2172"/>
              </w:tabs>
              <w:rPr>
                <w:rFonts w:asciiTheme="majorHAnsi" w:eastAsia="Arial" w:hAnsiTheme="majorHAnsi" w:cstheme="majorHAnsi"/>
                <w:bCs w:val="0"/>
              </w:rPr>
            </w:pPr>
            <w:r w:rsidRPr="006E28EE">
              <w:rPr>
                <w:rFonts w:asciiTheme="majorHAnsi" w:hAnsiTheme="majorHAnsi" w:cstheme="majorHAnsi"/>
              </w:rPr>
              <w:t>Scholarship and Traineeship Committee</w:t>
            </w:r>
            <w:r w:rsidR="008F2DCF" w:rsidRPr="006E28EE">
              <w:rPr>
                <w:rFonts w:asciiTheme="majorHAnsi" w:eastAsia="Arial" w:hAnsiTheme="majorHAnsi" w:cstheme="majorHAnsi"/>
                <w:b w:val="0"/>
              </w:rPr>
              <w:t xml:space="preserve"> [Subcommittee of the Academic Council]</w:t>
            </w:r>
          </w:p>
          <w:p w:rsidR="008F2DCF" w:rsidRPr="006E28EE" w:rsidRDefault="008F2DCF" w:rsidP="00A37ED6">
            <w:pPr>
              <w:pStyle w:val="Default"/>
              <w:tabs>
                <w:tab w:val="left" w:pos="2172"/>
              </w:tabs>
              <w:rPr>
                <w:rFonts w:asciiTheme="majorHAnsi" w:eastAsia="Arial" w:hAnsiTheme="majorHAnsi" w:cstheme="majorHAnsi"/>
                <w:b w:val="0"/>
              </w:rPr>
            </w:pPr>
          </w:p>
          <w:p w:rsidR="008F2DCF" w:rsidRPr="006E28EE" w:rsidRDefault="008F2DCF" w:rsidP="00A37ED6">
            <w:pPr>
              <w:pStyle w:val="Default"/>
              <w:tabs>
                <w:tab w:val="left" w:pos="2172"/>
              </w:tabs>
              <w:rPr>
                <w:rFonts w:asciiTheme="majorHAnsi" w:eastAsia="Arial" w:hAnsiTheme="majorHAnsi" w:cstheme="majorHAnsi"/>
                <w:b w:val="0"/>
              </w:rPr>
            </w:pPr>
          </w:p>
          <w:p w:rsidR="008F2DCF" w:rsidRPr="00022BB7" w:rsidRDefault="008F2DCF" w:rsidP="00A37ED6">
            <w:pPr>
              <w:pStyle w:val="Default"/>
              <w:tabs>
                <w:tab w:val="left" w:pos="2172"/>
              </w:tabs>
              <w:rPr>
                <w:rFonts w:asciiTheme="majorHAnsi" w:eastAsia="Arial" w:hAnsiTheme="majorHAnsi" w:cstheme="majorHAnsi"/>
                <w:b w:val="0"/>
                <w:bCs w:val="0"/>
                <w:i/>
              </w:rPr>
            </w:pPr>
            <w:r w:rsidRPr="00022BB7">
              <w:rPr>
                <w:rFonts w:asciiTheme="majorHAnsi" w:eastAsia="Arial" w:hAnsiTheme="majorHAnsi" w:cstheme="majorHAnsi"/>
                <w:b w:val="0"/>
                <w:i/>
              </w:rPr>
              <w:t xml:space="preserve">Meets annually </w:t>
            </w:r>
            <w:r w:rsidR="00DE6977" w:rsidRPr="00022BB7">
              <w:rPr>
                <w:rFonts w:asciiTheme="majorHAnsi" w:eastAsia="Arial" w:hAnsiTheme="majorHAnsi" w:cstheme="majorHAnsi"/>
                <w:b w:val="0"/>
                <w:bCs w:val="0"/>
                <w:i/>
              </w:rPr>
              <w:t>each</w:t>
            </w:r>
            <w:r w:rsidRPr="00022BB7">
              <w:rPr>
                <w:rFonts w:asciiTheme="majorHAnsi" w:eastAsia="Arial" w:hAnsiTheme="majorHAnsi" w:cstheme="majorHAnsi"/>
                <w:b w:val="0"/>
                <w:i/>
              </w:rPr>
              <w:t xml:space="preserve"> summer</w:t>
            </w:r>
          </w:p>
          <w:p w:rsidR="008F2DCF" w:rsidRPr="006E28EE" w:rsidRDefault="008F2DCF" w:rsidP="00A37ED6">
            <w:pPr>
              <w:pStyle w:val="Default"/>
              <w:tabs>
                <w:tab w:val="left" w:pos="2172"/>
              </w:tabs>
              <w:rPr>
                <w:rFonts w:asciiTheme="majorHAnsi" w:eastAsia="Arial" w:hAnsiTheme="majorHAnsi" w:cstheme="majorHAnsi"/>
              </w:rPr>
            </w:pPr>
          </w:p>
        </w:tc>
        <w:tc>
          <w:tcPr>
            <w:tcW w:w="2070" w:type="dxa"/>
          </w:tcPr>
          <w:p w:rsidR="008F2DCF" w:rsidRPr="006E28EE" w:rsidRDefault="008F2DCF" w:rsidP="00A37ED6">
            <w:pPr>
              <w:tabs>
                <w:tab w:val="left" w:pos="720"/>
              </w:tabs>
              <w:ind w:right="-2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6E28EE">
              <w:rPr>
                <w:rFonts w:asciiTheme="majorHAnsi" w:eastAsia="Arial" w:hAnsiTheme="majorHAnsi" w:cstheme="majorHAnsi"/>
              </w:rPr>
              <w:t xml:space="preserve">Oversees all funds that are provided as donations or awards to the school. </w:t>
            </w:r>
          </w:p>
          <w:p w:rsidR="008F2DCF" w:rsidRPr="006E28EE" w:rsidRDefault="008F2DCF" w:rsidP="00A37ED6">
            <w:pPr>
              <w:tabs>
                <w:tab w:val="left" w:pos="720"/>
              </w:tabs>
              <w:ind w:right="-2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p>
          <w:p w:rsidR="008F2DCF" w:rsidRPr="006E28EE" w:rsidRDefault="008F2DCF" w:rsidP="00A37ED6">
            <w:pPr>
              <w:tabs>
                <w:tab w:val="left" w:pos="720"/>
              </w:tabs>
              <w:ind w:right="-2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6E28EE">
              <w:rPr>
                <w:rFonts w:asciiTheme="majorHAnsi" w:eastAsia="Arial" w:hAnsiTheme="majorHAnsi" w:cstheme="majorHAnsi"/>
              </w:rPr>
              <w:t xml:space="preserve">Reviews the scholarship and traineeship applications, and selects the recipients. </w:t>
            </w:r>
          </w:p>
          <w:p w:rsidR="008F2DCF" w:rsidRPr="006E28EE" w:rsidRDefault="008F2DCF" w:rsidP="00A37ED6">
            <w:pPr>
              <w:tabs>
                <w:tab w:val="left" w:pos="720"/>
              </w:tabs>
              <w:ind w:right="-2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p>
          <w:p w:rsidR="008F2DCF" w:rsidRPr="006E28EE" w:rsidRDefault="008F2DCF" w:rsidP="00A37ED6">
            <w:pPr>
              <w:tabs>
                <w:tab w:val="left" w:pos="720"/>
              </w:tabs>
              <w:ind w:right="-2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p>
        </w:tc>
        <w:tc>
          <w:tcPr>
            <w:tcW w:w="2070" w:type="dxa"/>
          </w:tcPr>
          <w:p w:rsidR="008F2DCF" w:rsidRPr="006E28EE" w:rsidRDefault="008F2DCF" w:rsidP="00A37ED6">
            <w:pPr>
              <w:tabs>
                <w:tab w:val="left" w:pos="720"/>
              </w:tabs>
              <w:ind w:right="-2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6E28EE">
              <w:rPr>
                <w:rFonts w:asciiTheme="majorHAnsi" w:eastAsia="Arial" w:hAnsiTheme="majorHAnsi" w:cstheme="majorHAnsi"/>
              </w:rPr>
              <w:t xml:space="preserve">The committee consists of the committee chair, two faculty representatives, and the administrative coordinator </w:t>
            </w:r>
          </w:p>
        </w:tc>
        <w:tc>
          <w:tcPr>
            <w:tcW w:w="1710" w:type="dxa"/>
          </w:tcPr>
          <w:p w:rsidR="008F2DCF" w:rsidRPr="006E28EE" w:rsidRDefault="008F2DCF"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color w:val="auto"/>
              </w:rPr>
              <w:t>All faculty representatives</w:t>
            </w:r>
          </w:p>
        </w:tc>
        <w:tc>
          <w:tcPr>
            <w:tcW w:w="2250" w:type="dxa"/>
          </w:tcPr>
          <w:p w:rsidR="008F2DCF" w:rsidRPr="006E28EE" w:rsidRDefault="00500348" w:rsidP="00A37ED6">
            <w:pPr>
              <w:tabs>
                <w:tab w:val="left" w:pos="720"/>
                <w:tab w:val="left" w:pos="9090"/>
              </w:tabs>
              <w:ind w:right="20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E28EE">
              <w:rPr>
                <w:rFonts w:asciiTheme="majorHAnsi" w:hAnsiTheme="majorHAnsi" w:cstheme="majorHAnsi"/>
                <w:i/>
                <w:color w:val="000000"/>
              </w:rPr>
              <w:t xml:space="preserve">Supporting documentation for the Scholarship and Traineeship Committee, including committee bylaws, membership, meeting agendas, and meeting minutes </w:t>
            </w:r>
            <w:r w:rsidR="00D60DA2">
              <w:rPr>
                <w:rFonts w:asciiTheme="majorHAnsi" w:hAnsiTheme="majorHAnsi" w:cstheme="majorHAnsi"/>
                <w:i/>
                <w:color w:val="000000"/>
              </w:rPr>
              <w:t>is available in the electronic resource file</w:t>
            </w:r>
            <w:r w:rsidRPr="006E28EE">
              <w:rPr>
                <w:rFonts w:asciiTheme="majorHAnsi" w:hAnsiTheme="majorHAnsi" w:cstheme="majorHAnsi"/>
                <w:i/>
                <w:color w:val="000000"/>
              </w:rPr>
              <w:t xml:space="preserve"> (ERF, </w:t>
            </w:r>
            <w:r w:rsidR="00E419C2" w:rsidRPr="006E28EE">
              <w:rPr>
                <w:rFonts w:asciiTheme="majorHAnsi" w:eastAsia="Arial" w:hAnsiTheme="majorHAnsi" w:cstheme="majorHAnsi"/>
                <w:i/>
              </w:rPr>
              <w:t>A1.1</w:t>
            </w:r>
            <w:r w:rsidR="00E419C2" w:rsidRPr="006E28EE">
              <w:rPr>
                <w:rFonts w:asciiTheme="majorHAnsi" w:hAnsiTheme="majorHAnsi" w:cstheme="majorHAnsi"/>
                <w:i/>
              </w:rPr>
              <w:t>j. Scholarship and Traineeship Committee</w:t>
            </w:r>
            <w:r w:rsidRPr="006E28EE">
              <w:rPr>
                <w:rFonts w:asciiTheme="majorHAnsi" w:hAnsiTheme="majorHAnsi" w:cstheme="majorHAnsi"/>
                <w:i/>
                <w:color w:val="000000"/>
              </w:rPr>
              <w:t>).</w:t>
            </w:r>
            <w:r w:rsidRPr="006E28EE" w:rsidDel="005E3552">
              <w:rPr>
                <w:rFonts w:asciiTheme="majorHAnsi" w:hAnsiTheme="majorHAnsi" w:cstheme="majorHAnsi"/>
                <w:i/>
              </w:rPr>
              <w:t xml:space="preserve"> </w:t>
            </w:r>
          </w:p>
        </w:tc>
      </w:tr>
      <w:tr w:rsidR="00690200" w:rsidRPr="006E28EE" w:rsidTr="006E28EE">
        <w:trPr>
          <w:cantSplit/>
        </w:trPr>
        <w:tc>
          <w:tcPr>
            <w:cnfStyle w:val="001000000000" w:firstRow="0" w:lastRow="0" w:firstColumn="1" w:lastColumn="0" w:oddVBand="0" w:evenVBand="0" w:oddHBand="0" w:evenHBand="0" w:firstRowFirstColumn="0" w:firstRowLastColumn="0" w:lastRowFirstColumn="0" w:lastRowLastColumn="0"/>
            <w:tcW w:w="1980" w:type="dxa"/>
          </w:tcPr>
          <w:p w:rsidR="008F2DCF" w:rsidRPr="006E28EE" w:rsidRDefault="00BF64D5" w:rsidP="00A37ED6">
            <w:pPr>
              <w:pStyle w:val="Default"/>
              <w:tabs>
                <w:tab w:val="left" w:pos="2172"/>
              </w:tabs>
              <w:rPr>
                <w:rFonts w:asciiTheme="majorHAnsi" w:eastAsia="Arial" w:hAnsiTheme="majorHAnsi" w:cstheme="majorHAnsi"/>
                <w:bCs w:val="0"/>
                <w:u w:val="single"/>
              </w:rPr>
            </w:pPr>
            <w:r w:rsidRPr="006E28EE">
              <w:rPr>
                <w:rFonts w:asciiTheme="majorHAnsi" w:hAnsiTheme="majorHAnsi" w:cstheme="majorHAnsi"/>
              </w:rPr>
              <w:t>School-Wide Course Review Committee</w:t>
            </w:r>
            <w:r w:rsidR="008F2DCF" w:rsidRPr="006E28EE">
              <w:rPr>
                <w:rFonts w:asciiTheme="majorHAnsi" w:eastAsia="Arial" w:hAnsiTheme="majorHAnsi" w:cstheme="majorHAnsi"/>
                <w:u w:val="single"/>
              </w:rPr>
              <w:t xml:space="preserve"> </w:t>
            </w:r>
          </w:p>
          <w:p w:rsidR="008F2DCF" w:rsidRPr="006E28EE" w:rsidRDefault="008F2DCF" w:rsidP="00A37ED6">
            <w:pPr>
              <w:pStyle w:val="Default"/>
              <w:tabs>
                <w:tab w:val="left" w:pos="2172"/>
              </w:tabs>
              <w:rPr>
                <w:rFonts w:asciiTheme="majorHAnsi" w:eastAsia="Arial" w:hAnsiTheme="majorHAnsi" w:cstheme="majorHAnsi"/>
                <w:bCs w:val="0"/>
              </w:rPr>
            </w:pPr>
            <w:r w:rsidRPr="006E28EE">
              <w:rPr>
                <w:rFonts w:asciiTheme="majorHAnsi" w:eastAsia="Arial" w:hAnsiTheme="majorHAnsi" w:cstheme="majorHAnsi"/>
                <w:b w:val="0"/>
              </w:rPr>
              <w:t>[Standing subcommittee of the Academic Council]</w:t>
            </w:r>
          </w:p>
          <w:p w:rsidR="008F2DCF" w:rsidRPr="006E28EE" w:rsidRDefault="008F2DCF" w:rsidP="00A37ED6">
            <w:pPr>
              <w:pStyle w:val="Default"/>
              <w:tabs>
                <w:tab w:val="left" w:pos="2172"/>
              </w:tabs>
              <w:rPr>
                <w:rFonts w:asciiTheme="majorHAnsi" w:eastAsia="Arial" w:hAnsiTheme="majorHAnsi" w:cstheme="majorHAnsi"/>
                <w:b w:val="0"/>
                <w:bCs w:val="0"/>
              </w:rPr>
            </w:pPr>
          </w:p>
          <w:p w:rsidR="008F2DCF" w:rsidRPr="00022BB7" w:rsidRDefault="008F2DCF" w:rsidP="00A37ED6">
            <w:pPr>
              <w:pStyle w:val="Default"/>
              <w:tabs>
                <w:tab w:val="left" w:pos="2172"/>
              </w:tabs>
              <w:rPr>
                <w:rFonts w:asciiTheme="majorHAnsi" w:eastAsia="Arial" w:hAnsiTheme="majorHAnsi" w:cstheme="majorHAnsi"/>
                <w:b w:val="0"/>
                <w:i/>
              </w:rPr>
            </w:pPr>
            <w:r w:rsidRPr="00022BB7">
              <w:rPr>
                <w:rFonts w:asciiTheme="majorHAnsi" w:eastAsia="Arial" w:hAnsiTheme="majorHAnsi" w:cstheme="majorHAnsi"/>
                <w:b w:val="0"/>
                <w:i/>
              </w:rPr>
              <w:t>Meets on an as-needed basis</w:t>
            </w:r>
          </w:p>
        </w:tc>
        <w:tc>
          <w:tcPr>
            <w:tcW w:w="2070" w:type="dxa"/>
          </w:tcPr>
          <w:p w:rsidR="008F2DCF" w:rsidRPr="006E28EE" w:rsidRDefault="008F2DCF" w:rsidP="00A37ED6">
            <w:pPr>
              <w:tabs>
                <w:tab w:val="left" w:pos="720"/>
              </w:tabs>
              <w:ind w:right="13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6E28EE">
              <w:rPr>
                <w:rFonts w:asciiTheme="majorHAnsi" w:eastAsia="Arial" w:hAnsiTheme="majorHAnsi" w:cstheme="majorHAnsi"/>
              </w:rPr>
              <w:t xml:space="preserve">Works with departments to ensure quality of new course offerings, and reviews and approves all new courses. </w:t>
            </w:r>
          </w:p>
          <w:p w:rsidR="008F2DCF" w:rsidRPr="006E28EE" w:rsidRDefault="008F2DCF" w:rsidP="00A37ED6">
            <w:pPr>
              <w:tabs>
                <w:tab w:val="left" w:pos="720"/>
              </w:tabs>
              <w:ind w:right="13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p>
          <w:p w:rsidR="008F2DCF" w:rsidRPr="006E28EE" w:rsidRDefault="008F2DCF" w:rsidP="00A37ED6">
            <w:pPr>
              <w:tabs>
                <w:tab w:val="left" w:pos="720"/>
              </w:tabs>
              <w:ind w:right="13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p>
        </w:tc>
        <w:tc>
          <w:tcPr>
            <w:tcW w:w="2070" w:type="dxa"/>
          </w:tcPr>
          <w:p w:rsidR="008F2DCF" w:rsidRPr="006E28EE" w:rsidRDefault="008F2DCF" w:rsidP="00A37ED6">
            <w:pPr>
              <w:tabs>
                <w:tab w:val="left" w:pos="720"/>
              </w:tabs>
              <w:ind w:right="-2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6E28EE">
              <w:rPr>
                <w:rFonts w:asciiTheme="majorHAnsi" w:eastAsia="Arial" w:hAnsiTheme="majorHAnsi" w:cstheme="majorHAnsi"/>
              </w:rPr>
              <w:t>The committee includes one faculty representative from each department, one member who represents each campus, one student, and one member who represents dual-degree programs</w:t>
            </w:r>
          </w:p>
        </w:tc>
        <w:tc>
          <w:tcPr>
            <w:tcW w:w="1710" w:type="dxa"/>
          </w:tcPr>
          <w:p w:rsidR="008F2DCF" w:rsidRPr="006E28EE" w:rsidRDefault="00D56F75"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color w:val="auto"/>
              </w:rPr>
              <w:t>All members</w:t>
            </w:r>
          </w:p>
        </w:tc>
        <w:tc>
          <w:tcPr>
            <w:tcW w:w="2250" w:type="dxa"/>
          </w:tcPr>
          <w:p w:rsidR="008F2DCF" w:rsidRPr="006E28EE" w:rsidRDefault="00072CA3"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stheme="majorHAnsi"/>
              </w:rPr>
            </w:pPr>
            <w:r w:rsidRPr="006E28EE">
              <w:rPr>
                <w:rFonts w:asciiTheme="majorHAnsi" w:hAnsiTheme="majorHAnsi" w:cstheme="majorHAnsi"/>
                <w:i/>
              </w:rPr>
              <w:t xml:space="preserve">Supporting documentation for the School-Wide Course Review Committee, including committee bylaws, membership, meeting agendas, and meeting minutes </w:t>
            </w:r>
            <w:r w:rsidR="00D60DA2">
              <w:rPr>
                <w:rFonts w:asciiTheme="majorHAnsi" w:hAnsiTheme="majorHAnsi" w:cstheme="majorHAnsi"/>
                <w:i/>
              </w:rPr>
              <w:t>is available in the electronic resource file</w:t>
            </w:r>
            <w:r w:rsidRPr="006E28EE">
              <w:rPr>
                <w:rFonts w:asciiTheme="majorHAnsi" w:hAnsiTheme="majorHAnsi" w:cstheme="majorHAnsi"/>
                <w:i/>
              </w:rPr>
              <w:t xml:space="preserve"> (ERF, </w:t>
            </w:r>
            <w:r w:rsidR="00CA5A93" w:rsidRPr="006E28EE">
              <w:rPr>
                <w:rFonts w:asciiTheme="majorHAnsi" w:hAnsiTheme="majorHAnsi" w:cstheme="majorHAnsi"/>
                <w:i/>
              </w:rPr>
              <w:t>A</w:t>
            </w:r>
            <w:r w:rsidR="008C39CA" w:rsidRPr="006E28EE">
              <w:rPr>
                <w:rFonts w:asciiTheme="majorHAnsi" w:hAnsiTheme="majorHAnsi" w:cstheme="majorHAnsi"/>
                <w:i/>
              </w:rPr>
              <w:t>1.1k. School-Wide Course Review Committee</w:t>
            </w:r>
            <w:r w:rsidRPr="006E28EE">
              <w:rPr>
                <w:rFonts w:asciiTheme="majorHAnsi" w:hAnsiTheme="majorHAnsi" w:cstheme="majorHAnsi"/>
                <w:i/>
              </w:rPr>
              <w:t>).</w:t>
            </w:r>
          </w:p>
          <w:p w:rsidR="008F2DCF" w:rsidRPr="006E28EE" w:rsidRDefault="008F2DCF" w:rsidP="00A37ED6">
            <w:pPr>
              <w:tabs>
                <w:tab w:val="left" w:pos="720"/>
                <w:tab w:val="left" w:pos="9090"/>
              </w:tabs>
              <w:ind w:right="20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690200" w:rsidRPr="006E28EE" w:rsidTr="006E28EE">
        <w:trPr>
          <w:cantSplit/>
        </w:trPr>
        <w:tc>
          <w:tcPr>
            <w:cnfStyle w:val="001000000000" w:firstRow="0" w:lastRow="0" w:firstColumn="1" w:lastColumn="0" w:oddVBand="0" w:evenVBand="0" w:oddHBand="0" w:evenHBand="0" w:firstRowFirstColumn="0" w:firstRowLastColumn="0" w:lastRowFirstColumn="0" w:lastRowLastColumn="0"/>
            <w:tcW w:w="1980" w:type="dxa"/>
          </w:tcPr>
          <w:p w:rsidR="008F2DCF" w:rsidRPr="006E28EE" w:rsidRDefault="0065255B" w:rsidP="00A37ED6">
            <w:pPr>
              <w:pStyle w:val="Default"/>
              <w:tabs>
                <w:tab w:val="left" w:pos="2172"/>
              </w:tabs>
              <w:rPr>
                <w:rFonts w:asciiTheme="majorHAnsi" w:eastAsia="Arial" w:hAnsiTheme="majorHAnsi" w:cstheme="majorHAnsi"/>
                <w:b w:val="0"/>
                <w:bCs w:val="0"/>
                <w:u w:val="single"/>
              </w:rPr>
            </w:pPr>
            <w:r w:rsidRPr="006E28EE">
              <w:rPr>
                <w:rFonts w:asciiTheme="majorHAnsi" w:hAnsiTheme="majorHAnsi" w:cstheme="majorHAnsi"/>
              </w:rPr>
              <w:t>SPH Information Technology Faculty Advisory Committee</w:t>
            </w:r>
          </w:p>
          <w:p w:rsidR="008F2DCF" w:rsidRPr="006E28EE" w:rsidRDefault="0065255B" w:rsidP="00A37ED6">
            <w:pPr>
              <w:pStyle w:val="Default"/>
              <w:tabs>
                <w:tab w:val="left" w:pos="2172"/>
              </w:tabs>
              <w:rPr>
                <w:rFonts w:asciiTheme="majorHAnsi" w:eastAsia="Arial" w:hAnsiTheme="majorHAnsi" w:cstheme="majorHAnsi"/>
                <w:bCs w:val="0"/>
              </w:rPr>
            </w:pPr>
            <w:r w:rsidRPr="006E28EE">
              <w:rPr>
                <w:rFonts w:asciiTheme="majorHAnsi" w:eastAsia="Arial" w:hAnsiTheme="majorHAnsi" w:cstheme="majorHAnsi"/>
                <w:b w:val="0"/>
              </w:rPr>
              <w:t>[</w:t>
            </w:r>
            <w:r w:rsidR="008F2DCF" w:rsidRPr="006E28EE">
              <w:rPr>
                <w:rFonts w:asciiTheme="majorHAnsi" w:eastAsia="Arial" w:hAnsiTheme="majorHAnsi" w:cstheme="majorHAnsi"/>
                <w:b w:val="0"/>
              </w:rPr>
              <w:t>Ad hoc committee of the Dean’s Office</w:t>
            </w:r>
            <w:r w:rsidRPr="006E28EE">
              <w:rPr>
                <w:rFonts w:asciiTheme="majorHAnsi" w:eastAsia="Arial" w:hAnsiTheme="majorHAnsi" w:cstheme="majorHAnsi"/>
                <w:b w:val="0"/>
              </w:rPr>
              <w:t>]</w:t>
            </w:r>
          </w:p>
          <w:p w:rsidR="008F2DCF" w:rsidRPr="006E28EE" w:rsidRDefault="008F2DCF" w:rsidP="00A37ED6">
            <w:pPr>
              <w:pStyle w:val="Default"/>
              <w:tabs>
                <w:tab w:val="left" w:pos="2172"/>
              </w:tabs>
              <w:rPr>
                <w:rFonts w:asciiTheme="majorHAnsi" w:eastAsia="Arial" w:hAnsiTheme="majorHAnsi" w:cstheme="majorHAnsi"/>
                <w:bCs w:val="0"/>
              </w:rPr>
            </w:pPr>
          </w:p>
          <w:p w:rsidR="008F2DCF" w:rsidRPr="00022BB7" w:rsidRDefault="008F2DCF" w:rsidP="00A37ED6">
            <w:pPr>
              <w:pStyle w:val="Default"/>
              <w:tabs>
                <w:tab w:val="left" w:pos="2172"/>
              </w:tabs>
              <w:rPr>
                <w:rFonts w:asciiTheme="majorHAnsi" w:eastAsia="Arial" w:hAnsiTheme="majorHAnsi" w:cstheme="majorHAnsi"/>
                <w:b w:val="0"/>
                <w:i/>
              </w:rPr>
            </w:pPr>
            <w:r w:rsidRPr="00022BB7">
              <w:rPr>
                <w:rFonts w:asciiTheme="majorHAnsi" w:eastAsiaTheme="minorHAnsi" w:hAnsiTheme="majorHAnsi" w:cstheme="majorHAnsi"/>
                <w:b w:val="0"/>
                <w:i/>
              </w:rPr>
              <w:t>Meets periodically</w:t>
            </w:r>
          </w:p>
        </w:tc>
        <w:tc>
          <w:tcPr>
            <w:tcW w:w="2070" w:type="dxa"/>
          </w:tcPr>
          <w:p w:rsidR="008F2DCF" w:rsidRPr="006E28EE" w:rsidRDefault="008F2DCF"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6E28EE">
              <w:rPr>
                <w:rFonts w:asciiTheme="majorHAnsi" w:eastAsia="Times New Roman" w:hAnsiTheme="majorHAnsi" w:cstheme="majorHAnsi"/>
              </w:rPr>
              <w:t>Advises, shares, and recommends the school’s technology co</w:t>
            </w:r>
            <w:r w:rsidR="009E217E" w:rsidRPr="006E28EE">
              <w:rPr>
                <w:rFonts w:asciiTheme="majorHAnsi" w:eastAsia="Times New Roman" w:hAnsiTheme="majorHAnsi" w:cstheme="majorHAnsi"/>
              </w:rPr>
              <w:t>n</w:t>
            </w:r>
            <w:r w:rsidRPr="006E28EE">
              <w:rPr>
                <w:rFonts w:asciiTheme="majorHAnsi" w:eastAsia="Times New Roman" w:hAnsiTheme="majorHAnsi" w:cstheme="majorHAnsi"/>
              </w:rPr>
              <w:t xml:space="preserve">cerns and needs to the Dean’s Office. </w:t>
            </w:r>
          </w:p>
          <w:p w:rsidR="008F2DCF" w:rsidRPr="006E28EE" w:rsidRDefault="008F2DCF"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rsidR="008F2DCF" w:rsidRPr="006E28EE" w:rsidRDefault="008F2DCF"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6E28EE">
              <w:rPr>
                <w:rFonts w:asciiTheme="majorHAnsi" w:eastAsia="Times New Roman" w:hAnsiTheme="majorHAnsi" w:cstheme="majorHAnsi"/>
              </w:rPr>
              <w:t>Helps prioritize the IT projects at the school such that projects align with the direction/strategy of the school set forth by the dean.</w:t>
            </w:r>
          </w:p>
        </w:tc>
        <w:tc>
          <w:tcPr>
            <w:tcW w:w="2070" w:type="dxa"/>
          </w:tcPr>
          <w:p w:rsidR="008F2DCF" w:rsidRPr="006E28EE" w:rsidRDefault="008F2DCF"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E28EE">
              <w:rPr>
                <w:rFonts w:asciiTheme="majorHAnsi" w:hAnsiTheme="majorHAnsi" w:cstheme="majorHAnsi"/>
              </w:rPr>
              <w:t>Faculty representatives</w:t>
            </w:r>
          </w:p>
        </w:tc>
        <w:tc>
          <w:tcPr>
            <w:tcW w:w="1710" w:type="dxa"/>
          </w:tcPr>
          <w:p w:rsidR="008F2DCF" w:rsidRPr="006E28EE" w:rsidRDefault="008F2DCF"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color w:val="auto"/>
              </w:rPr>
              <w:t xml:space="preserve">All members </w:t>
            </w:r>
          </w:p>
        </w:tc>
        <w:tc>
          <w:tcPr>
            <w:tcW w:w="2250" w:type="dxa"/>
          </w:tcPr>
          <w:p w:rsidR="008F2DCF" w:rsidRPr="006E28EE" w:rsidRDefault="0065255B" w:rsidP="00A37ED6">
            <w:pPr>
              <w:pStyle w:val="Default"/>
              <w:tabs>
                <w:tab w:val="left" w:pos="2172"/>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E28EE">
              <w:rPr>
                <w:rFonts w:asciiTheme="majorHAnsi" w:hAnsiTheme="majorHAnsi" w:cstheme="majorHAnsi"/>
                <w:i/>
              </w:rPr>
              <w:t xml:space="preserve">Supporting documentation for the </w:t>
            </w:r>
            <w:r w:rsidR="00876471" w:rsidRPr="006E28EE">
              <w:rPr>
                <w:rFonts w:asciiTheme="majorHAnsi" w:hAnsiTheme="majorHAnsi" w:cstheme="majorHAnsi"/>
                <w:i/>
              </w:rPr>
              <w:t>SPH Information Technology Faculty Advisory Committee</w:t>
            </w:r>
            <w:r w:rsidRPr="006E28EE">
              <w:rPr>
                <w:rFonts w:asciiTheme="majorHAnsi" w:hAnsiTheme="majorHAnsi" w:cstheme="majorHAnsi"/>
                <w:i/>
              </w:rPr>
              <w:t xml:space="preserve">, including committee bylaws, membership, meeting agendas, and meeting minutes </w:t>
            </w:r>
            <w:r w:rsidR="00D60DA2">
              <w:rPr>
                <w:rFonts w:asciiTheme="majorHAnsi" w:hAnsiTheme="majorHAnsi" w:cstheme="majorHAnsi"/>
                <w:i/>
              </w:rPr>
              <w:t>is available in the electronic resource file</w:t>
            </w:r>
            <w:r w:rsidRPr="006E28EE">
              <w:rPr>
                <w:rFonts w:asciiTheme="majorHAnsi" w:hAnsiTheme="majorHAnsi" w:cstheme="majorHAnsi"/>
                <w:i/>
              </w:rPr>
              <w:t xml:space="preserve"> (ERF, </w:t>
            </w:r>
            <w:r w:rsidR="009C2129" w:rsidRPr="006E28EE">
              <w:rPr>
                <w:rFonts w:asciiTheme="majorHAnsi" w:hAnsiTheme="majorHAnsi" w:cstheme="majorHAnsi"/>
                <w:i/>
              </w:rPr>
              <w:t>A1.1l. Information Technology Faculty Advisory Committees</w:t>
            </w:r>
            <w:r w:rsidRPr="006E28EE">
              <w:rPr>
                <w:rFonts w:asciiTheme="majorHAnsi" w:hAnsiTheme="majorHAnsi" w:cstheme="majorHAnsi"/>
                <w:i/>
              </w:rPr>
              <w:t>).</w:t>
            </w:r>
          </w:p>
        </w:tc>
      </w:tr>
    </w:tbl>
    <w:p w:rsidR="00CD00CF" w:rsidRPr="00743A41" w:rsidRDefault="00CD00CF" w:rsidP="00A37ED6">
      <w:pPr>
        <w:pStyle w:val="Default"/>
        <w:tabs>
          <w:tab w:val="left" w:pos="2172"/>
        </w:tabs>
        <w:jc w:val="both"/>
        <w:rPr>
          <w:rFonts w:asciiTheme="majorHAnsi" w:hAnsiTheme="majorHAnsi" w:cstheme="majorHAnsi"/>
          <w:color w:val="auto"/>
          <w:szCs w:val="20"/>
          <w:highlight w:val="cyan"/>
        </w:rPr>
      </w:pPr>
    </w:p>
    <w:p w:rsidR="00933038" w:rsidRPr="00743A41" w:rsidRDefault="00933038" w:rsidP="00A37ED6">
      <w:pPr>
        <w:pStyle w:val="Default"/>
        <w:numPr>
          <w:ilvl w:val="0"/>
          <w:numId w:val="2"/>
        </w:numPr>
        <w:ind w:left="720"/>
        <w:jc w:val="both"/>
        <w:rPr>
          <w:rFonts w:asciiTheme="majorHAnsi" w:hAnsiTheme="majorHAnsi" w:cstheme="majorHAnsi"/>
          <w:color w:val="auto"/>
          <w:szCs w:val="20"/>
        </w:rPr>
      </w:pPr>
      <w:r w:rsidRPr="00743A41">
        <w:rPr>
          <w:rFonts w:asciiTheme="majorHAnsi" w:hAnsiTheme="majorHAnsi" w:cstheme="majorHAnsi"/>
          <w:color w:val="auto"/>
          <w:szCs w:val="20"/>
        </w:rPr>
        <w:t xml:space="preserve">Briefly describe which committee(s) or other responsible parties make decisions on each of the following areas and how the decisions are made: </w:t>
      </w:r>
    </w:p>
    <w:p w:rsidR="00933038" w:rsidRPr="00743A41" w:rsidRDefault="00933038" w:rsidP="00A37ED6">
      <w:pPr>
        <w:pStyle w:val="ListParagraph"/>
        <w:jc w:val="both"/>
        <w:rPr>
          <w:rFonts w:asciiTheme="majorHAnsi" w:hAnsiTheme="majorHAnsi" w:cstheme="majorHAnsi"/>
          <w:szCs w:val="20"/>
        </w:rPr>
      </w:pPr>
    </w:p>
    <w:p w:rsidR="00933038" w:rsidRPr="00743A41" w:rsidRDefault="00933038" w:rsidP="00A37ED6">
      <w:pPr>
        <w:pStyle w:val="ListParagraph"/>
        <w:numPr>
          <w:ilvl w:val="1"/>
          <w:numId w:val="1"/>
        </w:numPr>
        <w:contextualSpacing/>
        <w:jc w:val="both"/>
        <w:rPr>
          <w:rFonts w:asciiTheme="majorHAnsi" w:hAnsiTheme="majorHAnsi" w:cstheme="majorHAnsi"/>
          <w:szCs w:val="20"/>
        </w:rPr>
      </w:pPr>
      <w:r w:rsidRPr="00743A41">
        <w:rPr>
          <w:rFonts w:asciiTheme="majorHAnsi" w:hAnsiTheme="majorHAnsi" w:cstheme="majorHAnsi"/>
          <w:szCs w:val="20"/>
        </w:rPr>
        <w:t>degree requirements</w:t>
      </w:r>
    </w:p>
    <w:p w:rsidR="00933038" w:rsidRPr="00743A41" w:rsidRDefault="00933038" w:rsidP="00A37ED6">
      <w:pPr>
        <w:ind w:left="1080"/>
        <w:contextualSpacing/>
        <w:jc w:val="both"/>
        <w:rPr>
          <w:rFonts w:asciiTheme="majorHAnsi" w:hAnsiTheme="majorHAnsi" w:cstheme="majorHAnsi"/>
          <w:i/>
          <w:sz w:val="20"/>
          <w:szCs w:val="20"/>
        </w:rPr>
      </w:pPr>
    </w:p>
    <w:p w:rsidR="00710A98" w:rsidRPr="00743A41" w:rsidRDefault="00710A98" w:rsidP="00A37ED6">
      <w:pPr>
        <w:ind w:left="1080"/>
        <w:rPr>
          <w:rFonts w:asciiTheme="majorHAnsi" w:eastAsia="Arial" w:hAnsiTheme="majorHAnsi" w:cstheme="majorHAnsi"/>
          <w:sz w:val="20"/>
          <w:szCs w:val="20"/>
        </w:rPr>
      </w:pPr>
      <w:r w:rsidRPr="00743A41">
        <w:rPr>
          <w:rFonts w:asciiTheme="majorHAnsi" w:eastAsia="Arial" w:hAnsiTheme="majorHAnsi" w:cstheme="majorHAnsi"/>
          <w:sz w:val="20"/>
          <w:szCs w:val="20"/>
        </w:rPr>
        <w:t>Degree requirements are initially developed and approved within department curriculum committees, and then discussed and approved by department faculty. Changes in degree requirements are presented to the Academic Council and then approved by SPHEC. Changes to the total required number of credit hours for degree programs require approval from UTHealth, UT System, and the Texas Higher Education Coordinating Board (THECB).</w:t>
      </w:r>
    </w:p>
    <w:p w:rsidR="00933038" w:rsidRPr="00743A41" w:rsidRDefault="00933038" w:rsidP="00A37ED6">
      <w:pPr>
        <w:ind w:left="1080"/>
        <w:contextualSpacing/>
        <w:jc w:val="both"/>
        <w:rPr>
          <w:rFonts w:asciiTheme="majorHAnsi" w:hAnsiTheme="majorHAnsi" w:cstheme="majorHAnsi"/>
          <w:sz w:val="20"/>
          <w:szCs w:val="20"/>
        </w:rPr>
      </w:pPr>
    </w:p>
    <w:p w:rsidR="00933038" w:rsidRPr="00743A41" w:rsidRDefault="00933038" w:rsidP="00A37ED6">
      <w:pPr>
        <w:pStyle w:val="ListParagraph"/>
        <w:numPr>
          <w:ilvl w:val="1"/>
          <w:numId w:val="1"/>
        </w:numPr>
        <w:contextualSpacing/>
        <w:jc w:val="both"/>
        <w:rPr>
          <w:rFonts w:asciiTheme="majorHAnsi" w:hAnsiTheme="majorHAnsi" w:cstheme="majorHAnsi"/>
          <w:szCs w:val="20"/>
        </w:rPr>
      </w:pPr>
      <w:r w:rsidRPr="00743A41">
        <w:rPr>
          <w:rFonts w:asciiTheme="majorHAnsi" w:hAnsiTheme="majorHAnsi" w:cstheme="majorHAnsi"/>
          <w:szCs w:val="20"/>
        </w:rPr>
        <w:t>curriculum design</w:t>
      </w:r>
    </w:p>
    <w:p w:rsidR="00933038" w:rsidRPr="00743A41" w:rsidRDefault="00933038" w:rsidP="00A37ED6">
      <w:pPr>
        <w:ind w:left="1080"/>
        <w:contextualSpacing/>
        <w:jc w:val="both"/>
        <w:rPr>
          <w:rFonts w:asciiTheme="majorHAnsi" w:hAnsiTheme="majorHAnsi" w:cstheme="majorHAnsi"/>
          <w:sz w:val="20"/>
          <w:szCs w:val="20"/>
        </w:rPr>
      </w:pPr>
    </w:p>
    <w:p w:rsidR="00710A98" w:rsidRPr="00743A41" w:rsidRDefault="00710A98" w:rsidP="00A37ED6">
      <w:pPr>
        <w:ind w:left="1080"/>
        <w:rPr>
          <w:rFonts w:asciiTheme="majorHAnsi" w:eastAsia="Arial" w:hAnsiTheme="majorHAnsi" w:cstheme="majorHAnsi"/>
          <w:sz w:val="20"/>
          <w:szCs w:val="20"/>
        </w:rPr>
      </w:pPr>
      <w:r w:rsidRPr="00743A41">
        <w:rPr>
          <w:rFonts w:asciiTheme="majorHAnsi" w:eastAsia="Arial" w:hAnsiTheme="majorHAnsi" w:cstheme="majorHAnsi"/>
          <w:sz w:val="20"/>
          <w:szCs w:val="20"/>
        </w:rPr>
        <w:t>Curriculum design changes can be initiated through the Academic Council or department curriculum committees. Curriculum changes impacting more than one department are vigorously discussed in the Academic Council, voted on, and submitted to SPHEC for approval. Proposals for new courses are introduced through department curriculum committees and then approved by the SWCRC.</w:t>
      </w:r>
    </w:p>
    <w:p w:rsidR="00710A98" w:rsidRPr="00743A41" w:rsidRDefault="00710A98" w:rsidP="00A37ED6">
      <w:pPr>
        <w:ind w:left="1080"/>
        <w:jc w:val="both"/>
        <w:rPr>
          <w:rFonts w:asciiTheme="majorHAnsi" w:eastAsia="Arial" w:hAnsiTheme="majorHAnsi" w:cstheme="majorHAnsi"/>
          <w:sz w:val="20"/>
          <w:szCs w:val="20"/>
        </w:rPr>
      </w:pPr>
    </w:p>
    <w:p w:rsidR="00710A98" w:rsidRPr="00743A41" w:rsidRDefault="00710A98" w:rsidP="00FC2BF5">
      <w:pPr>
        <w:ind w:left="1080"/>
        <w:contextualSpacing/>
        <w:rPr>
          <w:rFonts w:asciiTheme="majorHAnsi" w:hAnsiTheme="majorHAnsi" w:cstheme="majorHAnsi"/>
          <w:sz w:val="20"/>
          <w:szCs w:val="20"/>
        </w:rPr>
      </w:pPr>
      <w:r w:rsidRPr="00743A41">
        <w:rPr>
          <w:rFonts w:asciiTheme="majorHAnsi" w:eastAsia="Arial" w:hAnsiTheme="majorHAnsi" w:cstheme="majorHAnsi"/>
          <w:sz w:val="20"/>
          <w:szCs w:val="20"/>
        </w:rPr>
        <w:t>A working group may be appointed to analyze and make recommendations on major curriculum changes. For example, the CEPH Steering Committee was formed in response to the revised CEPH criteria in 2016 to examine the new CEPH competencies and to develop a new MPH and DrPH core curriculum, the practicum requirements, and the culminating experience. Additional working groups were formed to examine the DrPH core curriculum and the development of the UTHealth School of Public Health’s first fully online MPH program in epidemiology (launched in Fall 2019).</w:t>
      </w:r>
    </w:p>
    <w:p w:rsidR="00933038" w:rsidRPr="00743A41" w:rsidRDefault="00933038" w:rsidP="00A37ED6">
      <w:pPr>
        <w:ind w:left="1080"/>
        <w:contextualSpacing/>
        <w:jc w:val="both"/>
        <w:rPr>
          <w:rFonts w:asciiTheme="majorHAnsi" w:hAnsiTheme="majorHAnsi" w:cstheme="majorHAnsi"/>
          <w:sz w:val="20"/>
          <w:szCs w:val="20"/>
        </w:rPr>
      </w:pPr>
    </w:p>
    <w:p w:rsidR="00933038" w:rsidRPr="00743A41" w:rsidRDefault="00933038" w:rsidP="00A37ED6">
      <w:pPr>
        <w:pStyle w:val="ListParagraph"/>
        <w:numPr>
          <w:ilvl w:val="1"/>
          <w:numId w:val="1"/>
        </w:numPr>
        <w:contextualSpacing/>
        <w:jc w:val="both"/>
        <w:rPr>
          <w:rFonts w:asciiTheme="majorHAnsi" w:hAnsiTheme="majorHAnsi" w:cstheme="majorHAnsi"/>
          <w:szCs w:val="20"/>
        </w:rPr>
      </w:pPr>
      <w:r w:rsidRPr="00743A41">
        <w:rPr>
          <w:rFonts w:asciiTheme="majorHAnsi" w:hAnsiTheme="majorHAnsi" w:cstheme="majorHAnsi"/>
          <w:szCs w:val="20"/>
        </w:rPr>
        <w:t>student assessment policies and processes</w:t>
      </w:r>
    </w:p>
    <w:p w:rsidR="00933038" w:rsidRPr="00743A41" w:rsidRDefault="00933038" w:rsidP="00A37ED6">
      <w:pPr>
        <w:ind w:left="1080"/>
        <w:contextualSpacing/>
        <w:jc w:val="both"/>
        <w:rPr>
          <w:rFonts w:asciiTheme="majorHAnsi" w:hAnsiTheme="majorHAnsi" w:cstheme="majorHAnsi"/>
          <w:sz w:val="20"/>
          <w:szCs w:val="20"/>
        </w:rPr>
      </w:pPr>
    </w:p>
    <w:p w:rsidR="00710A98" w:rsidRPr="00743A41" w:rsidRDefault="00710A98" w:rsidP="00A37ED6">
      <w:pPr>
        <w:ind w:left="1080"/>
        <w:rPr>
          <w:rFonts w:asciiTheme="majorHAnsi" w:eastAsia="Arial" w:hAnsiTheme="majorHAnsi" w:cstheme="majorHAnsi"/>
          <w:i/>
          <w:sz w:val="20"/>
          <w:szCs w:val="20"/>
        </w:rPr>
      </w:pPr>
      <w:r w:rsidRPr="00743A41">
        <w:rPr>
          <w:rFonts w:asciiTheme="majorHAnsi" w:eastAsia="Arial" w:hAnsiTheme="majorHAnsi" w:cstheme="majorHAnsi"/>
          <w:sz w:val="20"/>
          <w:szCs w:val="20"/>
        </w:rPr>
        <w:t>The Academic Council is responsible for proposing, approving, and reviewing student assessment policies and processes. Changes in student assessment are introduced to the council, then vetted by the faculty at departmental faculty meetings. Policies are then voted on by the Academic Council followed by SPHEC. The Office of Academic Affairs and Students Services is responsible for monitoring policies and processes, and for generating reports for the council to review.</w:t>
      </w:r>
    </w:p>
    <w:p w:rsidR="00933038" w:rsidRPr="00743A41" w:rsidRDefault="00933038" w:rsidP="00A37ED6">
      <w:pPr>
        <w:ind w:left="1080"/>
        <w:contextualSpacing/>
        <w:jc w:val="both"/>
        <w:rPr>
          <w:rFonts w:asciiTheme="majorHAnsi" w:hAnsiTheme="majorHAnsi" w:cstheme="majorHAnsi"/>
          <w:sz w:val="20"/>
          <w:szCs w:val="20"/>
        </w:rPr>
      </w:pPr>
    </w:p>
    <w:p w:rsidR="00933038" w:rsidRPr="00743A41" w:rsidRDefault="00933038" w:rsidP="00A37ED6">
      <w:pPr>
        <w:pStyle w:val="ListParagraph"/>
        <w:numPr>
          <w:ilvl w:val="1"/>
          <w:numId w:val="1"/>
        </w:numPr>
        <w:contextualSpacing/>
        <w:jc w:val="both"/>
        <w:rPr>
          <w:rFonts w:asciiTheme="majorHAnsi" w:hAnsiTheme="majorHAnsi" w:cstheme="majorHAnsi"/>
          <w:szCs w:val="20"/>
        </w:rPr>
      </w:pPr>
      <w:r w:rsidRPr="00743A41">
        <w:rPr>
          <w:rFonts w:asciiTheme="majorHAnsi" w:hAnsiTheme="majorHAnsi" w:cstheme="majorHAnsi"/>
          <w:szCs w:val="20"/>
        </w:rPr>
        <w:t>admissions policies and/or decisions</w:t>
      </w:r>
    </w:p>
    <w:p w:rsidR="00933038" w:rsidRPr="00743A41" w:rsidRDefault="00933038" w:rsidP="00A37ED6">
      <w:pPr>
        <w:ind w:left="1080"/>
        <w:contextualSpacing/>
        <w:jc w:val="both"/>
        <w:rPr>
          <w:rFonts w:asciiTheme="majorHAnsi" w:hAnsiTheme="majorHAnsi" w:cstheme="majorHAnsi"/>
          <w:sz w:val="20"/>
          <w:szCs w:val="20"/>
        </w:rPr>
      </w:pPr>
    </w:p>
    <w:p w:rsidR="00710A98" w:rsidRPr="00743A41" w:rsidRDefault="00710A98" w:rsidP="00A37ED6">
      <w:pPr>
        <w:ind w:left="1080"/>
        <w:rPr>
          <w:rFonts w:asciiTheme="majorHAnsi" w:eastAsia="Arial" w:hAnsiTheme="majorHAnsi" w:cstheme="majorHAnsi"/>
          <w:i/>
          <w:sz w:val="20"/>
          <w:szCs w:val="20"/>
        </w:rPr>
      </w:pPr>
      <w:r w:rsidRPr="00743A41">
        <w:rPr>
          <w:rFonts w:asciiTheme="majorHAnsi" w:eastAsia="Arial" w:hAnsiTheme="majorHAnsi" w:cstheme="majorHAnsi"/>
          <w:sz w:val="20"/>
          <w:szCs w:val="20"/>
        </w:rPr>
        <w:t xml:space="preserve">The School-Wide Admissions Committee is responsible for maintaining and updating all policies and procedures related to the admissions process, in collaboration with the Office of Academic Affairs and Student Services. Admissions decisions are made through faculty committees at the department and campus levels. The Office of Academic Affairs and Student Services provides administrative support to the local units (department or campus) and communicates decisions to prospective students. A complete description of admissions processes and policies is included in </w:t>
      </w:r>
      <w:hyperlink w:anchor="_H4._Student_Recruitment" w:history="1">
        <w:r w:rsidR="001F0696" w:rsidRPr="00743A41">
          <w:rPr>
            <w:rStyle w:val="Hyperlink"/>
            <w:rFonts w:asciiTheme="majorHAnsi" w:eastAsia="Arial" w:hAnsiTheme="majorHAnsi" w:cstheme="majorHAnsi"/>
            <w:i/>
            <w:sz w:val="20"/>
            <w:szCs w:val="20"/>
          </w:rPr>
          <w:t>Criterion H4 Student Recruitment and Admissions</w:t>
        </w:r>
      </w:hyperlink>
      <w:r w:rsidRPr="006E28EE">
        <w:rPr>
          <w:rFonts w:asciiTheme="majorHAnsi" w:eastAsia="Arial" w:hAnsiTheme="majorHAnsi" w:cstheme="majorHAnsi"/>
          <w:i/>
          <w:sz w:val="20"/>
          <w:szCs w:val="20"/>
        </w:rPr>
        <w:t>.</w:t>
      </w:r>
    </w:p>
    <w:p w:rsidR="00933038" w:rsidRPr="00743A41" w:rsidRDefault="00933038" w:rsidP="00A37ED6">
      <w:pPr>
        <w:ind w:left="1080"/>
        <w:contextualSpacing/>
        <w:jc w:val="both"/>
        <w:rPr>
          <w:rFonts w:asciiTheme="majorHAnsi" w:hAnsiTheme="majorHAnsi" w:cstheme="majorHAnsi"/>
          <w:sz w:val="20"/>
          <w:szCs w:val="20"/>
        </w:rPr>
      </w:pPr>
    </w:p>
    <w:p w:rsidR="00933038" w:rsidRPr="00743A41" w:rsidRDefault="00933038" w:rsidP="00A37ED6">
      <w:pPr>
        <w:pStyle w:val="ListParagraph"/>
        <w:numPr>
          <w:ilvl w:val="1"/>
          <w:numId w:val="1"/>
        </w:numPr>
        <w:contextualSpacing/>
        <w:jc w:val="both"/>
        <w:rPr>
          <w:rFonts w:asciiTheme="majorHAnsi" w:hAnsiTheme="majorHAnsi" w:cstheme="majorHAnsi"/>
          <w:szCs w:val="20"/>
        </w:rPr>
      </w:pPr>
      <w:r w:rsidRPr="00743A41">
        <w:rPr>
          <w:rFonts w:asciiTheme="majorHAnsi" w:hAnsiTheme="majorHAnsi" w:cstheme="majorHAnsi"/>
          <w:szCs w:val="20"/>
        </w:rPr>
        <w:t>faculty recruitment and promotion</w:t>
      </w:r>
    </w:p>
    <w:p w:rsidR="00933038" w:rsidRPr="00743A41" w:rsidRDefault="00933038" w:rsidP="00A37ED6">
      <w:pPr>
        <w:ind w:left="1080"/>
        <w:contextualSpacing/>
        <w:jc w:val="both"/>
        <w:rPr>
          <w:rFonts w:asciiTheme="majorHAnsi" w:hAnsiTheme="majorHAnsi" w:cstheme="majorHAnsi"/>
          <w:sz w:val="20"/>
          <w:szCs w:val="20"/>
        </w:rPr>
      </w:pPr>
    </w:p>
    <w:p w:rsidR="00710A98" w:rsidRPr="00743A41" w:rsidRDefault="00710A98" w:rsidP="00A37ED6">
      <w:pPr>
        <w:ind w:left="1080"/>
        <w:rPr>
          <w:rFonts w:asciiTheme="majorHAnsi" w:eastAsia="Arial" w:hAnsiTheme="majorHAnsi" w:cstheme="majorHAnsi"/>
          <w:sz w:val="20"/>
          <w:szCs w:val="20"/>
          <w:highlight w:val="yellow"/>
        </w:rPr>
      </w:pPr>
      <w:r w:rsidRPr="00743A41">
        <w:rPr>
          <w:rFonts w:asciiTheme="majorHAnsi" w:eastAsia="Arial" w:hAnsiTheme="majorHAnsi" w:cstheme="majorHAnsi"/>
          <w:sz w:val="20"/>
          <w:szCs w:val="20"/>
        </w:rPr>
        <w:t xml:space="preserve">The dean, department chairs, and/or campus deans collaboratively make decisions regarding faculty recruitment. The dean appoints a faculty search committee that is responsible for identifying a pool of the best-available candidates and for actively seeking minority and female candidates. Efforts to obtain the highest-quality candidates include advertisements in professional publications, direct contacts with other schools of public health, and solicitations for nominations from individuals. The faculty search committee identifies the top candidates; arranges recruitment visits; and seeks input from faculty, students, and appropriate center directors. The faculty search committee then reviews input and makes final recommendations of the top candidates to the department chair and dean. The dean collaborates with department chairs and campus deans to make a final decision and to negotiate the offer with the selected candidate. </w:t>
      </w:r>
    </w:p>
    <w:p w:rsidR="00710A98" w:rsidRPr="00743A41" w:rsidRDefault="00710A98" w:rsidP="00A37ED6">
      <w:pPr>
        <w:ind w:left="1080"/>
        <w:rPr>
          <w:rFonts w:asciiTheme="majorHAnsi" w:eastAsia="Arial" w:hAnsiTheme="majorHAnsi" w:cstheme="majorHAnsi"/>
          <w:sz w:val="20"/>
          <w:szCs w:val="20"/>
          <w:highlight w:val="yellow"/>
        </w:rPr>
      </w:pPr>
    </w:p>
    <w:p w:rsidR="00710A98" w:rsidRPr="00743A41" w:rsidRDefault="00710A98" w:rsidP="00A37ED6">
      <w:pPr>
        <w:ind w:left="1080"/>
        <w:contextualSpacing/>
        <w:rPr>
          <w:rFonts w:asciiTheme="majorHAnsi" w:hAnsiTheme="majorHAnsi" w:cstheme="majorHAnsi"/>
          <w:sz w:val="20"/>
          <w:szCs w:val="20"/>
        </w:rPr>
      </w:pPr>
      <w:r w:rsidRPr="00743A41">
        <w:rPr>
          <w:rFonts w:asciiTheme="majorHAnsi" w:eastAsia="Arial" w:hAnsiTheme="majorHAnsi" w:cstheme="majorHAnsi"/>
          <w:sz w:val="20"/>
          <w:szCs w:val="20"/>
        </w:rPr>
        <w:t xml:space="preserve">The Faculty Council oversees the promotion and tenure processes, policies, and procedures. Policy and procedural changes are made by the Faculty Council, reviewed and voted on by SPHEC, and ultimately approved by the faculty at large. Each year, the Faculty Council appoints senior faculty to chair and co-chair the tenure and promotion process. The chair and co-chair of the tenure and promotion process manage the yearlong process, which includes posting key dates, requesting external reviewer letters, and ensuring candidates understand all aspects of the process. Promotion and tenure candidates are initially reviewed and voted on by their departmental faculty, and then by vote-eligible faculty at the annual tenure and promotion meeting. Vote-eligible faculty include all appointed UTHealth School of Public Health faculty, from all departments and campuses, who are at or above the rank and tenure status of each candidate’s intent. Additional information can be found in </w:t>
      </w:r>
      <w:hyperlink w:anchor="_E4._Faculty_Scholarship" w:history="1">
        <w:r w:rsidR="005065A0" w:rsidRPr="00743A41">
          <w:rPr>
            <w:rStyle w:val="Hyperlink"/>
            <w:rFonts w:asciiTheme="majorHAnsi" w:eastAsia="Arial" w:hAnsiTheme="majorHAnsi" w:cstheme="majorHAnsi"/>
            <w:i/>
            <w:sz w:val="20"/>
            <w:szCs w:val="20"/>
          </w:rPr>
          <w:t>Criterion E4 Faculty Scholarship</w:t>
        </w:r>
      </w:hyperlink>
      <w:r w:rsidRPr="00743A41">
        <w:rPr>
          <w:rFonts w:asciiTheme="majorHAnsi" w:eastAsia="Arial" w:hAnsiTheme="majorHAnsi" w:cstheme="majorHAnsi"/>
          <w:sz w:val="20"/>
          <w:szCs w:val="20"/>
        </w:rPr>
        <w:t>.</w:t>
      </w:r>
    </w:p>
    <w:p w:rsidR="00933038" w:rsidRPr="00743A41" w:rsidRDefault="00933038" w:rsidP="00A37ED6">
      <w:pPr>
        <w:ind w:left="1080"/>
        <w:contextualSpacing/>
        <w:jc w:val="both"/>
        <w:rPr>
          <w:rFonts w:asciiTheme="majorHAnsi" w:hAnsiTheme="majorHAnsi" w:cstheme="majorHAnsi"/>
          <w:sz w:val="20"/>
          <w:szCs w:val="20"/>
        </w:rPr>
      </w:pPr>
    </w:p>
    <w:p w:rsidR="00933038" w:rsidRPr="00743A41" w:rsidRDefault="00933038" w:rsidP="00A37ED6">
      <w:pPr>
        <w:pStyle w:val="Default"/>
        <w:numPr>
          <w:ilvl w:val="1"/>
          <w:numId w:val="1"/>
        </w:numPr>
        <w:jc w:val="both"/>
        <w:rPr>
          <w:rFonts w:asciiTheme="majorHAnsi" w:hAnsiTheme="majorHAnsi" w:cstheme="majorHAnsi"/>
          <w:color w:val="auto"/>
          <w:szCs w:val="20"/>
        </w:rPr>
      </w:pPr>
      <w:r w:rsidRPr="00743A41">
        <w:rPr>
          <w:rFonts w:asciiTheme="majorHAnsi" w:hAnsiTheme="majorHAnsi" w:cstheme="majorHAnsi"/>
          <w:color w:val="auto"/>
          <w:szCs w:val="20"/>
        </w:rPr>
        <w:t>research and service activities</w:t>
      </w:r>
    </w:p>
    <w:p w:rsidR="00933038" w:rsidRPr="00743A41" w:rsidRDefault="00933038" w:rsidP="00A37ED6">
      <w:pPr>
        <w:pStyle w:val="Default"/>
        <w:ind w:left="1080"/>
        <w:jc w:val="both"/>
        <w:rPr>
          <w:rFonts w:asciiTheme="majorHAnsi" w:hAnsiTheme="majorHAnsi" w:cstheme="majorHAnsi"/>
          <w:color w:val="auto"/>
          <w:szCs w:val="20"/>
        </w:rPr>
      </w:pPr>
    </w:p>
    <w:p w:rsidR="00710A98" w:rsidRPr="00743A41" w:rsidRDefault="00710A98" w:rsidP="00A37ED6">
      <w:pPr>
        <w:pStyle w:val="Default"/>
        <w:ind w:left="1080"/>
        <w:rPr>
          <w:rFonts w:asciiTheme="majorHAnsi" w:hAnsiTheme="majorHAnsi" w:cstheme="majorHAnsi"/>
          <w:szCs w:val="20"/>
        </w:rPr>
      </w:pPr>
      <w:r w:rsidRPr="00743A41">
        <w:rPr>
          <w:rFonts w:asciiTheme="majorHAnsi" w:hAnsiTheme="majorHAnsi" w:cstheme="majorHAnsi"/>
          <w:szCs w:val="20"/>
        </w:rPr>
        <w:t xml:space="preserve">The dean, department chairs, and campus deans, in consultation with the faculty, are responsible for setting goals and expectations for research, extramural funding, teaching, and service. The minimum research expectation for all tenured or tenure-track full-time faculty is negotiated through the offer letter for new faculty, but not less than 20% salary offset per year. Typically, this becomes effective for assistant professors after the first three years of employment or the time period indicated in the offer letter. Salary offset in support of research funded through an extramural source including local, state, and federal agencies; foundations; private industry; and other sources is acceptable. Tenure-track and tenured faculty are expected to perform at a level higher than the minimum research expectation, with a target of 50% extramural salary support. </w:t>
      </w:r>
    </w:p>
    <w:p w:rsidR="00710A98" w:rsidRPr="00743A41" w:rsidRDefault="00710A98" w:rsidP="00A37ED6">
      <w:pPr>
        <w:pStyle w:val="Default"/>
        <w:ind w:left="1080"/>
        <w:rPr>
          <w:rFonts w:asciiTheme="majorHAnsi" w:hAnsiTheme="majorHAnsi" w:cstheme="majorHAnsi"/>
          <w:szCs w:val="20"/>
        </w:rPr>
      </w:pPr>
    </w:p>
    <w:p w:rsidR="00710A98" w:rsidRPr="00743A41" w:rsidRDefault="00710A98" w:rsidP="00A37ED6">
      <w:pPr>
        <w:pStyle w:val="Default"/>
        <w:ind w:left="1080"/>
        <w:rPr>
          <w:rFonts w:asciiTheme="majorHAnsi" w:hAnsiTheme="majorHAnsi" w:cstheme="majorHAnsi"/>
          <w:szCs w:val="20"/>
        </w:rPr>
      </w:pPr>
      <w:r w:rsidRPr="00743A41">
        <w:rPr>
          <w:rFonts w:asciiTheme="majorHAnsi" w:hAnsiTheme="majorHAnsi" w:cstheme="majorHAnsi"/>
          <w:szCs w:val="20"/>
        </w:rPr>
        <w:t xml:space="preserve">All faculty are expected to engage in service activities. Each faculty member collaborates with their department chair and/or campus dean to define service expectations annually. Each faculty member records their service contributions in the Annual Activity Report (AAR) from which they are evaluated by their peers and department chair and, if applicable, campus dean. Additional information can be found in </w:t>
      </w:r>
      <w:hyperlink w:anchor="_E5._Faculty_Extramural" w:history="1">
        <w:r w:rsidR="004C6574" w:rsidRPr="00743A41">
          <w:rPr>
            <w:rStyle w:val="Hyperlink"/>
            <w:rFonts w:asciiTheme="majorHAnsi" w:hAnsiTheme="majorHAnsi" w:cstheme="majorHAnsi"/>
            <w:i/>
            <w:iCs/>
            <w:szCs w:val="20"/>
          </w:rPr>
          <w:t>Criterion E5 Faculty Extramural Service</w:t>
        </w:r>
      </w:hyperlink>
      <w:r w:rsidRPr="00743A41">
        <w:rPr>
          <w:rFonts w:asciiTheme="majorHAnsi" w:hAnsiTheme="majorHAnsi" w:cstheme="majorHAnsi"/>
          <w:szCs w:val="20"/>
        </w:rPr>
        <w:t>.</w:t>
      </w:r>
    </w:p>
    <w:p w:rsidR="00933038" w:rsidRPr="00743A41" w:rsidRDefault="00933038" w:rsidP="00A37ED6">
      <w:pPr>
        <w:pStyle w:val="Default"/>
        <w:ind w:left="1440"/>
        <w:jc w:val="both"/>
        <w:rPr>
          <w:rFonts w:asciiTheme="majorHAnsi" w:hAnsiTheme="majorHAnsi" w:cstheme="majorHAnsi"/>
          <w:color w:val="auto"/>
          <w:szCs w:val="20"/>
        </w:rPr>
      </w:pPr>
    </w:p>
    <w:p w:rsidR="00933038" w:rsidRPr="00743A41" w:rsidRDefault="00933038" w:rsidP="00A37ED6">
      <w:pPr>
        <w:pStyle w:val="Default"/>
        <w:numPr>
          <w:ilvl w:val="0"/>
          <w:numId w:val="2"/>
        </w:numPr>
        <w:ind w:left="720"/>
        <w:jc w:val="both"/>
        <w:rPr>
          <w:rFonts w:asciiTheme="majorHAnsi" w:hAnsiTheme="majorHAnsi" w:cstheme="majorHAnsi"/>
          <w:color w:val="auto"/>
          <w:szCs w:val="20"/>
        </w:rPr>
      </w:pPr>
      <w:r w:rsidRPr="00743A41">
        <w:rPr>
          <w:rFonts w:asciiTheme="majorHAnsi" w:hAnsiTheme="majorHAnsi" w:cstheme="majorHAnsi"/>
          <w:color w:val="auto"/>
          <w:szCs w:val="20"/>
        </w:rPr>
        <w:t xml:space="preserve">A copy of the bylaws or other policy documents that determine the rights and obligations of administrators, faculty and students in governance of the school.  </w:t>
      </w:r>
    </w:p>
    <w:p w:rsidR="00933038" w:rsidRPr="00743A41" w:rsidRDefault="00933038" w:rsidP="00A37ED6">
      <w:pPr>
        <w:pStyle w:val="Default"/>
        <w:jc w:val="both"/>
        <w:rPr>
          <w:rFonts w:asciiTheme="majorHAnsi" w:hAnsiTheme="majorHAnsi" w:cstheme="majorHAnsi"/>
          <w:color w:val="auto"/>
          <w:szCs w:val="20"/>
        </w:rPr>
      </w:pPr>
    </w:p>
    <w:p w:rsidR="00302459" w:rsidRPr="00743A41" w:rsidRDefault="00302459" w:rsidP="00A37ED6">
      <w:pPr>
        <w:pStyle w:val="Default"/>
        <w:ind w:left="720"/>
        <w:rPr>
          <w:rFonts w:asciiTheme="majorHAnsi" w:eastAsia="Arial" w:hAnsiTheme="majorHAnsi" w:cstheme="majorHAnsi"/>
          <w:szCs w:val="20"/>
        </w:rPr>
      </w:pPr>
      <w:r w:rsidRPr="00743A41">
        <w:rPr>
          <w:rFonts w:asciiTheme="majorHAnsi" w:eastAsia="Arial" w:hAnsiTheme="majorHAnsi" w:cstheme="majorHAnsi"/>
          <w:szCs w:val="20"/>
        </w:rPr>
        <w:t xml:space="preserve">All administrators, faculty, staff, and students at UTHealth are required to comply with the all policies as defined in the </w:t>
      </w:r>
      <w:hyperlink r:id="rId21" w:history="1">
        <w:r w:rsidR="00C914D6" w:rsidRPr="00743A41">
          <w:rPr>
            <w:rStyle w:val="Hyperlink"/>
            <w:rFonts w:asciiTheme="majorHAnsi" w:eastAsia="Arial" w:hAnsiTheme="majorHAnsi" w:cstheme="majorHAnsi"/>
            <w:szCs w:val="20"/>
          </w:rPr>
          <w:t>UTHealth Handbook of Operating Procedures (HOOP)</w:t>
        </w:r>
      </w:hyperlink>
      <w:r w:rsidRPr="00743A41">
        <w:rPr>
          <w:rFonts w:asciiTheme="majorHAnsi" w:eastAsia="Arial" w:hAnsiTheme="majorHAnsi" w:cstheme="majorHAnsi"/>
          <w:szCs w:val="20"/>
        </w:rPr>
        <w:t>. The bylaws for each committee at the UTHealth School of Public Health are available in the corresponding electronic resource file for each committee or council folder.</w:t>
      </w:r>
    </w:p>
    <w:p w:rsidR="00302459" w:rsidRPr="00743A41" w:rsidRDefault="00302459" w:rsidP="00A37ED6">
      <w:pPr>
        <w:pStyle w:val="Default"/>
        <w:ind w:left="720"/>
        <w:jc w:val="both"/>
        <w:rPr>
          <w:rFonts w:asciiTheme="majorHAnsi" w:eastAsia="Arial" w:hAnsiTheme="majorHAnsi" w:cstheme="majorHAnsi"/>
          <w:szCs w:val="20"/>
        </w:rPr>
      </w:pPr>
    </w:p>
    <w:p w:rsidR="00302459" w:rsidRPr="00743A41" w:rsidRDefault="00302459" w:rsidP="00A37ED6">
      <w:pPr>
        <w:pStyle w:val="Default"/>
        <w:ind w:left="720"/>
        <w:rPr>
          <w:rFonts w:asciiTheme="majorHAnsi" w:eastAsia="Arial" w:hAnsiTheme="majorHAnsi" w:cstheme="majorHAnsi"/>
          <w:szCs w:val="20"/>
        </w:rPr>
      </w:pPr>
      <w:r w:rsidRPr="00743A41">
        <w:rPr>
          <w:rFonts w:asciiTheme="majorHAnsi" w:eastAsia="Arial" w:hAnsiTheme="majorHAnsi" w:cstheme="majorHAnsi"/>
          <w:szCs w:val="20"/>
        </w:rPr>
        <w:t xml:space="preserve">Associated documents in the electronic resource file: </w:t>
      </w:r>
    </w:p>
    <w:p w:rsidR="00302459" w:rsidRPr="00DE25B3" w:rsidRDefault="00772EBB" w:rsidP="00A37ED6">
      <w:pPr>
        <w:pStyle w:val="Default"/>
        <w:numPr>
          <w:ilvl w:val="0"/>
          <w:numId w:val="63"/>
        </w:numPr>
        <w:jc w:val="both"/>
        <w:rPr>
          <w:rFonts w:asciiTheme="majorHAnsi" w:hAnsiTheme="majorHAnsi" w:cstheme="majorHAnsi"/>
          <w:i/>
          <w:color w:val="auto"/>
          <w:szCs w:val="20"/>
        </w:rPr>
      </w:pPr>
      <w:r w:rsidRPr="00DE25B3">
        <w:rPr>
          <w:rFonts w:asciiTheme="majorHAnsi" w:hAnsiTheme="majorHAnsi" w:cstheme="majorHAnsi"/>
          <w:i/>
        </w:rPr>
        <w:t>A1. Organization and Administrative Processes</w:t>
      </w:r>
    </w:p>
    <w:p w:rsidR="00302459" w:rsidRPr="00DE25B3" w:rsidRDefault="008C4B7F" w:rsidP="00A37ED6">
      <w:pPr>
        <w:pStyle w:val="Default"/>
        <w:numPr>
          <w:ilvl w:val="1"/>
          <w:numId w:val="63"/>
        </w:numPr>
        <w:tabs>
          <w:tab w:val="left" w:pos="2172"/>
        </w:tabs>
        <w:jc w:val="both"/>
        <w:rPr>
          <w:rFonts w:asciiTheme="majorHAnsi" w:hAnsiTheme="majorHAnsi" w:cstheme="majorHAnsi"/>
          <w:i/>
          <w:color w:val="auto"/>
          <w:szCs w:val="20"/>
        </w:rPr>
      </w:pPr>
      <w:r w:rsidRPr="00DE25B3">
        <w:rPr>
          <w:rFonts w:asciiTheme="majorHAnsi" w:hAnsiTheme="majorHAnsi" w:cstheme="majorHAnsi"/>
          <w:i/>
          <w:szCs w:val="20"/>
        </w:rPr>
        <w:t>A</w:t>
      </w:r>
      <w:r w:rsidR="00772EBB" w:rsidRPr="00DE25B3">
        <w:rPr>
          <w:rFonts w:asciiTheme="majorHAnsi" w:hAnsiTheme="majorHAnsi" w:cstheme="majorHAnsi"/>
          <w:i/>
        </w:rPr>
        <w:t>1.1a. School of Public Health Executive Committee (SPHEC)</w:t>
      </w:r>
    </w:p>
    <w:p w:rsidR="00302459" w:rsidRPr="00DE25B3" w:rsidRDefault="00772EBB" w:rsidP="00A37ED6">
      <w:pPr>
        <w:pStyle w:val="Default"/>
        <w:numPr>
          <w:ilvl w:val="1"/>
          <w:numId w:val="63"/>
        </w:numPr>
        <w:tabs>
          <w:tab w:val="left" w:pos="2172"/>
        </w:tabs>
        <w:jc w:val="both"/>
        <w:rPr>
          <w:rFonts w:asciiTheme="majorHAnsi" w:hAnsiTheme="majorHAnsi" w:cstheme="majorHAnsi"/>
          <w:i/>
          <w:color w:val="auto"/>
          <w:szCs w:val="20"/>
        </w:rPr>
      </w:pPr>
      <w:r w:rsidRPr="00DE25B3">
        <w:rPr>
          <w:rFonts w:asciiTheme="majorHAnsi" w:hAnsiTheme="majorHAnsi" w:cstheme="majorHAnsi"/>
          <w:i/>
        </w:rPr>
        <w:t>A1.1b. Academic Council</w:t>
      </w:r>
    </w:p>
    <w:p w:rsidR="00302459" w:rsidRPr="00DE25B3" w:rsidRDefault="00772EBB" w:rsidP="00A37ED6">
      <w:pPr>
        <w:pStyle w:val="ListParagraph"/>
        <w:numPr>
          <w:ilvl w:val="1"/>
          <w:numId w:val="63"/>
        </w:numPr>
        <w:tabs>
          <w:tab w:val="left" w:pos="720"/>
        </w:tabs>
        <w:ind w:right="-14"/>
        <w:rPr>
          <w:rStyle w:val="Hyperlink"/>
          <w:rFonts w:asciiTheme="majorHAnsi" w:eastAsia="Arial" w:hAnsiTheme="majorHAnsi" w:cstheme="majorHAnsi"/>
          <w:i/>
          <w:color w:val="auto"/>
          <w:szCs w:val="20"/>
          <w:u w:val="none"/>
        </w:rPr>
      </w:pPr>
      <w:r w:rsidRPr="00DE25B3">
        <w:rPr>
          <w:rFonts w:asciiTheme="majorHAnsi" w:hAnsiTheme="majorHAnsi" w:cstheme="majorHAnsi"/>
          <w:i/>
        </w:rPr>
        <w:t>A1.1c. Faculty Council</w:t>
      </w:r>
    </w:p>
    <w:p w:rsidR="00302459" w:rsidRPr="00DE25B3" w:rsidRDefault="00772EBB" w:rsidP="00A37ED6">
      <w:pPr>
        <w:pStyle w:val="ListParagraph"/>
        <w:numPr>
          <w:ilvl w:val="1"/>
          <w:numId w:val="63"/>
        </w:numPr>
        <w:tabs>
          <w:tab w:val="left" w:pos="720"/>
        </w:tabs>
        <w:ind w:right="-14"/>
        <w:rPr>
          <w:rFonts w:asciiTheme="majorHAnsi" w:eastAsia="Arial" w:hAnsiTheme="majorHAnsi" w:cstheme="majorHAnsi"/>
          <w:i/>
          <w:szCs w:val="20"/>
        </w:rPr>
      </w:pPr>
      <w:r w:rsidRPr="00DE25B3">
        <w:rPr>
          <w:rFonts w:asciiTheme="majorHAnsi" w:eastAsia="Arial" w:hAnsiTheme="majorHAnsi" w:cstheme="majorHAnsi"/>
          <w:i/>
        </w:rPr>
        <w:t>A1.1d. Academic Grievance Committee</w:t>
      </w:r>
    </w:p>
    <w:p w:rsidR="00302459" w:rsidRPr="00DE25B3" w:rsidRDefault="00772EBB" w:rsidP="00A37ED6">
      <w:pPr>
        <w:pStyle w:val="Default"/>
        <w:numPr>
          <w:ilvl w:val="1"/>
          <w:numId w:val="63"/>
        </w:numPr>
        <w:tabs>
          <w:tab w:val="left" w:pos="2172"/>
        </w:tabs>
        <w:jc w:val="both"/>
        <w:rPr>
          <w:rFonts w:asciiTheme="majorHAnsi" w:hAnsiTheme="majorHAnsi" w:cstheme="majorHAnsi"/>
          <w:i/>
          <w:color w:val="auto"/>
          <w:szCs w:val="20"/>
        </w:rPr>
      </w:pPr>
      <w:r w:rsidRPr="00DE25B3">
        <w:rPr>
          <w:rFonts w:asciiTheme="majorHAnsi" w:hAnsiTheme="majorHAnsi" w:cstheme="majorHAnsi"/>
          <w:i/>
        </w:rPr>
        <w:t>A1.1e. Admissions Committee</w:t>
      </w:r>
    </w:p>
    <w:p w:rsidR="00302459" w:rsidRPr="00DE25B3" w:rsidRDefault="00772EBB" w:rsidP="00A37ED6">
      <w:pPr>
        <w:pStyle w:val="Default"/>
        <w:numPr>
          <w:ilvl w:val="1"/>
          <w:numId w:val="63"/>
        </w:numPr>
        <w:tabs>
          <w:tab w:val="left" w:pos="2172"/>
        </w:tabs>
        <w:jc w:val="both"/>
        <w:rPr>
          <w:rFonts w:asciiTheme="majorHAnsi" w:hAnsiTheme="majorHAnsi" w:cstheme="majorHAnsi"/>
          <w:i/>
          <w:color w:val="auto"/>
          <w:szCs w:val="20"/>
        </w:rPr>
      </w:pPr>
      <w:r w:rsidRPr="00DE25B3">
        <w:rPr>
          <w:rFonts w:asciiTheme="majorHAnsi" w:hAnsiTheme="majorHAnsi" w:cstheme="majorHAnsi"/>
          <w:i/>
        </w:rPr>
        <w:t>A1.1f. CEPH Steering Committee</w:t>
      </w:r>
    </w:p>
    <w:p w:rsidR="00302459" w:rsidRPr="00DE25B3" w:rsidRDefault="00772EBB" w:rsidP="00A37ED6">
      <w:pPr>
        <w:pStyle w:val="ListParagraph"/>
        <w:numPr>
          <w:ilvl w:val="1"/>
          <w:numId w:val="63"/>
        </w:numPr>
        <w:tabs>
          <w:tab w:val="left" w:pos="720"/>
        </w:tabs>
        <w:ind w:right="-14"/>
        <w:rPr>
          <w:rFonts w:asciiTheme="majorHAnsi" w:eastAsia="Arial" w:hAnsiTheme="majorHAnsi" w:cstheme="majorHAnsi"/>
          <w:i/>
          <w:szCs w:val="20"/>
        </w:rPr>
      </w:pPr>
      <w:r w:rsidRPr="00DE25B3">
        <w:rPr>
          <w:rFonts w:asciiTheme="majorHAnsi" w:eastAsia="Arial" w:hAnsiTheme="majorHAnsi" w:cstheme="majorHAnsi"/>
          <w:i/>
        </w:rPr>
        <w:t>A1.1g. Inclusion, Diversity, Equity, and Advocacy (IDEA) Committee</w:t>
      </w:r>
    </w:p>
    <w:p w:rsidR="00302459" w:rsidRPr="00DE25B3" w:rsidRDefault="00772EBB" w:rsidP="00A37ED6">
      <w:pPr>
        <w:pStyle w:val="ListParagraph"/>
        <w:numPr>
          <w:ilvl w:val="1"/>
          <w:numId w:val="63"/>
        </w:numPr>
        <w:tabs>
          <w:tab w:val="left" w:pos="720"/>
        </w:tabs>
        <w:ind w:right="-14"/>
        <w:rPr>
          <w:rFonts w:asciiTheme="majorHAnsi" w:eastAsia="Arial" w:hAnsiTheme="majorHAnsi" w:cstheme="majorHAnsi"/>
          <w:i/>
          <w:szCs w:val="20"/>
        </w:rPr>
      </w:pPr>
      <w:r w:rsidRPr="00DE25B3">
        <w:rPr>
          <w:rFonts w:asciiTheme="majorHAnsi" w:eastAsia="Arial" w:hAnsiTheme="majorHAnsi" w:cstheme="majorHAnsi"/>
          <w:i/>
        </w:rPr>
        <w:t>A1.1h. Practice Council</w:t>
      </w:r>
    </w:p>
    <w:p w:rsidR="00302459" w:rsidRPr="00DE25B3" w:rsidRDefault="00772EBB" w:rsidP="00A37ED6">
      <w:pPr>
        <w:pStyle w:val="Default"/>
        <w:numPr>
          <w:ilvl w:val="1"/>
          <w:numId w:val="63"/>
        </w:numPr>
        <w:tabs>
          <w:tab w:val="left" w:pos="2172"/>
        </w:tabs>
        <w:jc w:val="both"/>
        <w:rPr>
          <w:rFonts w:asciiTheme="majorHAnsi" w:hAnsiTheme="majorHAnsi" w:cstheme="majorHAnsi"/>
          <w:i/>
          <w:color w:val="auto"/>
          <w:szCs w:val="20"/>
        </w:rPr>
      </w:pPr>
      <w:r w:rsidRPr="00DE25B3">
        <w:rPr>
          <w:rFonts w:asciiTheme="majorHAnsi" w:hAnsiTheme="majorHAnsi" w:cstheme="majorHAnsi"/>
          <w:i/>
        </w:rPr>
        <w:t>A1.1i. Research Council</w:t>
      </w:r>
    </w:p>
    <w:p w:rsidR="00302459" w:rsidRPr="00DE25B3" w:rsidRDefault="00772EBB" w:rsidP="00A37ED6">
      <w:pPr>
        <w:pStyle w:val="ListParagraph"/>
        <w:numPr>
          <w:ilvl w:val="1"/>
          <w:numId w:val="63"/>
        </w:numPr>
        <w:tabs>
          <w:tab w:val="left" w:pos="720"/>
          <w:tab w:val="left" w:pos="9090"/>
        </w:tabs>
        <w:ind w:right="209"/>
        <w:rPr>
          <w:rFonts w:asciiTheme="majorHAnsi" w:eastAsia="Arial" w:hAnsiTheme="majorHAnsi" w:cstheme="majorHAnsi"/>
          <w:i/>
          <w:szCs w:val="20"/>
        </w:rPr>
      </w:pPr>
      <w:r w:rsidRPr="00DE25B3">
        <w:rPr>
          <w:rFonts w:asciiTheme="majorHAnsi" w:eastAsia="Arial" w:hAnsiTheme="majorHAnsi" w:cstheme="majorHAnsi"/>
          <w:i/>
        </w:rPr>
        <w:t xml:space="preserve">A1.1j. Scholarship and Traineeship Committee </w:t>
      </w:r>
    </w:p>
    <w:p w:rsidR="00302459" w:rsidRPr="00DE25B3" w:rsidRDefault="00772EBB" w:rsidP="00A37ED6">
      <w:pPr>
        <w:pStyle w:val="Default"/>
        <w:numPr>
          <w:ilvl w:val="1"/>
          <w:numId w:val="63"/>
        </w:numPr>
        <w:tabs>
          <w:tab w:val="left" w:pos="2172"/>
        </w:tabs>
        <w:jc w:val="both"/>
        <w:rPr>
          <w:rFonts w:asciiTheme="majorHAnsi" w:hAnsiTheme="majorHAnsi" w:cstheme="majorHAnsi"/>
          <w:i/>
          <w:color w:val="auto"/>
          <w:szCs w:val="20"/>
        </w:rPr>
      </w:pPr>
      <w:r w:rsidRPr="00DE25B3">
        <w:rPr>
          <w:rFonts w:asciiTheme="majorHAnsi" w:hAnsiTheme="majorHAnsi" w:cstheme="majorHAnsi"/>
          <w:i/>
        </w:rPr>
        <w:t>A1.1k. School-Wide Course Review Committee</w:t>
      </w:r>
    </w:p>
    <w:p w:rsidR="00302459" w:rsidRPr="00DE25B3" w:rsidRDefault="00772EBB" w:rsidP="00A37ED6">
      <w:pPr>
        <w:pStyle w:val="Default"/>
        <w:numPr>
          <w:ilvl w:val="1"/>
          <w:numId w:val="63"/>
        </w:numPr>
        <w:tabs>
          <w:tab w:val="left" w:pos="2172"/>
        </w:tabs>
        <w:jc w:val="both"/>
        <w:rPr>
          <w:rStyle w:val="Hyperlink"/>
          <w:rFonts w:asciiTheme="majorHAnsi" w:hAnsiTheme="majorHAnsi" w:cstheme="majorHAnsi"/>
          <w:i/>
          <w:color w:val="auto"/>
          <w:szCs w:val="20"/>
          <w:u w:val="none"/>
        </w:rPr>
      </w:pPr>
      <w:r w:rsidRPr="00DE25B3">
        <w:rPr>
          <w:rFonts w:asciiTheme="majorHAnsi" w:hAnsiTheme="majorHAnsi" w:cstheme="majorHAnsi"/>
          <w:i/>
        </w:rPr>
        <w:t>A1.1l. Information Technology Faculty Advisory Committee</w:t>
      </w:r>
    </w:p>
    <w:p w:rsidR="00302459" w:rsidRPr="00DE25B3" w:rsidRDefault="00772EBB" w:rsidP="00A37ED6">
      <w:pPr>
        <w:pStyle w:val="Default"/>
        <w:numPr>
          <w:ilvl w:val="1"/>
          <w:numId w:val="63"/>
        </w:numPr>
        <w:tabs>
          <w:tab w:val="left" w:pos="2172"/>
        </w:tabs>
        <w:jc w:val="both"/>
        <w:rPr>
          <w:rFonts w:asciiTheme="majorHAnsi" w:hAnsiTheme="majorHAnsi" w:cstheme="majorHAnsi"/>
          <w:i/>
          <w:color w:val="auto"/>
          <w:szCs w:val="20"/>
        </w:rPr>
      </w:pPr>
      <w:r w:rsidRPr="00DE25B3">
        <w:rPr>
          <w:rFonts w:asciiTheme="majorHAnsi" w:hAnsiTheme="majorHAnsi" w:cstheme="majorHAnsi"/>
          <w:i/>
        </w:rPr>
        <w:t>UTHealth Handbook o</w:t>
      </w:r>
      <w:r w:rsidRPr="00DE25B3">
        <w:rPr>
          <w:rFonts w:asciiTheme="majorHAnsi" w:hAnsiTheme="majorHAnsi" w:cstheme="majorHAnsi"/>
          <w:i/>
          <w:szCs w:val="20"/>
        </w:rPr>
        <w:t>f Operating Procedures (HOOP)</w:t>
      </w:r>
    </w:p>
    <w:p w:rsidR="00933038" w:rsidRPr="00084C76" w:rsidRDefault="00933038" w:rsidP="00A37ED6">
      <w:pPr>
        <w:pStyle w:val="Default"/>
        <w:ind w:left="720"/>
        <w:jc w:val="both"/>
        <w:rPr>
          <w:rFonts w:asciiTheme="majorHAnsi" w:hAnsiTheme="majorHAnsi" w:cstheme="majorHAnsi"/>
          <w:b/>
          <w:color w:val="auto"/>
          <w:szCs w:val="20"/>
        </w:rPr>
      </w:pPr>
    </w:p>
    <w:p w:rsidR="00933038" w:rsidRPr="00743A41" w:rsidRDefault="00933038" w:rsidP="00A37ED6">
      <w:pPr>
        <w:pStyle w:val="Default"/>
        <w:numPr>
          <w:ilvl w:val="0"/>
          <w:numId w:val="2"/>
        </w:numPr>
        <w:ind w:left="720"/>
        <w:jc w:val="both"/>
        <w:rPr>
          <w:rFonts w:asciiTheme="majorHAnsi" w:hAnsiTheme="majorHAnsi" w:cstheme="majorHAnsi"/>
          <w:color w:val="auto"/>
          <w:szCs w:val="20"/>
        </w:rPr>
      </w:pPr>
      <w:r w:rsidRPr="00743A41">
        <w:rPr>
          <w:rFonts w:asciiTheme="majorHAnsi" w:hAnsiTheme="majorHAnsi" w:cstheme="majorHAnsi"/>
          <w:color w:val="auto"/>
          <w:szCs w:val="20"/>
        </w:rPr>
        <w:t>Briefly describe how faculty contribute to decision-making activities in the broader institutional setting, including a sample of faculty memberships and/or leadership positions on committees external to the unit of accreditation.</w:t>
      </w:r>
    </w:p>
    <w:p w:rsidR="00933038" w:rsidRPr="00743A41" w:rsidRDefault="00933038" w:rsidP="00A37ED6">
      <w:pPr>
        <w:pStyle w:val="Default"/>
        <w:jc w:val="both"/>
        <w:rPr>
          <w:rFonts w:asciiTheme="majorHAnsi" w:hAnsiTheme="majorHAnsi" w:cstheme="majorHAnsi"/>
          <w:color w:val="auto"/>
          <w:szCs w:val="20"/>
        </w:rPr>
      </w:pPr>
    </w:p>
    <w:p w:rsidR="00302459" w:rsidRPr="00743A41" w:rsidRDefault="00302459" w:rsidP="00A37ED6">
      <w:pPr>
        <w:ind w:left="720"/>
        <w:rPr>
          <w:rFonts w:asciiTheme="majorHAnsi" w:eastAsia="Arial" w:hAnsiTheme="majorHAnsi" w:cstheme="majorHAnsi"/>
          <w:sz w:val="20"/>
          <w:szCs w:val="20"/>
        </w:rPr>
      </w:pPr>
      <w:r w:rsidRPr="00743A41">
        <w:rPr>
          <w:rFonts w:asciiTheme="majorHAnsi" w:eastAsia="Arial" w:hAnsiTheme="majorHAnsi" w:cstheme="majorHAnsi"/>
          <w:sz w:val="20"/>
          <w:szCs w:val="20"/>
        </w:rPr>
        <w:t>UTHealth School of Public Health faculty make significant contributions to UTHealth through participation in UTHealth committees</w:t>
      </w:r>
      <w:r w:rsidR="00106BAE">
        <w:rPr>
          <w:rFonts w:asciiTheme="majorHAnsi" w:eastAsia="Arial" w:hAnsiTheme="majorHAnsi" w:cstheme="majorHAnsi"/>
          <w:sz w:val="20"/>
          <w:szCs w:val="20"/>
        </w:rPr>
        <w:t xml:space="preserve">, as indicated in </w:t>
      </w:r>
      <w:hyperlink w:anchor="tablea14a" w:history="1">
        <w:r w:rsidR="00106BAE" w:rsidRPr="00106BAE">
          <w:rPr>
            <w:rStyle w:val="Hyperlink"/>
            <w:rFonts w:asciiTheme="majorHAnsi" w:eastAsia="Arial" w:hAnsiTheme="majorHAnsi" w:cstheme="majorHAnsi"/>
            <w:sz w:val="20"/>
            <w:szCs w:val="20"/>
          </w:rPr>
          <w:t>Table A.1.4.a</w:t>
        </w:r>
      </w:hyperlink>
      <w:r w:rsidRPr="00743A41">
        <w:rPr>
          <w:rFonts w:asciiTheme="majorHAnsi" w:eastAsia="Arial" w:hAnsiTheme="majorHAnsi" w:cstheme="majorHAnsi"/>
          <w:sz w:val="20"/>
          <w:szCs w:val="20"/>
        </w:rPr>
        <w:t>. Each school at UTHealth holds a place on a university-wide committee so that each school is fairly represented. UTHealth School of Public Health faculty participation on UTHealth committees is presented below.</w:t>
      </w:r>
    </w:p>
    <w:p w:rsidR="001D606F" w:rsidRPr="00743A41" w:rsidRDefault="001D606F" w:rsidP="00A37ED6">
      <w:pPr>
        <w:ind w:left="720"/>
        <w:contextualSpacing/>
        <w:jc w:val="both"/>
        <w:rPr>
          <w:rFonts w:asciiTheme="majorHAnsi" w:eastAsia="Arial" w:hAnsiTheme="majorHAnsi" w:cstheme="majorHAnsi"/>
          <w:sz w:val="20"/>
          <w:szCs w:val="20"/>
        </w:rPr>
      </w:pPr>
    </w:p>
    <w:p w:rsidR="00302459" w:rsidRPr="00743A41" w:rsidRDefault="00106BAE" w:rsidP="00A37ED6">
      <w:pPr>
        <w:ind w:left="720"/>
        <w:contextualSpacing/>
        <w:jc w:val="both"/>
        <w:rPr>
          <w:rFonts w:asciiTheme="majorHAnsi" w:eastAsia="Arial" w:hAnsiTheme="majorHAnsi" w:cstheme="majorHAnsi"/>
          <w:sz w:val="20"/>
          <w:szCs w:val="20"/>
        </w:rPr>
      </w:pPr>
      <w:bookmarkStart w:id="16" w:name="tablea14a"/>
      <w:r>
        <w:rPr>
          <w:rFonts w:asciiTheme="majorHAnsi" w:eastAsia="Arial" w:hAnsiTheme="majorHAnsi" w:cstheme="majorHAnsi"/>
          <w:sz w:val="20"/>
          <w:szCs w:val="20"/>
        </w:rPr>
        <w:t>Table A.1.4.a</w:t>
      </w:r>
      <w:r w:rsidR="00302459" w:rsidRPr="00743A41">
        <w:rPr>
          <w:rFonts w:asciiTheme="majorHAnsi" w:eastAsia="Arial" w:hAnsiTheme="majorHAnsi" w:cstheme="majorHAnsi"/>
          <w:sz w:val="20"/>
          <w:szCs w:val="20"/>
        </w:rPr>
        <w:t xml:space="preserve">. </w:t>
      </w:r>
      <w:bookmarkEnd w:id="16"/>
      <w:r w:rsidR="00302459" w:rsidRPr="00743A41">
        <w:rPr>
          <w:rFonts w:asciiTheme="majorHAnsi" w:eastAsia="Arial" w:hAnsiTheme="majorHAnsi" w:cstheme="majorHAnsi"/>
          <w:sz w:val="20"/>
          <w:szCs w:val="20"/>
        </w:rPr>
        <w:t>UTHealth School of Public Health faculty representation on UTHealth committees (Fiscal Year 2018–2019)</w:t>
      </w:r>
    </w:p>
    <w:tbl>
      <w:tblPr>
        <w:tblW w:w="862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58"/>
        <w:gridCol w:w="3042"/>
        <w:gridCol w:w="3225"/>
      </w:tblGrid>
      <w:tr w:rsidR="00302459" w:rsidRPr="00743A41" w:rsidTr="006E28EE">
        <w:trPr>
          <w:trHeight w:val="701"/>
          <w:tblHeader/>
        </w:trPr>
        <w:tc>
          <w:tcPr>
            <w:tcW w:w="2358" w:type="dxa"/>
            <w:shd w:val="clear" w:color="auto" w:fill="BFBFBF" w:themeFill="background1" w:themeFillShade="BF"/>
            <w:tcMar>
              <w:top w:w="0" w:type="dxa"/>
              <w:left w:w="108" w:type="dxa"/>
              <w:bottom w:w="0" w:type="dxa"/>
              <w:right w:w="108" w:type="dxa"/>
            </w:tcMar>
            <w:vAlign w:val="center"/>
            <w:hideMark/>
          </w:tcPr>
          <w:p w:rsidR="00302459" w:rsidRPr="00743A41" w:rsidRDefault="00302459" w:rsidP="00A37ED6">
            <w:pPr>
              <w:ind w:left="360" w:right="-20" w:hanging="360"/>
              <w:jc w:val="center"/>
              <w:rPr>
                <w:rFonts w:asciiTheme="majorHAnsi" w:hAnsiTheme="majorHAnsi" w:cstheme="majorHAnsi"/>
                <w:sz w:val="20"/>
                <w:szCs w:val="20"/>
              </w:rPr>
            </w:pPr>
            <w:r w:rsidRPr="00743A41">
              <w:rPr>
                <w:rFonts w:asciiTheme="majorHAnsi" w:hAnsiTheme="majorHAnsi" w:cstheme="majorHAnsi"/>
                <w:b/>
                <w:bCs/>
                <w:sz w:val="20"/>
                <w:szCs w:val="20"/>
              </w:rPr>
              <w:t>University Committee</w:t>
            </w:r>
          </w:p>
        </w:tc>
        <w:tc>
          <w:tcPr>
            <w:tcW w:w="3042" w:type="dxa"/>
            <w:shd w:val="clear" w:color="auto" w:fill="BFBFBF" w:themeFill="background1" w:themeFillShade="BF"/>
            <w:tcMar>
              <w:top w:w="0" w:type="dxa"/>
              <w:left w:w="108" w:type="dxa"/>
              <w:bottom w:w="0" w:type="dxa"/>
              <w:right w:w="108" w:type="dxa"/>
            </w:tcMar>
            <w:vAlign w:val="center"/>
            <w:hideMark/>
          </w:tcPr>
          <w:p w:rsidR="00302459" w:rsidRPr="00743A41" w:rsidRDefault="00302459" w:rsidP="00A37ED6">
            <w:pPr>
              <w:ind w:right="-20"/>
              <w:jc w:val="center"/>
              <w:rPr>
                <w:rFonts w:asciiTheme="majorHAnsi" w:hAnsiTheme="majorHAnsi" w:cstheme="majorHAnsi"/>
                <w:sz w:val="20"/>
                <w:szCs w:val="20"/>
              </w:rPr>
            </w:pPr>
            <w:r w:rsidRPr="00743A41">
              <w:rPr>
                <w:rFonts w:asciiTheme="majorHAnsi" w:hAnsiTheme="majorHAnsi" w:cstheme="majorHAnsi"/>
                <w:b/>
                <w:bCs/>
                <w:sz w:val="20"/>
                <w:szCs w:val="20"/>
              </w:rPr>
              <w:t>UTHealth School of Public Health Faculty Member or Leadership</w:t>
            </w:r>
          </w:p>
        </w:tc>
        <w:tc>
          <w:tcPr>
            <w:tcW w:w="3225" w:type="dxa"/>
            <w:shd w:val="clear" w:color="auto" w:fill="BFBFBF" w:themeFill="background1" w:themeFillShade="BF"/>
            <w:tcMar>
              <w:top w:w="0" w:type="dxa"/>
              <w:left w:w="108" w:type="dxa"/>
              <w:bottom w:w="0" w:type="dxa"/>
              <w:right w:w="108" w:type="dxa"/>
            </w:tcMar>
            <w:vAlign w:val="center"/>
            <w:hideMark/>
          </w:tcPr>
          <w:p w:rsidR="00302459" w:rsidRPr="00743A41" w:rsidRDefault="00302459" w:rsidP="00A37ED6">
            <w:pPr>
              <w:ind w:right="-20"/>
              <w:jc w:val="center"/>
              <w:rPr>
                <w:rFonts w:asciiTheme="majorHAnsi" w:hAnsiTheme="majorHAnsi" w:cstheme="majorHAnsi"/>
                <w:b/>
                <w:bCs/>
                <w:sz w:val="20"/>
                <w:szCs w:val="20"/>
              </w:rPr>
            </w:pPr>
            <w:r w:rsidRPr="00743A41">
              <w:rPr>
                <w:rFonts w:asciiTheme="majorHAnsi" w:hAnsiTheme="majorHAnsi" w:cstheme="majorHAnsi"/>
                <w:b/>
                <w:bCs/>
                <w:sz w:val="20"/>
                <w:szCs w:val="20"/>
              </w:rPr>
              <w:t>Description of Committee</w:t>
            </w:r>
          </w:p>
        </w:tc>
      </w:tr>
      <w:tr w:rsidR="00302459" w:rsidRPr="00743A41" w:rsidTr="006E28EE">
        <w:trPr>
          <w:cantSplit/>
          <w:trHeight w:val="260"/>
        </w:trPr>
        <w:tc>
          <w:tcPr>
            <w:tcW w:w="2358" w:type="dxa"/>
            <w:shd w:val="clear" w:color="auto" w:fill="auto"/>
            <w:tcMar>
              <w:top w:w="0" w:type="dxa"/>
              <w:left w:w="108" w:type="dxa"/>
              <w:bottom w:w="0" w:type="dxa"/>
              <w:right w:w="108" w:type="dxa"/>
            </w:tcMar>
            <w:hideMark/>
          </w:tcPr>
          <w:p w:rsidR="00302459" w:rsidRPr="00743A41" w:rsidRDefault="00302459" w:rsidP="00A37ED6">
            <w:pPr>
              <w:ind w:left="65" w:right="-20"/>
              <w:rPr>
                <w:rFonts w:asciiTheme="majorHAnsi" w:hAnsiTheme="majorHAnsi" w:cstheme="majorHAnsi"/>
                <w:sz w:val="20"/>
                <w:szCs w:val="20"/>
              </w:rPr>
            </w:pPr>
            <w:r w:rsidRPr="00743A41">
              <w:rPr>
                <w:rFonts w:asciiTheme="majorHAnsi" w:hAnsiTheme="majorHAnsi" w:cstheme="majorHAnsi"/>
                <w:sz w:val="20"/>
                <w:szCs w:val="20"/>
              </w:rPr>
              <w:t xml:space="preserve">Academic Council (UTHealth) </w:t>
            </w:r>
          </w:p>
        </w:tc>
        <w:tc>
          <w:tcPr>
            <w:tcW w:w="3042" w:type="dxa"/>
            <w:shd w:val="clear" w:color="auto" w:fill="auto"/>
            <w:tcMar>
              <w:top w:w="0" w:type="dxa"/>
              <w:left w:w="108" w:type="dxa"/>
              <w:bottom w:w="0" w:type="dxa"/>
              <w:right w:w="108" w:type="dxa"/>
            </w:tcMar>
          </w:tcPr>
          <w:p w:rsidR="00302459" w:rsidRPr="00743A41" w:rsidRDefault="00302459" w:rsidP="00A37ED6">
            <w:pPr>
              <w:ind w:right="111"/>
              <w:rPr>
                <w:rFonts w:asciiTheme="majorHAnsi" w:hAnsiTheme="majorHAnsi" w:cstheme="majorHAnsi"/>
                <w:sz w:val="20"/>
                <w:szCs w:val="20"/>
              </w:rPr>
            </w:pPr>
            <w:r w:rsidRPr="00743A41">
              <w:rPr>
                <w:rFonts w:asciiTheme="majorHAnsi" w:hAnsiTheme="majorHAnsi" w:cstheme="majorHAnsi"/>
                <w:sz w:val="20"/>
                <w:szCs w:val="20"/>
              </w:rPr>
              <w:t>Susan Tortolero Emery, PhD, Senior Associate Dean of Academic affairs and Research Services &amp; Professor, Department of Health Promotion &amp; Behavioral Sciences</w:t>
            </w:r>
          </w:p>
        </w:tc>
        <w:tc>
          <w:tcPr>
            <w:tcW w:w="3225" w:type="dxa"/>
            <w:shd w:val="clear" w:color="auto" w:fill="auto"/>
            <w:tcMar>
              <w:top w:w="0" w:type="dxa"/>
              <w:left w:w="108" w:type="dxa"/>
              <w:bottom w:w="0" w:type="dxa"/>
              <w:right w:w="108" w:type="dxa"/>
            </w:tcMar>
            <w:hideMark/>
          </w:tcPr>
          <w:p w:rsidR="00302459" w:rsidRPr="00743A41" w:rsidRDefault="00302459" w:rsidP="00A37ED6">
            <w:pPr>
              <w:rPr>
                <w:rFonts w:asciiTheme="majorHAnsi" w:hAnsiTheme="majorHAnsi" w:cstheme="majorHAnsi"/>
                <w:sz w:val="20"/>
                <w:szCs w:val="20"/>
              </w:rPr>
            </w:pPr>
            <w:r w:rsidRPr="00743A41">
              <w:rPr>
                <w:rFonts w:asciiTheme="majorHAnsi" w:hAnsiTheme="majorHAnsi" w:cstheme="majorHAnsi"/>
                <w:sz w:val="20"/>
                <w:szCs w:val="20"/>
              </w:rPr>
              <w:t xml:space="preserve">Responsible for addressing academic issues that affect the six UTHealth schools. </w:t>
            </w:r>
          </w:p>
        </w:tc>
      </w:tr>
      <w:tr w:rsidR="00302459" w:rsidRPr="00743A41" w:rsidTr="006E28EE">
        <w:trPr>
          <w:cantSplit/>
          <w:trHeight w:val="521"/>
        </w:trPr>
        <w:tc>
          <w:tcPr>
            <w:tcW w:w="2358" w:type="dxa"/>
            <w:shd w:val="clear" w:color="auto" w:fill="D9D9D9" w:themeFill="background1" w:themeFillShade="D9"/>
            <w:tcMar>
              <w:top w:w="0" w:type="dxa"/>
              <w:left w:w="108" w:type="dxa"/>
              <w:bottom w:w="0" w:type="dxa"/>
              <w:right w:w="108" w:type="dxa"/>
            </w:tcMar>
            <w:hideMark/>
          </w:tcPr>
          <w:p w:rsidR="00302459" w:rsidRPr="00743A41" w:rsidRDefault="00302459" w:rsidP="00A37ED6">
            <w:pPr>
              <w:ind w:left="65" w:right="-20"/>
              <w:rPr>
                <w:rFonts w:asciiTheme="majorHAnsi" w:hAnsiTheme="majorHAnsi" w:cstheme="majorHAnsi"/>
                <w:sz w:val="20"/>
                <w:szCs w:val="20"/>
                <w:highlight w:val="yellow"/>
              </w:rPr>
            </w:pPr>
            <w:r w:rsidRPr="00743A41">
              <w:rPr>
                <w:rFonts w:asciiTheme="majorHAnsi" w:hAnsiTheme="majorHAnsi" w:cstheme="majorHAnsi"/>
                <w:sz w:val="20"/>
                <w:szCs w:val="20"/>
              </w:rPr>
              <w:t>Administrative Affairs (subcommittee of Interfaculty Council)</w:t>
            </w:r>
          </w:p>
        </w:tc>
        <w:tc>
          <w:tcPr>
            <w:tcW w:w="3042" w:type="dxa"/>
            <w:shd w:val="clear" w:color="auto" w:fill="D9D9D9" w:themeFill="background1" w:themeFillShade="D9"/>
            <w:tcMar>
              <w:top w:w="0" w:type="dxa"/>
              <w:left w:w="108" w:type="dxa"/>
              <w:bottom w:w="0" w:type="dxa"/>
              <w:right w:w="108" w:type="dxa"/>
            </w:tcMar>
            <w:hideMark/>
          </w:tcPr>
          <w:p w:rsidR="00302459" w:rsidRPr="00743A41" w:rsidRDefault="00302459" w:rsidP="00A37ED6">
            <w:pPr>
              <w:ind w:right="21"/>
              <w:rPr>
                <w:rFonts w:asciiTheme="majorHAnsi" w:hAnsiTheme="majorHAnsi" w:cstheme="majorHAnsi"/>
                <w:sz w:val="20"/>
                <w:szCs w:val="20"/>
              </w:rPr>
            </w:pPr>
            <w:r w:rsidRPr="00743A41">
              <w:rPr>
                <w:rFonts w:asciiTheme="majorHAnsi" w:hAnsiTheme="majorHAnsi" w:cstheme="majorHAnsi"/>
                <w:sz w:val="20"/>
                <w:szCs w:val="20"/>
              </w:rPr>
              <w:t>Craig Hanis, PhD, Professor, Department of Epidemiology, Human Genetics and Environmental Sciences</w:t>
            </w:r>
          </w:p>
          <w:p w:rsidR="00302459" w:rsidRPr="00743A41" w:rsidRDefault="00302459" w:rsidP="00A37ED6">
            <w:pPr>
              <w:ind w:right="21"/>
              <w:rPr>
                <w:rFonts w:asciiTheme="majorHAnsi" w:hAnsiTheme="majorHAnsi" w:cstheme="majorHAnsi"/>
                <w:sz w:val="20"/>
                <w:szCs w:val="20"/>
              </w:rPr>
            </w:pPr>
          </w:p>
          <w:p w:rsidR="00302459" w:rsidRPr="00743A41" w:rsidRDefault="00302459" w:rsidP="00A37ED6">
            <w:pPr>
              <w:ind w:right="21"/>
              <w:rPr>
                <w:rFonts w:asciiTheme="majorHAnsi" w:hAnsiTheme="majorHAnsi" w:cstheme="majorHAnsi"/>
                <w:sz w:val="20"/>
                <w:szCs w:val="20"/>
                <w:highlight w:val="yellow"/>
              </w:rPr>
            </w:pPr>
            <w:r w:rsidRPr="00743A41">
              <w:rPr>
                <w:rFonts w:asciiTheme="majorHAnsi" w:hAnsiTheme="majorHAnsi" w:cstheme="majorHAnsi"/>
                <w:sz w:val="20"/>
                <w:szCs w:val="20"/>
              </w:rPr>
              <w:t xml:space="preserve">Ross Shegog, PhD, Professor, Department of Health Promotion &amp; Behavioral Sciences </w:t>
            </w:r>
          </w:p>
        </w:tc>
        <w:tc>
          <w:tcPr>
            <w:tcW w:w="3225" w:type="dxa"/>
            <w:shd w:val="clear" w:color="auto" w:fill="D9D9D9" w:themeFill="background1" w:themeFillShade="D9"/>
            <w:tcMar>
              <w:top w:w="0" w:type="dxa"/>
              <w:left w:w="108" w:type="dxa"/>
              <w:bottom w:w="0" w:type="dxa"/>
              <w:right w:w="108" w:type="dxa"/>
            </w:tcMar>
          </w:tcPr>
          <w:p w:rsidR="00302459" w:rsidRPr="00743A41" w:rsidRDefault="00302459" w:rsidP="00A37ED6">
            <w:pPr>
              <w:ind w:right="-18"/>
              <w:rPr>
                <w:rFonts w:asciiTheme="majorHAnsi" w:hAnsiTheme="majorHAnsi" w:cstheme="majorHAnsi"/>
                <w:sz w:val="20"/>
                <w:szCs w:val="20"/>
              </w:rPr>
            </w:pPr>
            <w:r w:rsidRPr="00743A41">
              <w:rPr>
                <w:rFonts w:asciiTheme="majorHAnsi" w:hAnsiTheme="majorHAnsi" w:cstheme="majorHAnsi"/>
                <w:sz w:val="20"/>
                <w:szCs w:val="20"/>
              </w:rPr>
              <w:t xml:space="preserve">Serves as a liaison between faculty and the administration for dissemination and exchange of information on institutional strategic planning, operational budget planning and priorities, institutional management and effectiveness, and performance appraisal of administrators. </w:t>
            </w:r>
          </w:p>
        </w:tc>
      </w:tr>
      <w:tr w:rsidR="00302459" w:rsidRPr="00743A41" w:rsidTr="006E28EE">
        <w:trPr>
          <w:cantSplit/>
          <w:trHeight w:val="521"/>
        </w:trPr>
        <w:tc>
          <w:tcPr>
            <w:tcW w:w="2358" w:type="dxa"/>
            <w:shd w:val="clear" w:color="auto" w:fill="auto"/>
            <w:tcMar>
              <w:top w:w="0" w:type="dxa"/>
              <w:left w:w="108" w:type="dxa"/>
              <w:bottom w:w="0" w:type="dxa"/>
              <w:right w:w="108" w:type="dxa"/>
            </w:tcMar>
            <w:hideMark/>
          </w:tcPr>
          <w:p w:rsidR="00302459" w:rsidRPr="00743A41" w:rsidRDefault="00302459" w:rsidP="00A37ED6">
            <w:pPr>
              <w:ind w:right="-20"/>
              <w:jc w:val="both"/>
              <w:rPr>
                <w:rFonts w:asciiTheme="majorHAnsi" w:hAnsiTheme="majorHAnsi" w:cstheme="majorHAnsi"/>
                <w:sz w:val="20"/>
                <w:szCs w:val="20"/>
              </w:rPr>
            </w:pPr>
            <w:r w:rsidRPr="00743A41">
              <w:rPr>
                <w:rFonts w:asciiTheme="majorHAnsi" w:hAnsiTheme="majorHAnsi" w:cstheme="majorHAnsi"/>
                <w:sz w:val="20"/>
                <w:szCs w:val="20"/>
              </w:rPr>
              <w:t>Awards Committees:</w:t>
            </w:r>
          </w:p>
          <w:p w:rsidR="00302459" w:rsidRPr="00743A41" w:rsidRDefault="00302459" w:rsidP="00A37ED6">
            <w:pPr>
              <w:rPr>
                <w:rFonts w:asciiTheme="majorHAnsi" w:hAnsiTheme="majorHAnsi" w:cstheme="majorHAnsi"/>
                <w:sz w:val="20"/>
                <w:szCs w:val="20"/>
              </w:rPr>
            </w:pPr>
          </w:p>
          <w:p w:rsidR="00302459" w:rsidRPr="00743A41" w:rsidRDefault="00302459" w:rsidP="00A37ED6">
            <w:pPr>
              <w:rPr>
                <w:rFonts w:asciiTheme="majorHAnsi" w:hAnsiTheme="majorHAnsi" w:cstheme="majorHAnsi"/>
                <w:sz w:val="20"/>
                <w:szCs w:val="20"/>
              </w:rPr>
            </w:pPr>
            <w:r w:rsidRPr="00743A41">
              <w:rPr>
                <w:rFonts w:asciiTheme="majorHAnsi" w:hAnsiTheme="majorHAnsi" w:cstheme="majorHAnsi"/>
                <w:sz w:val="20"/>
                <w:szCs w:val="20"/>
              </w:rPr>
              <w:t>Regents Outstanding Teaching Award</w:t>
            </w:r>
          </w:p>
          <w:p w:rsidR="00302459" w:rsidRPr="00743A41" w:rsidRDefault="00302459" w:rsidP="00A37ED6">
            <w:pPr>
              <w:rPr>
                <w:rFonts w:asciiTheme="majorHAnsi" w:hAnsiTheme="majorHAnsi" w:cstheme="majorHAnsi"/>
                <w:sz w:val="20"/>
                <w:szCs w:val="20"/>
              </w:rPr>
            </w:pPr>
          </w:p>
          <w:p w:rsidR="00302459" w:rsidRPr="00743A41" w:rsidRDefault="00302459" w:rsidP="00A37ED6">
            <w:pPr>
              <w:rPr>
                <w:rFonts w:asciiTheme="majorHAnsi" w:hAnsiTheme="majorHAnsi" w:cstheme="majorHAnsi"/>
                <w:sz w:val="20"/>
                <w:szCs w:val="20"/>
              </w:rPr>
            </w:pPr>
          </w:p>
          <w:p w:rsidR="00302459" w:rsidRPr="00743A41" w:rsidRDefault="00302459" w:rsidP="00A37ED6">
            <w:pPr>
              <w:rPr>
                <w:rFonts w:asciiTheme="majorHAnsi" w:hAnsiTheme="majorHAnsi" w:cstheme="majorHAnsi"/>
                <w:sz w:val="20"/>
                <w:szCs w:val="20"/>
              </w:rPr>
            </w:pPr>
          </w:p>
          <w:p w:rsidR="00302459" w:rsidRPr="00743A41" w:rsidRDefault="00302459" w:rsidP="00A37ED6">
            <w:pPr>
              <w:rPr>
                <w:rFonts w:asciiTheme="majorHAnsi" w:hAnsiTheme="majorHAnsi" w:cstheme="majorHAnsi"/>
                <w:sz w:val="20"/>
                <w:szCs w:val="20"/>
              </w:rPr>
            </w:pPr>
          </w:p>
          <w:p w:rsidR="00302459" w:rsidRPr="00743A41" w:rsidRDefault="00302459" w:rsidP="00A37ED6">
            <w:pPr>
              <w:rPr>
                <w:rFonts w:asciiTheme="majorHAnsi" w:hAnsiTheme="majorHAnsi" w:cstheme="majorHAnsi"/>
                <w:sz w:val="20"/>
                <w:szCs w:val="20"/>
              </w:rPr>
            </w:pPr>
            <w:r w:rsidRPr="00743A41">
              <w:rPr>
                <w:rFonts w:asciiTheme="majorHAnsi" w:hAnsiTheme="majorHAnsi" w:cstheme="majorHAnsi"/>
                <w:sz w:val="20"/>
                <w:szCs w:val="20"/>
              </w:rPr>
              <w:t>Minnie Stevens Piper Award Committee</w:t>
            </w:r>
          </w:p>
          <w:p w:rsidR="00302459" w:rsidRPr="00743A41" w:rsidRDefault="00302459" w:rsidP="00A37ED6">
            <w:pPr>
              <w:rPr>
                <w:rFonts w:asciiTheme="majorHAnsi" w:hAnsiTheme="majorHAnsi" w:cstheme="majorHAnsi"/>
                <w:color w:val="1F497D"/>
                <w:sz w:val="20"/>
                <w:szCs w:val="20"/>
              </w:rPr>
            </w:pPr>
          </w:p>
          <w:p w:rsidR="00302459" w:rsidRPr="00743A41" w:rsidRDefault="00302459" w:rsidP="00A37ED6">
            <w:pPr>
              <w:rPr>
                <w:rFonts w:asciiTheme="majorHAnsi" w:hAnsiTheme="majorHAnsi" w:cstheme="majorHAnsi"/>
                <w:sz w:val="20"/>
                <w:szCs w:val="20"/>
              </w:rPr>
            </w:pPr>
          </w:p>
          <w:p w:rsidR="00302459" w:rsidRPr="00743A41" w:rsidRDefault="00302459" w:rsidP="00A37ED6">
            <w:pPr>
              <w:rPr>
                <w:rFonts w:asciiTheme="majorHAnsi" w:hAnsiTheme="majorHAnsi" w:cstheme="majorHAnsi"/>
                <w:sz w:val="20"/>
                <w:szCs w:val="20"/>
              </w:rPr>
            </w:pPr>
          </w:p>
          <w:p w:rsidR="00302459" w:rsidRPr="00743A41" w:rsidRDefault="00302459" w:rsidP="00A37ED6">
            <w:pPr>
              <w:rPr>
                <w:rFonts w:asciiTheme="majorHAnsi" w:hAnsiTheme="majorHAnsi" w:cstheme="majorHAnsi"/>
                <w:sz w:val="20"/>
                <w:szCs w:val="20"/>
              </w:rPr>
            </w:pPr>
          </w:p>
          <w:p w:rsidR="00D66506" w:rsidRPr="00743A41" w:rsidRDefault="00302459" w:rsidP="00A37ED6">
            <w:pPr>
              <w:rPr>
                <w:rFonts w:asciiTheme="majorHAnsi" w:hAnsiTheme="majorHAnsi" w:cstheme="majorHAnsi"/>
                <w:sz w:val="20"/>
                <w:szCs w:val="20"/>
              </w:rPr>
            </w:pPr>
            <w:r w:rsidRPr="00743A41">
              <w:rPr>
                <w:rFonts w:asciiTheme="majorHAnsi" w:hAnsiTheme="majorHAnsi" w:cstheme="majorHAnsi"/>
                <w:sz w:val="20"/>
                <w:szCs w:val="20"/>
              </w:rPr>
              <w:t>President’s Scholar Award Committee</w:t>
            </w:r>
          </w:p>
          <w:p w:rsidR="00D66506" w:rsidRPr="00743A41" w:rsidRDefault="00D66506" w:rsidP="00A37ED6">
            <w:pPr>
              <w:rPr>
                <w:rFonts w:asciiTheme="majorHAnsi" w:hAnsiTheme="majorHAnsi" w:cstheme="majorHAnsi"/>
                <w:sz w:val="20"/>
                <w:szCs w:val="20"/>
              </w:rPr>
            </w:pPr>
          </w:p>
          <w:p w:rsidR="00D66506" w:rsidRPr="00743A41" w:rsidRDefault="00D66506" w:rsidP="00A37ED6">
            <w:pPr>
              <w:rPr>
                <w:rFonts w:asciiTheme="majorHAnsi" w:hAnsiTheme="majorHAnsi" w:cstheme="majorHAnsi"/>
                <w:sz w:val="20"/>
                <w:szCs w:val="20"/>
              </w:rPr>
            </w:pPr>
          </w:p>
          <w:p w:rsidR="00D66506" w:rsidRPr="00743A41" w:rsidRDefault="00D66506" w:rsidP="00A37ED6">
            <w:pPr>
              <w:rPr>
                <w:rFonts w:asciiTheme="majorHAnsi" w:hAnsiTheme="majorHAnsi" w:cstheme="majorHAnsi"/>
                <w:sz w:val="20"/>
                <w:szCs w:val="20"/>
              </w:rPr>
            </w:pPr>
          </w:p>
          <w:p w:rsidR="00D66506" w:rsidRPr="00743A41" w:rsidRDefault="00D66506" w:rsidP="00A37ED6">
            <w:pPr>
              <w:rPr>
                <w:rFonts w:asciiTheme="majorHAnsi" w:hAnsiTheme="majorHAnsi" w:cstheme="majorHAnsi"/>
                <w:sz w:val="20"/>
                <w:szCs w:val="20"/>
              </w:rPr>
            </w:pPr>
          </w:p>
          <w:p w:rsidR="00D66506" w:rsidRPr="00743A41" w:rsidRDefault="00D66506" w:rsidP="00A37ED6">
            <w:pPr>
              <w:rPr>
                <w:rFonts w:asciiTheme="majorHAnsi" w:hAnsiTheme="majorHAnsi" w:cstheme="majorHAnsi"/>
                <w:sz w:val="20"/>
                <w:szCs w:val="20"/>
              </w:rPr>
            </w:pPr>
          </w:p>
          <w:p w:rsidR="00302459" w:rsidRPr="00743A41" w:rsidRDefault="00302459" w:rsidP="00A37ED6">
            <w:pPr>
              <w:rPr>
                <w:rFonts w:asciiTheme="majorHAnsi" w:hAnsiTheme="majorHAnsi" w:cstheme="majorHAnsi"/>
                <w:sz w:val="20"/>
                <w:szCs w:val="20"/>
              </w:rPr>
            </w:pPr>
            <w:r w:rsidRPr="00743A41">
              <w:rPr>
                <w:rFonts w:asciiTheme="majorHAnsi" w:hAnsiTheme="majorHAnsi" w:cstheme="majorHAnsi"/>
                <w:sz w:val="20"/>
                <w:szCs w:val="20"/>
              </w:rPr>
              <w:t>The University of Texas, Kenneth I. Shine, MD,</w:t>
            </w:r>
          </w:p>
          <w:p w:rsidR="00302459" w:rsidRPr="00743A41" w:rsidRDefault="00302459" w:rsidP="00A37ED6">
            <w:pPr>
              <w:rPr>
                <w:rFonts w:asciiTheme="majorHAnsi" w:hAnsiTheme="majorHAnsi" w:cstheme="majorHAnsi"/>
                <w:sz w:val="20"/>
                <w:szCs w:val="20"/>
              </w:rPr>
            </w:pPr>
            <w:r w:rsidRPr="00743A41">
              <w:rPr>
                <w:rFonts w:asciiTheme="majorHAnsi" w:hAnsiTheme="majorHAnsi" w:cstheme="majorHAnsi"/>
                <w:sz w:val="20"/>
                <w:szCs w:val="20"/>
              </w:rPr>
              <w:t xml:space="preserve">Academy of Health Science Education </w:t>
            </w:r>
          </w:p>
        </w:tc>
        <w:tc>
          <w:tcPr>
            <w:tcW w:w="3042" w:type="dxa"/>
            <w:shd w:val="clear" w:color="auto" w:fill="auto"/>
            <w:tcMar>
              <w:top w:w="0" w:type="dxa"/>
              <w:left w:w="108" w:type="dxa"/>
              <w:bottom w:w="0" w:type="dxa"/>
              <w:right w:w="108" w:type="dxa"/>
            </w:tcMar>
          </w:tcPr>
          <w:p w:rsidR="00302459" w:rsidRPr="00743A41" w:rsidRDefault="00302459" w:rsidP="00A37ED6">
            <w:pPr>
              <w:ind w:right="285"/>
              <w:rPr>
                <w:rFonts w:asciiTheme="majorHAnsi" w:hAnsiTheme="majorHAnsi" w:cstheme="majorHAnsi"/>
                <w:sz w:val="20"/>
                <w:szCs w:val="20"/>
              </w:rPr>
            </w:pPr>
          </w:p>
          <w:p w:rsidR="00302459" w:rsidRPr="00743A41" w:rsidRDefault="00302459" w:rsidP="00A37ED6">
            <w:pPr>
              <w:ind w:right="285"/>
              <w:rPr>
                <w:rFonts w:asciiTheme="majorHAnsi" w:hAnsiTheme="majorHAnsi" w:cstheme="majorHAnsi"/>
                <w:sz w:val="20"/>
                <w:szCs w:val="20"/>
              </w:rPr>
            </w:pPr>
          </w:p>
          <w:p w:rsidR="00302459" w:rsidRPr="00743A41" w:rsidRDefault="00302459" w:rsidP="00A37ED6">
            <w:pPr>
              <w:ind w:right="285"/>
              <w:rPr>
                <w:rFonts w:asciiTheme="majorHAnsi" w:hAnsiTheme="majorHAnsi" w:cstheme="majorHAnsi"/>
                <w:sz w:val="20"/>
                <w:szCs w:val="20"/>
              </w:rPr>
            </w:pPr>
            <w:r w:rsidRPr="00743A41">
              <w:rPr>
                <w:rFonts w:asciiTheme="majorHAnsi" w:hAnsiTheme="majorHAnsi" w:cstheme="majorHAnsi"/>
                <w:sz w:val="20"/>
                <w:szCs w:val="20"/>
              </w:rPr>
              <w:t xml:space="preserve">Belinda Reininger, DrPH, </w:t>
            </w:r>
          </w:p>
          <w:p w:rsidR="00302459" w:rsidRPr="00743A41" w:rsidRDefault="00302459" w:rsidP="00A37ED6">
            <w:pPr>
              <w:ind w:right="525"/>
              <w:rPr>
                <w:rFonts w:asciiTheme="majorHAnsi" w:hAnsiTheme="majorHAnsi" w:cstheme="majorHAnsi"/>
                <w:sz w:val="20"/>
                <w:szCs w:val="20"/>
              </w:rPr>
            </w:pPr>
            <w:r w:rsidRPr="00743A41">
              <w:rPr>
                <w:rFonts w:asciiTheme="majorHAnsi" w:hAnsiTheme="majorHAnsi" w:cstheme="majorHAnsi"/>
                <w:sz w:val="20"/>
                <w:szCs w:val="20"/>
              </w:rPr>
              <w:t>Brownsville Campus Dean &amp; Professor, Department of Health Promotion &amp; Behavioral Sciences</w:t>
            </w:r>
          </w:p>
          <w:p w:rsidR="00302459" w:rsidRPr="00743A41" w:rsidRDefault="00302459" w:rsidP="00A37ED6">
            <w:pPr>
              <w:ind w:right="1654"/>
              <w:rPr>
                <w:rFonts w:asciiTheme="majorHAnsi" w:hAnsiTheme="majorHAnsi" w:cstheme="majorHAnsi"/>
                <w:sz w:val="20"/>
                <w:szCs w:val="20"/>
              </w:rPr>
            </w:pPr>
          </w:p>
          <w:p w:rsidR="00302459" w:rsidRPr="00743A41" w:rsidRDefault="00302459" w:rsidP="00A37ED6">
            <w:pPr>
              <w:ind w:right="210"/>
              <w:rPr>
                <w:rFonts w:asciiTheme="majorHAnsi" w:hAnsiTheme="majorHAnsi" w:cstheme="majorHAnsi"/>
                <w:sz w:val="20"/>
                <w:szCs w:val="20"/>
              </w:rPr>
            </w:pPr>
            <w:r w:rsidRPr="00743A41">
              <w:rPr>
                <w:rFonts w:asciiTheme="majorHAnsi" w:hAnsiTheme="majorHAnsi" w:cstheme="majorHAnsi"/>
                <w:sz w:val="20"/>
                <w:szCs w:val="20"/>
              </w:rPr>
              <w:t xml:space="preserve">Christine Markham, PhD, </w:t>
            </w:r>
          </w:p>
          <w:p w:rsidR="00302459" w:rsidRPr="00743A41" w:rsidRDefault="00302459" w:rsidP="00A37ED6">
            <w:pPr>
              <w:ind w:right="210"/>
              <w:rPr>
                <w:rFonts w:asciiTheme="majorHAnsi" w:hAnsiTheme="majorHAnsi" w:cstheme="majorHAnsi"/>
                <w:sz w:val="20"/>
                <w:szCs w:val="20"/>
              </w:rPr>
            </w:pPr>
            <w:r w:rsidRPr="00743A41">
              <w:rPr>
                <w:rFonts w:asciiTheme="majorHAnsi" w:hAnsiTheme="majorHAnsi" w:cstheme="majorHAnsi"/>
                <w:sz w:val="20"/>
                <w:szCs w:val="20"/>
              </w:rPr>
              <w:t>Professor &amp; Interim Department Chair, Department of Health Promotion &amp; Behavioral Sciences</w:t>
            </w:r>
          </w:p>
          <w:p w:rsidR="00302459" w:rsidRPr="00743A41" w:rsidRDefault="00302459" w:rsidP="00A37ED6">
            <w:pPr>
              <w:ind w:right="1654"/>
              <w:rPr>
                <w:rFonts w:asciiTheme="majorHAnsi" w:hAnsiTheme="majorHAnsi" w:cstheme="majorHAnsi"/>
                <w:sz w:val="20"/>
                <w:szCs w:val="20"/>
              </w:rPr>
            </w:pPr>
          </w:p>
          <w:p w:rsidR="00302459" w:rsidRPr="00743A41" w:rsidRDefault="00302459" w:rsidP="00A37ED6">
            <w:pPr>
              <w:ind w:right="180"/>
              <w:rPr>
                <w:rFonts w:asciiTheme="majorHAnsi" w:hAnsiTheme="majorHAnsi" w:cstheme="majorHAnsi"/>
                <w:sz w:val="20"/>
                <w:szCs w:val="20"/>
              </w:rPr>
            </w:pPr>
            <w:r w:rsidRPr="00743A41">
              <w:rPr>
                <w:rFonts w:asciiTheme="majorHAnsi" w:hAnsiTheme="majorHAnsi" w:cstheme="majorHAnsi"/>
                <w:sz w:val="20"/>
                <w:szCs w:val="20"/>
              </w:rPr>
              <w:t xml:space="preserve">Deanna Hoelscher, PhD, </w:t>
            </w:r>
          </w:p>
          <w:p w:rsidR="00302459" w:rsidRPr="00743A41" w:rsidRDefault="00302459" w:rsidP="00A37ED6">
            <w:pPr>
              <w:ind w:right="180"/>
              <w:rPr>
                <w:rFonts w:asciiTheme="majorHAnsi" w:hAnsiTheme="majorHAnsi" w:cstheme="majorHAnsi"/>
                <w:sz w:val="20"/>
                <w:szCs w:val="20"/>
              </w:rPr>
            </w:pPr>
            <w:r w:rsidRPr="00743A41">
              <w:rPr>
                <w:rFonts w:asciiTheme="majorHAnsi" w:hAnsiTheme="majorHAnsi" w:cstheme="majorHAnsi"/>
                <w:sz w:val="20"/>
                <w:szCs w:val="20"/>
              </w:rPr>
              <w:t xml:space="preserve">Austin Campus Dean &amp; McGovern Professor, Department of </w:t>
            </w:r>
          </w:p>
          <w:p w:rsidR="00302459" w:rsidRPr="00743A41" w:rsidRDefault="00302459" w:rsidP="00A37ED6">
            <w:pPr>
              <w:ind w:right="180"/>
              <w:rPr>
                <w:rFonts w:asciiTheme="majorHAnsi" w:hAnsiTheme="majorHAnsi" w:cstheme="majorHAnsi"/>
                <w:sz w:val="20"/>
                <w:szCs w:val="20"/>
              </w:rPr>
            </w:pPr>
            <w:r w:rsidRPr="00743A41">
              <w:rPr>
                <w:rFonts w:asciiTheme="majorHAnsi" w:hAnsiTheme="majorHAnsi" w:cstheme="majorHAnsi"/>
                <w:sz w:val="20"/>
                <w:szCs w:val="20"/>
              </w:rPr>
              <w:t>Health Promotion &amp; Behavioral Sciences</w:t>
            </w:r>
          </w:p>
          <w:p w:rsidR="00302459" w:rsidRPr="00743A41" w:rsidRDefault="00302459" w:rsidP="00A37ED6">
            <w:pPr>
              <w:ind w:right="210"/>
              <w:rPr>
                <w:rFonts w:asciiTheme="majorHAnsi" w:hAnsiTheme="majorHAnsi" w:cstheme="majorHAnsi"/>
                <w:sz w:val="20"/>
                <w:szCs w:val="20"/>
              </w:rPr>
            </w:pPr>
          </w:p>
          <w:p w:rsidR="00302459" w:rsidRPr="00743A41" w:rsidRDefault="00302459" w:rsidP="00A37ED6">
            <w:pPr>
              <w:ind w:right="210"/>
              <w:rPr>
                <w:rFonts w:asciiTheme="majorHAnsi" w:hAnsiTheme="majorHAnsi" w:cstheme="majorHAnsi"/>
                <w:sz w:val="20"/>
                <w:szCs w:val="20"/>
              </w:rPr>
            </w:pPr>
            <w:r w:rsidRPr="00743A41">
              <w:rPr>
                <w:rFonts w:asciiTheme="majorHAnsi" w:hAnsiTheme="majorHAnsi" w:cstheme="majorHAnsi"/>
                <w:sz w:val="20"/>
                <w:szCs w:val="20"/>
              </w:rPr>
              <w:t xml:space="preserve">Christine Markham, PhD, </w:t>
            </w:r>
          </w:p>
          <w:p w:rsidR="00302459" w:rsidRPr="00743A41" w:rsidRDefault="00302459" w:rsidP="00A37ED6">
            <w:pPr>
              <w:ind w:right="210"/>
              <w:rPr>
                <w:rFonts w:asciiTheme="majorHAnsi" w:hAnsiTheme="majorHAnsi" w:cstheme="majorHAnsi"/>
                <w:sz w:val="20"/>
                <w:szCs w:val="20"/>
              </w:rPr>
            </w:pPr>
            <w:r w:rsidRPr="00743A41">
              <w:rPr>
                <w:rFonts w:asciiTheme="majorHAnsi" w:hAnsiTheme="majorHAnsi" w:cstheme="majorHAnsi"/>
                <w:sz w:val="20"/>
                <w:szCs w:val="20"/>
              </w:rPr>
              <w:t>Professor &amp; Interim Department Chair, Department of Health Promotion &amp; Behavioral Sciences</w:t>
            </w:r>
          </w:p>
        </w:tc>
        <w:tc>
          <w:tcPr>
            <w:tcW w:w="3225" w:type="dxa"/>
            <w:shd w:val="clear" w:color="auto" w:fill="auto"/>
            <w:tcMar>
              <w:top w:w="0" w:type="dxa"/>
              <w:left w:w="108" w:type="dxa"/>
              <w:bottom w:w="0" w:type="dxa"/>
              <w:right w:w="108" w:type="dxa"/>
            </w:tcMar>
            <w:hideMark/>
          </w:tcPr>
          <w:p w:rsidR="00302459" w:rsidRPr="00743A41" w:rsidRDefault="00302459" w:rsidP="00A37ED6">
            <w:pPr>
              <w:ind w:right="-18"/>
              <w:rPr>
                <w:rFonts w:asciiTheme="majorHAnsi" w:hAnsiTheme="majorHAnsi" w:cstheme="majorHAnsi"/>
                <w:sz w:val="20"/>
                <w:szCs w:val="20"/>
              </w:rPr>
            </w:pPr>
            <w:r w:rsidRPr="00743A41">
              <w:rPr>
                <w:rFonts w:asciiTheme="majorHAnsi" w:hAnsiTheme="majorHAnsi" w:cstheme="majorHAnsi"/>
                <w:sz w:val="20"/>
                <w:szCs w:val="20"/>
              </w:rPr>
              <w:t>Charged with developing comprehensive procedures and standards to regulate all areas of UTHealth institution-wide awards. They recommend candidates for specific awards using the guidelines for the selection process, develop guidelines for the selection process, and recommend candidates.</w:t>
            </w:r>
          </w:p>
        </w:tc>
      </w:tr>
      <w:tr w:rsidR="00302459" w:rsidRPr="00743A41" w:rsidTr="006E28EE">
        <w:trPr>
          <w:cantSplit/>
          <w:trHeight w:val="280"/>
        </w:trPr>
        <w:tc>
          <w:tcPr>
            <w:tcW w:w="2358" w:type="dxa"/>
            <w:shd w:val="clear" w:color="auto" w:fill="D9D9D9" w:themeFill="background1" w:themeFillShade="D9"/>
            <w:tcMar>
              <w:top w:w="0" w:type="dxa"/>
              <w:left w:w="108" w:type="dxa"/>
              <w:bottom w:w="0" w:type="dxa"/>
              <w:right w:w="108" w:type="dxa"/>
            </w:tcMar>
            <w:hideMark/>
          </w:tcPr>
          <w:p w:rsidR="00302459" w:rsidRPr="00743A41" w:rsidRDefault="00302459" w:rsidP="00A37ED6">
            <w:pPr>
              <w:ind w:left="65" w:right="-20"/>
              <w:rPr>
                <w:rFonts w:asciiTheme="majorHAnsi" w:hAnsiTheme="majorHAnsi" w:cstheme="majorHAnsi"/>
                <w:sz w:val="20"/>
                <w:szCs w:val="20"/>
              </w:rPr>
            </w:pPr>
            <w:r w:rsidRPr="00743A41">
              <w:rPr>
                <w:rFonts w:asciiTheme="majorHAnsi" w:hAnsiTheme="majorHAnsi" w:cstheme="majorHAnsi"/>
                <w:sz w:val="20"/>
                <w:szCs w:val="20"/>
              </w:rPr>
              <w:t>Animal Welfare Committee</w:t>
            </w:r>
          </w:p>
        </w:tc>
        <w:tc>
          <w:tcPr>
            <w:tcW w:w="3042" w:type="dxa"/>
            <w:shd w:val="clear" w:color="auto" w:fill="D9D9D9" w:themeFill="background1" w:themeFillShade="D9"/>
            <w:tcMar>
              <w:top w:w="0" w:type="dxa"/>
              <w:left w:w="108" w:type="dxa"/>
              <w:bottom w:w="0" w:type="dxa"/>
              <w:right w:w="108" w:type="dxa"/>
            </w:tcMar>
            <w:hideMark/>
          </w:tcPr>
          <w:p w:rsidR="00302459" w:rsidRPr="00743A41" w:rsidRDefault="00302459" w:rsidP="00A37ED6">
            <w:pPr>
              <w:ind w:right="375"/>
              <w:rPr>
                <w:rFonts w:asciiTheme="majorHAnsi" w:hAnsiTheme="majorHAnsi" w:cstheme="majorHAnsi"/>
                <w:sz w:val="20"/>
                <w:szCs w:val="20"/>
              </w:rPr>
            </w:pPr>
            <w:r w:rsidRPr="00743A41">
              <w:rPr>
                <w:rFonts w:asciiTheme="majorHAnsi" w:hAnsiTheme="majorHAnsi" w:cstheme="majorHAnsi"/>
                <w:sz w:val="20"/>
                <w:szCs w:val="20"/>
              </w:rPr>
              <w:t>Jan Bressler, PhD, Assistant Professor, Department of Epidemiology, Human Genetics and Environmental Sciences</w:t>
            </w:r>
          </w:p>
        </w:tc>
        <w:tc>
          <w:tcPr>
            <w:tcW w:w="3225" w:type="dxa"/>
            <w:shd w:val="clear" w:color="auto" w:fill="D9D9D9" w:themeFill="background1" w:themeFillShade="D9"/>
            <w:tcMar>
              <w:top w:w="0" w:type="dxa"/>
              <w:left w:w="108" w:type="dxa"/>
              <w:bottom w:w="0" w:type="dxa"/>
              <w:right w:w="108" w:type="dxa"/>
            </w:tcMar>
            <w:hideMark/>
          </w:tcPr>
          <w:p w:rsidR="00302459" w:rsidRPr="00743A41" w:rsidRDefault="00302459" w:rsidP="00A37ED6">
            <w:pPr>
              <w:ind w:right="-18"/>
              <w:rPr>
                <w:rFonts w:asciiTheme="majorHAnsi" w:hAnsiTheme="majorHAnsi" w:cstheme="majorHAnsi"/>
                <w:sz w:val="20"/>
                <w:szCs w:val="20"/>
              </w:rPr>
            </w:pPr>
            <w:r w:rsidRPr="00743A41">
              <w:rPr>
                <w:rFonts w:asciiTheme="majorHAnsi" w:hAnsiTheme="majorHAnsi" w:cstheme="majorHAnsi"/>
                <w:sz w:val="20"/>
                <w:szCs w:val="20"/>
              </w:rPr>
              <w:t>Charged with certifying that all research utilizing vertebrate animal subjects conforms to the principles enunciated in the Assurance of Compliance document.</w:t>
            </w:r>
          </w:p>
        </w:tc>
      </w:tr>
      <w:tr w:rsidR="00302459" w:rsidRPr="00743A41" w:rsidTr="006E28EE">
        <w:trPr>
          <w:cantSplit/>
          <w:trHeight w:val="720"/>
        </w:trPr>
        <w:tc>
          <w:tcPr>
            <w:tcW w:w="2358" w:type="dxa"/>
            <w:shd w:val="clear" w:color="auto" w:fill="auto"/>
            <w:tcMar>
              <w:top w:w="0" w:type="dxa"/>
              <w:left w:w="108" w:type="dxa"/>
              <w:bottom w:w="0" w:type="dxa"/>
              <w:right w:w="108" w:type="dxa"/>
            </w:tcMar>
            <w:hideMark/>
          </w:tcPr>
          <w:p w:rsidR="00302459" w:rsidRPr="00743A41" w:rsidRDefault="00302459" w:rsidP="00A37ED6">
            <w:pPr>
              <w:ind w:left="65" w:right="-20"/>
              <w:rPr>
                <w:rFonts w:asciiTheme="majorHAnsi" w:hAnsiTheme="majorHAnsi" w:cstheme="majorHAnsi"/>
                <w:sz w:val="20"/>
                <w:szCs w:val="20"/>
              </w:rPr>
            </w:pPr>
            <w:r w:rsidRPr="00743A41">
              <w:rPr>
                <w:rFonts w:asciiTheme="majorHAnsi" w:hAnsiTheme="majorHAnsi" w:cstheme="majorHAnsi"/>
                <w:sz w:val="20"/>
                <w:szCs w:val="20"/>
              </w:rPr>
              <w:t>Chemical Safety Committee</w:t>
            </w:r>
          </w:p>
          <w:p w:rsidR="00302459" w:rsidRPr="00743A41" w:rsidRDefault="00302459" w:rsidP="00A37ED6">
            <w:pPr>
              <w:ind w:left="65" w:right="-20"/>
              <w:rPr>
                <w:rFonts w:asciiTheme="majorHAnsi" w:hAnsiTheme="majorHAnsi" w:cstheme="majorHAnsi"/>
                <w:sz w:val="20"/>
                <w:szCs w:val="20"/>
              </w:rPr>
            </w:pPr>
            <w:r w:rsidRPr="00743A41">
              <w:rPr>
                <w:rFonts w:asciiTheme="majorHAnsi" w:hAnsiTheme="majorHAnsi" w:cstheme="majorHAnsi"/>
                <w:sz w:val="20"/>
                <w:szCs w:val="20"/>
              </w:rPr>
              <w:t>(subcommittee of Safety Council)</w:t>
            </w:r>
          </w:p>
        </w:tc>
        <w:tc>
          <w:tcPr>
            <w:tcW w:w="3042" w:type="dxa"/>
            <w:shd w:val="clear" w:color="auto" w:fill="auto"/>
            <w:tcMar>
              <w:top w:w="0" w:type="dxa"/>
              <w:left w:w="108" w:type="dxa"/>
              <w:bottom w:w="0" w:type="dxa"/>
              <w:right w:w="108" w:type="dxa"/>
            </w:tcMar>
            <w:hideMark/>
          </w:tcPr>
          <w:p w:rsidR="00302459" w:rsidRPr="00743A41" w:rsidRDefault="00302459" w:rsidP="00A37ED6">
            <w:pPr>
              <w:ind w:right="-20"/>
              <w:rPr>
                <w:rFonts w:asciiTheme="majorHAnsi" w:hAnsiTheme="majorHAnsi" w:cstheme="majorHAnsi"/>
                <w:sz w:val="20"/>
                <w:szCs w:val="20"/>
              </w:rPr>
            </w:pPr>
            <w:r w:rsidRPr="00743A41">
              <w:rPr>
                <w:rFonts w:asciiTheme="majorHAnsi" w:hAnsiTheme="majorHAnsi" w:cstheme="majorHAnsi"/>
                <w:sz w:val="20"/>
                <w:szCs w:val="20"/>
              </w:rPr>
              <w:t>Robert Emery, DrPH, Professor, Vice President for Safety, Health, Environment &amp; Risk Management, Department of Epidemiology, Human Genetics and Environmental Sciences</w:t>
            </w:r>
          </w:p>
          <w:p w:rsidR="00302459" w:rsidRPr="00743A41" w:rsidRDefault="00302459" w:rsidP="00A37ED6">
            <w:pPr>
              <w:ind w:right="-20"/>
              <w:rPr>
                <w:rFonts w:asciiTheme="majorHAnsi" w:hAnsiTheme="majorHAnsi" w:cstheme="majorHAnsi"/>
                <w:sz w:val="20"/>
                <w:szCs w:val="20"/>
              </w:rPr>
            </w:pPr>
          </w:p>
          <w:p w:rsidR="00302459" w:rsidRPr="00743A41" w:rsidRDefault="00302459" w:rsidP="00A37ED6">
            <w:pPr>
              <w:ind w:right="-20"/>
              <w:rPr>
                <w:rFonts w:asciiTheme="majorHAnsi" w:hAnsiTheme="majorHAnsi" w:cstheme="majorHAnsi"/>
                <w:sz w:val="20"/>
                <w:szCs w:val="20"/>
              </w:rPr>
            </w:pPr>
          </w:p>
          <w:p w:rsidR="00302459" w:rsidRPr="00743A41" w:rsidRDefault="00302459" w:rsidP="00A37ED6">
            <w:pPr>
              <w:ind w:right="-20"/>
              <w:rPr>
                <w:rFonts w:asciiTheme="majorHAnsi" w:hAnsiTheme="majorHAnsi" w:cstheme="majorHAnsi"/>
                <w:sz w:val="20"/>
                <w:szCs w:val="20"/>
              </w:rPr>
            </w:pPr>
            <w:r w:rsidRPr="00743A41">
              <w:rPr>
                <w:rFonts w:asciiTheme="majorHAnsi" w:hAnsiTheme="majorHAnsi" w:cstheme="majorHAnsi"/>
                <w:sz w:val="20"/>
                <w:szCs w:val="20"/>
              </w:rPr>
              <w:t>Inkyu Han, PhD, Assistant Professor, Department of Epidemiology, Human Genetics and Environmental Sciences</w:t>
            </w:r>
          </w:p>
        </w:tc>
        <w:tc>
          <w:tcPr>
            <w:tcW w:w="3225" w:type="dxa"/>
            <w:shd w:val="clear" w:color="auto" w:fill="auto"/>
            <w:tcMar>
              <w:top w:w="0" w:type="dxa"/>
              <w:left w:w="108" w:type="dxa"/>
              <w:bottom w:w="0" w:type="dxa"/>
              <w:right w:w="108" w:type="dxa"/>
            </w:tcMar>
            <w:hideMark/>
          </w:tcPr>
          <w:p w:rsidR="00302459" w:rsidRPr="00743A41" w:rsidRDefault="00302459" w:rsidP="00A37ED6">
            <w:pPr>
              <w:ind w:right="-20"/>
              <w:rPr>
                <w:rFonts w:asciiTheme="majorHAnsi" w:hAnsiTheme="majorHAnsi" w:cstheme="majorHAnsi"/>
                <w:sz w:val="20"/>
                <w:szCs w:val="20"/>
              </w:rPr>
            </w:pPr>
            <w:r w:rsidRPr="00743A41">
              <w:rPr>
                <w:rFonts w:asciiTheme="majorHAnsi" w:hAnsiTheme="majorHAnsi" w:cstheme="majorHAnsi"/>
                <w:sz w:val="20"/>
                <w:szCs w:val="20"/>
              </w:rPr>
              <w:t>Formulates and recommends policy, and monitors use of hazardous chemicals.</w:t>
            </w:r>
          </w:p>
        </w:tc>
      </w:tr>
      <w:tr w:rsidR="00302459" w:rsidRPr="00743A41" w:rsidTr="006E28EE">
        <w:trPr>
          <w:cantSplit/>
          <w:trHeight w:val="280"/>
        </w:trPr>
        <w:tc>
          <w:tcPr>
            <w:tcW w:w="2358" w:type="dxa"/>
            <w:shd w:val="clear" w:color="auto" w:fill="D9D9D9" w:themeFill="background1" w:themeFillShade="D9"/>
            <w:tcMar>
              <w:top w:w="0" w:type="dxa"/>
              <w:left w:w="108" w:type="dxa"/>
              <w:bottom w:w="0" w:type="dxa"/>
              <w:right w:w="108" w:type="dxa"/>
            </w:tcMar>
            <w:hideMark/>
          </w:tcPr>
          <w:p w:rsidR="00302459" w:rsidRPr="00743A41" w:rsidRDefault="00302459" w:rsidP="00A37ED6">
            <w:pPr>
              <w:ind w:left="65" w:right="-20"/>
              <w:rPr>
                <w:rFonts w:asciiTheme="majorHAnsi" w:hAnsiTheme="majorHAnsi" w:cstheme="majorHAnsi"/>
                <w:sz w:val="20"/>
                <w:szCs w:val="20"/>
              </w:rPr>
            </w:pPr>
            <w:r w:rsidRPr="00743A41">
              <w:rPr>
                <w:rFonts w:asciiTheme="majorHAnsi" w:hAnsiTheme="majorHAnsi" w:cstheme="majorHAnsi"/>
                <w:sz w:val="20"/>
                <w:szCs w:val="20"/>
              </w:rPr>
              <w:t xml:space="preserve">University Executive Council </w:t>
            </w:r>
          </w:p>
        </w:tc>
        <w:tc>
          <w:tcPr>
            <w:tcW w:w="3042" w:type="dxa"/>
            <w:shd w:val="clear" w:color="auto" w:fill="D9D9D9" w:themeFill="background1" w:themeFillShade="D9"/>
            <w:tcMar>
              <w:top w:w="0" w:type="dxa"/>
              <w:left w:w="108" w:type="dxa"/>
              <w:bottom w:w="0" w:type="dxa"/>
              <w:right w:w="108" w:type="dxa"/>
            </w:tcMar>
            <w:hideMark/>
          </w:tcPr>
          <w:p w:rsidR="00302459" w:rsidRPr="00743A41" w:rsidRDefault="00302459" w:rsidP="00A37ED6">
            <w:pPr>
              <w:ind w:right="-20"/>
              <w:rPr>
                <w:rFonts w:asciiTheme="majorHAnsi" w:hAnsiTheme="majorHAnsi" w:cstheme="majorHAnsi"/>
                <w:sz w:val="20"/>
                <w:szCs w:val="20"/>
              </w:rPr>
            </w:pPr>
            <w:r w:rsidRPr="00743A41">
              <w:rPr>
                <w:rFonts w:asciiTheme="majorHAnsi" w:hAnsiTheme="majorHAnsi" w:cstheme="majorHAnsi"/>
                <w:sz w:val="20"/>
                <w:szCs w:val="20"/>
              </w:rPr>
              <w:t>Eric Boerwinkle, PhD, Dean &amp; Professor, Department of Epidemiology, Human Genetics and Environmental Sciences</w:t>
            </w:r>
          </w:p>
        </w:tc>
        <w:tc>
          <w:tcPr>
            <w:tcW w:w="3225" w:type="dxa"/>
            <w:shd w:val="clear" w:color="auto" w:fill="D9D9D9" w:themeFill="background1" w:themeFillShade="D9"/>
            <w:tcMar>
              <w:top w:w="0" w:type="dxa"/>
              <w:left w:w="108" w:type="dxa"/>
              <w:bottom w:w="0" w:type="dxa"/>
              <w:right w:w="108" w:type="dxa"/>
            </w:tcMar>
            <w:hideMark/>
          </w:tcPr>
          <w:p w:rsidR="00302459" w:rsidRPr="00743A41" w:rsidRDefault="00302459" w:rsidP="00A37ED6">
            <w:pPr>
              <w:ind w:right="-20"/>
              <w:rPr>
                <w:rFonts w:asciiTheme="majorHAnsi" w:hAnsiTheme="majorHAnsi" w:cstheme="majorHAnsi"/>
                <w:sz w:val="20"/>
                <w:szCs w:val="20"/>
              </w:rPr>
            </w:pPr>
            <w:r w:rsidRPr="00743A41">
              <w:rPr>
                <w:rFonts w:asciiTheme="majorHAnsi" w:hAnsiTheme="majorHAnsi" w:cstheme="majorHAnsi"/>
                <w:sz w:val="20"/>
                <w:szCs w:val="20"/>
              </w:rPr>
              <w:t xml:space="preserve">Advises the President on key issues related to university governance and operations. </w:t>
            </w:r>
          </w:p>
        </w:tc>
      </w:tr>
      <w:tr w:rsidR="00302459" w:rsidRPr="00743A41" w:rsidTr="006E28EE">
        <w:trPr>
          <w:cantSplit/>
          <w:trHeight w:val="280"/>
        </w:trPr>
        <w:tc>
          <w:tcPr>
            <w:tcW w:w="2358" w:type="dxa"/>
            <w:shd w:val="clear" w:color="auto" w:fill="auto"/>
            <w:tcMar>
              <w:top w:w="0" w:type="dxa"/>
              <w:left w:w="108" w:type="dxa"/>
              <w:bottom w:w="0" w:type="dxa"/>
              <w:right w:w="108" w:type="dxa"/>
            </w:tcMar>
            <w:hideMark/>
          </w:tcPr>
          <w:p w:rsidR="00302459" w:rsidRPr="00743A41" w:rsidRDefault="00302459" w:rsidP="00A37ED6">
            <w:pPr>
              <w:ind w:left="65" w:right="-20"/>
              <w:rPr>
                <w:rFonts w:asciiTheme="majorHAnsi" w:hAnsiTheme="majorHAnsi" w:cstheme="majorHAnsi"/>
                <w:sz w:val="20"/>
                <w:szCs w:val="20"/>
              </w:rPr>
            </w:pPr>
            <w:r w:rsidRPr="00743A41">
              <w:rPr>
                <w:rFonts w:asciiTheme="majorHAnsi" w:hAnsiTheme="majorHAnsi" w:cstheme="majorHAnsi"/>
                <w:sz w:val="20"/>
                <w:szCs w:val="20"/>
              </w:rPr>
              <w:t xml:space="preserve">University Leadership Council </w:t>
            </w:r>
          </w:p>
        </w:tc>
        <w:tc>
          <w:tcPr>
            <w:tcW w:w="3042" w:type="dxa"/>
            <w:shd w:val="clear" w:color="auto" w:fill="auto"/>
            <w:tcMar>
              <w:top w:w="0" w:type="dxa"/>
              <w:left w:w="108" w:type="dxa"/>
              <w:bottom w:w="0" w:type="dxa"/>
              <w:right w:w="108" w:type="dxa"/>
            </w:tcMar>
            <w:hideMark/>
          </w:tcPr>
          <w:p w:rsidR="00302459" w:rsidRPr="00743A41" w:rsidRDefault="00302459" w:rsidP="00A37ED6">
            <w:pPr>
              <w:ind w:right="-20"/>
              <w:rPr>
                <w:rFonts w:asciiTheme="majorHAnsi" w:hAnsiTheme="majorHAnsi" w:cstheme="majorHAnsi"/>
                <w:sz w:val="20"/>
                <w:szCs w:val="20"/>
              </w:rPr>
            </w:pPr>
            <w:r w:rsidRPr="00743A41">
              <w:rPr>
                <w:rFonts w:asciiTheme="majorHAnsi" w:hAnsiTheme="majorHAnsi" w:cstheme="majorHAnsi"/>
                <w:sz w:val="20"/>
                <w:szCs w:val="20"/>
              </w:rPr>
              <w:t>Eric Boerwinkle, PhD, Dean &amp; Professor, Department of Epidemiology, Human Genetics and Environmental Sciences</w:t>
            </w:r>
          </w:p>
          <w:p w:rsidR="00302459" w:rsidRPr="00743A41" w:rsidRDefault="00302459" w:rsidP="00A37ED6">
            <w:pPr>
              <w:ind w:right="-20"/>
              <w:rPr>
                <w:rFonts w:asciiTheme="majorHAnsi" w:hAnsiTheme="majorHAnsi" w:cstheme="majorHAnsi"/>
                <w:sz w:val="20"/>
                <w:szCs w:val="20"/>
              </w:rPr>
            </w:pPr>
          </w:p>
          <w:p w:rsidR="00302459" w:rsidRPr="00743A41" w:rsidRDefault="00302459" w:rsidP="00A37ED6">
            <w:pPr>
              <w:ind w:right="-20"/>
              <w:rPr>
                <w:rFonts w:asciiTheme="majorHAnsi" w:hAnsiTheme="majorHAnsi" w:cstheme="majorHAnsi"/>
                <w:sz w:val="20"/>
                <w:szCs w:val="20"/>
              </w:rPr>
            </w:pPr>
            <w:r w:rsidRPr="00743A41">
              <w:rPr>
                <w:rFonts w:asciiTheme="majorHAnsi" w:hAnsiTheme="majorHAnsi" w:cstheme="majorHAnsi"/>
                <w:sz w:val="20"/>
                <w:szCs w:val="20"/>
              </w:rPr>
              <w:t>Robert Emery, DrPH, Professor, Vice President for Safety, Health, Environment &amp; Risk Management, Department of Epidemiology, Human Genetics and Environmental Sciences</w:t>
            </w:r>
          </w:p>
        </w:tc>
        <w:tc>
          <w:tcPr>
            <w:tcW w:w="3225" w:type="dxa"/>
            <w:shd w:val="clear" w:color="auto" w:fill="auto"/>
            <w:tcMar>
              <w:top w:w="0" w:type="dxa"/>
              <w:left w:w="108" w:type="dxa"/>
              <w:bottom w:w="0" w:type="dxa"/>
              <w:right w:w="108" w:type="dxa"/>
            </w:tcMar>
            <w:hideMark/>
          </w:tcPr>
          <w:p w:rsidR="00302459" w:rsidRPr="00743A41" w:rsidRDefault="00302459" w:rsidP="00A37ED6">
            <w:pPr>
              <w:ind w:right="-20"/>
              <w:rPr>
                <w:rFonts w:asciiTheme="majorHAnsi" w:hAnsiTheme="majorHAnsi" w:cstheme="majorHAnsi"/>
                <w:sz w:val="20"/>
                <w:szCs w:val="20"/>
              </w:rPr>
            </w:pPr>
            <w:r w:rsidRPr="00743A41">
              <w:rPr>
                <w:rFonts w:asciiTheme="majorHAnsi" w:hAnsiTheme="majorHAnsi" w:cstheme="majorHAnsi"/>
                <w:sz w:val="20"/>
                <w:szCs w:val="20"/>
              </w:rPr>
              <w:t>Serves as a forum for the bidirectional communication of ideas and information between the university and the faculty, students, and staff in the schools.  </w:t>
            </w:r>
          </w:p>
        </w:tc>
      </w:tr>
      <w:tr w:rsidR="00302459" w:rsidRPr="00743A41" w:rsidTr="006E28EE">
        <w:trPr>
          <w:cantSplit/>
          <w:trHeight w:val="287"/>
        </w:trPr>
        <w:tc>
          <w:tcPr>
            <w:tcW w:w="2358" w:type="dxa"/>
            <w:shd w:val="clear" w:color="auto" w:fill="D9D9D9" w:themeFill="background1" w:themeFillShade="D9"/>
            <w:tcMar>
              <w:top w:w="0" w:type="dxa"/>
              <w:left w:w="108" w:type="dxa"/>
              <w:bottom w:w="0" w:type="dxa"/>
              <w:right w:w="108" w:type="dxa"/>
            </w:tcMar>
            <w:hideMark/>
          </w:tcPr>
          <w:p w:rsidR="00302459" w:rsidRPr="00743A41" w:rsidRDefault="00302459" w:rsidP="00A37ED6">
            <w:pPr>
              <w:ind w:left="65" w:right="-20"/>
              <w:rPr>
                <w:rFonts w:asciiTheme="majorHAnsi" w:hAnsiTheme="majorHAnsi" w:cstheme="majorHAnsi"/>
                <w:sz w:val="20"/>
                <w:szCs w:val="20"/>
              </w:rPr>
            </w:pPr>
            <w:r w:rsidRPr="00743A41">
              <w:rPr>
                <w:rFonts w:asciiTheme="majorHAnsi" w:hAnsiTheme="majorHAnsi" w:cstheme="majorHAnsi"/>
                <w:sz w:val="20"/>
                <w:szCs w:val="20"/>
              </w:rPr>
              <w:t>Faculty Affairs &amp; Development</w:t>
            </w:r>
          </w:p>
        </w:tc>
        <w:tc>
          <w:tcPr>
            <w:tcW w:w="3042" w:type="dxa"/>
            <w:shd w:val="clear" w:color="auto" w:fill="D9D9D9" w:themeFill="background1" w:themeFillShade="D9"/>
            <w:tcMar>
              <w:top w:w="0" w:type="dxa"/>
              <w:left w:w="108" w:type="dxa"/>
              <w:bottom w:w="0" w:type="dxa"/>
              <w:right w:w="108" w:type="dxa"/>
            </w:tcMar>
            <w:hideMark/>
          </w:tcPr>
          <w:p w:rsidR="00302459" w:rsidRPr="00743A41" w:rsidRDefault="00302459" w:rsidP="00A37ED6">
            <w:pPr>
              <w:ind w:right="-20"/>
              <w:rPr>
                <w:rFonts w:asciiTheme="majorHAnsi" w:hAnsiTheme="majorHAnsi" w:cstheme="majorHAnsi"/>
                <w:sz w:val="20"/>
                <w:szCs w:val="20"/>
              </w:rPr>
            </w:pPr>
            <w:r w:rsidRPr="00743A41">
              <w:rPr>
                <w:rFonts w:asciiTheme="majorHAnsi" w:hAnsiTheme="majorHAnsi" w:cstheme="majorHAnsi"/>
                <w:sz w:val="20"/>
                <w:szCs w:val="20"/>
              </w:rPr>
              <w:t>Susan Tortolero Emery, PhD, Senior Associate Dean of Academic affairs and Research Services &amp; Professor, Department of Health Promotion &amp; Behavioral Sciences</w:t>
            </w:r>
          </w:p>
        </w:tc>
        <w:tc>
          <w:tcPr>
            <w:tcW w:w="3225" w:type="dxa"/>
            <w:shd w:val="clear" w:color="auto" w:fill="D9D9D9" w:themeFill="background1" w:themeFillShade="D9"/>
            <w:tcMar>
              <w:top w:w="0" w:type="dxa"/>
              <w:left w:w="108" w:type="dxa"/>
              <w:bottom w:w="0" w:type="dxa"/>
              <w:right w:w="108" w:type="dxa"/>
            </w:tcMar>
          </w:tcPr>
          <w:p w:rsidR="00302459" w:rsidRPr="00743A41" w:rsidRDefault="00302459" w:rsidP="00A37ED6">
            <w:pPr>
              <w:ind w:right="-20"/>
              <w:rPr>
                <w:rFonts w:asciiTheme="majorHAnsi" w:hAnsiTheme="majorHAnsi" w:cstheme="majorHAnsi"/>
                <w:sz w:val="20"/>
                <w:szCs w:val="20"/>
              </w:rPr>
            </w:pPr>
            <w:r w:rsidRPr="00743A41">
              <w:rPr>
                <w:rFonts w:asciiTheme="majorHAnsi" w:hAnsiTheme="majorHAnsi" w:cstheme="majorHAnsi"/>
                <w:sz w:val="20"/>
                <w:szCs w:val="20"/>
              </w:rPr>
              <w:t xml:space="preserve">Discusses faculty affairs, concerns, issues, and development activities in all six UTHealth schools. </w:t>
            </w:r>
          </w:p>
        </w:tc>
      </w:tr>
      <w:tr w:rsidR="00302459" w:rsidRPr="00743A41" w:rsidTr="006E28EE">
        <w:trPr>
          <w:cantSplit/>
          <w:trHeight w:val="280"/>
        </w:trPr>
        <w:tc>
          <w:tcPr>
            <w:tcW w:w="2358" w:type="dxa"/>
            <w:shd w:val="clear" w:color="auto" w:fill="auto"/>
            <w:tcMar>
              <w:top w:w="0" w:type="dxa"/>
              <w:left w:w="108" w:type="dxa"/>
              <w:bottom w:w="0" w:type="dxa"/>
              <w:right w:w="108" w:type="dxa"/>
            </w:tcMar>
            <w:hideMark/>
          </w:tcPr>
          <w:p w:rsidR="00302459" w:rsidRPr="00743A41" w:rsidRDefault="00302459" w:rsidP="00A37ED6">
            <w:pPr>
              <w:ind w:left="65" w:right="-20"/>
              <w:rPr>
                <w:rFonts w:asciiTheme="majorHAnsi" w:hAnsiTheme="majorHAnsi" w:cstheme="majorHAnsi"/>
                <w:sz w:val="20"/>
                <w:szCs w:val="20"/>
              </w:rPr>
            </w:pPr>
            <w:r w:rsidRPr="00743A41">
              <w:rPr>
                <w:rFonts w:asciiTheme="majorHAnsi" w:hAnsiTheme="majorHAnsi" w:cstheme="majorHAnsi"/>
                <w:sz w:val="20"/>
                <w:szCs w:val="20"/>
              </w:rPr>
              <w:t>Faculty Status, Rights and Responsibilities (subcommittee of Interfaculty Council)</w:t>
            </w:r>
          </w:p>
        </w:tc>
        <w:tc>
          <w:tcPr>
            <w:tcW w:w="3042" w:type="dxa"/>
            <w:shd w:val="clear" w:color="auto" w:fill="auto"/>
            <w:tcMar>
              <w:top w:w="0" w:type="dxa"/>
              <w:left w:w="108" w:type="dxa"/>
              <w:bottom w:w="0" w:type="dxa"/>
              <w:right w:w="108" w:type="dxa"/>
            </w:tcMar>
            <w:hideMark/>
          </w:tcPr>
          <w:p w:rsidR="00302459" w:rsidRPr="00743A41" w:rsidRDefault="00302459" w:rsidP="00A37ED6">
            <w:pPr>
              <w:ind w:right="-20"/>
              <w:rPr>
                <w:rFonts w:asciiTheme="majorHAnsi" w:hAnsiTheme="majorHAnsi" w:cstheme="majorHAnsi"/>
                <w:sz w:val="20"/>
                <w:szCs w:val="20"/>
              </w:rPr>
            </w:pPr>
            <w:r w:rsidRPr="00743A41">
              <w:rPr>
                <w:rFonts w:asciiTheme="majorHAnsi" w:hAnsiTheme="majorHAnsi" w:cstheme="majorHAnsi"/>
                <w:sz w:val="20"/>
                <w:szCs w:val="20"/>
              </w:rPr>
              <w:t>Linda Highfield, PhD, Associate Professor, Department of Management, Policy and Community Health</w:t>
            </w:r>
          </w:p>
        </w:tc>
        <w:tc>
          <w:tcPr>
            <w:tcW w:w="3225" w:type="dxa"/>
            <w:shd w:val="clear" w:color="auto" w:fill="auto"/>
            <w:tcMar>
              <w:top w:w="0" w:type="dxa"/>
              <w:left w:w="108" w:type="dxa"/>
              <w:bottom w:w="0" w:type="dxa"/>
              <w:right w:w="108" w:type="dxa"/>
            </w:tcMar>
          </w:tcPr>
          <w:p w:rsidR="00302459" w:rsidRPr="00743A41" w:rsidRDefault="00302459" w:rsidP="00A37ED6">
            <w:pPr>
              <w:ind w:right="-20"/>
              <w:rPr>
                <w:rFonts w:asciiTheme="majorHAnsi" w:hAnsiTheme="majorHAnsi" w:cstheme="majorHAnsi"/>
                <w:sz w:val="20"/>
                <w:szCs w:val="20"/>
              </w:rPr>
            </w:pPr>
            <w:r w:rsidRPr="00743A41">
              <w:rPr>
                <w:rFonts w:asciiTheme="majorHAnsi" w:hAnsiTheme="majorHAnsi" w:cstheme="majorHAnsi"/>
                <w:sz w:val="20"/>
                <w:szCs w:val="20"/>
              </w:rPr>
              <w:t xml:space="preserve">Deliberates on issues of faculty status, rights, and responsibilities, and, when necessary, investigates instances of curtailment of faculty rights. </w:t>
            </w:r>
          </w:p>
        </w:tc>
      </w:tr>
      <w:tr w:rsidR="00302459" w:rsidRPr="00743A41" w:rsidTr="006E28EE">
        <w:trPr>
          <w:cantSplit/>
          <w:trHeight w:val="280"/>
        </w:trPr>
        <w:tc>
          <w:tcPr>
            <w:tcW w:w="2358" w:type="dxa"/>
            <w:shd w:val="clear" w:color="auto" w:fill="D9D9D9" w:themeFill="background1" w:themeFillShade="D9"/>
            <w:tcMar>
              <w:top w:w="0" w:type="dxa"/>
              <w:left w:w="108" w:type="dxa"/>
              <w:bottom w:w="0" w:type="dxa"/>
              <w:right w:w="108" w:type="dxa"/>
            </w:tcMar>
            <w:hideMark/>
          </w:tcPr>
          <w:p w:rsidR="00302459" w:rsidRPr="00743A41" w:rsidRDefault="00302459" w:rsidP="00A37ED6">
            <w:pPr>
              <w:ind w:left="65" w:right="-20"/>
              <w:rPr>
                <w:rFonts w:asciiTheme="majorHAnsi" w:hAnsiTheme="majorHAnsi" w:cstheme="majorHAnsi"/>
                <w:sz w:val="20"/>
                <w:szCs w:val="20"/>
              </w:rPr>
            </w:pPr>
            <w:r w:rsidRPr="00743A41">
              <w:rPr>
                <w:rFonts w:asciiTheme="majorHAnsi" w:hAnsiTheme="majorHAnsi" w:cstheme="majorHAnsi"/>
                <w:sz w:val="20"/>
                <w:szCs w:val="20"/>
              </w:rPr>
              <w:t>Governance and Academic Affairs (subcommittee of Interfaculty Council)</w:t>
            </w:r>
          </w:p>
        </w:tc>
        <w:tc>
          <w:tcPr>
            <w:tcW w:w="3042" w:type="dxa"/>
            <w:shd w:val="clear" w:color="auto" w:fill="D9D9D9" w:themeFill="background1" w:themeFillShade="D9"/>
            <w:tcMar>
              <w:top w:w="0" w:type="dxa"/>
              <w:left w:w="108" w:type="dxa"/>
              <w:bottom w:w="0" w:type="dxa"/>
              <w:right w:w="108" w:type="dxa"/>
            </w:tcMar>
            <w:hideMark/>
          </w:tcPr>
          <w:p w:rsidR="00302459" w:rsidRPr="00743A41" w:rsidRDefault="00302459" w:rsidP="00A37ED6">
            <w:pPr>
              <w:ind w:right="-20"/>
              <w:rPr>
                <w:rFonts w:asciiTheme="majorHAnsi" w:hAnsiTheme="majorHAnsi" w:cstheme="majorHAnsi"/>
                <w:sz w:val="20"/>
                <w:szCs w:val="20"/>
              </w:rPr>
            </w:pPr>
            <w:r w:rsidRPr="00743A41">
              <w:rPr>
                <w:rFonts w:asciiTheme="majorHAnsi" w:hAnsiTheme="majorHAnsi" w:cstheme="majorHAnsi"/>
                <w:sz w:val="20"/>
                <w:szCs w:val="20"/>
              </w:rPr>
              <w:t>Michael Swartz, PhD, Associate Professor, Department of Biostatistics and Data Science</w:t>
            </w:r>
          </w:p>
        </w:tc>
        <w:tc>
          <w:tcPr>
            <w:tcW w:w="3225" w:type="dxa"/>
            <w:shd w:val="clear" w:color="auto" w:fill="D9D9D9" w:themeFill="background1" w:themeFillShade="D9"/>
            <w:tcMar>
              <w:top w:w="0" w:type="dxa"/>
              <w:left w:w="108" w:type="dxa"/>
              <w:bottom w:w="0" w:type="dxa"/>
              <w:right w:w="108" w:type="dxa"/>
            </w:tcMar>
          </w:tcPr>
          <w:p w:rsidR="00302459" w:rsidRPr="00743A41" w:rsidRDefault="00302459" w:rsidP="00A37ED6">
            <w:pPr>
              <w:ind w:right="-20"/>
              <w:rPr>
                <w:rFonts w:asciiTheme="majorHAnsi" w:hAnsiTheme="majorHAnsi" w:cstheme="majorHAnsi"/>
                <w:sz w:val="20"/>
                <w:szCs w:val="20"/>
              </w:rPr>
            </w:pPr>
            <w:r w:rsidRPr="00743A41">
              <w:rPr>
                <w:rFonts w:asciiTheme="majorHAnsi" w:hAnsiTheme="majorHAnsi" w:cstheme="majorHAnsi"/>
                <w:sz w:val="20"/>
                <w:szCs w:val="20"/>
              </w:rPr>
              <w:t xml:space="preserve">Deliberates on issues of governance and academic affairs. </w:t>
            </w:r>
          </w:p>
        </w:tc>
      </w:tr>
      <w:tr w:rsidR="00302459" w:rsidRPr="00743A41" w:rsidTr="006E28EE">
        <w:trPr>
          <w:cantSplit/>
          <w:trHeight w:val="420"/>
        </w:trPr>
        <w:tc>
          <w:tcPr>
            <w:tcW w:w="2358" w:type="dxa"/>
            <w:shd w:val="clear" w:color="auto" w:fill="auto"/>
            <w:tcMar>
              <w:top w:w="0" w:type="dxa"/>
              <w:left w:w="108" w:type="dxa"/>
              <w:bottom w:w="0" w:type="dxa"/>
              <w:right w:w="108" w:type="dxa"/>
            </w:tcMar>
            <w:hideMark/>
          </w:tcPr>
          <w:p w:rsidR="00302459" w:rsidRPr="00743A41" w:rsidRDefault="00302459" w:rsidP="00A37ED6">
            <w:pPr>
              <w:ind w:left="65" w:right="-20"/>
              <w:rPr>
                <w:rFonts w:asciiTheme="majorHAnsi" w:hAnsiTheme="majorHAnsi" w:cstheme="majorHAnsi"/>
                <w:sz w:val="20"/>
                <w:szCs w:val="20"/>
              </w:rPr>
            </w:pPr>
            <w:r w:rsidRPr="00743A41">
              <w:rPr>
                <w:rFonts w:asciiTheme="majorHAnsi" w:hAnsiTheme="majorHAnsi" w:cstheme="majorHAnsi"/>
                <w:sz w:val="20"/>
                <w:szCs w:val="20"/>
              </w:rPr>
              <w:t>Institutional Biosafety Committee</w:t>
            </w:r>
          </w:p>
          <w:p w:rsidR="00302459" w:rsidRPr="00743A41" w:rsidRDefault="00302459" w:rsidP="00A37ED6">
            <w:pPr>
              <w:ind w:left="65" w:right="-20"/>
              <w:rPr>
                <w:rFonts w:asciiTheme="majorHAnsi" w:hAnsiTheme="majorHAnsi" w:cstheme="majorHAnsi"/>
                <w:sz w:val="20"/>
                <w:szCs w:val="20"/>
              </w:rPr>
            </w:pPr>
            <w:r w:rsidRPr="00743A41">
              <w:rPr>
                <w:rFonts w:asciiTheme="majorHAnsi" w:hAnsiTheme="majorHAnsi" w:cstheme="majorHAnsi"/>
                <w:sz w:val="20"/>
                <w:szCs w:val="20"/>
              </w:rPr>
              <w:t>(sub-committee of Safety Council)</w:t>
            </w:r>
          </w:p>
        </w:tc>
        <w:tc>
          <w:tcPr>
            <w:tcW w:w="3042" w:type="dxa"/>
            <w:shd w:val="clear" w:color="auto" w:fill="auto"/>
            <w:tcMar>
              <w:top w:w="0" w:type="dxa"/>
              <w:left w:w="108" w:type="dxa"/>
              <w:bottom w:w="0" w:type="dxa"/>
              <w:right w:w="108" w:type="dxa"/>
            </w:tcMar>
            <w:hideMark/>
          </w:tcPr>
          <w:p w:rsidR="00302459" w:rsidRPr="00743A41" w:rsidRDefault="00302459" w:rsidP="00A37ED6">
            <w:pPr>
              <w:ind w:right="-20"/>
              <w:rPr>
                <w:rFonts w:asciiTheme="majorHAnsi" w:hAnsiTheme="majorHAnsi" w:cstheme="majorHAnsi"/>
                <w:sz w:val="20"/>
                <w:szCs w:val="20"/>
              </w:rPr>
            </w:pPr>
            <w:r w:rsidRPr="00743A41">
              <w:rPr>
                <w:rFonts w:asciiTheme="majorHAnsi" w:hAnsiTheme="majorHAnsi" w:cstheme="majorHAnsi"/>
                <w:sz w:val="20"/>
                <w:szCs w:val="20"/>
              </w:rPr>
              <w:t>Eric Brown, PhD, Associate Professor, Department of Epidemiology, Human Genetics and Environmental Sciences</w:t>
            </w:r>
          </w:p>
          <w:p w:rsidR="00302459" w:rsidRPr="00743A41" w:rsidRDefault="00302459" w:rsidP="00A37ED6">
            <w:pPr>
              <w:ind w:right="-20"/>
              <w:rPr>
                <w:rFonts w:asciiTheme="majorHAnsi" w:hAnsiTheme="majorHAnsi" w:cstheme="majorHAnsi"/>
                <w:sz w:val="20"/>
                <w:szCs w:val="20"/>
              </w:rPr>
            </w:pPr>
          </w:p>
          <w:p w:rsidR="00302459" w:rsidRPr="00743A41" w:rsidRDefault="00302459" w:rsidP="00A37ED6">
            <w:pPr>
              <w:ind w:right="-20"/>
              <w:rPr>
                <w:rFonts w:asciiTheme="majorHAnsi" w:hAnsiTheme="majorHAnsi" w:cstheme="majorHAnsi"/>
                <w:sz w:val="20"/>
                <w:szCs w:val="20"/>
              </w:rPr>
            </w:pPr>
            <w:r w:rsidRPr="00743A41">
              <w:rPr>
                <w:rFonts w:asciiTheme="majorHAnsi" w:hAnsiTheme="majorHAnsi" w:cstheme="majorHAnsi"/>
                <w:sz w:val="20"/>
                <w:szCs w:val="20"/>
              </w:rPr>
              <w:t>W. Brett Perkison, MD, Assistant Professor, Department of Epidemiology, Human Genetics and Environmental Sciences</w:t>
            </w:r>
          </w:p>
          <w:p w:rsidR="00302459" w:rsidRPr="00743A41" w:rsidRDefault="00302459" w:rsidP="00A37ED6">
            <w:pPr>
              <w:ind w:right="-20"/>
              <w:rPr>
                <w:rFonts w:asciiTheme="majorHAnsi" w:hAnsiTheme="majorHAnsi" w:cstheme="majorHAnsi"/>
                <w:sz w:val="20"/>
                <w:szCs w:val="20"/>
              </w:rPr>
            </w:pPr>
          </w:p>
          <w:p w:rsidR="00302459" w:rsidRPr="00743A41" w:rsidRDefault="00302459" w:rsidP="00A37ED6">
            <w:pPr>
              <w:ind w:right="-20"/>
              <w:rPr>
                <w:rFonts w:asciiTheme="majorHAnsi" w:hAnsiTheme="majorHAnsi" w:cstheme="majorHAnsi"/>
                <w:sz w:val="20"/>
                <w:szCs w:val="20"/>
              </w:rPr>
            </w:pPr>
            <w:r w:rsidRPr="00743A41">
              <w:rPr>
                <w:rFonts w:asciiTheme="majorHAnsi" w:hAnsiTheme="majorHAnsi" w:cstheme="majorHAnsi"/>
                <w:sz w:val="20"/>
                <w:szCs w:val="20"/>
              </w:rPr>
              <w:t>Robert Emery, DrPH, Professor, Vice President for Safety, Health, Environment &amp; Risk Management, Department of Epidemiology, Human Genetics and Environmental Sciences</w:t>
            </w:r>
          </w:p>
        </w:tc>
        <w:tc>
          <w:tcPr>
            <w:tcW w:w="3225" w:type="dxa"/>
            <w:shd w:val="clear" w:color="auto" w:fill="auto"/>
            <w:tcMar>
              <w:top w:w="0" w:type="dxa"/>
              <w:left w:w="108" w:type="dxa"/>
              <w:bottom w:w="0" w:type="dxa"/>
              <w:right w:w="108" w:type="dxa"/>
            </w:tcMar>
            <w:hideMark/>
          </w:tcPr>
          <w:p w:rsidR="00302459" w:rsidRPr="00743A41" w:rsidRDefault="00302459" w:rsidP="00A37ED6">
            <w:pPr>
              <w:spacing w:before="100" w:beforeAutospacing="1" w:after="100" w:afterAutospacing="1"/>
              <w:rPr>
                <w:rFonts w:asciiTheme="majorHAnsi" w:hAnsiTheme="majorHAnsi" w:cstheme="majorHAnsi"/>
                <w:sz w:val="20"/>
                <w:szCs w:val="20"/>
              </w:rPr>
            </w:pPr>
            <w:r w:rsidRPr="00743A41">
              <w:rPr>
                <w:rFonts w:asciiTheme="majorHAnsi" w:hAnsiTheme="majorHAnsi" w:cstheme="majorHAnsi"/>
                <w:sz w:val="20"/>
                <w:szCs w:val="20"/>
              </w:rPr>
              <w:t>Responsible for policies and procedures relating to recombinant and synthetic nucleic acid molecules used in UTHealth's research, clinical, and educational programs.</w:t>
            </w:r>
          </w:p>
        </w:tc>
      </w:tr>
      <w:tr w:rsidR="00302459" w:rsidRPr="00743A41" w:rsidTr="006E28EE">
        <w:trPr>
          <w:cantSplit/>
          <w:trHeight w:val="280"/>
        </w:trPr>
        <w:tc>
          <w:tcPr>
            <w:tcW w:w="2358" w:type="dxa"/>
            <w:shd w:val="clear" w:color="auto" w:fill="D9D9D9" w:themeFill="background1" w:themeFillShade="D9"/>
            <w:tcMar>
              <w:top w:w="0" w:type="dxa"/>
              <w:left w:w="108" w:type="dxa"/>
              <w:bottom w:w="0" w:type="dxa"/>
              <w:right w:w="108" w:type="dxa"/>
            </w:tcMar>
          </w:tcPr>
          <w:p w:rsidR="00302459" w:rsidRPr="00743A41" w:rsidRDefault="00302459" w:rsidP="00A37ED6">
            <w:pPr>
              <w:ind w:left="65" w:right="-20"/>
              <w:rPr>
                <w:rFonts w:asciiTheme="majorHAnsi" w:hAnsiTheme="majorHAnsi" w:cstheme="majorHAnsi"/>
                <w:sz w:val="20"/>
                <w:szCs w:val="20"/>
              </w:rPr>
            </w:pPr>
            <w:r w:rsidRPr="00743A41">
              <w:rPr>
                <w:rFonts w:asciiTheme="majorHAnsi" w:hAnsiTheme="majorHAnsi" w:cstheme="majorHAnsi"/>
                <w:sz w:val="20"/>
                <w:szCs w:val="20"/>
              </w:rPr>
              <w:t>Committee for the Protection of Human Subjects</w:t>
            </w:r>
          </w:p>
          <w:p w:rsidR="00302459" w:rsidRPr="00743A41" w:rsidRDefault="00302459" w:rsidP="00A37ED6">
            <w:pPr>
              <w:ind w:left="65" w:right="-20"/>
              <w:rPr>
                <w:rFonts w:asciiTheme="majorHAnsi" w:hAnsiTheme="majorHAnsi" w:cstheme="majorHAnsi"/>
                <w:sz w:val="20"/>
                <w:szCs w:val="20"/>
              </w:rPr>
            </w:pPr>
          </w:p>
          <w:p w:rsidR="00302459" w:rsidRPr="00743A41" w:rsidRDefault="00302459" w:rsidP="00A37ED6">
            <w:pPr>
              <w:ind w:left="65" w:right="-20"/>
              <w:rPr>
                <w:rFonts w:asciiTheme="majorHAnsi" w:hAnsiTheme="majorHAnsi" w:cstheme="majorHAnsi"/>
                <w:sz w:val="20"/>
                <w:szCs w:val="20"/>
              </w:rPr>
            </w:pPr>
            <w:r w:rsidRPr="00743A41">
              <w:rPr>
                <w:rFonts w:asciiTheme="majorHAnsi" w:hAnsiTheme="majorHAnsi" w:cstheme="majorHAnsi"/>
                <w:sz w:val="20"/>
                <w:szCs w:val="20"/>
              </w:rPr>
              <w:t>Institutional Review   Board Panel #2</w:t>
            </w:r>
          </w:p>
          <w:p w:rsidR="00302459" w:rsidRPr="00743A41" w:rsidRDefault="00302459" w:rsidP="00A37ED6">
            <w:pPr>
              <w:ind w:left="65" w:right="-20"/>
              <w:rPr>
                <w:rFonts w:asciiTheme="majorHAnsi" w:hAnsiTheme="majorHAnsi" w:cstheme="majorHAnsi"/>
                <w:sz w:val="20"/>
                <w:szCs w:val="20"/>
              </w:rPr>
            </w:pPr>
          </w:p>
          <w:p w:rsidR="00302459" w:rsidRPr="00743A41" w:rsidRDefault="00302459" w:rsidP="00A37ED6">
            <w:pPr>
              <w:ind w:left="65" w:right="-20"/>
              <w:rPr>
                <w:rFonts w:asciiTheme="majorHAnsi" w:hAnsiTheme="majorHAnsi" w:cstheme="majorHAnsi"/>
                <w:sz w:val="20"/>
                <w:szCs w:val="20"/>
              </w:rPr>
            </w:pPr>
          </w:p>
          <w:p w:rsidR="00302459" w:rsidRPr="00743A41" w:rsidRDefault="00302459" w:rsidP="00A37ED6">
            <w:pPr>
              <w:ind w:left="65" w:right="-20"/>
              <w:rPr>
                <w:rFonts w:asciiTheme="majorHAnsi" w:hAnsiTheme="majorHAnsi" w:cstheme="majorHAnsi"/>
                <w:sz w:val="20"/>
                <w:szCs w:val="20"/>
              </w:rPr>
            </w:pPr>
          </w:p>
          <w:p w:rsidR="00302459" w:rsidRPr="00743A41" w:rsidRDefault="00302459" w:rsidP="00A37ED6">
            <w:pPr>
              <w:ind w:left="65" w:right="-20"/>
              <w:rPr>
                <w:rFonts w:asciiTheme="majorHAnsi" w:hAnsiTheme="majorHAnsi" w:cstheme="majorHAnsi"/>
                <w:sz w:val="20"/>
                <w:szCs w:val="20"/>
              </w:rPr>
            </w:pPr>
          </w:p>
          <w:p w:rsidR="00302459" w:rsidRPr="00743A41" w:rsidRDefault="00302459" w:rsidP="00A37ED6">
            <w:pPr>
              <w:ind w:left="65" w:right="-20"/>
              <w:rPr>
                <w:rFonts w:asciiTheme="majorHAnsi" w:hAnsiTheme="majorHAnsi" w:cstheme="majorHAnsi"/>
                <w:sz w:val="20"/>
                <w:szCs w:val="20"/>
              </w:rPr>
            </w:pPr>
            <w:r w:rsidRPr="00743A41">
              <w:rPr>
                <w:rFonts w:asciiTheme="majorHAnsi" w:hAnsiTheme="majorHAnsi" w:cstheme="majorHAnsi"/>
                <w:sz w:val="20"/>
                <w:szCs w:val="20"/>
              </w:rPr>
              <w:t>Institutional Review Board Panel #4</w:t>
            </w:r>
          </w:p>
        </w:tc>
        <w:tc>
          <w:tcPr>
            <w:tcW w:w="3042" w:type="dxa"/>
            <w:shd w:val="clear" w:color="auto" w:fill="D9D9D9" w:themeFill="background1" w:themeFillShade="D9"/>
            <w:tcMar>
              <w:top w:w="0" w:type="dxa"/>
              <w:left w:w="108" w:type="dxa"/>
              <w:bottom w:w="0" w:type="dxa"/>
              <w:right w:w="108" w:type="dxa"/>
            </w:tcMar>
          </w:tcPr>
          <w:p w:rsidR="00302459" w:rsidRPr="00743A41" w:rsidRDefault="00302459" w:rsidP="00A37ED6">
            <w:pPr>
              <w:ind w:right="-20"/>
              <w:rPr>
                <w:rFonts w:asciiTheme="majorHAnsi" w:hAnsiTheme="majorHAnsi" w:cstheme="majorHAnsi"/>
                <w:sz w:val="20"/>
                <w:szCs w:val="20"/>
              </w:rPr>
            </w:pPr>
          </w:p>
          <w:p w:rsidR="00302459" w:rsidRPr="00743A41" w:rsidRDefault="00302459" w:rsidP="00A37ED6">
            <w:pPr>
              <w:ind w:right="-20"/>
              <w:rPr>
                <w:rFonts w:asciiTheme="majorHAnsi" w:hAnsiTheme="majorHAnsi" w:cstheme="majorHAnsi"/>
                <w:sz w:val="20"/>
                <w:szCs w:val="20"/>
              </w:rPr>
            </w:pPr>
          </w:p>
          <w:p w:rsidR="00302459" w:rsidRPr="00743A41" w:rsidRDefault="00302459" w:rsidP="00A37ED6">
            <w:pPr>
              <w:ind w:right="-20"/>
              <w:rPr>
                <w:rFonts w:asciiTheme="majorHAnsi" w:hAnsiTheme="majorHAnsi" w:cstheme="majorHAnsi"/>
                <w:sz w:val="20"/>
                <w:szCs w:val="20"/>
              </w:rPr>
            </w:pPr>
          </w:p>
          <w:p w:rsidR="00302459" w:rsidRPr="00743A41" w:rsidRDefault="00302459" w:rsidP="00A37ED6">
            <w:pPr>
              <w:ind w:right="-20"/>
              <w:rPr>
                <w:rFonts w:asciiTheme="majorHAnsi" w:hAnsiTheme="majorHAnsi" w:cstheme="majorHAnsi"/>
                <w:sz w:val="20"/>
                <w:szCs w:val="20"/>
              </w:rPr>
            </w:pPr>
          </w:p>
          <w:p w:rsidR="00302459" w:rsidRPr="00743A41" w:rsidRDefault="00302459" w:rsidP="00A37ED6">
            <w:pPr>
              <w:ind w:right="-20"/>
              <w:rPr>
                <w:rFonts w:asciiTheme="majorHAnsi" w:hAnsiTheme="majorHAnsi" w:cstheme="majorHAnsi"/>
                <w:sz w:val="20"/>
                <w:szCs w:val="20"/>
              </w:rPr>
            </w:pPr>
            <w:r w:rsidRPr="00743A41">
              <w:rPr>
                <w:rFonts w:asciiTheme="majorHAnsi" w:hAnsiTheme="majorHAnsi" w:cstheme="majorHAnsi"/>
                <w:sz w:val="20"/>
                <w:szCs w:val="20"/>
              </w:rPr>
              <w:t>George Delclos, MD, PhD, Professor, Department of Epidemiology, Human Genetics and Environmental Sciences</w:t>
            </w:r>
          </w:p>
          <w:p w:rsidR="00302459" w:rsidRPr="00743A41" w:rsidRDefault="00302459" w:rsidP="00A37ED6">
            <w:pPr>
              <w:ind w:right="-20"/>
              <w:rPr>
                <w:rFonts w:asciiTheme="majorHAnsi" w:hAnsiTheme="majorHAnsi" w:cstheme="majorHAnsi"/>
                <w:sz w:val="20"/>
                <w:szCs w:val="20"/>
              </w:rPr>
            </w:pPr>
          </w:p>
          <w:p w:rsidR="00302459" w:rsidRPr="00743A41" w:rsidRDefault="00302459" w:rsidP="00A37ED6">
            <w:pPr>
              <w:ind w:right="-20"/>
              <w:rPr>
                <w:rFonts w:asciiTheme="majorHAnsi" w:hAnsiTheme="majorHAnsi" w:cstheme="majorHAnsi"/>
                <w:sz w:val="20"/>
                <w:szCs w:val="20"/>
              </w:rPr>
            </w:pPr>
            <w:r w:rsidRPr="00743A41">
              <w:rPr>
                <w:rFonts w:asciiTheme="majorHAnsi" w:hAnsiTheme="majorHAnsi" w:cstheme="majorHAnsi"/>
                <w:sz w:val="20"/>
                <w:szCs w:val="20"/>
              </w:rPr>
              <w:t>Ralph Frankowski, PhD, Professor Emeritus, Department of Biostatistics and Data Science</w:t>
            </w:r>
          </w:p>
        </w:tc>
        <w:tc>
          <w:tcPr>
            <w:tcW w:w="3225" w:type="dxa"/>
            <w:shd w:val="clear" w:color="auto" w:fill="D9D9D9" w:themeFill="background1" w:themeFillShade="D9"/>
            <w:tcMar>
              <w:top w:w="0" w:type="dxa"/>
              <w:left w:w="108" w:type="dxa"/>
              <w:bottom w:w="0" w:type="dxa"/>
              <w:right w:w="108" w:type="dxa"/>
            </w:tcMar>
          </w:tcPr>
          <w:p w:rsidR="00302459" w:rsidRPr="00743A41" w:rsidRDefault="00302459" w:rsidP="00A37ED6">
            <w:pPr>
              <w:ind w:right="-20"/>
              <w:rPr>
                <w:rFonts w:asciiTheme="majorHAnsi" w:hAnsiTheme="majorHAnsi" w:cstheme="majorHAnsi"/>
                <w:i/>
                <w:sz w:val="20"/>
                <w:szCs w:val="20"/>
              </w:rPr>
            </w:pPr>
            <w:r w:rsidRPr="00743A41">
              <w:rPr>
                <w:rFonts w:asciiTheme="majorHAnsi" w:hAnsiTheme="majorHAnsi" w:cstheme="majorHAnsi"/>
                <w:sz w:val="20"/>
                <w:szCs w:val="20"/>
              </w:rPr>
              <w:t xml:space="preserve">Reviews human </w:t>
            </w:r>
            <w:r w:rsidR="00BD1D83" w:rsidRPr="00743A41">
              <w:rPr>
                <w:rFonts w:asciiTheme="majorHAnsi" w:hAnsiTheme="majorHAnsi" w:cstheme="majorHAnsi"/>
                <w:sz w:val="20"/>
                <w:szCs w:val="20"/>
              </w:rPr>
              <w:t>subject’s</w:t>
            </w:r>
            <w:r w:rsidRPr="00743A41">
              <w:rPr>
                <w:rFonts w:asciiTheme="majorHAnsi" w:hAnsiTheme="majorHAnsi" w:cstheme="majorHAnsi"/>
                <w:sz w:val="20"/>
                <w:szCs w:val="20"/>
              </w:rPr>
              <w:t xml:space="preserve"> research. </w:t>
            </w:r>
          </w:p>
        </w:tc>
      </w:tr>
      <w:tr w:rsidR="00302459" w:rsidRPr="00743A41" w:rsidTr="006E28EE">
        <w:trPr>
          <w:cantSplit/>
          <w:trHeight w:val="860"/>
        </w:trPr>
        <w:tc>
          <w:tcPr>
            <w:tcW w:w="2358" w:type="dxa"/>
            <w:shd w:val="clear" w:color="auto" w:fill="auto"/>
            <w:tcMar>
              <w:top w:w="0" w:type="dxa"/>
              <w:left w:w="108" w:type="dxa"/>
              <w:bottom w:w="0" w:type="dxa"/>
              <w:right w:w="108" w:type="dxa"/>
            </w:tcMar>
            <w:hideMark/>
          </w:tcPr>
          <w:p w:rsidR="00302459" w:rsidRPr="00743A41" w:rsidRDefault="00302459" w:rsidP="00A37ED6">
            <w:pPr>
              <w:ind w:left="65" w:right="-20"/>
              <w:rPr>
                <w:rFonts w:asciiTheme="majorHAnsi" w:hAnsiTheme="majorHAnsi" w:cstheme="majorHAnsi"/>
                <w:sz w:val="20"/>
                <w:szCs w:val="20"/>
              </w:rPr>
            </w:pPr>
            <w:r w:rsidRPr="00743A41">
              <w:rPr>
                <w:rFonts w:asciiTheme="majorHAnsi" w:hAnsiTheme="majorHAnsi" w:cstheme="majorHAnsi"/>
                <w:sz w:val="20"/>
                <w:szCs w:val="20"/>
              </w:rPr>
              <w:t>Interfaculty Council</w:t>
            </w:r>
          </w:p>
          <w:p w:rsidR="00302459" w:rsidRPr="00743A41" w:rsidRDefault="00302459" w:rsidP="00A37ED6">
            <w:pPr>
              <w:ind w:left="65" w:right="-20"/>
              <w:rPr>
                <w:rFonts w:asciiTheme="majorHAnsi" w:hAnsiTheme="majorHAnsi" w:cstheme="majorHAnsi"/>
                <w:sz w:val="20"/>
                <w:szCs w:val="20"/>
              </w:rPr>
            </w:pPr>
          </w:p>
          <w:p w:rsidR="00302459" w:rsidRPr="00743A41" w:rsidRDefault="00302459" w:rsidP="00A37ED6">
            <w:pPr>
              <w:ind w:left="65" w:right="-20"/>
              <w:rPr>
                <w:rFonts w:asciiTheme="majorHAnsi" w:hAnsiTheme="majorHAnsi" w:cstheme="majorHAnsi"/>
                <w:sz w:val="20"/>
                <w:szCs w:val="20"/>
              </w:rPr>
            </w:pPr>
            <w:r w:rsidRPr="00743A41">
              <w:rPr>
                <w:rFonts w:asciiTheme="majorHAnsi" w:hAnsiTheme="majorHAnsi" w:cstheme="majorHAnsi"/>
                <w:sz w:val="20"/>
                <w:szCs w:val="20"/>
              </w:rPr>
              <w:t xml:space="preserve">Subcommittees: </w:t>
            </w:r>
          </w:p>
          <w:p w:rsidR="00302459" w:rsidRPr="00743A41" w:rsidRDefault="00302459" w:rsidP="00A37ED6">
            <w:pPr>
              <w:pStyle w:val="ListParagraph"/>
              <w:numPr>
                <w:ilvl w:val="0"/>
                <w:numId w:val="64"/>
              </w:numPr>
              <w:ind w:left="420" w:right="-20" w:hanging="180"/>
              <w:contextualSpacing/>
              <w:rPr>
                <w:rFonts w:asciiTheme="majorHAnsi" w:hAnsiTheme="majorHAnsi" w:cstheme="majorHAnsi"/>
                <w:szCs w:val="20"/>
              </w:rPr>
            </w:pPr>
            <w:r w:rsidRPr="00743A41">
              <w:rPr>
                <w:rFonts w:asciiTheme="majorHAnsi" w:hAnsiTheme="majorHAnsi" w:cstheme="majorHAnsi"/>
                <w:szCs w:val="20"/>
              </w:rPr>
              <w:t>Administrative Affairs</w:t>
            </w:r>
          </w:p>
          <w:p w:rsidR="00302459" w:rsidRPr="00743A41" w:rsidRDefault="00302459" w:rsidP="00A37ED6">
            <w:pPr>
              <w:pStyle w:val="ListParagraph"/>
              <w:numPr>
                <w:ilvl w:val="0"/>
                <w:numId w:val="64"/>
              </w:numPr>
              <w:ind w:left="420" w:right="-20" w:hanging="180"/>
              <w:contextualSpacing/>
              <w:rPr>
                <w:rFonts w:asciiTheme="majorHAnsi" w:hAnsiTheme="majorHAnsi" w:cstheme="majorHAnsi"/>
                <w:szCs w:val="20"/>
              </w:rPr>
            </w:pPr>
            <w:r w:rsidRPr="00743A41">
              <w:rPr>
                <w:rFonts w:asciiTheme="majorHAnsi" w:hAnsiTheme="majorHAnsi" w:cstheme="majorHAnsi"/>
                <w:szCs w:val="20"/>
              </w:rPr>
              <w:t>Faculty Status, Rights and Responsibilities</w:t>
            </w:r>
          </w:p>
          <w:p w:rsidR="00302459" w:rsidRPr="00743A41" w:rsidRDefault="00302459" w:rsidP="00A37ED6">
            <w:pPr>
              <w:pStyle w:val="ListParagraph"/>
              <w:numPr>
                <w:ilvl w:val="0"/>
                <w:numId w:val="64"/>
              </w:numPr>
              <w:ind w:left="420" w:right="-20" w:hanging="180"/>
              <w:contextualSpacing/>
              <w:rPr>
                <w:rFonts w:asciiTheme="majorHAnsi" w:hAnsiTheme="majorHAnsi" w:cstheme="majorHAnsi"/>
                <w:szCs w:val="20"/>
              </w:rPr>
            </w:pPr>
            <w:r w:rsidRPr="00743A41">
              <w:rPr>
                <w:rFonts w:asciiTheme="majorHAnsi" w:hAnsiTheme="majorHAnsi" w:cstheme="majorHAnsi"/>
                <w:szCs w:val="20"/>
              </w:rPr>
              <w:t>Governance and Academic Affairs</w:t>
            </w:r>
          </w:p>
        </w:tc>
        <w:tc>
          <w:tcPr>
            <w:tcW w:w="3042" w:type="dxa"/>
            <w:shd w:val="clear" w:color="auto" w:fill="auto"/>
            <w:tcMar>
              <w:top w:w="0" w:type="dxa"/>
              <w:left w:w="108" w:type="dxa"/>
              <w:bottom w:w="0" w:type="dxa"/>
              <w:right w:w="108" w:type="dxa"/>
            </w:tcMar>
            <w:hideMark/>
          </w:tcPr>
          <w:p w:rsidR="00302459" w:rsidRPr="00743A41" w:rsidRDefault="00302459" w:rsidP="00A37ED6">
            <w:pPr>
              <w:ind w:right="-69"/>
              <w:rPr>
                <w:rFonts w:asciiTheme="majorHAnsi" w:hAnsiTheme="majorHAnsi" w:cstheme="majorHAnsi"/>
                <w:sz w:val="20"/>
                <w:szCs w:val="20"/>
              </w:rPr>
            </w:pPr>
            <w:r w:rsidRPr="00743A41">
              <w:rPr>
                <w:rFonts w:asciiTheme="majorHAnsi" w:hAnsiTheme="majorHAnsi" w:cstheme="majorHAnsi"/>
                <w:sz w:val="20"/>
                <w:szCs w:val="20"/>
              </w:rPr>
              <w:t>Cecilia Ganduglia Cazaban, MD, DrPH, Assistant Professor, Department of Management, Policy and Community Health</w:t>
            </w:r>
          </w:p>
          <w:p w:rsidR="00302459" w:rsidRPr="00743A41" w:rsidRDefault="00302459" w:rsidP="00A37ED6">
            <w:pPr>
              <w:ind w:right="-69"/>
              <w:rPr>
                <w:rFonts w:asciiTheme="majorHAnsi" w:hAnsiTheme="majorHAnsi" w:cstheme="majorHAnsi"/>
                <w:sz w:val="20"/>
                <w:szCs w:val="20"/>
              </w:rPr>
            </w:pPr>
          </w:p>
          <w:p w:rsidR="00302459" w:rsidRPr="00743A41" w:rsidRDefault="00302459" w:rsidP="00A37ED6">
            <w:pPr>
              <w:ind w:right="-69"/>
              <w:rPr>
                <w:rFonts w:asciiTheme="majorHAnsi" w:hAnsiTheme="majorHAnsi" w:cstheme="majorHAnsi"/>
                <w:sz w:val="20"/>
                <w:szCs w:val="20"/>
              </w:rPr>
            </w:pPr>
            <w:r w:rsidRPr="00743A41">
              <w:rPr>
                <w:rFonts w:asciiTheme="majorHAnsi" w:hAnsiTheme="majorHAnsi" w:cstheme="majorHAnsi"/>
                <w:sz w:val="20"/>
                <w:szCs w:val="20"/>
              </w:rPr>
              <w:t>Craig Hanis, PhD, Professor, Department of Epidemiology, Human Genetics and Environmental Sciences</w:t>
            </w:r>
          </w:p>
          <w:p w:rsidR="00302459" w:rsidRPr="00743A41" w:rsidRDefault="00302459" w:rsidP="00A37ED6">
            <w:pPr>
              <w:ind w:right="-69"/>
              <w:rPr>
                <w:rFonts w:asciiTheme="majorHAnsi" w:hAnsiTheme="majorHAnsi" w:cstheme="majorHAnsi"/>
                <w:sz w:val="20"/>
                <w:szCs w:val="20"/>
              </w:rPr>
            </w:pPr>
          </w:p>
          <w:p w:rsidR="00302459" w:rsidRPr="00743A41" w:rsidRDefault="00302459" w:rsidP="00A37ED6">
            <w:pPr>
              <w:ind w:right="-69"/>
              <w:rPr>
                <w:rFonts w:asciiTheme="majorHAnsi" w:hAnsiTheme="majorHAnsi" w:cstheme="majorHAnsi"/>
                <w:sz w:val="20"/>
                <w:szCs w:val="20"/>
              </w:rPr>
            </w:pPr>
            <w:r w:rsidRPr="00743A41">
              <w:rPr>
                <w:rFonts w:asciiTheme="majorHAnsi" w:hAnsiTheme="majorHAnsi" w:cstheme="majorHAnsi"/>
                <w:sz w:val="20"/>
                <w:szCs w:val="20"/>
              </w:rPr>
              <w:t>Ross Shegog, PhD, Professor, Department of Health Promotion &amp; Behavioral Sciences</w:t>
            </w:r>
          </w:p>
          <w:p w:rsidR="00302459" w:rsidRPr="00743A41" w:rsidRDefault="00302459" w:rsidP="00A37ED6">
            <w:pPr>
              <w:ind w:right="-69"/>
              <w:rPr>
                <w:rFonts w:asciiTheme="majorHAnsi" w:hAnsiTheme="majorHAnsi" w:cstheme="majorHAnsi"/>
                <w:sz w:val="20"/>
                <w:szCs w:val="20"/>
              </w:rPr>
            </w:pPr>
          </w:p>
          <w:p w:rsidR="00302459" w:rsidRPr="00743A41" w:rsidRDefault="00302459" w:rsidP="00A37ED6">
            <w:pPr>
              <w:ind w:right="-69"/>
              <w:rPr>
                <w:rFonts w:asciiTheme="majorHAnsi" w:hAnsiTheme="majorHAnsi" w:cstheme="majorHAnsi"/>
                <w:sz w:val="20"/>
                <w:szCs w:val="20"/>
              </w:rPr>
            </w:pPr>
            <w:r w:rsidRPr="00743A41">
              <w:rPr>
                <w:rFonts w:asciiTheme="majorHAnsi" w:hAnsiTheme="majorHAnsi" w:cstheme="majorHAnsi"/>
                <w:sz w:val="20"/>
                <w:szCs w:val="20"/>
              </w:rPr>
              <w:t>Michael Swartz, PhD, Associate Professor, Department of Biostatistics and Data Science</w:t>
            </w:r>
          </w:p>
        </w:tc>
        <w:tc>
          <w:tcPr>
            <w:tcW w:w="3225" w:type="dxa"/>
            <w:shd w:val="clear" w:color="auto" w:fill="auto"/>
            <w:tcMar>
              <w:top w:w="0" w:type="dxa"/>
              <w:left w:w="108" w:type="dxa"/>
              <w:bottom w:w="0" w:type="dxa"/>
              <w:right w:w="108" w:type="dxa"/>
            </w:tcMar>
            <w:hideMark/>
          </w:tcPr>
          <w:p w:rsidR="00302459" w:rsidRPr="00743A41" w:rsidRDefault="00302459" w:rsidP="00A37ED6">
            <w:pPr>
              <w:ind w:right="-18"/>
              <w:rPr>
                <w:rFonts w:asciiTheme="majorHAnsi" w:hAnsiTheme="majorHAnsi" w:cstheme="majorHAnsi"/>
                <w:sz w:val="20"/>
                <w:szCs w:val="20"/>
              </w:rPr>
            </w:pPr>
            <w:r w:rsidRPr="00743A41">
              <w:rPr>
                <w:rFonts w:asciiTheme="majorHAnsi" w:hAnsiTheme="majorHAnsi" w:cstheme="majorHAnsi"/>
                <w:color w:val="000000"/>
                <w:sz w:val="20"/>
                <w:szCs w:val="20"/>
              </w:rPr>
              <w:t>The representative body of the faculty of all the schools to the President, which acts in an advisory capacity to the President on issues related to faculty governance and academic affairs; faculty status, rights, and responsibilities; as well as administrative affairs.</w:t>
            </w:r>
          </w:p>
        </w:tc>
      </w:tr>
      <w:tr w:rsidR="00302459" w:rsidRPr="00743A41" w:rsidTr="006E28EE">
        <w:trPr>
          <w:cantSplit/>
          <w:trHeight w:val="420"/>
        </w:trPr>
        <w:tc>
          <w:tcPr>
            <w:tcW w:w="2358" w:type="dxa"/>
            <w:shd w:val="clear" w:color="auto" w:fill="D9D9D9" w:themeFill="background1" w:themeFillShade="D9"/>
            <w:tcMar>
              <w:top w:w="0" w:type="dxa"/>
              <w:left w:w="108" w:type="dxa"/>
              <w:bottom w:w="0" w:type="dxa"/>
              <w:right w:w="108" w:type="dxa"/>
            </w:tcMar>
            <w:hideMark/>
          </w:tcPr>
          <w:p w:rsidR="00302459" w:rsidRPr="00743A41" w:rsidRDefault="00302459" w:rsidP="00A37ED6">
            <w:pPr>
              <w:ind w:left="65" w:right="-20"/>
              <w:rPr>
                <w:rFonts w:asciiTheme="majorHAnsi" w:hAnsiTheme="majorHAnsi" w:cstheme="majorHAnsi"/>
                <w:sz w:val="20"/>
                <w:szCs w:val="20"/>
              </w:rPr>
            </w:pPr>
            <w:r w:rsidRPr="00743A41">
              <w:rPr>
                <w:rFonts w:asciiTheme="majorHAnsi" w:hAnsiTheme="majorHAnsi" w:cstheme="majorHAnsi"/>
                <w:sz w:val="20"/>
                <w:szCs w:val="20"/>
              </w:rPr>
              <w:t>Radiation Safety Committee</w:t>
            </w:r>
          </w:p>
          <w:p w:rsidR="00302459" w:rsidRPr="00743A41" w:rsidRDefault="00302459" w:rsidP="00A37ED6">
            <w:pPr>
              <w:ind w:left="65" w:right="-20"/>
              <w:rPr>
                <w:rFonts w:asciiTheme="majorHAnsi" w:hAnsiTheme="majorHAnsi" w:cstheme="majorHAnsi"/>
                <w:sz w:val="20"/>
                <w:szCs w:val="20"/>
              </w:rPr>
            </w:pPr>
            <w:r w:rsidRPr="00743A41">
              <w:rPr>
                <w:rFonts w:asciiTheme="majorHAnsi" w:hAnsiTheme="majorHAnsi" w:cstheme="majorHAnsi"/>
                <w:sz w:val="20"/>
                <w:szCs w:val="20"/>
              </w:rPr>
              <w:t>(subcommittee of Safety Council)</w:t>
            </w:r>
          </w:p>
        </w:tc>
        <w:tc>
          <w:tcPr>
            <w:tcW w:w="3042" w:type="dxa"/>
            <w:shd w:val="clear" w:color="auto" w:fill="D9D9D9" w:themeFill="background1" w:themeFillShade="D9"/>
            <w:tcMar>
              <w:top w:w="0" w:type="dxa"/>
              <w:left w:w="108" w:type="dxa"/>
              <w:bottom w:w="0" w:type="dxa"/>
              <w:right w:w="108" w:type="dxa"/>
            </w:tcMar>
            <w:hideMark/>
          </w:tcPr>
          <w:p w:rsidR="00302459" w:rsidRPr="00743A41" w:rsidRDefault="00302459" w:rsidP="00A37ED6">
            <w:pPr>
              <w:ind w:right="-20"/>
              <w:rPr>
                <w:rFonts w:asciiTheme="majorHAnsi" w:hAnsiTheme="majorHAnsi" w:cstheme="majorHAnsi"/>
                <w:sz w:val="20"/>
                <w:szCs w:val="20"/>
              </w:rPr>
            </w:pPr>
            <w:r w:rsidRPr="00743A41">
              <w:rPr>
                <w:rFonts w:asciiTheme="majorHAnsi" w:hAnsiTheme="majorHAnsi" w:cstheme="majorHAnsi"/>
                <w:sz w:val="20"/>
                <w:szCs w:val="20"/>
              </w:rPr>
              <w:t>Robert Emery, DrPH, Professor, Vice President for Safety, Health, Environment &amp; Risk Management, Department of Epidemiology, Human Genetics and Environmental Sciences</w:t>
            </w:r>
          </w:p>
        </w:tc>
        <w:tc>
          <w:tcPr>
            <w:tcW w:w="3225" w:type="dxa"/>
            <w:shd w:val="clear" w:color="auto" w:fill="D9D9D9" w:themeFill="background1" w:themeFillShade="D9"/>
            <w:tcMar>
              <w:top w:w="0" w:type="dxa"/>
              <w:left w:w="108" w:type="dxa"/>
              <w:bottom w:w="0" w:type="dxa"/>
              <w:right w:w="108" w:type="dxa"/>
            </w:tcMar>
            <w:hideMark/>
          </w:tcPr>
          <w:p w:rsidR="00302459" w:rsidRPr="00743A41" w:rsidRDefault="00302459" w:rsidP="00A37ED6">
            <w:pPr>
              <w:spacing w:before="100" w:beforeAutospacing="1" w:after="100" w:afterAutospacing="1"/>
              <w:rPr>
                <w:rFonts w:asciiTheme="majorHAnsi" w:hAnsiTheme="majorHAnsi" w:cstheme="majorHAnsi"/>
                <w:sz w:val="20"/>
                <w:szCs w:val="20"/>
              </w:rPr>
            </w:pPr>
            <w:r w:rsidRPr="00743A41">
              <w:rPr>
                <w:rFonts w:asciiTheme="majorHAnsi" w:hAnsiTheme="majorHAnsi" w:cstheme="majorHAnsi"/>
                <w:sz w:val="20"/>
                <w:szCs w:val="20"/>
              </w:rPr>
              <w:t>Formulates and recommends policy and monitors the use of radioactive materials and other sources of radiation.</w:t>
            </w:r>
          </w:p>
          <w:p w:rsidR="00302459" w:rsidRPr="00743A41" w:rsidRDefault="00302459" w:rsidP="00A37ED6">
            <w:pPr>
              <w:spacing w:before="100" w:beforeAutospacing="1" w:after="100" w:afterAutospacing="1"/>
              <w:contextualSpacing/>
              <w:rPr>
                <w:rFonts w:asciiTheme="majorHAnsi" w:hAnsiTheme="majorHAnsi" w:cstheme="majorHAnsi"/>
                <w:sz w:val="20"/>
                <w:szCs w:val="20"/>
              </w:rPr>
            </w:pPr>
          </w:p>
        </w:tc>
      </w:tr>
      <w:tr w:rsidR="00302459" w:rsidRPr="00743A41" w:rsidTr="006E28EE">
        <w:trPr>
          <w:cantSplit/>
          <w:trHeight w:val="420"/>
        </w:trPr>
        <w:tc>
          <w:tcPr>
            <w:tcW w:w="2358" w:type="dxa"/>
            <w:shd w:val="clear" w:color="auto" w:fill="auto"/>
            <w:tcMar>
              <w:top w:w="0" w:type="dxa"/>
              <w:left w:w="108" w:type="dxa"/>
              <w:bottom w:w="0" w:type="dxa"/>
              <w:right w:w="108" w:type="dxa"/>
            </w:tcMar>
            <w:hideMark/>
          </w:tcPr>
          <w:p w:rsidR="00302459" w:rsidRPr="00743A41" w:rsidRDefault="00302459" w:rsidP="00A37ED6">
            <w:pPr>
              <w:ind w:left="65" w:right="-20"/>
              <w:rPr>
                <w:rFonts w:asciiTheme="majorHAnsi" w:hAnsiTheme="majorHAnsi" w:cstheme="majorHAnsi"/>
                <w:sz w:val="20"/>
                <w:szCs w:val="20"/>
              </w:rPr>
            </w:pPr>
            <w:r w:rsidRPr="00743A41">
              <w:rPr>
                <w:rFonts w:asciiTheme="majorHAnsi" w:hAnsiTheme="majorHAnsi" w:cstheme="majorHAnsi"/>
                <w:sz w:val="20"/>
                <w:szCs w:val="20"/>
              </w:rPr>
              <w:t>Research Conflict of Interest Committee</w:t>
            </w:r>
          </w:p>
        </w:tc>
        <w:tc>
          <w:tcPr>
            <w:tcW w:w="3042" w:type="dxa"/>
            <w:shd w:val="clear" w:color="auto" w:fill="auto"/>
            <w:tcMar>
              <w:top w:w="0" w:type="dxa"/>
              <w:left w:w="108" w:type="dxa"/>
              <w:bottom w:w="0" w:type="dxa"/>
              <w:right w:w="108" w:type="dxa"/>
            </w:tcMar>
            <w:hideMark/>
          </w:tcPr>
          <w:p w:rsidR="00302459" w:rsidRPr="00743A41" w:rsidRDefault="00302459" w:rsidP="00A37ED6">
            <w:pPr>
              <w:ind w:right="111"/>
              <w:rPr>
                <w:rFonts w:asciiTheme="majorHAnsi" w:hAnsiTheme="majorHAnsi" w:cstheme="majorHAnsi"/>
                <w:sz w:val="20"/>
                <w:szCs w:val="20"/>
              </w:rPr>
            </w:pPr>
            <w:r w:rsidRPr="00743A41">
              <w:rPr>
                <w:rFonts w:asciiTheme="majorHAnsi" w:hAnsiTheme="majorHAnsi" w:cstheme="majorHAnsi"/>
                <w:sz w:val="20"/>
                <w:szCs w:val="20"/>
              </w:rPr>
              <w:t>Melissa Peskin, PhD, Associate Professor, Department of Health Promotion &amp; Behavioral Sciences</w:t>
            </w:r>
          </w:p>
          <w:p w:rsidR="00302459" w:rsidRPr="00743A41" w:rsidRDefault="00302459" w:rsidP="00A37ED6">
            <w:pPr>
              <w:ind w:right="-20"/>
              <w:rPr>
                <w:rFonts w:asciiTheme="majorHAnsi" w:hAnsiTheme="majorHAnsi" w:cstheme="majorHAnsi"/>
                <w:sz w:val="20"/>
                <w:szCs w:val="20"/>
              </w:rPr>
            </w:pPr>
          </w:p>
          <w:p w:rsidR="00302459" w:rsidRPr="00743A41" w:rsidRDefault="00302459" w:rsidP="00A37ED6">
            <w:pPr>
              <w:ind w:right="-20"/>
              <w:rPr>
                <w:rFonts w:asciiTheme="majorHAnsi" w:hAnsiTheme="majorHAnsi" w:cstheme="majorHAnsi"/>
                <w:sz w:val="20"/>
                <w:szCs w:val="20"/>
              </w:rPr>
            </w:pPr>
            <w:r w:rsidRPr="00743A41">
              <w:rPr>
                <w:rFonts w:asciiTheme="majorHAnsi" w:hAnsiTheme="majorHAnsi" w:cstheme="majorHAnsi"/>
                <w:sz w:val="20"/>
                <w:szCs w:val="20"/>
              </w:rPr>
              <w:t>Linda Piller, MD, Associate Professor, Department of Epidemiology, Human Genetics and Environmental Sciences</w:t>
            </w:r>
          </w:p>
          <w:p w:rsidR="00302459" w:rsidRPr="00743A41" w:rsidRDefault="00302459" w:rsidP="00A37ED6">
            <w:pPr>
              <w:ind w:right="-20"/>
              <w:rPr>
                <w:rFonts w:asciiTheme="majorHAnsi" w:hAnsiTheme="majorHAnsi" w:cstheme="majorHAnsi"/>
                <w:sz w:val="20"/>
                <w:szCs w:val="20"/>
              </w:rPr>
            </w:pPr>
          </w:p>
        </w:tc>
        <w:tc>
          <w:tcPr>
            <w:tcW w:w="3225" w:type="dxa"/>
            <w:shd w:val="clear" w:color="auto" w:fill="auto"/>
            <w:tcMar>
              <w:top w:w="0" w:type="dxa"/>
              <w:left w:w="108" w:type="dxa"/>
              <w:bottom w:w="0" w:type="dxa"/>
              <w:right w:w="108" w:type="dxa"/>
            </w:tcMar>
          </w:tcPr>
          <w:p w:rsidR="00302459" w:rsidRPr="00743A41" w:rsidRDefault="00302459" w:rsidP="00A37ED6">
            <w:pPr>
              <w:ind w:right="-20"/>
              <w:contextualSpacing/>
              <w:rPr>
                <w:rFonts w:asciiTheme="majorHAnsi" w:hAnsiTheme="majorHAnsi" w:cstheme="majorHAnsi"/>
                <w:sz w:val="20"/>
                <w:szCs w:val="20"/>
              </w:rPr>
            </w:pPr>
            <w:r w:rsidRPr="00743A41">
              <w:rPr>
                <w:rFonts w:asciiTheme="majorHAnsi" w:hAnsiTheme="majorHAnsi" w:cstheme="majorHAnsi"/>
                <w:sz w:val="20"/>
                <w:szCs w:val="20"/>
              </w:rPr>
              <w:t>Advises the Executive Vice President and Chief Academic Officer regarding policies and procedures; recommends policies and procedures to address research-related conflicts of interest and commitment within the institution; reviews Research Conflict of Interest Disclosures; recommends management strategies; and oversees and monitors management plans.</w:t>
            </w:r>
          </w:p>
        </w:tc>
      </w:tr>
      <w:tr w:rsidR="00302459" w:rsidRPr="00743A41" w:rsidTr="006E28EE">
        <w:trPr>
          <w:cantSplit/>
          <w:trHeight w:val="521"/>
        </w:trPr>
        <w:tc>
          <w:tcPr>
            <w:tcW w:w="2358" w:type="dxa"/>
            <w:shd w:val="clear" w:color="auto" w:fill="D9D9D9" w:themeFill="background1" w:themeFillShade="D9"/>
            <w:tcMar>
              <w:top w:w="0" w:type="dxa"/>
              <w:left w:w="108" w:type="dxa"/>
              <w:bottom w:w="0" w:type="dxa"/>
              <w:right w:w="108" w:type="dxa"/>
            </w:tcMar>
          </w:tcPr>
          <w:p w:rsidR="00302459" w:rsidRPr="00743A41" w:rsidRDefault="00302459" w:rsidP="00A37ED6">
            <w:pPr>
              <w:ind w:left="65" w:right="-20"/>
              <w:rPr>
                <w:rFonts w:asciiTheme="majorHAnsi" w:hAnsiTheme="majorHAnsi" w:cstheme="majorHAnsi"/>
                <w:sz w:val="20"/>
                <w:szCs w:val="20"/>
              </w:rPr>
            </w:pPr>
            <w:r w:rsidRPr="00743A41">
              <w:rPr>
                <w:rFonts w:asciiTheme="majorHAnsi" w:hAnsiTheme="majorHAnsi" w:cstheme="majorHAnsi"/>
                <w:sz w:val="20"/>
                <w:szCs w:val="20"/>
              </w:rPr>
              <w:t>Safety Council</w:t>
            </w:r>
          </w:p>
          <w:p w:rsidR="00302459" w:rsidRPr="00743A41" w:rsidRDefault="00302459" w:rsidP="00A37ED6">
            <w:pPr>
              <w:ind w:left="65" w:right="-20"/>
              <w:rPr>
                <w:rFonts w:asciiTheme="majorHAnsi" w:hAnsiTheme="majorHAnsi" w:cstheme="majorHAnsi"/>
                <w:sz w:val="20"/>
                <w:szCs w:val="20"/>
              </w:rPr>
            </w:pPr>
          </w:p>
          <w:p w:rsidR="00302459" w:rsidRPr="00743A41" w:rsidRDefault="00302459" w:rsidP="00A37ED6">
            <w:pPr>
              <w:ind w:left="65" w:right="-20"/>
              <w:rPr>
                <w:rFonts w:asciiTheme="majorHAnsi" w:hAnsiTheme="majorHAnsi" w:cstheme="majorHAnsi"/>
                <w:sz w:val="20"/>
                <w:szCs w:val="20"/>
              </w:rPr>
            </w:pPr>
            <w:r w:rsidRPr="00743A41">
              <w:rPr>
                <w:rFonts w:asciiTheme="majorHAnsi" w:hAnsiTheme="majorHAnsi" w:cstheme="majorHAnsi"/>
                <w:sz w:val="20"/>
                <w:szCs w:val="20"/>
              </w:rPr>
              <w:t xml:space="preserve">Subcommittees: </w:t>
            </w:r>
          </w:p>
          <w:p w:rsidR="00302459" w:rsidRPr="00743A41" w:rsidRDefault="00302459" w:rsidP="00A37ED6">
            <w:pPr>
              <w:pStyle w:val="ListParagraph"/>
              <w:numPr>
                <w:ilvl w:val="0"/>
                <w:numId w:val="64"/>
              </w:numPr>
              <w:ind w:left="420" w:right="-20" w:hanging="180"/>
              <w:contextualSpacing/>
              <w:rPr>
                <w:rFonts w:asciiTheme="majorHAnsi" w:hAnsiTheme="majorHAnsi" w:cstheme="majorHAnsi"/>
                <w:szCs w:val="20"/>
              </w:rPr>
            </w:pPr>
            <w:r w:rsidRPr="00743A41">
              <w:rPr>
                <w:rFonts w:asciiTheme="majorHAnsi" w:hAnsiTheme="majorHAnsi" w:cstheme="majorHAnsi"/>
                <w:szCs w:val="20"/>
              </w:rPr>
              <w:t>Chemical</w:t>
            </w:r>
          </w:p>
          <w:p w:rsidR="00302459" w:rsidRPr="00743A41" w:rsidRDefault="00302459" w:rsidP="00A37ED6">
            <w:pPr>
              <w:pStyle w:val="ListParagraph"/>
              <w:numPr>
                <w:ilvl w:val="0"/>
                <w:numId w:val="64"/>
              </w:numPr>
              <w:ind w:left="420" w:right="-20" w:hanging="180"/>
              <w:contextualSpacing/>
              <w:rPr>
                <w:rFonts w:asciiTheme="majorHAnsi" w:hAnsiTheme="majorHAnsi" w:cstheme="majorHAnsi"/>
                <w:szCs w:val="20"/>
              </w:rPr>
            </w:pPr>
            <w:r w:rsidRPr="00743A41">
              <w:rPr>
                <w:rFonts w:asciiTheme="majorHAnsi" w:hAnsiTheme="majorHAnsi" w:cstheme="majorHAnsi"/>
                <w:szCs w:val="20"/>
              </w:rPr>
              <w:t>Institutional Biosafety</w:t>
            </w:r>
          </w:p>
          <w:p w:rsidR="00302459" w:rsidRPr="00743A41" w:rsidRDefault="00302459" w:rsidP="00A37ED6">
            <w:pPr>
              <w:pStyle w:val="ListParagraph"/>
              <w:numPr>
                <w:ilvl w:val="0"/>
                <w:numId w:val="64"/>
              </w:numPr>
              <w:ind w:left="420" w:right="-20" w:hanging="180"/>
              <w:contextualSpacing/>
              <w:rPr>
                <w:rFonts w:asciiTheme="majorHAnsi" w:hAnsiTheme="majorHAnsi" w:cstheme="majorHAnsi"/>
                <w:szCs w:val="20"/>
              </w:rPr>
            </w:pPr>
            <w:r w:rsidRPr="00743A41">
              <w:rPr>
                <w:rFonts w:asciiTheme="majorHAnsi" w:hAnsiTheme="majorHAnsi" w:cstheme="majorHAnsi"/>
                <w:szCs w:val="20"/>
              </w:rPr>
              <w:t>Radiation</w:t>
            </w:r>
          </w:p>
        </w:tc>
        <w:tc>
          <w:tcPr>
            <w:tcW w:w="3042" w:type="dxa"/>
            <w:shd w:val="clear" w:color="auto" w:fill="D9D9D9" w:themeFill="background1" w:themeFillShade="D9"/>
            <w:tcMar>
              <w:top w:w="0" w:type="dxa"/>
              <w:left w:w="108" w:type="dxa"/>
              <w:bottom w:w="0" w:type="dxa"/>
              <w:right w:w="108" w:type="dxa"/>
            </w:tcMar>
          </w:tcPr>
          <w:p w:rsidR="00302459" w:rsidRPr="00743A41" w:rsidRDefault="00302459" w:rsidP="00A37ED6">
            <w:pPr>
              <w:ind w:right="-20"/>
              <w:rPr>
                <w:rFonts w:asciiTheme="majorHAnsi" w:hAnsiTheme="majorHAnsi" w:cstheme="majorHAnsi"/>
                <w:sz w:val="20"/>
                <w:szCs w:val="20"/>
              </w:rPr>
            </w:pPr>
            <w:r w:rsidRPr="00743A41">
              <w:rPr>
                <w:rFonts w:asciiTheme="majorHAnsi" w:hAnsiTheme="majorHAnsi" w:cstheme="majorHAnsi"/>
                <w:sz w:val="20"/>
                <w:szCs w:val="20"/>
              </w:rPr>
              <w:t>Robert Emery, DrPH, Professor, Vice President for Safety, Health, Environment &amp; Risk Management, Department of Epidemiology, Human Genetics and Environmental Sciences</w:t>
            </w:r>
          </w:p>
          <w:p w:rsidR="00302459" w:rsidRPr="00743A41" w:rsidRDefault="00302459" w:rsidP="00A37ED6">
            <w:pPr>
              <w:ind w:right="-20"/>
              <w:rPr>
                <w:rFonts w:asciiTheme="majorHAnsi" w:hAnsiTheme="majorHAnsi" w:cstheme="majorHAnsi"/>
                <w:sz w:val="20"/>
                <w:szCs w:val="20"/>
              </w:rPr>
            </w:pPr>
          </w:p>
          <w:p w:rsidR="00302459" w:rsidRPr="00743A41" w:rsidRDefault="00302459" w:rsidP="00A37ED6">
            <w:pPr>
              <w:ind w:right="-20"/>
              <w:rPr>
                <w:rFonts w:asciiTheme="majorHAnsi" w:hAnsiTheme="majorHAnsi" w:cstheme="majorHAnsi"/>
                <w:sz w:val="20"/>
                <w:szCs w:val="20"/>
              </w:rPr>
            </w:pPr>
            <w:r w:rsidRPr="00743A41">
              <w:rPr>
                <w:rFonts w:asciiTheme="majorHAnsi" w:hAnsiTheme="majorHAnsi" w:cstheme="majorHAnsi"/>
                <w:sz w:val="20"/>
                <w:szCs w:val="20"/>
              </w:rPr>
              <w:t>George Delclos, MD, PhD, Professor, Department of Epidemiology, Human Genetics and Environmental Sciences</w:t>
            </w:r>
          </w:p>
          <w:p w:rsidR="00302459" w:rsidRPr="00743A41" w:rsidRDefault="00302459" w:rsidP="00A37ED6">
            <w:pPr>
              <w:ind w:right="-20"/>
              <w:rPr>
                <w:rFonts w:asciiTheme="majorHAnsi" w:hAnsiTheme="majorHAnsi" w:cstheme="majorHAnsi"/>
                <w:sz w:val="20"/>
                <w:szCs w:val="20"/>
              </w:rPr>
            </w:pPr>
          </w:p>
        </w:tc>
        <w:tc>
          <w:tcPr>
            <w:tcW w:w="3225" w:type="dxa"/>
            <w:shd w:val="clear" w:color="auto" w:fill="D9D9D9" w:themeFill="background1" w:themeFillShade="D9"/>
            <w:tcMar>
              <w:top w:w="0" w:type="dxa"/>
              <w:left w:w="108" w:type="dxa"/>
              <w:bottom w:w="0" w:type="dxa"/>
              <w:right w:w="108" w:type="dxa"/>
            </w:tcMar>
            <w:hideMark/>
          </w:tcPr>
          <w:p w:rsidR="00302459" w:rsidRPr="00743A41" w:rsidRDefault="00302459" w:rsidP="00A37ED6">
            <w:pPr>
              <w:spacing w:before="100" w:beforeAutospacing="1" w:after="100" w:afterAutospacing="1"/>
              <w:rPr>
                <w:rFonts w:asciiTheme="majorHAnsi" w:hAnsiTheme="majorHAnsi" w:cstheme="majorHAnsi"/>
                <w:sz w:val="20"/>
                <w:szCs w:val="20"/>
              </w:rPr>
            </w:pPr>
            <w:r w:rsidRPr="00743A41">
              <w:rPr>
                <w:rFonts w:asciiTheme="majorHAnsi" w:hAnsiTheme="majorHAnsi" w:cstheme="majorHAnsi"/>
                <w:sz w:val="20"/>
                <w:szCs w:val="20"/>
              </w:rPr>
              <w:t>Reports to the University Executive Council to provide guidance and recommendations on safety, health, and security matters.</w:t>
            </w:r>
          </w:p>
        </w:tc>
      </w:tr>
      <w:tr w:rsidR="00302459" w:rsidRPr="00743A41" w:rsidTr="006E28EE">
        <w:trPr>
          <w:cantSplit/>
          <w:trHeight w:val="170"/>
        </w:trPr>
        <w:tc>
          <w:tcPr>
            <w:tcW w:w="2358" w:type="dxa"/>
            <w:shd w:val="clear" w:color="auto" w:fill="auto"/>
            <w:tcMar>
              <w:top w:w="0" w:type="dxa"/>
              <w:left w:w="108" w:type="dxa"/>
              <w:bottom w:w="0" w:type="dxa"/>
              <w:right w:w="108" w:type="dxa"/>
            </w:tcMar>
            <w:hideMark/>
          </w:tcPr>
          <w:p w:rsidR="00302459" w:rsidRPr="00743A41" w:rsidRDefault="00302459" w:rsidP="00A37ED6">
            <w:pPr>
              <w:ind w:left="65" w:right="-20"/>
              <w:rPr>
                <w:rFonts w:asciiTheme="majorHAnsi" w:hAnsiTheme="majorHAnsi" w:cstheme="majorHAnsi"/>
                <w:sz w:val="20"/>
                <w:szCs w:val="20"/>
                <w:highlight w:val="yellow"/>
              </w:rPr>
            </w:pPr>
            <w:r w:rsidRPr="00743A41">
              <w:rPr>
                <w:rFonts w:asciiTheme="majorHAnsi" w:hAnsiTheme="majorHAnsi" w:cstheme="majorHAnsi"/>
                <w:sz w:val="20"/>
                <w:szCs w:val="20"/>
              </w:rPr>
              <w:t>Student Services Council</w:t>
            </w:r>
          </w:p>
        </w:tc>
        <w:tc>
          <w:tcPr>
            <w:tcW w:w="3042" w:type="dxa"/>
            <w:shd w:val="clear" w:color="auto" w:fill="auto"/>
            <w:tcMar>
              <w:top w:w="0" w:type="dxa"/>
              <w:left w:w="108" w:type="dxa"/>
              <w:bottom w:w="0" w:type="dxa"/>
              <w:right w:w="108" w:type="dxa"/>
            </w:tcMar>
            <w:hideMark/>
          </w:tcPr>
          <w:p w:rsidR="00302459" w:rsidRPr="00743A41" w:rsidRDefault="00302459" w:rsidP="00A37ED6">
            <w:pPr>
              <w:ind w:right="285"/>
              <w:rPr>
                <w:rFonts w:asciiTheme="majorHAnsi" w:hAnsiTheme="majorHAnsi" w:cstheme="majorHAnsi"/>
                <w:sz w:val="20"/>
                <w:szCs w:val="20"/>
              </w:rPr>
            </w:pPr>
            <w:r w:rsidRPr="00743A41">
              <w:rPr>
                <w:rFonts w:asciiTheme="majorHAnsi" w:hAnsiTheme="majorHAnsi" w:cstheme="majorHAnsi"/>
                <w:sz w:val="20"/>
                <w:szCs w:val="20"/>
              </w:rPr>
              <w:t>Susan Tortolero Emery, PhD, Senior Associate Dean of Academic Affairs and Research Services &amp; Professor, Department of Health Promotion &amp; Behavioral Sciences</w:t>
            </w:r>
          </w:p>
          <w:p w:rsidR="00302459" w:rsidRPr="00743A41" w:rsidRDefault="00302459" w:rsidP="00A37ED6">
            <w:pPr>
              <w:ind w:right="-20"/>
              <w:rPr>
                <w:rFonts w:asciiTheme="majorHAnsi" w:hAnsiTheme="majorHAnsi" w:cstheme="majorHAnsi"/>
                <w:sz w:val="20"/>
                <w:szCs w:val="20"/>
              </w:rPr>
            </w:pPr>
          </w:p>
          <w:p w:rsidR="00302459" w:rsidRPr="00743A41" w:rsidRDefault="00302459" w:rsidP="00A37ED6">
            <w:pPr>
              <w:ind w:right="-20"/>
              <w:rPr>
                <w:rFonts w:asciiTheme="majorHAnsi" w:hAnsiTheme="majorHAnsi" w:cstheme="majorHAnsi"/>
                <w:sz w:val="20"/>
                <w:szCs w:val="20"/>
              </w:rPr>
            </w:pPr>
            <w:r w:rsidRPr="00743A41">
              <w:rPr>
                <w:rFonts w:asciiTheme="majorHAnsi" w:hAnsiTheme="majorHAnsi" w:cstheme="majorHAnsi"/>
                <w:sz w:val="20"/>
                <w:szCs w:val="20"/>
              </w:rPr>
              <w:t xml:space="preserve">Mary Ann Smith, PhD, </w:t>
            </w:r>
          </w:p>
          <w:p w:rsidR="00302459" w:rsidRPr="00743A41" w:rsidRDefault="00302459" w:rsidP="00A37ED6">
            <w:pPr>
              <w:ind w:right="-20"/>
              <w:rPr>
                <w:rFonts w:asciiTheme="majorHAnsi" w:hAnsiTheme="majorHAnsi" w:cstheme="majorHAnsi"/>
                <w:sz w:val="20"/>
                <w:szCs w:val="20"/>
              </w:rPr>
            </w:pPr>
            <w:r w:rsidRPr="00743A41">
              <w:rPr>
                <w:rFonts w:asciiTheme="majorHAnsi" w:hAnsiTheme="majorHAnsi" w:cstheme="majorHAnsi"/>
                <w:sz w:val="20"/>
                <w:szCs w:val="20"/>
              </w:rPr>
              <w:t>Assistant Professor, Department of Environmental &amp; Occupational Health, &amp; Associate Dean for Student Affairs</w:t>
            </w:r>
          </w:p>
        </w:tc>
        <w:tc>
          <w:tcPr>
            <w:tcW w:w="3225" w:type="dxa"/>
            <w:shd w:val="clear" w:color="auto" w:fill="auto"/>
            <w:tcMar>
              <w:top w:w="0" w:type="dxa"/>
              <w:left w:w="108" w:type="dxa"/>
              <w:bottom w:w="0" w:type="dxa"/>
              <w:right w:w="108" w:type="dxa"/>
            </w:tcMar>
          </w:tcPr>
          <w:p w:rsidR="00302459" w:rsidRPr="00743A41" w:rsidRDefault="00302459" w:rsidP="00A37ED6">
            <w:pPr>
              <w:ind w:right="-18"/>
              <w:rPr>
                <w:rFonts w:asciiTheme="majorHAnsi" w:hAnsiTheme="majorHAnsi" w:cstheme="majorHAnsi"/>
                <w:sz w:val="20"/>
                <w:szCs w:val="20"/>
              </w:rPr>
            </w:pPr>
            <w:r w:rsidRPr="00743A41">
              <w:rPr>
                <w:rFonts w:asciiTheme="majorHAnsi" w:hAnsiTheme="majorHAnsi" w:cstheme="majorHAnsi"/>
                <w:sz w:val="20"/>
                <w:szCs w:val="20"/>
              </w:rPr>
              <w:t>Responsible for addressing student services issues that affect the six UTHealth schools.</w:t>
            </w:r>
          </w:p>
        </w:tc>
      </w:tr>
      <w:tr w:rsidR="00302459" w:rsidRPr="00743A41" w:rsidTr="006E28EE">
        <w:trPr>
          <w:cantSplit/>
          <w:trHeight w:val="170"/>
        </w:trPr>
        <w:tc>
          <w:tcPr>
            <w:tcW w:w="2358" w:type="dxa"/>
            <w:shd w:val="clear" w:color="auto" w:fill="D9D9D9" w:themeFill="background1" w:themeFillShade="D9"/>
            <w:tcMar>
              <w:top w:w="0" w:type="dxa"/>
              <w:left w:w="108" w:type="dxa"/>
              <w:bottom w:w="0" w:type="dxa"/>
              <w:right w:w="108" w:type="dxa"/>
            </w:tcMar>
            <w:hideMark/>
          </w:tcPr>
          <w:p w:rsidR="00302459" w:rsidRPr="00743A41" w:rsidRDefault="00302459" w:rsidP="00A37ED6">
            <w:pPr>
              <w:ind w:left="65" w:right="-20"/>
              <w:rPr>
                <w:rFonts w:asciiTheme="majorHAnsi" w:hAnsiTheme="majorHAnsi" w:cstheme="majorHAnsi"/>
                <w:sz w:val="20"/>
                <w:szCs w:val="20"/>
              </w:rPr>
            </w:pPr>
            <w:r w:rsidRPr="00743A41">
              <w:rPr>
                <w:rFonts w:asciiTheme="majorHAnsi" w:hAnsiTheme="majorHAnsi" w:cstheme="majorHAnsi"/>
                <w:sz w:val="20"/>
                <w:szCs w:val="20"/>
              </w:rPr>
              <w:t>University Appointment, Promotion and Tenure</w:t>
            </w:r>
          </w:p>
        </w:tc>
        <w:tc>
          <w:tcPr>
            <w:tcW w:w="3042" w:type="dxa"/>
            <w:shd w:val="clear" w:color="auto" w:fill="D9D9D9" w:themeFill="background1" w:themeFillShade="D9"/>
            <w:tcMar>
              <w:top w:w="0" w:type="dxa"/>
              <w:left w:w="108" w:type="dxa"/>
              <w:bottom w:w="0" w:type="dxa"/>
              <w:right w:w="108" w:type="dxa"/>
            </w:tcMar>
            <w:hideMark/>
          </w:tcPr>
          <w:p w:rsidR="00302459" w:rsidRPr="00743A41" w:rsidRDefault="00302459" w:rsidP="00A37ED6">
            <w:pPr>
              <w:ind w:right="225"/>
              <w:rPr>
                <w:rFonts w:asciiTheme="majorHAnsi" w:hAnsiTheme="majorHAnsi" w:cstheme="majorHAnsi"/>
                <w:sz w:val="20"/>
                <w:szCs w:val="20"/>
              </w:rPr>
            </w:pPr>
            <w:r w:rsidRPr="00743A41">
              <w:rPr>
                <w:rFonts w:asciiTheme="majorHAnsi" w:hAnsiTheme="majorHAnsi" w:cstheme="majorHAnsi"/>
                <w:sz w:val="20"/>
                <w:szCs w:val="20"/>
              </w:rPr>
              <w:t xml:space="preserve">Eric Boerwinkle, PhD, Dean &amp; Professor, Department of Epidemiology, Human Genetics and Environmental Sciences </w:t>
            </w:r>
          </w:p>
          <w:p w:rsidR="00302459" w:rsidRPr="00743A41" w:rsidRDefault="00302459" w:rsidP="00A37ED6">
            <w:pPr>
              <w:ind w:right="225"/>
              <w:rPr>
                <w:rFonts w:asciiTheme="majorHAnsi" w:hAnsiTheme="majorHAnsi" w:cstheme="majorHAnsi"/>
                <w:sz w:val="20"/>
                <w:szCs w:val="20"/>
                <w:highlight w:val="yellow"/>
              </w:rPr>
            </w:pPr>
          </w:p>
          <w:p w:rsidR="00302459" w:rsidRPr="00743A41" w:rsidRDefault="00302459" w:rsidP="00A37ED6">
            <w:pPr>
              <w:ind w:right="225"/>
              <w:rPr>
                <w:rFonts w:asciiTheme="majorHAnsi" w:hAnsiTheme="majorHAnsi" w:cstheme="majorHAnsi"/>
                <w:sz w:val="20"/>
                <w:szCs w:val="20"/>
              </w:rPr>
            </w:pPr>
            <w:r w:rsidRPr="00743A41">
              <w:rPr>
                <w:rFonts w:asciiTheme="majorHAnsi" w:hAnsiTheme="majorHAnsi" w:cstheme="majorHAnsi"/>
                <w:sz w:val="20"/>
                <w:szCs w:val="20"/>
              </w:rPr>
              <w:t xml:space="preserve">Steve Kelder, PhD, Faculty Council Chair &amp; Professor, Department of Epidemiology, Human Genetics and Environmental Sciences </w:t>
            </w:r>
          </w:p>
        </w:tc>
        <w:tc>
          <w:tcPr>
            <w:tcW w:w="3225" w:type="dxa"/>
            <w:shd w:val="clear" w:color="auto" w:fill="D9D9D9" w:themeFill="background1" w:themeFillShade="D9"/>
            <w:tcMar>
              <w:top w:w="0" w:type="dxa"/>
              <w:left w:w="108" w:type="dxa"/>
              <w:bottom w:w="0" w:type="dxa"/>
              <w:right w:w="108" w:type="dxa"/>
            </w:tcMar>
            <w:hideMark/>
          </w:tcPr>
          <w:p w:rsidR="00302459" w:rsidRPr="00743A41" w:rsidRDefault="00302459" w:rsidP="00A37ED6">
            <w:pPr>
              <w:ind w:right="-18"/>
              <w:rPr>
                <w:rFonts w:asciiTheme="majorHAnsi" w:hAnsiTheme="majorHAnsi" w:cstheme="majorHAnsi"/>
                <w:sz w:val="20"/>
                <w:szCs w:val="20"/>
              </w:rPr>
            </w:pPr>
            <w:r w:rsidRPr="00743A41">
              <w:rPr>
                <w:rFonts w:asciiTheme="majorHAnsi" w:hAnsiTheme="majorHAnsi" w:cstheme="majorHAnsi"/>
                <w:sz w:val="20"/>
                <w:szCs w:val="20"/>
              </w:rPr>
              <w:t xml:space="preserve">Responsible to the university for maintaining a faculty of excellence and to the candidate for recognizing, encouraging, and rewarding achievement. </w:t>
            </w:r>
          </w:p>
        </w:tc>
      </w:tr>
    </w:tbl>
    <w:p w:rsidR="00B176A4" w:rsidRPr="00743A41" w:rsidRDefault="00B176A4" w:rsidP="00A37ED6">
      <w:pPr>
        <w:ind w:left="720"/>
        <w:contextualSpacing/>
        <w:jc w:val="both"/>
        <w:rPr>
          <w:rFonts w:asciiTheme="majorHAnsi" w:hAnsiTheme="majorHAnsi" w:cstheme="majorHAnsi"/>
          <w:sz w:val="20"/>
          <w:szCs w:val="20"/>
        </w:rPr>
      </w:pPr>
    </w:p>
    <w:p w:rsidR="00933038" w:rsidRPr="00743A41" w:rsidRDefault="00933038" w:rsidP="00A37ED6">
      <w:pPr>
        <w:pStyle w:val="Default"/>
        <w:numPr>
          <w:ilvl w:val="0"/>
          <w:numId w:val="2"/>
        </w:numPr>
        <w:ind w:left="720"/>
        <w:jc w:val="both"/>
        <w:rPr>
          <w:rFonts w:asciiTheme="majorHAnsi" w:hAnsiTheme="majorHAnsi" w:cstheme="majorHAnsi"/>
          <w:color w:val="auto"/>
          <w:szCs w:val="20"/>
        </w:rPr>
      </w:pPr>
      <w:r w:rsidRPr="00743A41">
        <w:rPr>
          <w:rFonts w:asciiTheme="majorHAnsi" w:hAnsiTheme="majorHAnsi" w:cstheme="majorHAnsi"/>
          <w:color w:val="auto"/>
          <w:szCs w:val="20"/>
        </w:rPr>
        <w:t xml:space="preserve">Describe how full-time and part-time faculty regularly interact with their colleagues (self-study document) and provide documentation of recent interactions, which may include minutes, attendee lists, etc. </w:t>
      </w:r>
    </w:p>
    <w:p w:rsidR="00933038" w:rsidRPr="00743A41" w:rsidRDefault="00933038" w:rsidP="00A37ED6">
      <w:pPr>
        <w:rPr>
          <w:rFonts w:asciiTheme="majorHAnsi" w:hAnsiTheme="majorHAnsi" w:cstheme="majorHAnsi"/>
          <w:sz w:val="20"/>
          <w:szCs w:val="20"/>
        </w:rPr>
      </w:pPr>
    </w:p>
    <w:p w:rsidR="00302459" w:rsidRPr="00084C76" w:rsidRDefault="00302459" w:rsidP="00A37ED6">
      <w:pPr>
        <w:ind w:left="720"/>
        <w:rPr>
          <w:rFonts w:asciiTheme="majorHAnsi" w:hAnsiTheme="majorHAnsi" w:cstheme="majorHAnsi"/>
          <w:sz w:val="20"/>
          <w:szCs w:val="20"/>
        </w:rPr>
      </w:pPr>
      <w:r w:rsidRPr="00743A41">
        <w:rPr>
          <w:rFonts w:asciiTheme="majorHAnsi" w:hAnsiTheme="majorHAnsi" w:cstheme="majorHAnsi"/>
          <w:sz w:val="20"/>
          <w:szCs w:val="20"/>
        </w:rPr>
        <w:t>Full-time and part-time faculty regularly interact with their colleagues on a daily basis within their departments. Departments hold monthly faculty meetings with both full-time and part-time faculty to discuss current issues and topics. Campus faculty also attend departmental meetings via ITV, as well as attend their campus-specific monthly meetings. Both full-time and part-time faculty who belong to centers also regularly interact to collaborate and attend monthly center meetings. The faculty-at-large convenes three times per year at the general faculty meetings in May, September, and December. They also meet a fourth time for the Tenure and Promotion Committee meeting in January each year</w:t>
      </w:r>
      <w:r w:rsidR="00C036C6">
        <w:rPr>
          <w:rFonts w:asciiTheme="majorHAnsi" w:hAnsiTheme="majorHAnsi" w:cstheme="majorHAnsi"/>
          <w:sz w:val="20"/>
          <w:szCs w:val="20"/>
        </w:rPr>
        <w:t xml:space="preserve"> (</w:t>
      </w:r>
      <w:r w:rsidR="00C036C6" w:rsidRPr="00AA0230">
        <w:rPr>
          <w:rFonts w:asciiTheme="majorHAnsi" w:hAnsiTheme="majorHAnsi" w:cstheme="majorHAnsi"/>
          <w:i/>
          <w:sz w:val="20"/>
          <w:szCs w:val="20"/>
        </w:rPr>
        <w:t>ERF, A1.5. Faculty Tenure and Promotion</w:t>
      </w:r>
      <w:r w:rsidR="00C036C6">
        <w:rPr>
          <w:rFonts w:asciiTheme="majorHAnsi" w:hAnsiTheme="majorHAnsi" w:cstheme="majorHAnsi"/>
          <w:sz w:val="20"/>
          <w:szCs w:val="20"/>
        </w:rPr>
        <w:t>)</w:t>
      </w:r>
      <w:r w:rsidRPr="00743A41">
        <w:rPr>
          <w:rFonts w:asciiTheme="majorHAnsi" w:hAnsiTheme="majorHAnsi" w:cstheme="majorHAnsi"/>
          <w:sz w:val="20"/>
          <w:szCs w:val="20"/>
        </w:rPr>
        <w:t xml:space="preserve">. Part-time faculty are involved in all faculty meetings, councils, committees; and they have voting authority on all faculty decisions including promotion and tenure. </w:t>
      </w:r>
      <w:r w:rsidR="00D47D47" w:rsidRPr="00743A41">
        <w:rPr>
          <w:rFonts w:asciiTheme="majorHAnsi" w:hAnsiTheme="majorHAnsi" w:cstheme="majorHAnsi"/>
          <w:sz w:val="20"/>
          <w:szCs w:val="20"/>
        </w:rPr>
        <w:t xml:space="preserve">Refer to </w:t>
      </w:r>
      <w:hyperlink w:anchor="_A1._Organization_and_1" w:history="1">
        <w:r w:rsidR="00166853" w:rsidRPr="00743A41">
          <w:rPr>
            <w:rStyle w:val="Hyperlink"/>
            <w:rFonts w:asciiTheme="majorHAnsi" w:hAnsiTheme="majorHAnsi" w:cstheme="majorHAnsi"/>
            <w:i/>
            <w:sz w:val="20"/>
            <w:szCs w:val="20"/>
          </w:rPr>
          <w:t>Criterion A1.1. Organization and Administrative Processes</w:t>
        </w:r>
      </w:hyperlink>
      <w:r w:rsidR="00D47D47" w:rsidRPr="00743A41">
        <w:rPr>
          <w:rFonts w:asciiTheme="majorHAnsi" w:hAnsiTheme="majorHAnsi" w:cstheme="majorHAnsi"/>
          <w:sz w:val="20"/>
          <w:szCs w:val="20"/>
        </w:rPr>
        <w:t xml:space="preserve"> for documentation on UTHealth School of Public Health Committees, including documentation of </w:t>
      </w:r>
      <w:r w:rsidR="00166853" w:rsidRPr="00743A41">
        <w:rPr>
          <w:rFonts w:asciiTheme="majorHAnsi" w:hAnsiTheme="majorHAnsi" w:cstheme="majorHAnsi"/>
          <w:sz w:val="20"/>
          <w:szCs w:val="20"/>
        </w:rPr>
        <w:t xml:space="preserve">bylaws, membership, </w:t>
      </w:r>
      <w:r w:rsidR="00D47D47" w:rsidRPr="00743A41">
        <w:rPr>
          <w:rFonts w:asciiTheme="majorHAnsi" w:hAnsiTheme="majorHAnsi" w:cstheme="majorHAnsi"/>
          <w:sz w:val="20"/>
          <w:szCs w:val="20"/>
        </w:rPr>
        <w:t xml:space="preserve">meeting agendas, </w:t>
      </w:r>
      <w:r w:rsidR="00166853" w:rsidRPr="00743A41">
        <w:rPr>
          <w:rFonts w:asciiTheme="majorHAnsi" w:hAnsiTheme="majorHAnsi" w:cstheme="majorHAnsi"/>
          <w:sz w:val="20"/>
          <w:szCs w:val="20"/>
        </w:rPr>
        <w:t xml:space="preserve">and meeting </w:t>
      </w:r>
      <w:r w:rsidR="00D47D47" w:rsidRPr="00743A41">
        <w:rPr>
          <w:rFonts w:asciiTheme="majorHAnsi" w:hAnsiTheme="majorHAnsi" w:cstheme="majorHAnsi"/>
          <w:sz w:val="20"/>
          <w:szCs w:val="20"/>
        </w:rPr>
        <w:t>mi</w:t>
      </w:r>
      <w:r w:rsidR="00393661" w:rsidRPr="00743A41">
        <w:rPr>
          <w:rFonts w:asciiTheme="majorHAnsi" w:hAnsiTheme="majorHAnsi" w:cstheme="majorHAnsi"/>
          <w:sz w:val="20"/>
          <w:szCs w:val="20"/>
        </w:rPr>
        <w:t>nutes</w:t>
      </w:r>
      <w:r w:rsidR="00166853" w:rsidRPr="00743A41">
        <w:rPr>
          <w:rFonts w:asciiTheme="majorHAnsi" w:hAnsiTheme="majorHAnsi" w:cstheme="majorHAnsi"/>
          <w:sz w:val="20"/>
          <w:szCs w:val="20"/>
        </w:rPr>
        <w:t xml:space="preserve"> </w:t>
      </w:r>
      <w:r w:rsidR="00393661" w:rsidRPr="00743A41">
        <w:rPr>
          <w:rFonts w:asciiTheme="majorHAnsi" w:hAnsiTheme="majorHAnsi" w:cstheme="majorHAnsi"/>
          <w:sz w:val="20"/>
          <w:szCs w:val="20"/>
        </w:rPr>
        <w:t>(</w:t>
      </w:r>
      <w:r w:rsidR="00166853" w:rsidRPr="006E28EE">
        <w:rPr>
          <w:rFonts w:asciiTheme="majorHAnsi" w:hAnsiTheme="majorHAnsi" w:cstheme="majorHAnsi"/>
          <w:i/>
          <w:sz w:val="20"/>
          <w:szCs w:val="20"/>
        </w:rPr>
        <w:t xml:space="preserve">ERF, </w:t>
      </w:r>
      <w:r w:rsidR="00A83628">
        <w:rPr>
          <w:rFonts w:asciiTheme="majorHAnsi" w:hAnsiTheme="majorHAnsi" w:cstheme="majorHAnsi"/>
          <w:i/>
          <w:sz w:val="20"/>
          <w:szCs w:val="20"/>
        </w:rPr>
        <w:t>A1.</w:t>
      </w:r>
      <w:r w:rsidR="00E84C31" w:rsidRPr="00084C76">
        <w:rPr>
          <w:rFonts w:asciiTheme="majorHAnsi" w:hAnsiTheme="majorHAnsi" w:cstheme="majorHAnsi"/>
          <w:i/>
          <w:sz w:val="20"/>
          <w:szCs w:val="20"/>
        </w:rPr>
        <w:t xml:space="preserve"> Organization and Administrative Processes</w:t>
      </w:r>
      <w:r w:rsidR="00393661" w:rsidRPr="00084C76">
        <w:rPr>
          <w:rFonts w:asciiTheme="majorHAnsi" w:hAnsiTheme="majorHAnsi" w:cstheme="majorHAnsi"/>
          <w:sz w:val="20"/>
          <w:szCs w:val="20"/>
        </w:rPr>
        <w:t xml:space="preserve">). </w:t>
      </w:r>
    </w:p>
    <w:p w:rsidR="00393661" w:rsidRPr="00743A41" w:rsidRDefault="00393661" w:rsidP="00A37ED6">
      <w:pPr>
        <w:ind w:left="720"/>
        <w:rPr>
          <w:rFonts w:asciiTheme="majorHAnsi" w:hAnsiTheme="majorHAnsi" w:cstheme="majorHAnsi"/>
          <w:sz w:val="20"/>
          <w:szCs w:val="20"/>
        </w:rPr>
      </w:pPr>
    </w:p>
    <w:p w:rsidR="00C211F9" w:rsidRPr="00743A41" w:rsidRDefault="00C211F9" w:rsidP="00A37ED6">
      <w:pPr>
        <w:ind w:left="720"/>
        <w:rPr>
          <w:rFonts w:asciiTheme="majorHAnsi" w:eastAsia="Arial" w:hAnsiTheme="majorHAnsi" w:cstheme="majorHAnsi"/>
          <w:sz w:val="20"/>
          <w:szCs w:val="20"/>
        </w:rPr>
      </w:pPr>
      <w:r w:rsidRPr="00743A41">
        <w:rPr>
          <w:rFonts w:asciiTheme="majorHAnsi" w:eastAsia="Arial" w:hAnsiTheme="majorHAnsi" w:cstheme="majorHAnsi"/>
          <w:sz w:val="20"/>
          <w:szCs w:val="20"/>
        </w:rPr>
        <w:t>Associated documents in the electronic resource file:</w:t>
      </w:r>
    </w:p>
    <w:p w:rsidR="00BF061E" w:rsidRPr="00743A41" w:rsidRDefault="00BF061E" w:rsidP="00BF061E">
      <w:pPr>
        <w:pStyle w:val="ListParagraph"/>
        <w:numPr>
          <w:ilvl w:val="0"/>
          <w:numId w:val="63"/>
        </w:numPr>
        <w:rPr>
          <w:rFonts w:asciiTheme="majorHAnsi" w:eastAsia="Arial" w:hAnsiTheme="majorHAnsi" w:cstheme="majorHAnsi"/>
          <w:i/>
          <w:szCs w:val="20"/>
        </w:rPr>
      </w:pPr>
      <w:r w:rsidRPr="00743A41">
        <w:rPr>
          <w:rFonts w:asciiTheme="majorHAnsi" w:eastAsia="Arial" w:hAnsiTheme="majorHAnsi" w:cstheme="majorHAnsi"/>
          <w:i/>
          <w:szCs w:val="20"/>
        </w:rPr>
        <w:t xml:space="preserve">A1. Organizational and Administrative Processes </w:t>
      </w:r>
    </w:p>
    <w:p w:rsidR="00BF061E" w:rsidRPr="0062452D" w:rsidRDefault="00BF061E" w:rsidP="00BF061E">
      <w:pPr>
        <w:pStyle w:val="ListParagraph"/>
        <w:numPr>
          <w:ilvl w:val="1"/>
          <w:numId w:val="63"/>
        </w:numPr>
        <w:rPr>
          <w:rStyle w:val="Hyperlink"/>
          <w:rFonts w:asciiTheme="majorHAnsi" w:eastAsia="Arial" w:hAnsiTheme="majorHAnsi" w:cstheme="majorHAnsi"/>
          <w:i/>
          <w:color w:val="auto"/>
          <w:szCs w:val="20"/>
          <w:u w:val="none"/>
        </w:rPr>
      </w:pPr>
      <w:r w:rsidRPr="0062452D">
        <w:rPr>
          <w:rFonts w:asciiTheme="majorHAnsi" w:eastAsia="Arial" w:hAnsiTheme="majorHAnsi" w:cstheme="majorHAnsi"/>
          <w:i/>
          <w:szCs w:val="20"/>
        </w:rPr>
        <w:t>General Faculty Meeting Agendas, Minutes and Attendees</w:t>
      </w:r>
    </w:p>
    <w:p w:rsidR="00BF061E" w:rsidRPr="0062452D" w:rsidRDefault="00BF061E" w:rsidP="00BF061E">
      <w:pPr>
        <w:pStyle w:val="ListParagraph"/>
        <w:numPr>
          <w:ilvl w:val="1"/>
          <w:numId w:val="63"/>
        </w:numPr>
        <w:rPr>
          <w:rFonts w:asciiTheme="majorHAnsi" w:eastAsia="Arial" w:hAnsiTheme="majorHAnsi" w:cstheme="majorHAnsi"/>
          <w:i/>
          <w:szCs w:val="20"/>
        </w:rPr>
      </w:pPr>
      <w:r w:rsidRPr="0062452D">
        <w:rPr>
          <w:rFonts w:asciiTheme="majorHAnsi" w:eastAsia="Arial" w:hAnsiTheme="majorHAnsi" w:cstheme="majorHAnsi"/>
          <w:i/>
          <w:szCs w:val="20"/>
        </w:rPr>
        <w:t>Department Meeting Agendas, Minutes and Attendees</w:t>
      </w:r>
    </w:p>
    <w:p w:rsidR="00A602DA" w:rsidRPr="00496F73" w:rsidRDefault="00A602DA" w:rsidP="00A37ED6">
      <w:pPr>
        <w:pStyle w:val="ListParagraph"/>
        <w:numPr>
          <w:ilvl w:val="0"/>
          <w:numId w:val="63"/>
        </w:numPr>
        <w:rPr>
          <w:rFonts w:asciiTheme="majorHAnsi" w:eastAsia="Arial" w:hAnsiTheme="majorHAnsi" w:cstheme="majorHAnsi"/>
          <w:i/>
          <w:szCs w:val="20"/>
        </w:rPr>
      </w:pPr>
      <w:r w:rsidRPr="00496F73">
        <w:rPr>
          <w:rFonts w:asciiTheme="majorHAnsi" w:eastAsia="Arial" w:hAnsiTheme="majorHAnsi" w:cstheme="majorHAnsi"/>
          <w:i/>
          <w:szCs w:val="20"/>
        </w:rPr>
        <w:t>A1.5. Faculty Tenure and Promotion</w:t>
      </w:r>
    </w:p>
    <w:p w:rsidR="00C211F9" w:rsidRPr="00496F73" w:rsidRDefault="00A602DA" w:rsidP="006E28EE">
      <w:pPr>
        <w:pStyle w:val="ListParagraph"/>
        <w:numPr>
          <w:ilvl w:val="1"/>
          <w:numId w:val="63"/>
        </w:numPr>
        <w:rPr>
          <w:rFonts w:asciiTheme="majorHAnsi" w:eastAsia="Arial" w:hAnsiTheme="majorHAnsi" w:cstheme="majorHAnsi"/>
          <w:i/>
          <w:szCs w:val="20"/>
        </w:rPr>
      </w:pPr>
      <w:r w:rsidRPr="00496F73">
        <w:rPr>
          <w:rFonts w:asciiTheme="majorHAnsi" w:eastAsia="Arial" w:hAnsiTheme="majorHAnsi" w:cstheme="majorHAnsi"/>
          <w:i/>
          <w:szCs w:val="20"/>
        </w:rPr>
        <w:t>UTHealth Guidelines for Promotion</w:t>
      </w:r>
    </w:p>
    <w:p w:rsidR="00A21EE9" w:rsidRPr="00496F73" w:rsidRDefault="00A602DA" w:rsidP="006E28EE">
      <w:pPr>
        <w:pStyle w:val="ListParagraph"/>
        <w:numPr>
          <w:ilvl w:val="1"/>
          <w:numId w:val="63"/>
        </w:numPr>
        <w:rPr>
          <w:rFonts w:asciiTheme="majorHAnsi" w:eastAsia="Arial" w:hAnsiTheme="majorHAnsi" w:cstheme="majorHAnsi"/>
          <w:i/>
          <w:szCs w:val="20"/>
        </w:rPr>
      </w:pPr>
      <w:r w:rsidRPr="00496F73">
        <w:rPr>
          <w:rFonts w:asciiTheme="majorHAnsi" w:eastAsia="Arial" w:hAnsiTheme="majorHAnsi" w:cstheme="majorHAnsi"/>
          <w:i/>
          <w:szCs w:val="20"/>
        </w:rPr>
        <w:t>UTHealth Guidelines for Faculty Tenure</w:t>
      </w:r>
    </w:p>
    <w:p w:rsidR="00A21EE9" w:rsidRPr="00496F73" w:rsidRDefault="00A602DA" w:rsidP="006E28EE">
      <w:pPr>
        <w:pStyle w:val="ListParagraph"/>
        <w:numPr>
          <w:ilvl w:val="1"/>
          <w:numId w:val="63"/>
        </w:numPr>
        <w:rPr>
          <w:rFonts w:asciiTheme="majorHAnsi" w:eastAsia="Arial" w:hAnsiTheme="majorHAnsi" w:cstheme="majorHAnsi"/>
          <w:i/>
          <w:szCs w:val="20"/>
        </w:rPr>
      </w:pPr>
      <w:r w:rsidRPr="00496F73">
        <w:rPr>
          <w:rFonts w:asciiTheme="majorHAnsi" w:eastAsia="Arial" w:hAnsiTheme="majorHAnsi" w:cstheme="majorHAnsi"/>
          <w:i/>
          <w:szCs w:val="20"/>
        </w:rPr>
        <w:t>UTHealth Statement on Scholarship</w:t>
      </w:r>
    </w:p>
    <w:p w:rsidR="00A21EE9" w:rsidRPr="00496F73" w:rsidRDefault="00A602DA" w:rsidP="006E28EE">
      <w:pPr>
        <w:pStyle w:val="ListParagraph"/>
        <w:numPr>
          <w:ilvl w:val="1"/>
          <w:numId w:val="63"/>
        </w:numPr>
        <w:rPr>
          <w:rStyle w:val="Hyperlink"/>
          <w:rFonts w:asciiTheme="majorHAnsi" w:eastAsia="Arial" w:hAnsiTheme="majorHAnsi" w:cstheme="majorHAnsi"/>
          <w:i/>
          <w:color w:val="auto"/>
          <w:szCs w:val="20"/>
          <w:u w:val="none"/>
        </w:rPr>
      </w:pPr>
      <w:r w:rsidRPr="00496F73">
        <w:rPr>
          <w:rFonts w:asciiTheme="majorHAnsi" w:eastAsia="Arial" w:hAnsiTheme="majorHAnsi" w:cstheme="majorHAnsi"/>
          <w:i/>
          <w:szCs w:val="20"/>
        </w:rPr>
        <w:t>UTHealth School of Public Health Guidelines for Tenure and Promotion</w:t>
      </w:r>
    </w:p>
    <w:p w:rsidR="00933038" w:rsidRPr="00743A41" w:rsidRDefault="00933038" w:rsidP="00A37ED6">
      <w:pPr>
        <w:rPr>
          <w:rFonts w:asciiTheme="majorHAnsi" w:hAnsiTheme="majorHAnsi" w:cstheme="majorHAnsi"/>
          <w:i/>
          <w:sz w:val="20"/>
          <w:szCs w:val="20"/>
        </w:rPr>
      </w:pPr>
    </w:p>
    <w:p w:rsidR="00933038" w:rsidRPr="00743A41" w:rsidRDefault="00933038" w:rsidP="00A37ED6">
      <w:pPr>
        <w:pStyle w:val="Default"/>
        <w:numPr>
          <w:ilvl w:val="0"/>
          <w:numId w:val="2"/>
        </w:numPr>
        <w:ind w:left="720"/>
        <w:jc w:val="both"/>
        <w:rPr>
          <w:rFonts w:asciiTheme="majorHAnsi" w:hAnsiTheme="majorHAnsi" w:cstheme="majorHAnsi"/>
          <w:color w:val="auto"/>
          <w:szCs w:val="20"/>
        </w:rPr>
      </w:pPr>
      <w:r w:rsidRPr="00743A41">
        <w:rPr>
          <w:rFonts w:asciiTheme="majorHAnsi" w:hAnsiTheme="majorHAnsi" w:cstheme="majorHAnsi"/>
          <w:color w:val="auto"/>
          <w:szCs w:val="20"/>
        </w:rPr>
        <w:t xml:space="preserve">If applicable, assess strengths and weaknesses related to this criterion and plans for improvement in this area. </w:t>
      </w:r>
    </w:p>
    <w:p w:rsidR="00933038" w:rsidRPr="00743A41" w:rsidRDefault="00933038" w:rsidP="00A37ED6">
      <w:pPr>
        <w:pStyle w:val="Default"/>
        <w:ind w:left="720"/>
        <w:jc w:val="both"/>
        <w:rPr>
          <w:rFonts w:asciiTheme="majorHAnsi" w:hAnsiTheme="majorHAnsi" w:cstheme="majorHAnsi"/>
          <w:color w:val="auto"/>
          <w:szCs w:val="20"/>
        </w:rPr>
      </w:pPr>
    </w:p>
    <w:p w:rsidR="00293A5F" w:rsidRPr="00743A41" w:rsidRDefault="00293A5F" w:rsidP="00A37ED6">
      <w:pPr>
        <w:ind w:firstLine="720"/>
        <w:rPr>
          <w:rStyle w:val="Heading1Char"/>
          <w:color w:val="000000"/>
        </w:rPr>
      </w:pPr>
      <w:r w:rsidRPr="00743A41">
        <w:rPr>
          <w:rStyle w:val="Heading1Char"/>
        </w:rPr>
        <w:t xml:space="preserve">Strengths: </w:t>
      </w:r>
    </w:p>
    <w:p w:rsidR="00293A5F" w:rsidRPr="00743A41" w:rsidRDefault="00293A5F" w:rsidP="00A37ED6">
      <w:pPr>
        <w:pStyle w:val="ListParagraph"/>
        <w:numPr>
          <w:ilvl w:val="0"/>
          <w:numId w:val="170"/>
        </w:numPr>
        <w:spacing w:after="160"/>
        <w:contextualSpacing/>
        <w:rPr>
          <w:rStyle w:val="Heading1Char"/>
          <w:b w:val="0"/>
        </w:rPr>
      </w:pPr>
      <w:r w:rsidRPr="00743A41">
        <w:rPr>
          <w:rStyle w:val="Heading1Char"/>
          <w:b w:val="0"/>
        </w:rPr>
        <w:t xml:space="preserve">The UTHealth School of Public Health has well-defined, effective, and efficient administrative structures and processes to perform its mission. </w:t>
      </w:r>
    </w:p>
    <w:p w:rsidR="00293A5F" w:rsidRPr="00743A41" w:rsidRDefault="00293A5F" w:rsidP="00A37ED6">
      <w:pPr>
        <w:pStyle w:val="ListParagraph"/>
        <w:numPr>
          <w:ilvl w:val="0"/>
          <w:numId w:val="170"/>
        </w:numPr>
        <w:spacing w:after="160"/>
        <w:contextualSpacing/>
        <w:rPr>
          <w:rStyle w:val="Heading1Char"/>
          <w:b w:val="0"/>
        </w:rPr>
      </w:pPr>
      <w:r w:rsidRPr="00743A41">
        <w:rPr>
          <w:rStyle w:val="Heading1Char"/>
          <w:b w:val="0"/>
        </w:rPr>
        <w:t>The UTHealth School of Public Health has well-defined, effective decision-making structures that include extensive faculty and student input.</w:t>
      </w:r>
    </w:p>
    <w:p w:rsidR="00293A5F" w:rsidRPr="00743A41" w:rsidRDefault="00293A5F" w:rsidP="00A37ED6">
      <w:pPr>
        <w:pStyle w:val="ListParagraph"/>
        <w:numPr>
          <w:ilvl w:val="0"/>
          <w:numId w:val="170"/>
        </w:numPr>
        <w:spacing w:after="160"/>
        <w:contextualSpacing/>
        <w:rPr>
          <w:rStyle w:val="Heading1Char"/>
          <w:b w:val="0"/>
        </w:rPr>
      </w:pPr>
      <w:r w:rsidRPr="00743A41">
        <w:rPr>
          <w:rStyle w:val="Heading1Char"/>
          <w:b w:val="0"/>
        </w:rPr>
        <w:t xml:space="preserve">The UTHealth School of Public Health has a faculty governance structure that supports faculty advancement and review. The peer-review processes are very robust, and allow for faculty to oversee annual review and advancement processes. </w:t>
      </w:r>
    </w:p>
    <w:p w:rsidR="00293A5F" w:rsidRPr="00743A41" w:rsidRDefault="00293A5F" w:rsidP="00A37ED6">
      <w:pPr>
        <w:pStyle w:val="ListParagraph"/>
        <w:numPr>
          <w:ilvl w:val="0"/>
          <w:numId w:val="170"/>
        </w:numPr>
        <w:spacing w:after="160"/>
        <w:contextualSpacing/>
        <w:rPr>
          <w:rStyle w:val="Heading1Char"/>
          <w:b w:val="0"/>
        </w:rPr>
      </w:pPr>
      <w:r w:rsidRPr="00743A41">
        <w:rPr>
          <w:rStyle w:val="Heading1Char"/>
          <w:b w:val="0"/>
        </w:rPr>
        <w:t xml:space="preserve">Faculty contribute to decision making through the formal research, academic, practice, faculty, and executive council structures. They vote on all admissions policies and make all admissions decisions. </w:t>
      </w:r>
    </w:p>
    <w:p w:rsidR="00293A5F" w:rsidRPr="00743A41" w:rsidRDefault="00293A5F" w:rsidP="00A37ED6">
      <w:pPr>
        <w:pStyle w:val="ListParagraph"/>
        <w:numPr>
          <w:ilvl w:val="0"/>
          <w:numId w:val="170"/>
        </w:numPr>
        <w:spacing w:after="160"/>
        <w:contextualSpacing/>
        <w:rPr>
          <w:rStyle w:val="Heading1Char"/>
          <w:b w:val="0"/>
        </w:rPr>
      </w:pPr>
      <w:r w:rsidRPr="00743A41">
        <w:rPr>
          <w:rStyle w:val="Heading1Char"/>
          <w:b w:val="0"/>
        </w:rPr>
        <w:t>Faculty are active members of UTHealth institutional committees.</w:t>
      </w:r>
    </w:p>
    <w:p w:rsidR="00293A5F" w:rsidRPr="00743A41" w:rsidRDefault="00293A5F" w:rsidP="00A37ED6">
      <w:pPr>
        <w:pStyle w:val="ListParagraph"/>
        <w:numPr>
          <w:ilvl w:val="0"/>
          <w:numId w:val="170"/>
        </w:numPr>
        <w:spacing w:after="160"/>
        <w:contextualSpacing/>
        <w:rPr>
          <w:rStyle w:val="Heading1Char"/>
          <w:b w:val="0"/>
        </w:rPr>
      </w:pPr>
      <w:r w:rsidRPr="00743A41">
        <w:rPr>
          <w:rStyle w:val="Heading1Char"/>
          <w:b w:val="0"/>
        </w:rPr>
        <w:t>Part-time faculty are fully integrated into all school activities and meetings. Part-time faculty are members of councils and committees, and have equal voting responsibilities.</w:t>
      </w:r>
    </w:p>
    <w:p w:rsidR="00293A5F" w:rsidRPr="00743A41" w:rsidRDefault="00293A5F" w:rsidP="00A37ED6">
      <w:pPr>
        <w:ind w:firstLine="720"/>
        <w:rPr>
          <w:rStyle w:val="Heading1Char"/>
        </w:rPr>
      </w:pPr>
      <w:r w:rsidRPr="00743A41">
        <w:rPr>
          <w:rStyle w:val="Heading1Char"/>
        </w:rPr>
        <w:t xml:space="preserve">Weaknesses: </w:t>
      </w:r>
    </w:p>
    <w:p w:rsidR="00293A5F" w:rsidRPr="00743A41" w:rsidRDefault="00293A5F" w:rsidP="00A37ED6">
      <w:pPr>
        <w:pStyle w:val="ListParagraph"/>
        <w:numPr>
          <w:ilvl w:val="0"/>
          <w:numId w:val="171"/>
        </w:numPr>
        <w:spacing w:after="160"/>
        <w:contextualSpacing/>
        <w:rPr>
          <w:rStyle w:val="Heading1Char"/>
        </w:rPr>
      </w:pPr>
      <w:r w:rsidRPr="00743A41">
        <w:rPr>
          <w:rStyle w:val="Heading1Char"/>
          <w:b w:val="0"/>
        </w:rPr>
        <w:t xml:space="preserve">The highly-defined structure is efficient and effective, but more informal dialogue with and input from the school community as a whole is needed. To address this weakness, </w:t>
      </w:r>
      <w:r w:rsidR="00AB5A56" w:rsidRPr="00743A41">
        <w:rPr>
          <w:rStyle w:val="Heading1Char"/>
          <w:b w:val="0"/>
        </w:rPr>
        <w:t>more frequent</w:t>
      </w:r>
      <w:r w:rsidR="00CF69B6" w:rsidRPr="00743A41">
        <w:rPr>
          <w:rStyle w:val="Heading1Char"/>
          <w:b w:val="0"/>
        </w:rPr>
        <w:t xml:space="preserve"> </w:t>
      </w:r>
      <w:r w:rsidRPr="00743A41">
        <w:rPr>
          <w:rStyle w:val="Heading1Char"/>
          <w:b w:val="0"/>
        </w:rPr>
        <w:t xml:space="preserve">town hall meetings with the dean and other school administrators are planned. </w:t>
      </w:r>
    </w:p>
    <w:p w:rsidR="00933038" w:rsidRPr="00743A41" w:rsidRDefault="00293A5F" w:rsidP="00A37ED6">
      <w:pPr>
        <w:pStyle w:val="ListParagraph"/>
        <w:numPr>
          <w:ilvl w:val="0"/>
          <w:numId w:val="171"/>
        </w:numPr>
        <w:spacing w:after="160"/>
        <w:contextualSpacing/>
        <w:rPr>
          <w:rFonts w:asciiTheme="majorHAnsi" w:eastAsia="Arial Unicode MS" w:hAnsiTheme="majorHAnsi" w:cstheme="majorHAnsi"/>
          <w:b/>
          <w:bCs/>
          <w:kern w:val="32"/>
          <w:szCs w:val="20"/>
          <w:lang w:eastAsia="x-none"/>
        </w:rPr>
      </w:pPr>
      <w:r w:rsidRPr="00743A41">
        <w:rPr>
          <w:rStyle w:val="Heading1Char"/>
          <w:b w:val="0"/>
        </w:rPr>
        <w:t xml:space="preserve">Communication and input of policies and procedures are promulgated through the faculty representatives to faculty at departmental and campus meetings. The effectiveness of this communication varies based on meeting attendance at both the council level and the department level. More effective communication strategies are being developed, so that all faculty can provide input and receive communications about changes in school policies and practices. </w:t>
      </w:r>
    </w:p>
    <w:p w:rsidR="00933038" w:rsidRPr="00743A41" w:rsidRDefault="00933038" w:rsidP="00A37ED6">
      <w:pPr>
        <w:rPr>
          <w:rStyle w:val="Heading1Char"/>
        </w:rPr>
      </w:pPr>
      <w:bookmarkStart w:id="17" w:name="_Toc464487852"/>
      <w:r w:rsidRPr="00743A41">
        <w:rPr>
          <w:rStyle w:val="Heading1Char"/>
        </w:rPr>
        <w:br w:type="page"/>
      </w:r>
    </w:p>
    <w:p w:rsidR="00933038" w:rsidRPr="00743A41" w:rsidRDefault="00933038" w:rsidP="007A68BE">
      <w:pPr>
        <w:pStyle w:val="Heading1"/>
      </w:pPr>
      <w:bookmarkStart w:id="18" w:name="_Toc7118185"/>
      <w:r w:rsidRPr="00743A41">
        <w:rPr>
          <w:rStyle w:val="Heading1Char"/>
          <w:b/>
        </w:rPr>
        <w:t>A2. Multi-Partner Schools</w:t>
      </w:r>
      <w:bookmarkEnd w:id="17"/>
      <w:bookmarkEnd w:id="18"/>
      <w:r w:rsidRPr="00743A41">
        <w:t xml:space="preserve"> (applicable ONLY if functioning as a “collaborative unit” as defined in CEPH procedures)</w:t>
      </w:r>
      <w:r w:rsidRPr="00743A41">
        <w:rPr>
          <w:vertAlign w:val="superscript"/>
        </w:rPr>
        <w:t xml:space="preserve"> </w:t>
      </w:r>
    </w:p>
    <w:p w:rsidR="00933038" w:rsidRPr="00743A41" w:rsidRDefault="00933038" w:rsidP="00A37ED6">
      <w:pPr>
        <w:pStyle w:val="ListParagraph"/>
        <w:ind w:left="0"/>
        <w:jc w:val="both"/>
        <w:rPr>
          <w:rFonts w:asciiTheme="majorHAnsi" w:hAnsiTheme="majorHAnsi" w:cstheme="majorHAnsi"/>
          <w:b/>
          <w:szCs w:val="20"/>
        </w:rPr>
      </w:pPr>
    </w:p>
    <w:p w:rsidR="00933038" w:rsidRPr="00743A41" w:rsidRDefault="00C211F9" w:rsidP="00A37ED6">
      <w:pPr>
        <w:contextualSpacing/>
        <w:jc w:val="both"/>
        <w:rPr>
          <w:rFonts w:asciiTheme="majorHAnsi" w:hAnsiTheme="majorHAnsi" w:cstheme="majorHAnsi"/>
          <w:i/>
          <w:sz w:val="20"/>
          <w:szCs w:val="20"/>
        </w:rPr>
      </w:pPr>
      <w:r w:rsidRPr="00743A41">
        <w:rPr>
          <w:rFonts w:asciiTheme="majorHAnsi" w:hAnsiTheme="majorHAnsi" w:cstheme="majorHAnsi"/>
          <w:i/>
          <w:sz w:val="20"/>
          <w:szCs w:val="20"/>
        </w:rPr>
        <w:t>Not applicable.</w:t>
      </w:r>
    </w:p>
    <w:p w:rsidR="00933038" w:rsidRPr="00743A41" w:rsidRDefault="00933038" w:rsidP="00A37ED6">
      <w:pPr>
        <w:pStyle w:val="Default"/>
        <w:ind w:left="720"/>
        <w:jc w:val="both"/>
        <w:rPr>
          <w:rFonts w:asciiTheme="majorHAnsi" w:hAnsiTheme="majorHAnsi" w:cstheme="majorHAnsi"/>
          <w:color w:val="auto"/>
          <w:szCs w:val="20"/>
        </w:rPr>
      </w:pPr>
    </w:p>
    <w:p w:rsidR="00933038" w:rsidRPr="00743A41" w:rsidRDefault="00933038" w:rsidP="00A37ED6">
      <w:pPr>
        <w:rPr>
          <w:rFonts w:asciiTheme="majorHAnsi" w:eastAsia="Calibri" w:hAnsiTheme="majorHAnsi" w:cstheme="majorHAnsi"/>
          <w:sz w:val="20"/>
          <w:szCs w:val="20"/>
        </w:rPr>
      </w:pPr>
      <w:bookmarkStart w:id="19" w:name="_Toc464487853"/>
    </w:p>
    <w:p w:rsidR="00933038" w:rsidRPr="00743A41" w:rsidRDefault="00933038" w:rsidP="00A37ED6">
      <w:pPr>
        <w:rPr>
          <w:rStyle w:val="Heading1Char"/>
        </w:rPr>
      </w:pPr>
      <w:r w:rsidRPr="00743A41">
        <w:rPr>
          <w:rStyle w:val="Heading1Char"/>
        </w:rPr>
        <w:br w:type="page"/>
      </w:r>
    </w:p>
    <w:p w:rsidR="00933038" w:rsidRPr="00743A41" w:rsidRDefault="00933038" w:rsidP="007A68BE">
      <w:pPr>
        <w:pStyle w:val="Heading1"/>
      </w:pPr>
      <w:bookmarkStart w:id="20" w:name="_Toc7118186"/>
      <w:r w:rsidRPr="00743A41">
        <w:rPr>
          <w:rStyle w:val="Heading1Char"/>
          <w:b/>
        </w:rPr>
        <w:t>A3. Student Engagement</w:t>
      </w:r>
      <w:bookmarkEnd w:id="19"/>
      <w:bookmarkEnd w:id="20"/>
      <w:r w:rsidRPr="00743A41">
        <w:t xml:space="preserve"> </w:t>
      </w:r>
    </w:p>
    <w:p w:rsidR="00933038" w:rsidRPr="00743A41" w:rsidRDefault="00933038" w:rsidP="00A37ED6">
      <w:pPr>
        <w:pStyle w:val="ListParagraph"/>
        <w:ind w:left="360"/>
        <w:jc w:val="both"/>
        <w:rPr>
          <w:rFonts w:asciiTheme="majorHAnsi" w:hAnsiTheme="majorHAnsi" w:cstheme="majorHAnsi"/>
          <w:szCs w:val="20"/>
        </w:rPr>
      </w:pPr>
    </w:p>
    <w:p w:rsidR="00933038" w:rsidRPr="00743A41" w:rsidRDefault="00933038" w:rsidP="00A37ED6">
      <w:pPr>
        <w:pStyle w:val="ListParagraph"/>
        <w:ind w:left="0"/>
        <w:jc w:val="both"/>
        <w:rPr>
          <w:rFonts w:asciiTheme="majorHAnsi" w:hAnsiTheme="majorHAnsi" w:cstheme="majorHAnsi"/>
          <w:b/>
          <w:szCs w:val="20"/>
        </w:rPr>
      </w:pPr>
      <w:r w:rsidRPr="00743A41">
        <w:rPr>
          <w:rFonts w:asciiTheme="majorHAnsi" w:hAnsiTheme="majorHAnsi" w:cstheme="majorHAnsi"/>
          <w:b/>
          <w:szCs w:val="20"/>
        </w:rPr>
        <w:t>Students have formal methods to participate in policy making and decision making within the school, and the school engages students as members on decision-making bodies whenever appropriate.</w:t>
      </w:r>
    </w:p>
    <w:p w:rsidR="00933038" w:rsidRPr="00743A41" w:rsidRDefault="00933038" w:rsidP="00A37ED6">
      <w:pPr>
        <w:pStyle w:val="Default"/>
        <w:jc w:val="both"/>
        <w:rPr>
          <w:rFonts w:asciiTheme="majorHAnsi" w:hAnsiTheme="majorHAnsi" w:cstheme="majorHAnsi"/>
          <w:color w:val="auto"/>
          <w:szCs w:val="20"/>
        </w:rPr>
      </w:pPr>
    </w:p>
    <w:p w:rsidR="00933038" w:rsidRPr="00743A41" w:rsidRDefault="00933038" w:rsidP="00A37ED6">
      <w:pPr>
        <w:pStyle w:val="Default"/>
        <w:numPr>
          <w:ilvl w:val="0"/>
          <w:numId w:val="3"/>
        </w:numPr>
        <w:ind w:left="720"/>
        <w:jc w:val="both"/>
        <w:rPr>
          <w:rFonts w:asciiTheme="majorHAnsi" w:hAnsiTheme="majorHAnsi" w:cstheme="majorHAnsi"/>
          <w:color w:val="auto"/>
          <w:szCs w:val="20"/>
        </w:rPr>
      </w:pPr>
      <w:r w:rsidRPr="00743A41">
        <w:rPr>
          <w:rFonts w:asciiTheme="majorHAnsi" w:hAnsiTheme="majorHAnsi" w:cstheme="majorHAnsi"/>
          <w:color w:val="auto"/>
          <w:szCs w:val="20"/>
        </w:rPr>
        <w:t>Describe student participation in policy making and decision making at the school level, including identification of all student members of school committees over the last three years, and student organizations involved in school governance.</w:t>
      </w:r>
      <w:r w:rsidR="00907750" w:rsidRPr="00743A41">
        <w:rPr>
          <w:rFonts w:asciiTheme="majorHAnsi" w:hAnsiTheme="majorHAnsi" w:cstheme="majorHAnsi"/>
          <w:color w:val="auto"/>
          <w:szCs w:val="20"/>
        </w:rPr>
        <w:t xml:space="preserve"> Schools should focus this discussion on students in public health degree programs.</w:t>
      </w:r>
    </w:p>
    <w:p w:rsidR="00933038" w:rsidRPr="00743A41" w:rsidRDefault="00933038" w:rsidP="00A37ED6">
      <w:pPr>
        <w:pStyle w:val="ListParagraph"/>
        <w:ind w:left="360" w:firstLine="360"/>
        <w:contextualSpacing/>
        <w:jc w:val="both"/>
        <w:rPr>
          <w:rFonts w:asciiTheme="majorHAnsi" w:hAnsiTheme="majorHAnsi" w:cstheme="majorHAnsi"/>
          <w:i/>
          <w:szCs w:val="20"/>
        </w:rPr>
      </w:pPr>
    </w:p>
    <w:p w:rsidR="00302459" w:rsidRPr="00084C76" w:rsidRDefault="00302459" w:rsidP="00A37ED6">
      <w:pPr>
        <w:pStyle w:val="ListParagraph"/>
        <w:contextualSpacing/>
        <w:rPr>
          <w:rFonts w:asciiTheme="majorHAnsi" w:eastAsia="Arial" w:hAnsiTheme="majorHAnsi" w:cstheme="majorHAnsi"/>
          <w:szCs w:val="20"/>
        </w:rPr>
      </w:pPr>
      <w:r w:rsidRPr="00743A41">
        <w:rPr>
          <w:rFonts w:asciiTheme="majorHAnsi" w:eastAsia="Arial" w:hAnsiTheme="majorHAnsi" w:cstheme="majorHAnsi"/>
          <w:szCs w:val="20"/>
        </w:rPr>
        <w:t xml:space="preserve">Students regularly participate in policy- and decision-making processes by their membership on major UTHealth SPH committees. The UTHealth School of Public Health Student Association (SPHSA) designates student representatives to standing committees. Student membership on committees is shown in </w:t>
      </w:r>
      <w:hyperlink w:anchor="TabeA31b" w:history="1">
        <w:r w:rsidRPr="00743A41">
          <w:rPr>
            <w:rStyle w:val="Hyperlink"/>
            <w:rFonts w:asciiTheme="majorHAnsi" w:eastAsia="Arial" w:hAnsiTheme="majorHAnsi" w:cstheme="majorHAnsi"/>
            <w:szCs w:val="20"/>
          </w:rPr>
          <w:t>Table A.3.1.a</w:t>
        </w:r>
      </w:hyperlink>
      <w:r w:rsidRPr="00743A41">
        <w:rPr>
          <w:rFonts w:asciiTheme="majorHAnsi" w:eastAsia="Arial" w:hAnsiTheme="majorHAnsi" w:cstheme="majorHAnsi"/>
          <w:szCs w:val="20"/>
        </w:rPr>
        <w:t xml:space="preserve">. Student representatives are voting committee/council members. As members of the Academic Council, students contribute to academic policy development and major curriculum changes, as reviewed by the council. The SPHSA leadership meets with representatives from the Office of Academic Affairs and Student Services on a regular basis to provide input on school functioning. SPHSA leadership actively consult with the dean and senior associate dean of academic and research affairs on an as-needed basis. On an ad hoc basis, student input is solicited for decision-making processes that have direct implications for students, such as increases in tuition and fees. Current SPHSA leadership and planned activities for the </w:t>
      </w:r>
      <w:r w:rsidR="002950E1" w:rsidRPr="00743A41">
        <w:rPr>
          <w:rFonts w:asciiTheme="majorHAnsi" w:eastAsia="Arial" w:hAnsiTheme="majorHAnsi" w:cstheme="majorHAnsi"/>
          <w:szCs w:val="20"/>
        </w:rPr>
        <w:t xml:space="preserve">Fall 2019 </w:t>
      </w:r>
      <w:r w:rsidRPr="00743A41">
        <w:rPr>
          <w:rFonts w:asciiTheme="majorHAnsi" w:eastAsia="Arial" w:hAnsiTheme="majorHAnsi" w:cstheme="majorHAnsi"/>
          <w:szCs w:val="20"/>
        </w:rPr>
        <w:t>are available in the electronic resource file</w:t>
      </w:r>
      <w:r w:rsidR="00DF78A5" w:rsidRPr="00743A41">
        <w:rPr>
          <w:rFonts w:asciiTheme="majorHAnsi" w:eastAsia="Arial" w:hAnsiTheme="majorHAnsi" w:cstheme="majorHAnsi"/>
          <w:szCs w:val="20"/>
        </w:rPr>
        <w:t xml:space="preserve"> (</w:t>
      </w:r>
      <w:r w:rsidR="008A0E96" w:rsidRPr="006E28EE">
        <w:rPr>
          <w:rFonts w:asciiTheme="majorHAnsi" w:eastAsia="Arial" w:hAnsiTheme="majorHAnsi" w:cstheme="majorHAnsi"/>
          <w:i/>
          <w:szCs w:val="20"/>
        </w:rPr>
        <w:t>ERF,</w:t>
      </w:r>
      <w:r w:rsidR="008A0E96" w:rsidRPr="00743A41">
        <w:rPr>
          <w:rFonts w:asciiTheme="majorHAnsi" w:eastAsia="Arial" w:hAnsiTheme="majorHAnsi" w:cstheme="majorHAnsi"/>
          <w:szCs w:val="20"/>
        </w:rPr>
        <w:t xml:space="preserve"> </w:t>
      </w:r>
      <w:r w:rsidR="008A0E96" w:rsidRPr="00084C76">
        <w:rPr>
          <w:rFonts w:asciiTheme="majorHAnsi" w:eastAsia="Arial" w:hAnsiTheme="majorHAnsi" w:cstheme="majorHAnsi"/>
          <w:i/>
        </w:rPr>
        <w:t>A3. Student Engagement; Fall 2019 Student Association Leadership and Planned Activities</w:t>
      </w:r>
      <w:r w:rsidR="00DF78A5" w:rsidRPr="00084C76">
        <w:rPr>
          <w:rFonts w:asciiTheme="majorHAnsi" w:eastAsia="Arial" w:hAnsiTheme="majorHAnsi" w:cstheme="majorHAnsi"/>
          <w:szCs w:val="20"/>
        </w:rPr>
        <w:t>)</w:t>
      </w:r>
      <w:r w:rsidRPr="00084C76">
        <w:rPr>
          <w:rFonts w:asciiTheme="majorHAnsi" w:eastAsia="Arial" w:hAnsiTheme="majorHAnsi" w:cstheme="majorHAnsi"/>
          <w:szCs w:val="20"/>
        </w:rPr>
        <w:t>.</w:t>
      </w:r>
    </w:p>
    <w:p w:rsidR="00302459" w:rsidRPr="00084C76" w:rsidRDefault="00302459" w:rsidP="00A37ED6">
      <w:pPr>
        <w:pStyle w:val="ListParagraph"/>
        <w:contextualSpacing/>
        <w:jc w:val="both"/>
        <w:rPr>
          <w:rFonts w:asciiTheme="majorHAnsi" w:eastAsia="Arial" w:hAnsiTheme="majorHAnsi" w:cstheme="majorHAnsi"/>
          <w:szCs w:val="20"/>
        </w:rPr>
      </w:pPr>
    </w:p>
    <w:p w:rsidR="00302459" w:rsidRPr="00084C76" w:rsidRDefault="00915CCE" w:rsidP="00A37ED6">
      <w:pPr>
        <w:pBdr>
          <w:top w:val="nil"/>
          <w:left w:val="nil"/>
          <w:bottom w:val="nil"/>
          <w:right w:val="nil"/>
          <w:between w:val="nil"/>
        </w:pBdr>
        <w:tabs>
          <w:tab w:val="left" w:pos="720"/>
        </w:tabs>
        <w:ind w:left="720" w:right="-14"/>
        <w:rPr>
          <w:rFonts w:asciiTheme="majorHAnsi" w:eastAsia="Arial" w:hAnsiTheme="majorHAnsi" w:cstheme="majorHAnsi"/>
          <w:color w:val="000000"/>
          <w:sz w:val="20"/>
          <w:szCs w:val="20"/>
        </w:rPr>
      </w:pPr>
      <w:r w:rsidRPr="00084C76">
        <w:rPr>
          <w:rFonts w:asciiTheme="majorHAnsi" w:hAnsiTheme="majorHAnsi" w:cstheme="majorHAnsi"/>
          <w:sz w:val="20"/>
          <w:szCs w:val="20"/>
        </w:rPr>
        <w:t>Table A.3.1.a. SPHSA Representatives on UTHealth School of Public Health Councils and Committees by Fiscal Year</w:t>
      </w:r>
    </w:p>
    <w:tbl>
      <w:tblPr>
        <w:tblW w:w="85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41"/>
        <w:gridCol w:w="2141"/>
        <w:gridCol w:w="2141"/>
        <w:gridCol w:w="2142"/>
      </w:tblGrid>
      <w:tr w:rsidR="00E03E2A" w:rsidRPr="00743A41" w:rsidTr="00A21EE9">
        <w:tc>
          <w:tcPr>
            <w:tcW w:w="2141" w:type="dxa"/>
            <w:shd w:val="clear" w:color="auto" w:fill="BFBFBF" w:themeFill="background1" w:themeFillShade="BF"/>
            <w:tcMar>
              <w:left w:w="0" w:type="dxa"/>
              <w:right w:w="0" w:type="dxa"/>
            </w:tcMar>
          </w:tcPr>
          <w:p w:rsidR="00E03E2A" w:rsidRPr="00743A41" w:rsidRDefault="009F5E18" w:rsidP="00A37ED6">
            <w:pPr>
              <w:tabs>
                <w:tab w:val="left" w:pos="720"/>
              </w:tabs>
              <w:ind w:right="-20"/>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 xml:space="preserve"> </w:t>
            </w:r>
            <w:r w:rsidR="00E03E2A" w:rsidRPr="00743A41">
              <w:rPr>
                <w:rFonts w:asciiTheme="majorHAnsi" w:eastAsia="Arial" w:hAnsiTheme="majorHAnsi" w:cstheme="majorHAnsi"/>
                <w:b/>
                <w:sz w:val="20"/>
                <w:szCs w:val="20"/>
              </w:rPr>
              <w:t>Committee</w:t>
            </w:r>
          </w:p>
        </w:tc>
        <w:tc>
          <w:tcPr>
            <w:tcW w:w="2141" w:type="dxa"/>
            <w:shd w:val="clear" w:color="auto" w:fill="BFBFBF" w:themeFill="background1" w:themeFillShade="BF"/>
            <w:tcMar>
              <w:left w:w="0" w:type="dxa"/>
              <w:right w:w="0" w:type="dxa"/>
            </w:tcMar>
          </w:tcPr>
          <w:p w:rsidR="00E03E2A" w:rsidRPr="00743A41" w:rsidRDefault="00E03E2A" w:rsidP="00A37ED6">
            <w:pPr>
              <w:tabs>
                <w:tab w:val="left" w:pos="720"/>
              </w:tabs>
              <w:ind w:left="-96" w:right="-14"/>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Student Representative</w:t>
            </w:r>
          </w:p>
          <w:p w:rsidR="00E03E2A" w:rsidRPr="00743A41" w:rsidRDefault="00E03E2A" w:rsidP="00A37ED6">
            <w:pPr>
              <w:tabs>
                <w:tab w:val="left" w:pos="720"/>
              </w:tabs>
              <w:ind w:left="55" w:right="-14" w:hanging="18"/>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FY2018</w:t>
            </w:r>
          </w:p>
        </w:tc>
        <w:tc>
          <w:tcPr>
            <w:tcW w:w="2141" w:type="dxa"/>
            <w:shd w:val="clear" w:color="auto" w:fill="BFBFBF" w:themeFill="background1" w:themeFillShade="BF"/>
            <w:tcMar>
              <w:left w:w="0" w:type="dxa"/>
              <w:right w:w="0" w:type="dxa"/>
            </w:tcMar>
          </w:tcPr>
          <w:p w:rsidR="00E03E2A" w:rsidRPr="00743A41" w:rsidRDefault="00E03E2A" w:rsidP="00A37ED6">
            <w:pPr>
              <w:tabs>
                <w:tab w:val="left" w:pos="720"/>
              </w:tabs>
              <w:ind w:left="-82" w:right="-73"/>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Student Representative</w:t>
            </w:r>
          </w:p>
          <w:p w:rsidR="00E03E2A" w:rsidRPr="00743A41" w:rsidRDefault="00E03E2A" w:rsidP="00A37ED6">
            <w:pPr>
              <w:tabs>
                <w:tab w:val="left" w:pos="720"/>
              </w:tabs>
              <w:ind w:left="-82" w:right="-14"/>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FY2019</w:t>
            </w:r>
          </w:p>
        </w:tc>
        <w:tc>
          <w:tcPr>
            <w:tcW w:w="2142" w:type="dxa"/>
            <w:shd w:val="clear" w:color="auto" w:fill="BFBFBF" w:themeFill="background1" w:themeFillShade="BF"/>
            <w:tcMar>
              <w:left w:w="0" w:type="dxa"/>
              <w:right w:w="0" w:type="dxa"/>
            </w:tcMar>
          </w:tcPr>
          <w:p w:rsidR="00E03E2A" w:rsidRPr="00743A41" w:rsidRDefault="00E03E2A" w:rsidP="00A37ED6">
            <w:pPr>
              <w:tabs>
                <w:tab w:val="left" w:pos="720"/>
              </w:tabs>
              <w:ind w:left="-145" w:right="-14"/>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Student Representative</w:t>
            </w:r>
          </w:p>
          <w:p w:rsidR="00E03E2A" w:rsidRPr="00743A41" w:rsidRDefault="00E03E2A" w:rsidP="00A37ED6">
            <w:pPr>
              <w:tabs>
                <w:tab w:val="left" w:pos="720"/>
              </w:tabs>
              <w:ind w:left="198" w:right="-14" w:hanging="13"/>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FY2020</w:t>
            </w:r>
          </w:p>
        </w:tc>
      </w:tr>
      <w:tr w:rsidR="00E03E2A" w:rsidRPr="00743A41" w:rsidTr="00A21EE9">
        <w:tc>
          <w:tcPr>
            <w:tcW w:w="2141" w:type="dxa"/>
            <w:tcMar>
              <w:left w:w="0" w:type="dxa"/>
              <w:right w:w="0" w:type="dxa"/>
            </w:tcMar>
          </w:tcPr>
          <w:p w:rsidR="00E03E2A" w:rsidRPr="00743A41" w:rsidRDefault="00E03E2A" w:rsidP="00A37ED6">
            <w:pPr>
              <w:tabs>
                <w:tab w:val="left" w:pos="720"/>
              </w:tabs>
              <w:ind w:left="90" w:right="76"/>
              <w:rPr>
                <w:rFonts w:asciiTheme="majorHAnsi" w:eastAsia="Arial" w:hAnsiTheme="majorHAnsi" w:cstheme="majorHAnsi"/>
                <w:sz w:val="20"/>
                <w:szCs w:val="20"/>
              </w:rPr>
            </w:pPr>
            <w:r w:rsidRPr="00743A41">
              <w:rPr>
                <w:rFonts w:asciiTheme="majorHAnsi" w:eastAsia="Arial" w:hAnsiTheme="majorHAnsi" w:cstheme="majorHAnsi"/>
                <w:sz w:val="20"/>
                <w:szCs w:val="20"/>
              </w:rPr>
              <w:t>Executive Council</w:t>
            </w:r>
          </w:p>
        </w:tc>
        <w:tc>
          <w:tcPr>
            <w:tcW w:w="2141" w:type="dxa"/>
            <w:tcMar>
              <w:left w:w="0" w:type="dxa"/>
              <w:right w:w="0" w:type="dxa"/>
            </w:tcMar>
          </w:tcPr>
          <w:p w:rsidR="00E03E2A" w:rsidRPr="00743A41" w:rsidRDefault="00E03E2A" w:rsidP="00A37ED6">
            <w:pPr>
              <w:tabs>
                <w:tab w:val="left" w:pos="720"/>
              </w:tabs>
              <w:ind w:left="104" w:right="49"/>
              <w:rPr>
                <w:rFonts w:asciiTheme="majorHAnsi" w:eastAsia="Arial" w:hAnsiTheme="majorHAnsi" w:cstheme="majorHAnsi"/>
                <w:sz w:val="20"/>
                <w:szCs w:val="20"/>
              </w:rPr>
            </w:pPr>
            <w:r w:rsidRPr="00743A41">
              <w:rPr>
                <w:rFonts w:asciiTheme="majorHAnsi" w:eastAsia="Arial" w:hAnsiTheme="majorHAnsi" w:cstheme="majorHAnsi"/>
                <w:sz w:val="20"/>
                <w:szCs w:val="20"/>
              </w:rPr>
              <w:t>Angela Frazier</w:t>
            </w:r>
          </w:p>
        </w:tc>
        <w:tc>
          <w:tcPr>
            <w:tcW w:w="2141" w:type="dxa"/>
            <w:tcMar>
              <w:left w:w="0" w:type="dxa"/>
              <w:right w:w="0" w:type="dxa"/>
            </w:tcMar>
          </w:tcPr>
          <w:p w:rsidR="00AC4AAA" w:rsidRPr="00743A41" w:rsidRDefault="00E03E2A" w:rsidP="00A37ED6">
            <w:pPr>
              <w:tabs>
                <w:tab w:val="left" w:pos="720"/>
              </w:tabs>
              <w:ind w:left="117" w:right="126"/>
              <w:rPr>
                <w:rFonts w:asciiTheme="majorHAnsi" w:eastAsia="Arial" w:hAnsiTheme="majorHAnsi" w:cstheme="majorHAnsi"/>
                <w:sz w:val="20"/>
                <w:szCs w:val="20"/>
              </w:rPr>
            </w:pPr>
            <w:r w:rsidRPr="00743A41">
              <w:rPr>
                <w:rFonts w:asciiTheme="majorHAnsi" w:eastAsia="Arial" w:hAnsiTheme="majorHAnsi" w:cstheme="majorHAnsi"/>
                <w:sz w:val="20"/>
                <w:szCs w:val="20"/>
              </w:rPr>
              <w:t>Jade Qadri</w:t>
            </w:r>
            <w:r w:rsidR="006D6566" w:rsidRPr="00743A41">
              <w:rPr>
                <w:rFonts w:asciiTheme="majorHAnsi" w:eastAsia="Arial" w:hAnsiTheme="majorHAnsi" w:cstheme="majorHAnsi"/>
                <w:sz w:val="20"/>
                <w:szCs w:val="20"/>
              </w:rPr>
              <w:t xml:space="preserve">; </w:t>
            </w:r>
          </w:p>
          <w:p w:rsidR="00E03E2A" w:rsidRPr="00743A41" w:rsidRDefault="006D6566" w:rsidP="00A37ED6">
            <w:pPr>
              <w:tabs>
                <w:tab w:val="left" w:pos="720"/>
              </w:tabs>
              <w:ind w:left="117" w:right="126"/>
              <w:rPr>
                <w:rFonts w:asciiTheme="majorHAnsi" w:eastAsia="Arial" w:hAnsiTheme="majorHAnsi" w:cstheme="majorHAnsi"/>
                <w:sz w:val="20"/>
                <w:szCs w:val="20"/>
              </w:rPr>
            </w:pPr>
            <w:r w:rsidRPr="00743A41">
              <w:rPr>
                <w:rFonts w:asciiTheme="majorHAnsi" w:eastAsia="Arial" w:hAnsiTheme="majorHAnsi" w:cstheme="majorHAnsi"/>
                <w:sz w:val="20"/>
                <w:szCs w:val="20"/>
              </w:rPr>
              <w:t>Travis Teague</w:t>
            </w:r>
          </w:p>
        </w:tc>
        <w:tc>
          <w:tcPr>
            <w:tcW w:w="2142" w:type="dxa"/>
            <w:tcMar>
              <w:left w:w="0" w:type="dxa"/>
              <w:right w:w="0" w:type="dxa"/>
            </w:tcMar>
          </w:tcPr>
          <w:p w:rsidR="00E03E2A" w:rsidRPr="00743A41" w:rsidRDefault="00E03E2A" w:rsidP="00A37ED6">
            <w:pPr>
              <w:tabs>
                <w:tab w:val="left" w:pos="720"/>
              </w:tabs>
              <w:ind w:left="54" w:right="98"/>
              <w:rPr>
                <w:rFonts w:asciiTheme="majorHAnsi" w:eastAsia="Arial" w:hAnsiTheme="majorHAnsi" w:cstheme="majorHAnsi"/>
                <w:sz w:val="20"/>
                <w:szCs w:val="20"/>
              </w:rPr>
            </w:pPr>
            <w:r w:rsidRPr="00743A41">
              <w:rPr>
                <w:rFonts w:asciiTheme="majorHAnsi" w:eastAsia="Arial" w:hAnsiTheme="majorHAnsi" w:cstheme="majorHAnsi"/>
                <w:sz w:val="20"/>
                <w:szCs w:val="20"/>
              </w:rPr>
              <w:t>Travis Teague</w:t>
            </w:r>
          </w:p>
        </w:tc>
      </w:tr>
      <w:tr w:rsidR="00E03E2A" w:rsidRPr="00743A41" w:rsidTr="00A21EE9">
        <w:tc>
          <w:tcPr>
            <w:tcW w:w="2141" w:type="dxa"/>
            <w:shd w:val="clear" w:color="auto" w:fill="D9D9D9" w:themeFill="background1" w:themeFillShade="D9"/>
            <w:tcMar>
              <w:left w:w="0" w:type="dxa"/>
              <w:right w:w="0" w:type="dxa"/>
            </w:tcMar>
          </w:tcPr>
          <w:p w:rsidR="00E03E2A" w:rsidRPr="00743A41" w:rsidRDefault="00E03E2A" w:rsidP="00A37ED6">
            <w:pPr>
              <w:tabs>
                <w:tab w:val="left" w:pos="720"/>
              </w:tabs>
              <w:ind w:left="90" w:right="76"/>
              <w:rPr>
                <w:rFonts w:asciiTheme="majorHAnsi" w:eastAsia="Arial" w:hAnsiTheme="majorHAnsi" w:cstheme="majorHAnsi"/>
                <w:sz w:val="20"/>
                <w:szCs w:val="20"/>
              </w:rPr>
            </w:pPr>
            <w:r w:rsidRPr="00743A41">
              <w:rPr>
                <w:rFonts w:asciiTheme="majorHAnsi" w:eastAsia="Arial" w:hAnsiTheme="majorHAnsi" w:cstheme="majorHAnsi"/>
                <w:sz w:val="20"/>
                <w:szCs w:val="20"/>
              </w:rPr>
              <w:t>Academic Council</w:t>
            </w:r>
          </w:p>
        </w:tc>
        <w:tc>
          <w:tcPr>
            <w:tcW w:w="2141" w:type="dxa"/>
            <w:shd w:val="clear" w:color="auto" w:fill="D9D9D9" w:themeFill="background1" w:themeFillShade="D9"/>
            <w:tcMar>
              <w:left w:w="0" w:type="dxa"/>
              <w:right w:w="0" w:type="dxa"/>
            </w:tcMar>
          </w:tcPr>
          <w:p w:rsidR="00E03E2A" w:rsidRPr="00743A41" w:rsidRDefault="00E03E2A" w:rsidP="00A37ED6">
            <w:pPr>
              <w:tabs>
                <w:tab w:val="left" w:pos="720"/>
              </w:tabs>
              <w:ind w:left="104" w:right="49"/>
              <w:rPr>
                <w:rFonts w:asciiTheme="majorHAnsi" w:eastAsia="Arial" w:hAnsiTheme="majorHAnsi" w:cstheme="majorHAnsi"/>
                <w:sz w:val="20"/>
                <w:szCs w:val="20"/>
              </w:rPr>
            </w:pPr>
            <w:r w:rsidRPr="00743A41">
              <w:rPr>
                <w:rFonts w:asciiTheme="majorHAnsi" w:eastAsia="Arial" w:hAnsiTheme="majorHAnsi" w:cstheme="majorHAnsi"/>
                <w:sz w:val="20"/>
                <w:szCs w:val="20"/>
              </w:rPr>
              <w:t>Abigail Sedory</w:t>
            </w:r>
          </w:p>
        </w:tc>
        <w:tc>
          <w:tcPr>
            <w:tcW w:w="2141" w:type="dxa"/>
            <w:shd w:val="clear" w:color="auto" w:fill="D9D9D9" w:themeFill="background1" w:themeFillShade="D9"/>
            <w:tcMar>
              <w:left w:w="0" w:type="dxa"/>
              <w:right w:w="0" w:type="dxa"/>
            </w:tcMar>
          </w:tcPr>
          <w:p w:rsidR="00E03E2A" w:rsidRPr="00743A41" w:rsidRDefault="00E03E2A" w:rsidP="00A37ED6">
            <w:pPr>
              <w:tabs>
                <w:tab w:val="left" w:pos="720"/>
              </w:tabs>
              <w:ind w:left="117" w:right="126"/>
              <w:rPr>
                <w:rFonts w:asciiTheme="majorHAnsi" w:eastAsia="Arial" w:hAnsiTheme="majorHAnsi" w:cstheme="majorHAnsi"/>
                <w:sz w:val="20"/>
                <w:szCs w:val="20"/>
              </w:rPr>
            </w:pPr>
            <w:r w:rsidRPr="00743A41">
              <w:rPr>
                <w:rFonts w:asciiTheme="majorHAnsi" w:hAnsiTheme="majorHAnsi" w:cstheme="majorHAnsi"/>
                <w:sz w:val="20"/>
                <w:szCs w:val="20"/>
              </w:rPr>
              <w:t>Andrea Suresh Rajkumar</w:t>
            </w:r>
          </w:p>
        </w:tc>
        <w:tc>
          <w:tcPr>
            <w:tcW w:w="2142" w:type="dxa"/>
            <w:shd w:val="clear" w:color="auto" w:fill="D9D9D9" w:themeFill="background1" w:themeFillShade="D9"/>
            <w:tcMar>
              <w:left w:w="0" w:type="dxa"/>
              <w:right w:w="0" w:type="dxa"/>
            </w:tcMar>
          </w:tcPr>
          <w:p w:rsidR="00E03E2A" w:rsidRPr="00743A41" w:rsidRDefault="00E03E2A" w:rsidP="00A37ED6">
            <w:pPr>
              <w:ind w:left="54" w:right="98"/>
              <w:rPr>
                <w:rFonts w:asciiTheme="majorHAnsi" w:eastAsia="Arial" w:hAnsiTheme="majorHAnsi" w:cstheme="majorHAnsi"/>
                <w:sz w:val="20"/>
                <w:szCs w:val="20"/>
              </w:rPr>
            </w:pPr>
            <w:r w:rsidRPr="00743A41">
              <w:rPr>
                <w:rFonts w:asciiTheme="majorHAnsi" w:eastAsia="Arial" w:hAnsiTheme="majorHAnsi" w:cstheme="majorHAnsi"/>
                <w:sz w:val="20"/>
                <w:szCs w:val="20"/>
              </w:rPr>
              <w:t>Andrea Suresh Rajkumar</w:t>
            </w:r>
          </w:p>
        </w:tc>
      </w:tr>
      <w:tr w:rsidR="00E03E2A" w:rsidRPr="00743A41" w:rsidTr="006D6566">
        <w:tc>
          <w:tcPr>
            <w:tcW w:w="2141" w:type="dxa"/>
            <w:tcMar>
              <w:left w:w="0" w:type="dxa"/>
              <w:right w:w="0" w:type="dxa"/>
            </w:tcMar>
          </w:tcPr>
          <w:p w:rsidR="00E03E2A" w:rsidRPr="00743A41" w:rsidRDefault="00E03E2A" w:rsidP="00A37ED6">
            <w:pPr>
              <w:tabs>
                <w:tab w:val="left" w:pos="720"/>
              </w:tabs>
              <w:ind w:left="90" w:right="76"/>
              <w:rPr>
                <w:rFonts w:asciiTheme="majorHAnsi" w:eastAsia="Arial" w:hAnsiTheme="majorHAnsi" w:cstheme="majorHAnsi"/>
                <w:sz w:val="20"/>
                <w:szCs w:val="20"/>
              </w:rPr>
            </w:pPr>
            <w:r w:rsidRPr="00743A41">
              <w:rPr>
                <w:rFonts w:asciiTheme="majorHAnsi" w:eastAsia="Arial" w:hAnsiTheme="majorHAnsi" w:cstheme="majorHAnsi"/>
                <w:sz w:val="20"/>
                <w:szCs w:val="20"/>
              </w:rPr>
              <w:t>School-wide Course Review Committee</w:t>
            </w:r>
          </w:p>
        </w:tc>
        <w:tc>
          <w:tcPr>
            <w:tcW w:w="2141" w:type="dxa"/>
            <w:tcMar>
              <w:left w:w="0" w:type="dxa"/>
              <w:right w:w="0" w:type="dxa"/>
            </w:tcMar>
          </w:tcPr>
          <w:p w:rsidR="00E03E2A" w:rsidRPr="00743A41" w:rsidRDefault="00E03E2A" w:rsidP="00A37ED6">
            <w:pPr>
              <w:tabs>
                <w:tab w:val="left" w:pos="720"/>
              </w:tabs>
              <w:ind w:left="104" w:right="49"/>
              <w:rPr>
                <w:rFonts w:asciiTheme="majorHAnsi" w:eastAsia="Arial" w:hAnsiTheme="majorHAnsi" w:cstheme="majorHAnsi"/>
                <w:sz w:val="20"/>
                <w:szCs w:val="20"/>
              </w:rPr>
            </w:pPr>
            <w:r w:rsidRPr="00743A41">
              <w:rPr>
                <w:rFonts w:asciiTheme="majorHAnsi" w:eastAsia="Arial" w:hAnsiTheme="majorHAnsi" w:cstheme="majorHAnsi"/>
                <w:sz w:val="20"/>
                <w:szCs w:val="20"/>
              </w:rPr>
              <w:t>Tiara Smith</w:t>
            </w:r>
          </w:p>
        </w:tc>
        <w:tc>
          <w:tcPr>
            <w:tcW w:w="2141" w:type="dxa"/>
            <w:shd w:val="clear" w:color="auto" w:fill="auto"/>
            <w:tcMar>
              <w:left w:w="0" w:type="dxa"/>
              <w:right w:w="0" w:type="dxa"/>
            </w:tcMar>
          </w:tcPr>
          <w:p w:rsidR="00E03E2A" w:rsidRPr="00743A41" w:rsidRDefault="006D6566" w:rsidP="00A37ED6">
            <w:pPr>
              <w:tabs>
                <w:tab w:val="left" w:pos="720"/>
              </w:tabs>
              <w:ind w:left="117" w:right="126"/>
              <w:rPr>
                <w:rFonts w:asciiTheme="majorHAnsi" w:eastAsia="Arial" w:hAnsiTheme="majorHAnsi" w:cstheme="majorHAnsi"/>
                <w:sz w:val="20"/>
                <w:szCs w:val="20"/>
              </w:rPr>
            </w:pPr>
            <w:r w:rsidRPr="00743A41">
              <w:rPr>
                <w:rFonts w:asciiTheme="majorHAnsi" w:eastAsia="Arial" w:hAnsiTheme="majorHAnsi" w:cstheme="majorHAnsi"/>
                <w:sz w:val="20"/>
                <w:szCs w:val="20"/>
              </w:rPr>
              <w:t>Olga Yatsenko</w:t>
            </w:r>
          </w:p>
        </w:tc>
        <w:tc>
          <w:tcPr>
            <w:tcW w:w="2142" w:type="dxa"/>
            <w:tcMar>
              <w:left w:w="0" w:type="dxa"/>
              <w:right w:w="0" w:type="dxa"/>
            </w:tcMar>
          </w:tcPr>
          <w:p w:rsidR="00E03E2A" w:rsidRPr="00743A41" w:rsidRDefault="00E03E2A" w:rsidP="00A37ED6">
            <w:pPr>
              <w:tabs>
                <w:tab w:val="left" w:pos="720"/>
              </w:tabs>
              <w:ind w:left="54" w:right="98"/>
              <w:rPr>
                <w:rFonts w:asciiTheme="majorHAnsi" w:eastAsia="Arial" w:hAnsiTheme="majorHAnsi" w:cstheme="majorHAnsi"/>
                <w:sz w:val="20"/>
                <w:szCs w:val="20"/>
              </w:rPr>
            </w:pPr>
            <w:r w:rsidRPr="00743A41">
              <w:rPr>
                <w:rFonts w:asciiTheme="majorHAnsi" w:eastAsia="Arial" w:hAnsiTheme="majorHAnsi" w:cstheme="majorHAnsi"/>
                <w:sz w:val="20"/>
                <w:szCs w:val="20"/>
              </w:rPr>
              <w:t>Olga Yatsenko</w:t>
            </w:r>
          </w:p>
        </w:tc>
      </w:tr>
      <w:tr w:rsidR="00E03E2A" w:rsidRPr="00743A41" w:rsidTr="00A21EE9">
        <w:tc>
          <w:tcPr>
            <w:tcW w:w="2141" w:type="dxa"/>
            <w:shd w:val="clear" w:color="auto" w:fill="D9D9D9" w:themeFill="background1" w:themeFillShade="D9"/>
            <w:tcMar>
              <w:left w:w="0" w:type="dxa"/>
              <w:right w:w="0" w:type="dxa"/>
            </w:tcMar>
          </w:tcPr>
          <w:p w:rsidR="00E03E2A" w:rsidRPr="00743A41" w:rsidRDefault="00E03E2A" w:rsidP="00A37ED6">
            <w:pPr>
              <w:tabs>
                <w:tab w:val="left" w:pos="720"/>
              </w:tabs>
              <w:ind w:left="90" w:right="76"/>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CEPH Steering Committee </w:t>
            </w:r>
          </w:p>
        </w:tc>
        <w:tc>
          <w:tcPr>
            <w:tcW w:w="2141" w:type="dxa"/>
            <w:shd w:val="clear" w:color="auto" w:fill="D9D9D9" w:themeFill="background1" w:themeFillShade="D9"/>
            <w:tcMar>
              <w:left w:w="0" w:type="dxa"/>
              <w:right w:w="0" w:type="dxa"/>
            </w:tcMar>
          </w:tcPr>
          <w:p w:rsidR="00E03E2A" w:rsidRPr="00743A41" w:rsidRDefault="00E03E2A" w:rsidP="00A37ED6">
            <w:pPr>
              <w:tabs>
                <w:tab w:val="left" w:pos="720"/>
              </w:tabs>
              <w:ind w:left="104" w:right="49"/>
              <w:rPr>
                <w:rFonts w:asciiTheme="majorHAnsi" w:eastAsia="Arial" w:hAnsiTheme="majorHAnsi" w:cstheme="majorHAnsi"/>
                <w:sz w:val="20"/>
                <w:szCs w:val="20"/>
              </w:rPr>
            </w:pPr>
            <w:r w:rsidRPr="00743A41">
              <w:rPr>
                <w:rFonts w:asciiTheme="majorHAnsi" w:eastAsia="Arial" w:hAnsiTheme="majorHAnsi" w:cstheme="majorHAnsi"/>
                <w:sz w:val="20"/>
                <w:szCs w:val="20"/>
              </w:rPr>
              <w:t>Abigail Sedory</w:t>
            </w:r>
            <w:r w:rsidRPr="00743A41">
              <w:rPr>
                <w:rFonts w:asciiTheme="majorHAnsi" w:eastAsia="Arial" w:hAnsiTheme="majorHAnsi" w:cstheme="majorHAnsi"/>
                <w:sz w:val="20"/>
                <w:szCs w:val="20"/>
              </w:rPr>
              <w:br/>
              <w:t>Angela Frazier</w:t>
            </w:r>
          </w:p>
        </w:tc>
        <w:tc>
          <w:tcPr>
            <w:tcW w:w="2141" w:type="dxa"/>
            <w:shd w:val="clear" w:color="auto" w:fill="D9D9D9" w:themeFill="background1" w:themeFillShade="D9"/>
            <w:tcMar>
              <w:left w:w="0" w:type="dxa"/>
              <w:right w:w="0" w:type="dxa"/>
            </w:tcMar>
          </w:tcPr>
          <w:p w:rsidR="00E03E2A" w:rsidRPr="00743A41" w:rsidRDefault="006D6566" w:rsidP="00A37ED6">
            <w:pPr>
              <w:tabs>
                <w:tab w:val="left" w:pos="720"/>
              </w:tabs>
              <w:ind w:left="117" w:right="126"/>
              <w:rPr>
                <w:rFonts w:asciiTheme="majorHAnsi" w:eastAsia="Arial" w:hAnsiTheme="majorHAnsi" w:cstheme="majorHAnsi"/>
                <w:sz w:val="20"/>
                <w:szCs w:val="20"/>
              </w:rPr>
            </w:pPr>
            <w:r w:rsidRPr="00743A41">
              <w:rPr>
                <w:rFonts w:asciiTheme="majorHAnsi" w:eastAsia="Arial" w:hAnsiTheme="majorHAnsi" w:cstheme="majorHAnsi"/>
                <w:sz w:val="20"/>
                <w:szCs w:val="20"/>
              </w:rPr>
              <w:t>Elizabeth Leass</w:t>
            </w:r>
          </w:p>
        </w:tc>
        <w:tc>
          <w:tcPr>
            <w:tcW w:w="2142" w:type="dxa"/>
            <w:shd w:val="clear" w:color="auto" w:fill="D9D9D9" w:themeFill="background1" w:themeFillShade="D9"/>
            <w:tcMar>
              <w:left w:w="0" w:type="dxa"/>
              <w:right w:w="0" w:type="dxa"/>
            </w:tcMar>
          </w:tcPr>
          <w:p w:rsidR="00E03E2A" w:rsidRPr="00743A41" w:rsidRDefault="00E03E2A" w:rsidP="00A37ED6">
            <w:pPr>
              <w:tabs>
                <w:tab w:val="left" w:pos="720"/>
              </w:tabs>
              <w:ind w:left="54" w:right="98"/>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Elizabeth Leass </w:t>
            </w:r>
          </w:p>
        </w:tc>
      </w:tr>
      <w:tr w:rsidR="00E03E2A" w:rsidRPr="00743A41" w:rsidTr="00AC4AAA">
        <w:tc>
          <w:tcPr>
            <w:tcW w:w="2141" w:type="dxa"/>
            <w:tcMar>
              <w:left w:w="0" w:type="dxa"/>
              <w:right w:w="0" w:type="dxa"/>
            </w:tcMar>
          </w:tcPr>
          <w:p w:rsidR="00E03E2A" w:rsidRPr="00743A41" w:rsidRDefault="00E03E2A" w:rsidP="00A37ED6">
            <w:pPr>
              <w:tabs>
                <w:tab w:val="left" w:pos="720"/>
              </w:tabs>
              <w:ind w:left="90" w:right="76"/>
              <w:rPr>
                <w:rFonts w:asciiTheme="majorHAnsi" w:eastAsia="Arial" w:hAnsiTheme="majorHAnsi" w:cstheme="majorHAnsi"/>
                <w:sz w:val="20"/>
                <w:szCs w:val="20"/>
              </w:rPr>
            </w:pPr>
            <w:r w:rsidRPr="00743A41">
              <w:rPr>
                <w:rFonts w:asciiTheme="majorHAnsi" w:eastAsia="Arial" w:hAnsiTheme="majorHAnsi" w:cstheme="majorHAnsi"/>
                <w:sz w:val="20"/>
                <w:szCs w:val="20"/>
              </w:rPr>
              <w:t>Practice Council</w:t>
            </w:r>
          </w:p>
        </w:tc>
        <w:tc>
          <w:tcPr>
            <w:tcW w:w="2141" w:type="dxa"/>
            <w:shd w:val="clear" w:color="auto" w:fill="auto"/>
            <w:tcMar>
              <w:left w:w="0" w:type="dxa"/>
              <w:right w:w="0" w:type="dxa"/>
            </w:tcMar>
          </w:tcPr>
          <w:p w:rsidR="00E03E2A" w:rsidRPr="00743A41" w:rsidRDefault="00E03E2A" w:rsidP="00A37ED6">
            <w:pPr>
              <w:tabs>
                <w:tab w:val="left" w:pos="720"/>
              </w:tabs>
              <w:ind w:left="104" w:right="49"/>
              <w:rPr>
                <w:rFonts w:asciiTheme="majorHAnsi" w:eastAsia="Arial" w:hAnsiTheme="majorHAnsi" w:cstheme="majorHAnsi"/>
                <w:sz w:val="20"/>
                <w:szCs w:val="20"/>
              </w:rPr>
            </w:pPr>
            <w:r w:rsidRPr="00743A41">
              <w:rPr>
                <w:rFonts w:asciiTheme="majorHAnsi" w:eastAsia="Arial" w:hAnsiTheme="majorHAnsi" w:cstheme="majorHAnsi"/>
                <w:sz w:val="20"/>
                <w:szCs w:val="20"/>
              </w:rPr>
              <w:t>Elizabeth Leass</w:t>
            </w:r>
          </w:p>
        </w:tc>
        <w:tc>
          <w:tcPr>
            <w:tcW w:w="2141" w:type="dxa"/>
            <w:shd w:val="clear" w:color="auto" w:fill="auto"/>
            <w:tcMar>
              <w:left w:w="0" w:type="dxa"/>
              <w:right w:w="0" w:type="dxa"/>
            </w:tcMar>
          </w:tcPr>
          <w:p w:rsidR="00E03E2A" w:rsidRPr="00743A41" w:rsidRDefault="00AC4AAA" w:rsidP="00A37ED6">
            <w:pPr>
              <w:tabs>
                <w:tab w:val="left" w:pos="720"/>
              </w:tabs>
              <w:ind w:left="117" w:right="126"/>
              <w:rPr>
                <w:rFonts w:asciiTheme="majorHAnsi" w:eastAsia="Arial" w:hAnsiTheme="majorHAnsi" w:cstheme="majorHAnsi"/>
                <w:sz w:val="20"/>
                <w:szCs w:val="20"/>
              </w:rPr>
            </w:pPr>
            <w:r w:rsidRPr="00743A41">
              <w:rPr>
                <w:rFonts w:asciiTheme="majorHAnsi" w:eastAsia="Arial" w:hAnsiTheme="majorHAnsi" w:cstheme="majorHAnsi"/>
                <w:sz w:val="20"/>
                <w:szCs w:val="20"/>
              </w:rPr>
              <w:t>Evit John</w:t>
            </w:r>
          </w:p>
        </w:tc>
        <w:tc>
          <w:tcPr>
            <w:tcW w:w="2142" w:type="dxa"/>
            <w:tcMar>
              <w:left w:w="0" w:type="dxa"/>
              <w:right w:w="0" w:type="dxa"/>
            </w:tcMar>
          </w:tcPr>
          <w:p w:rsidR="00E03E2A" w:rsidRPr="00743A41" w:rsidRDefault="00E03E2A" w:rsidP="00A37ED6">
            <w:pPr>
              <w:tabs>
                <w:tab w:val="left" w:pos="720"/>
              </w:tabs>
              <w:ind w:left="54" w:right="98"/>
              <w:rPr>
                <w:rFonts w:asciiTheme="majorHAnsi" w:eastAsia="Arial" w:hAnsiTheme="majorHAnsi" w:cstheme="majorHAnsi"/>
                <w:sz w:val="20"/>
                <w:szCs w:val="20"/>
              </w:rPr>
            </w:pPr>
            <w:r w:rsidRPr="00743A41">
              <w:rPr>
                <w:rFonts w:asciiTheme="majorHAnsi" w:eastAsia="Arial" w:hAnsiTheme="majorHAnsi" w:cstheme="majorHAnsi"/>
                <w:sz w:val="20"/>
                <w:szCs w:val="20"/>
              </w:rPr>
              <w:t>Evit John</w:t>
            </w:r>
          </w:p>
        </w:tc>
      </w:tr>
      <w:tr w:rsidR="00E03E2A" w:rsidRPr="00743A41" w:rsidTr="00AC4AAA">
        <w:tc>
          <w:tcPr>
            <w:tcW w:w="2141" w:type="dxa"/>
            <w:shd w:val="clear" w:color="auto" w:fill="D9D9D9" w:themeFill="background1" w:themeFillShade="D9"/>
            <w:tcMar>
              <w:left w:w="0" w:type="dxa"/>
              <w:right w:w="0" w:type="dxa"/>
            </w:tcMar>
          </w:tcPr>
          <w:p w:rsidR="00E03E2A" w:rsidRPr="00743A41" w:rsidRDefault="00E03E2A" w:rsidP="00A37ED6">
            <w:pPr>
              <w:tabs>
                <w:tab w:val="left" w:pos="720"/>
              </w:tabs>
              <w:ind w:left="90" w:right="76"/>
              <w:rPr>
                <w:rFonts w:asciiTheme="majorHAnsi" w:eastAsia="Arial" w:hAnsiTheme="majorHAnsi" w:cstheme="majorHAnsi"/>
                <w:sz w:val="20"/>
                <w:szCs w:val="20"/>
              </w:rPr>
            </w:pPr>
            <w:r w:rsidRPr="00743A41">
              <w:rPr>
                <w:rFonts w:asciiTheme="majorHAnsi" w:eastAsia="Arial" w:hAnsiTheme="majorHAnsi" w:cstheme="majorHAnsi"/>
                <w:sz w:val="20"/>
                <w:szCs w:val="20"/>
              </w:rPr>
              <w:t>Research Council</w:t>
            </w:r>
          </w:p>
        </w:tc>
        <w:tc>
          <w:tcPr>
            <w:tcW w:w="2141" w:type="dxa"/>
            <w:shd w:val="clear" w:color="auto" w:fill="D9D9D9" w:themeFill="background1" w:themeFillShade="D9"/>
            <w:tcMar>
              <w:left w:w="0" w:type="dxa"/>
              <w:right w:w="0" w:type="dxa"/>
            </w:tcMar>
          </w:tcPr>
          <w:p w:rsidR="00E03E2A" w:rsidRPr="00743A41" w:rsidRDefault="00E03E2A" w:rsidP="00A37ED6">
            <w:pPr>
              <w:tabs>
                <w:tab w:val="left" w:pos="720"/>
              </w:tabs>
              <w:ind w:left="104" w:right="49"/>
              <w:rPr>
                <w:rFonts w:asciiTheme="majorHAnsi" w:eastAsia="Arial" w:hAnsiTheme="majorHAnsi" w:cstheme="majorHAnsi"/>
                <w:sz w:val="20"/>
                <w:szCs w:val="20"/>
              </w:rPr>
            </w:pPr>
            <w:r w:rsidRPr="00743A41">
              <w:rPr>
                <w:rFonts w:asciiTheme="majorHAnsi" w:eastAsia="Arial" w:hAnsiTheme="majorHAnsi" w:cstheme="majorHAnsi"/>
                <w:sz w:val="20"/>
                <w:szCs w:val="20"/>
              </w:rPr>
              <w:t>Sayali Tungare</w:t>
            </w:r>
          </w:p>
        </w:tc>
        <w:tc>
          <w:tcPr>
            <w:tcW w:w="2141" w:type="dxa"/>
            <w:shd w:val="clear" w:color="auto" w:fill="D9D9D9" w:themeFill="background1" w:themeFillShade="D9"/>
            <w:tcMar>
              <w:left w:w="0" w:type="dxa"/>
              <w:right w:w="0" w:type="dxa"/>
            </w:tcMar>
          </w:tcPr>
          <w:p w:rsidR="00E03E2A" w:rsidRPr="00743A41" w:rsidRDefault="00AC4AAA" w:rsidP="00A37ED6">
            <w:pPr>
              <w:tabs>
                <w:tab w:val="left" w:pos="720"/>
              </w:tabs>
              <w:ind w:left="117" w:right="126"/>
              <w:rPr>
                <w:rFonts w:asciiTheme="majorHAnsi" w:eastAsia="Arial" w:hAnsiTheme="majorHAnsi" w:cstheme="majorHAnsi"/>
                <w:sz w:val="20"/>
                <w:szCs w:val="20"/>
              </w:rPr>
            </w:pPr>
            <w:r w:rsidRPr="00743A41">
              <w:rPr>
                <w:rFonts w:asciiTheme="majorHAnsi" w:eastAsia="Arial" w:hAnsiTheme="majorHAnsi" w:cstheme="majorHAnsi"/>
                <w:sz w:val="20"/>
                <w:szCs w:val="20"/>
              </w:rPr>
              <w:t>Gen Zhu</w:t>
            </w:r>
          </w:p>
        </w:tc>
        <w:tc>
          <w:tcPr>
            <w:tcW w:w="2142" w:type="dxa"/>
            <w:shd w:val="clear" w:color="auto" w:fill="D9D9D9" w:themeFill="background1" w:themeFillShade="D9"/>
            <w:tcMar>
              <w:left w:w="0" w:type="dxa"/>
              <w:right w:w="0" w:type="dxa"/>
            </w:tcMar>
          </w:tcPr>
          <w:p w:rsidR="00E03E2A" w:rsidRPr="00743A41" w:rsidRDefault="00AC4AAA" w:rsidP="00A37ED6">
            <w:pPr>
              <w:tabs>
                <w:tab w:val="left" w:pos="720"/>
              </w:tabs>
              <w:ind w:left="54" w:right="98"/>
              <w:rPr>
                <w:rFonts w:asciiTheme="majorHAnsi" w:eastAsia="Arial" w:hAnsiTheme="majorHAnsi" w:cstheme="majorHAnsi"/>
                <w:sz w:val="20"/>
                <w:szCs w:val="20"/>
              </w:rPr>
            </w:pPr>
            <w:r w:rsidRPr="00743A41">
              <w:rPr>
                <w:rFonts w:asciiTheme="majorHAnsi" w:eastAsia="Arial" w:hAnsiTheme="majorHAnsi" w:cstheme="majorHAnsi"/>
                <w:sz w:val="20"/>
                <w:szCs w:val="20"/>
              </w:rPr>
              <w:t>Gen Zhu</w:t>
            </w:r>
          </w:p>
        </w:tc>
      </w:tr>
      <w:tr w:rsidR="00E03E2A" w:rsidRPr="00743A41" w:rsidTr="00AC4AAA">
        <w:tc>
          <w:tcPr>
            <w:tcW w:w="2141" w:type="dxa"/>
            <w:tcMar>
              <w:left w:w="0" w:type="dxa"/>
              <w:right w:w="0" w:type="dxa"/>
            </w:tcMar>
          </w:tcPr>
          <w:p w:rsidR="00E03E2A" w:rsidRPr="00743A41" w:rsidRDefault="00E03E2A" w:rsidP="00A37ED6">
            <w:pPr>
              <w:tabs>
                <w:tab w:val="left" w:pos="720"/>
              </w:tabs>
              <w:ind w:left="90" w:right="76"/>
              <w:rPr>
                <w:rFonts w:asciiTheme="majorHAnsi" w:eastAsia="Arial" w:hAnsiTheme="majorHAnsi" w:cstheme="majorHAnsi"/>
                <w:sz w:val="20"/>
                <w:szCs w:val="20"/>
              </w:rPr>
            </w:pPr>
            <w:r w:rsidRPr="00743A41">
              <w:rPr>
                <w:rFonts w:asciiTheme="majorHAnsi" w:eastAsia="Arial" w:hAnsiTheme="majorHAnsi" w:cstheme="majorHAnsi"/>
                <w:sz w:val="20"/>
                <w:szCs w:val="20"/>
              </w:rPr>
              <w:t>Student Concerns</w:t>
            </w:r>
          </w:p>
        </w:tc>
        <w:tc>
          <w:tcPr>
            <w:tcW w:w="2141" w:type="dxa"/>
            <w:shd w:val="clear" w:color="auto" w:fill="auto"/>
            <w:tcMar>
              <w:left w:w="0" w:type="dxa"/>
              <w:right w:w="0" w:type="dxa"/>
            </w:tcMar>
          </w:tcPr>
          <w:p w:rsidR="00E03E2A" w:rsidRPr="00743A41" w:rsidRDefault="00E03E2A" w:rsidP="00A37ED6">
            <w:pPr>
              <w:tabs>
                <w:tab w:val="left" w:pos="720"/>
              </w:tabs>
              <w:ind w:left="104" w:right="49"/>
              <w:rPr>
                <w:rFonts w:asciiTheme="majorHAnsi" w:eastAsia="Arial" w:hAnsiTheme="majorHAnsi" w:cstheme="majorHAnsi"/>
                <w:sz w:val="20"/>
                <w:szCs w:val="20"/>
              </w:rPr>
            </w:pPr>
            <w:r w:rsidRPr="00743A41">
              <w:rPr>
                <w:rFonts w:asciiTheme="majorHAnsi" w:eastAsia="Arial" w:hAnsiTheme="majorHAnsi" w:cstheme="majorHAnsi"/>
                <w:sz w:val="20"/>
                <w:szCs w:val="20"/>
              </w:rPr>
              <w:t>Claire Jamison</w:t>
            </w:r>
          </w:p>
        </w:tc>
        <w:tc>
          <w:tcPr>
            <w:tcW w:w="2141" w:type="dxa"/>
            <w:shd w:val="clear" w:color="auto" w:fill="auto"/>
            <w:tcMar>
              <w:left w:w="0" w:type="dxa"/>
              <w:right w:w="0" w:type="dxa"/>
            </w:tcMar>
          </w:tcPr>
          <w:p w:rsidR="00AC4AAA" w:rsidRPr="00743A41" w:rsidRDefault="00AC4AAA" w:rsidP="00A37ED6">
            <w:pPr>
              <w:tabs>
                <w:tab w:val="left" w:pos="720"/>
              </w:tabs>
              <w:ind w:left="117" w:right="126"/>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Cased Enzler; </w:t>
            </w:r>
          </w:p>
          <w:p w:rsidR="00E03E2A" w:rsidRPr="00743A41" w:rsidRDefault="00AC4AAA" w:rsidP="00A37ED6">
            <w:pPr>
              <w:tabs>
                <w:tab w:val="left" w:pos="720"/>
              </w:tabs>
              <w:ind w:left="117" w:right="126"/>
              <w:rPr>
                <w:rFonts w:asciiTheme="majorHAnsi" w:eastAsia="Arial" w:hAnsiTheme="majorHAnsi" w:cstheme="majorHAnsi"/>
                <w:sz w:val="20"/>
                <w:szCs w:val="20"/>
              </w:rPr>
            </w:pPr>
            <w:r w:rsidRPr="00743A41">
              <w:rPr>
                <w:rFonts w:asciiTheme="majorHAnsi" w:eastAsia="Arial" w:hAnsiTheme="majorHAnsi" w:cstheme="majorHAnsi"/>
                <w:sz w:val="20"/>
                <w:szCs w:val="20"/>
              </w:rPr>
              <w:t>Alexis Sims</w:t>
            </w:r>
          </w:p>
        </w:tc>
        <w:tc>
          <w:tcPr>
            <w:tcW w:w="2142" w:type="dxa"/>
            <w:tcMar>
              <w:left w:w="0" w:type="dxa"/>
              <w:right w:w="0" w:type="dxa"/>
            </w:tcMar>
          </w:tcPr>
          <w:p w:rsidR="00E03E2A" w:rsidRPr="00743A41" w:rsidRDefault="00E03E2A" w:rsidP="00A37ED6">
            <w:pPr>
              <w:tabs>
                <w:tab w:val="left" w:pos="720"/>
              </w:tabs>
              <w:ind w:left="54" w:right="98"/>
              <w:rPr>
                <w:rFonts w:asciiTheme="majorHAnsi" w:eastAsia="Arial" w:hAnsiTheme="majorHAnsi" w:cstheme="majorHAnsi"/>
                <w:sz w:val="20"/>
                <w:szCs w:val="20"/>
              </w:rPr>
            </w:pPr>
            <w:r w:rsidRPr="00743A41">
              <w:rPr>
                <w:rFonts w:asciiTheme="majorHAnsi" w:eastAsia="Arial" w:hAnsiTheme="majorHAnsi" w:cstheme="majorHAnsi"/>
                <w:sz w:val="20"/>
                <w:szCs w:val="20"/>
              </w:rPr>
              <w:t>Alexis Sims</w:t>
            </w:r>
          </w:p>
        </w:tc>
      </w:tr>
      <w:tr w:rsidR="00E03E2A" w:rsidRPr="00743A41" w:rsidTr="00AC4AAA">
        <w:tc>
          <w:tcPr>
            <w:tcW w:w="2141" w:type="dxa"/>
            <w:shd w:val="clear" w:color="auto" w:fill="D9D9D9" w:themeFill="background1" w:themeFillShade="D9"/>
            <w:tcMar>
              <w:left w:w="0" w:type="dxa"/>
              <w:right w:w="0" w:type="dxa"/>
            </w:tcMar>
          </w:tcPr>
          <w:p w:rsidR="00E03E2A" w:rsidRPr="00743A41" w:rsidRDefault="00F72A1A" w:rsidP="00A37ED6">
            <w:pPr>
              <w:tabs>
                <w:tab w:val="left" w:pos="720"/>
              </w:tabs>
              <w:ind w:left="90" w:right="76"/>
              <w:rPr>
                <w:rFonts w:asciiTheme="majorHAnsi" w:eastAsia="Arial" w:hAnsiTheme="majorHAnsi" w:cstheme="majorHAnsi"/>
                <w:sz w:val="20"/>
                <w:szCs w:val="20"/>
              </w:rPr>
            </w:pPr>
            <w:r w:rsidRPr="00743A41">
              <w:rPr>
                <w:rFonts w:asciiTheme="majorHAnsi" w:eastAsia="Arial" w:hAnsiTheme="majorHAnsi" w:cstheme="majorHAnsi"/>
                <w:sz w:val="20"/>
                <w:szCs w:val="20"/>
              </w:rPr>
              <w:t>SPH Information Technology Faculty Advisory Committee</w:t>
            </w:r>
          </w:p>
        </w:tc>
        <w:tc>
          <w:tcPr>
            <w:tcW w:w="2141" w:type="dxa"/>
            <w:shd w:val="clear" w:color="auto" w:fill="D9D9D9" w:themeFill="background1" w:themeFillShade="D9"/>
            <w:tcMar>
              <w:left w:w="0" w:type="dxa"/>
              <w:right w:w="0" w:type="dxa"/>
            </w:tcMar>
          </w:tcPr>
          <w:p w:rsidR="00E03E2A" w:rsidRPr="00743A41" w:rsidRDefault="00E03E2A" w:rsidP="00A37ED6">
            <w:pPr>
              <w:tabs>
                <w:tab w:val="left" w:pos="720"/>
              </w:tabs>
              <w:ind w:left="104" w:right="49"/>
              <w:rPr>
                <w:rFonts w:asciiTheme="majorHAnsi" w:eastAsia="Arial" w:hAnsiTheme="majorHAnsi" w:cstheme="majorHAnsi"/>
                <w:sz w:val="20"/>
                <w:szCs w:val="20"/>
              </w:rPr>
            </w:pPr>
            <w:r w:rsidRPr="00743A41">
              <w:rPr>
                <w:rFonts w:asciiTheme="majorHAnsi" w:eastAsia="Arial" w:hAnsiTheme="majorHAnsi" w:cstheme="majorHAnsi"/>
                <w:sz w:val="20"/>
                <w:szCs w:val="20"/>
              </w:rPr>
              <w:t>-</w:t>
            </w:r>
          </w:p>
        </w:tc>
        <w:tc>
          <w:tcPr>
            <w:tcW w:w="2141" w:type="dxa"/>
            <w:shd w:val="clear" w:color="auto" w:fill="D9D9D9" w:themeFill="background1" w:themeFillShade="D9"/>
            <w:tcMar>
              <w:left w:w="0" w:type="dxa"/>
              <w:right w:w="0" w:type="dxa"/>
            </w:tcMar>
          </w:tcPr>
          <w:p w:rsidR="00E03E2A" w:rsidRPr="00743A41" w:rsidRDefault="00E03E2A" w:rsidP="00A37ED6">
            <w:pPr>
              <w:tabs>
                <w:tab w:val="left" w:pos="720"/>
              </w:tabs>
              <w:ind w:left="117" w:right="126"/>
              <w:rPr>
                <w:rFonts w:asciiTheme="majorHAnsi" w:eastAsia="Arial" w:hAnsiTheme="majorHAnsi" w:cstheme="majorHAnsi"/>
                <w:sz w:val="20"/>
                <w:szCs w:val="20"/>
              </w:rPr>
            </w:pPr>
            <w:r w:rsidRPr="00743A41">
              <w:rPr>
                <w:rFonts w:asciiTheme="majorHAnsi" w:eastAsia="Arial" w:hAnsiTheme="majorHAnsi" w:cstheme="majorHAnsi"/>
                <w:sz w:val="20"/>
                <w:szCs w:val="20"/>
              </w:rPr>
              <w:t>-</w:t>
            </w:r>
          </w:p>
        </w:tc>
        <w:tc>
          <w:tcPr>
            <w:tcW w:w="2142" w:type="dxa"/>
            <w:shd w:val="clear" w:color="auto" w:fill="D9D9D9" w:themeFill="background1" w:themeFillShade="D9"/>
            <w:tcMar>
              <w:left w:w="0" w:type="dxa"/>
              <w:right w:w="0" w:type="dxa"/>
            </w:tcMar>
          </w:tcPr>
          <w:p w:rsidR="00E03E2A" w:rsidRPr="00743A41" w:rsidRDefault="00E03E2A" w:rsidP="00A37ED6">
            <w:pPr>
              <w:tabs>
                <w:tab w:val="left" w:pos="720"/>
              </w:tabs>
              <w:ind w:left="54" w:right="98"/>
              <w:rPr>
                <w:rFonts w:asciiTheme="majorHAnsi" w:eastAsia="Arial" w:hAnsiTheme="majorHAnsi" w:cstheme="majorHAnsi"/>
                <w:sz w:val="20"/>
                <w:szCs w:val="20"/>
              </w:rPr>
            </w:pPr>
            <w:r w:rsidRPr="00743A41">
              <w:rPr>
                <w:rFonts w:asciiTheme="majorHAnsi" w:eastAsia="Arial" w:hAnsiTheme="majorHAnsi" w:cstheme="majorHAnsi"/>
                <w:sz w:val="20"/>
                <w:szCs w:val="20"/>
              </w:rPr>
              <w:t>Andrew Say</w:t>
            </w:r>
          </w:p>
        </w:tc>
      </w:tr>
      <w:tr w:rsidR="00E03E2A" w:rsidRPr="00743A41" w:rsidTr="00AC4AAA">
        <w:tc>
          <w:tcPr>
            <w:tcW w:w="2141" w:type="dxa"/>
            <w:tcMar>
              <w:left w:w="0" w:type="dxa"/>
              <w:right w:w="0" w:type="dxa"/>
            </w:tcMar>
          </w:tcPr>
          <w:p w:rsidR="00E03E2A" w:rsidRPr="00743A41" w:rsidRDefault="00E03E2A" w:rsidP="00A37ED6">
            <w:pPr>
              <w:tabs>
                <w:tab w:val="left" w:pos="720"/>
              </w:tabs>
              <w:ind w:left="90" w:right="76"/>
              <w:rPr>
                <w:rFonts w:asciiTheme="majorHAnsi" w:eastAsia="Arial" w:hAnsiTheme="majorHAnsi" w:cstheme="majorHAnsi"/>
                <w:sz w:val="20"/>
                <w:szCs w:val="20"/>
              </w:rPr>
            </w:pPr>
            <w:r w:rsidRPr="00743A41">
              <w:rPr>
                <w:rFonts w:asciiTheme="majorHAnsi" w:eastAsia="Arial" w:hAnsiTheme="majorHAnsi" w:cstheme="majorHAnsi"/>
                <w:sz w:val="20"/>
                <w:szCs w:val="20"/>
              </w:rPr>
              <w:t>Inclusion, Diversity, Equity and Advocacy (IDEA)</w:t>
            </w:r>
          </w:p>
        </w:tc>
        <w:tc>
          <w:tcPr>
            <w:tcW w:w="2141" w:type="dxa"/>
            <w:shd w:val="clear" w:color="auto" w:fill="auto"/>
            <w:tcMar>
              <w:left w:w="0" w:type="dxa"/>
              <w:right w:w="0" w:type="dxa"/>
            </w:tcMar>
          </w:tcPr>
          <w:p w:rsidR="00E03E2A" w:rsidRPr="00743A41" w:rsidRDefault="00E03E2A" w:rsidP="00A37ED6">
            <w:pPr>
              <w:tabs>
                <w:tab w:val="left" w:pos="720"/>
              </w:tabs>
              <w:ind w:left="104" w:right="49"/>
              <w:rPr>
                <w:rFonts w:asciiTheme="majorHAnsi" w:eastAsia="Arial" w:hAnsiTheme="majorHAnsi" w:cstheme="majorHAnsi"/>
                <w:sz w:val="20"/>
                <w:szCs w:val="20"/>
              </w:rPr>
            </w:pPr>
            <w:r w:rsidRPr="00743A41">
              <w:rPr>
                <w:rFonts w:asciiTheme="majorHAnsi" w:eastAsia="Arial" w:hAnsiTheme="majorHAnsi" w:cstheme="majorHAnsi"/>
                <w:sz w:val="20"/>
                <w:szCs w:val="20"/>
              </w:rPr>
              <w:t>-</w:t>
            </w:r>
          </w:p>
        </w:tc>
        <w:tc>
          <w:tcPr>
            <w:tcW w:w="2141" w:type="dxa"/>
            <w:shd w:val="clear" w:color="auto" w:fill="auto"/>
            <w:tcMar>
              <w:left w:w="0" w:type="dxa"/>
              <w:right w:w="0" w:type="dxa"/>
            </w:tcMar>
          </w:tcPr>
          <w:p w:rsidR="00E03E2A" w:rsidRPr="00743A41" w:rsidRDefault="00AC4AAA" w:rsidP="00A37ED6">
            <w:pPr>
              <w:tabs>
                <w:tab w:val="left" w:pos="720"/>
              </w:tabs>
              <w:ind w:left="117" w:right="126"/>
              <w:rPr>
                <w:rFonts w:asciiTheme="majorHAnsi" w:eastAsia="Arial" w:hAnsiTheme="majorHAnsi" w:cstheme="majorHAnsi"/>
                <w:sz w:val="20"/>
                <w:szCs w:val="20"/>
              </w:rPr>
            </w:pPr>
            <w:r w:rsidRPr="00743A41">
              <w:rPr>
                <w:rFonts w:asciiTheme="majorHAnsi" w:eastAsia="Arial" w:hAnsiTheme="majorHAnsi" w:cstheme="majorHAnsi"/>
                <w:sz w:val="20"/>
                <w:szCs w:val="20"/>
              </w:rPr>
              <w:t>Micaela Sandoval</w:t>
            </w:r>
          </w:p>
        </w:tc>
        <w:tc>
          <w:tcPr>
            <w:tcW w:w="2142" w:type="dxa"/>
            <w:tcMar>
              <w:left w:w="0" w:type="dxa"/>
              <w:right w:w="0" w:type="dxa"/>
            </w:tcMar>
          </w:tcPr>
          <w:p w:rsidR="00E03E2A" w:rsidRPr="00743A41" w:rsidRDefault="00E03E2A" w:rsidP="00A37ED6">
            <w:pPr>
              <w:tabs>
                <w:tab w:val="left" w:pos="720"/>
              </w:tabs>
              <w:ind w:left="54" w:right="98"/>
              <w:rPr>
                <w:rFonts w:asciiTheme="majorHAnsi" w:eastAsia="Arial" w:hAnsiTheme="majorHAnsi" w:cstheme="majorHAnsi"/>
                <w:sz w:val="20"/>
                <w:szCs w:val="20"/>
              </w:rPr>
            </w:pPr>
            <w:r w:rsidRPr="00743A41">
              <w:rPr>
                <w:rFonts w:asciiTheme="majorHAnsi" w:eastAsia="Arial" w:hAnsiTheme="majorHAnsi" w:cstheme="majorHAnsi"/>
                <w:sz w:val="20"/>
                <w:szCs w:val="20"/>
              </w:rPr>
              <w:t>Alison Welski</w:t>
            </w:r>
          </w:p>
        </w:tc>
      </w:tr>
    </w:tbl>
    <w:p w:rsidR="00E03E2A" w:rsidRPr="00743A41" w:rsidRDefault="00E03E2A" w:rsidP="00A37ED6">
      <w:pPr>
        <w:pStyle w:val="ListParagraph"/>
        <w:contextualSpacing/>
        <w:jc w:val="both"/>
        <w:rPr>
          <w:rFonts w:asciiTheme="majorHAnsi" w:hAnsiTheme="majorHAnsi" w:cstheme="majorHAnsi"/>
          <w:i/>
          <w:szCs w:val="20"/>
        </w:rPr>
      </w:pPr>
    </w:p>
    <w:p w:rsidR="00302459" w:rsidRPr="00743A41" w:rsidRDefault="00302459" w:rsidP="00A37ED6">
      <w:pPr>
        <w:pStyle w:val="ListParagraph"/>
        <w:contextualSpacing/>
        <w:rPr>
          <w:rFonts w:asciiTheme="majorHAnsi" w:hAnsiTheme="majorHAnsi" w:cstheme="majorHAnsi"/>
          <w:szCs w:val="20"/>
        </w:rPr>
      </w:pPr>
      <w:r w:rsidRPr="00743A41">
        <w:rPr>
          <w:rFonts w:asciiTheme="majorHAnsi" w:hAnsiTheme="majorHAnsi" w:cstheme="majorHAnsi"/>
          <w:szCs w:val="20"/>
        </w:rPr>
        <w:t xml:space="preserve">The UTHealth School of Public Health currently has 14 student organizations that are sponsored by UTHealth. UTHealth requires that all student organizations be formally registered (“sponsored”) in order to host events, be exempt from sales tax, maintain a budget (if applicable), etc. Please see the </w:t>
      </w:r>
      <w:r w:rsidR="00384C25" w:rsidRPr="00084C76">
        <w:rPr>
          <w:rFonts w:asciiTheme="majorHAnsi" w:hAnsiTheme="majorHAnsi" w:cstheme="majorHAnsi"/>
        </w:rPr>
        <w:t>UTHealth Student Organization Manual</w:t>
      </w:r>
      <w:r w:rsidR="00384C25" w:rsidRPr="00084C76">
        <w:rPr>
          <w:rFonts w:asciiTheme="majorHAnsi" w:hAnsiTheme="majorHAnsi" w:cstheme="majorHAnsi"/>
          <w:szCs w:val="20"/>
        </w:rPr>
        <w:t xml:space="preserve"> Guidelines and Procedures</w:t>
      </w:r>
      <w:r w:rsidRPr="00084C76">
        <w:rPr>
          <w:rFonts w:asciiTheme="majorHAnsi" w:hAnsiTheme="majorHAnsi" w:cstheme="majorHAnsi"/>
          <w:szCs w:val="20"/>
        </w:rPr>
        <w:t xml:space="preserve"> </w:t>
      </w:r>
      <w:r w:rsidR="00384C25" w:rsidRPr="00084C76">
        <w:rPr>
          <w:rFonts w:asciiTheme="majorHAnsi" w:hAnsiTheme="majorHAnsi" w:cstheme="majorHAnsi"/>
          <w:szCs w:val="20"/>
        </w:rPr>
        <w:t>(</w:t>
      </w:r>
      <w:r w:rsidR="00384C25" w:rsidRPr="00084C76">
        <w:rPr>
          <w:rFonts w:asciiTheme="majorHAnsi" w:hAnsiTheme="majorHAnsi" w:cstheme="majorHAnsi"/>
          <w:i/>
          <w:szCs w:val="20"/>
        </w:rPr>
        <w:t>ERF, A3. Student Engagement,</w:t>
      </w:r>
      <w:r w:rsidR="00384C25" w:rsidRPr="00743A41">
        <w:rPr>
          <w:rFonts w:asciiTheme="majorHAnsi" w:hAnsiTheme="majorHAnsi" w:cstheme="majorHAnsi"/>
          <w:i/>
          <w:szCs w:val="20"/>
        </w:rPr>
        <w:t xml:space="preserve"> UTHealth Student Organization Manual)</w:t>
      </w:r>
      <w:r w:rsidR="00384C25" w:rsidRPr="00743A41">
        <w:rPr>
          <w:rFonts w:asciiTheme="majorHAnsi" w:hAnsiTheme="majorHAnsi" w:cstheme="majorHAnsi"/>
          <w:szCs w:val="20"/>
        </w:rPr>
        <w:t xml:space="preserve"> </w:t>
      </w:r>
      <w:r w:rsidRPr="00743A41">
        <w:rPr>
          <w:rFonts w:asciiTheme="majorHAnsi" w:hAnsiTheme="majorHAnsi" w:cstheme="majorHAnsi"/>
          <w:szCs w:val="20"/>
        </w:rPr>
        <w:t xml:space="preserve">for more information, including policies and procedures regarding student organizations, as well as the bylaws for each student organization; what dues, if any, will be collected; how frequently they will be collected; and what the money will be used for. The SPHSA is the only student organization with direct financial support from UTHealth. UTHealth School of Public Health organizations are listed in </w:t>
      </w:r>
      <w:hyperlink w:anchor="TabeA31b" w:history="1">
        <w:r w:rsidRPr="00743A41">
          <w:rPr>
            <w:rStyle w:val="Hyperlink"/>
            <w:rFonts w:asciiTheme="majorHAnsi" w:hAnsiTheme="majorHAnsi" w:cstheme="majorHAnsi"/>
            <w:szCs w:val="20"/>
          </w:rPr>
          <w:t>Table A.3.1.b.</w:t>
        </w:r>
      </w:hyperlink>
      <w:r w:rsidRPr="00743A41">
        <w:rPr>
          <w:rFonts w:asciiTheme="majorHAnsi" w:hAnsiTheme="majorHAnsi" w:cstheme="majorHAnsi"/>
          <w:szCs w:val="20"/>
        </w:rPr>
        <w:t xml:space="preserve"> The purpose and bylaws of these organizations are available in the electronic resource file (</w:t>
      </w:r>
      <w:r w:rsidR="00A420F1" w:rsidRPr="00743A41">
        <w:rPr>
          <w:rFonts w:asciiTheme="majorHAnsi" w:hAnsiTheme="majorHAnsi" w:cstheme="majorHAnsi"/>
          <w:i/>
          <w:szCs w:val="20"/>
        </w:rPr>
        <w:t>s</w:t>
      </w:r>
      <w:r w:rsidRPr="00743A41">
        <w:rPr>
          <w:rFonts w:asciiTheme="majorHAnsi" w:hAnsiTheme="majorHAnsi" w:cstheme="majorHAnsi"/>
          <w:szCs w:val="20"/>
        </w:rPr>
        <w:t>).</w:t>
      </w:r>
    </w:p>
    <w:p w:rsidR="00FC7909" w:rsidRPr="00743A41" w:rsidRDefault="00FC7909" w:rsidP="00A37ED6">
      <w:pPr>
        <w:pStyle w:val="Default"/>
        <w:jc w:val="both"/>
        <w:rPr>
          <w:rFonts w:asciiTheme="majorHAnsi" w:hAnsiTheme="majorHAnsi" w:cstheme="majorHAnsi"/>
          <w:color w:val="auto"/>
          <w:szCs w:val="20"/>
        </w:rPr>
      </w:pPr>
    </w:p>
    <w:p w:rsidR="00302459" w:rsidRPr="00743A41" w:rsidRDefault="00302459" w:rsidP="00A37ED6">
      <w:pPr>
        <w:pStyle w:val="Default"/>
        <w:ind w:left="720"/>
        <w:jc w:val="both"/>
        <w:rPr>
          <w:rFonts w:asciiTheme="majorHAnsi" w:hAnsiTheme="majorHAnsi" w:cstheme="majorHAnsi"/>
          <w:color w:val="auto"/>
          <w:szCs w:val="20"/>
        </w:rPr>
      </w:pPr>
      <w:bookmarkStart w:id="21" w:name="TabeA31b"/>
      <w:r w:rsidRPr="00743A41">
        <w:rPr>
          <w:rFonts w:asciiTheme="majorHAnsi" w:hAnsiTheme="majorHAnsi" w:cstheme="majorHAnsi"/>
          <w:color w:val="auto"/>
          <w:szCs w:val="20"/>
        </w:rPr>
        <w:t xml:space="preserve">Table A.3.1.b. </w:t>
      </w:r>
      <w:bookmarkEnd w:id="21"/>
      <w:r w:rsidRPr="00743A41">
        <w:rPr>
          <w:rFonts w:asciiTheme="majorHAnsi" w:hAnsiTheme="majorHAnsi" w:cstheme="majorHAnsi"/>
          <w:color w:val="auto"/>
          <w:szCs w:val="20"/>
        </w:rPr>
        <w:t>UTHealth School of Public Health Student Organizations</w:t>
      </w:r>
    </w:p>
    <w:tbl>
      <w:tblPr>
        <w:tblW w:w="85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80"/>
      </w:tblGrid>
      <w:tr w:rsidR="00302459" w:rsidRPr="00743A41" w:rsidTr="00C273E7">
        <w:trPr>
          <w:trHeight w:val="197"/>
          <w:tblHeader/>
        </w:trPr>
        <w:tc>
          <w:tcPr>
            <w:tcW w:w="8580" w:type="dxa"/>
            <w:shd w:val="clear" w:color="auto" w:fill="BFBFBF" w:themeFill="background1" w:themeFillShade="BF"/>
          </w:tcPr>
          <w:p w:rsidR="00302459" w:rsidRPr="00743A41" w:rsidRDefault="00302459" w:rsidP="00A37ED6">
            <w:pPr>
              <w:tabs>
                <w:tab w:val="left" w:pos="720"/>
              </w:tabs>
              <w:ind w:left="360" w:hanging="360"/>
              <w:rPr>
                <w:rFonts w:asciiTheme="majorHAnsi" w:eastAsia="Arial" w:hAnsiTheme="majorHAnsi" w:cstheme="majorHAnsi"/>
                <w:b/>
                <w:color w:val="000000"/>
                <w:sz w:val="20"/>
                <w:szCs w:val="20"/>
              </w:rPr>
            </w:pPr>
            <w:r w:rsidRPr="00743A41">
              <w:rPr>
                <w:rFonts w:asciiTheme="majorHAnsi" w:eastAsia="Arial" w:hAnsiTheme="majorHAnsi" w:cstheme="majorHAnsi"/>
                <w:b/>
                <w:color w:val="000000"/>
                <w:sz w:val="20"/>
                <w:szCs w:val="20"/>
              </w:rPr>
              <w:t>Student Organizations – UTHealth School of Public Health</w:t>
            </w:r>
          </w:p>
        </w:tc>
      </w:tr>
      <w:tr w:rsidR="00302459" w:rsidRPr="00743A41" w:rsidTr="00C273E7">
        <w:trPr>
          <w:trHeight w:val="20"/>
        </w:trPr>
        <w:tc>
          <w:tcPr>
            <w:tcW w:w="8580" w:type="dxa"/>
            <w:shd w:val="clear" w:color="auto" w:fill="auto"/>
          </w:tcPr>
          <w:p w:rsidR="00302459" w:rsidRPr="00743A41" w:rsidRDefault="00302459"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Student Association (Houston-student governance organization)</w:t>
            </w:r>
          </w:p>
        </w:tc>
      </w:tr>
      <w:tr w:rsidR="00302459" w:rsidRPr="00743A41" w:rsidTr="00C273E7">
        <w:trPr>
          <w:trHeight w:val="20"/>
        </w:trPr>
        <w:tc>
          <w:tcPr>
            <w:tcW w:w="8580" w:type="dxa"/>
            <w:shd w:val="clear" w:color="auto" w:fill="D9D9D9" w:themeFill="background1" w:themeFillShade="D9"/>
          </w:tcPr>
          <w:p w:rsidR="00302459" w:rsidRPr="00743A41" w:rsidRDefault="00302459"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Academy Health Student Chapter</w:t>
            </w:r>
          </w:p>
        </w:tc>
      </w:tr>
      <w:tr w:rsidR="00302459" w:rsidRPr="00743A41" w:rsidTr="00C273E7">
        <w:trPr>
          <w:trHeight w:val="20"/>
        </w:trPr>
        <w:tc>
          <w:tcPr>
            <w:tcW w:w="8580" w:type="dxa"/>
            <w:shd w:val="clear" w:color="auto" w:fill="auto"/>
          </w:tcPr>
          <w:p w:rsidR="00302459" w:rsidRPr="00743A41" w:rsidRDefault="00302459"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American Industrial Hygiene Association</w:t>
            </w:r>
          </w:p>
        </w:tc>
      </w:tr>
      <w:tr w:rsidR="00302459" w:rsidRPr="00743A41" w:rsidTr="00C273E7">
        <w:trPr>
          <w:trHeight w:val="20"/>
        </w:trPr>
        <w:tc>
          <w:tcPr>
            <w:tcW w:w="8580" w:type="dxa"/>
            <w:shd w:val="clear" w:color="auto" w:fill="D9D9D9" w:themeFill="background1" w:themeFillShade="D9"/>
          </w:tcPr>
          <w:p w:rsidR="00302459" w:rsidRPr="00743A41" w:rsidRDefault="00302459"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Austin Student Association (student governance organization)</w:t>
            </w:r>
          </w:p>
        </w:tc>
      </w:tr>
      <w:tr w:rsidR="00302459" w:rsidRPr="00743A41" w:rsidTr="00C273E7">
        <w:trPr>
          <w:trHeight w:val="20"/>
        </w:trPr>
        <w:tc>
          <w:tcPr>
            <w:tcW w:w="8580" w:type="dxa"/>
            <w:shd w:val="clear" w:color="auto" w:fill="auto"/>
          </w:tcPr>
          <w:p w:rsidR="00302459" w:rsidRPr="00743A41" w:rsidRDefault="00302459"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Brownsville Regional Campus-Graduate Student Association (GSA)</w:t>
            </w:r>
          </w:p>
        </w:tc>
      </w:tr>
      <w:tr w:rsidR="00302459" w:rsidRPr="00743A41" w:rsidTr="00C273E7">
        <w:trPr>
          <w:trHeight w:val="20"/>
        </w:trPr>
        <w:tc>
          <w:tcPr>
            <w:tcW w:w="8580" w:type="dxa"/>
            <w:shd w:val="clear" w:color="auto" w:fill="D9D9D9" w:themeFill="background1" w:themeFillShade="D9"/>
          </w:tcPr>
          <w:p w:rsidR="00302459" w:rsidRPr="00743A41" w:rsidRDefault="00302459"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Dallas Regional Student Association (student governance organization)</w:t>
            </w:r>
          </w:p>
        </w:tc>
      </w:tr>
      <w:tr w:rsidR="00302459" w:rsidRPr="00743A41" w:rsidTr="00C273E7">
        <w:trPr>
          <w:trHeight w:val="20"/>
        </w:trPr>
        <w:tc>
          <w:tcPr>
            <w:tcW w:w="8580" w:type="dxa"/>
            <w:shd w:val="clear" w:color="auto" w:fill="auto"/>
          </w:tcPr>
          <w:p w:rsidR="00302459" w:rsidRPr="00743A41" w:rsidRDefault="00302459"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El Paso Student Association (EPSA)</w:t>
            </w:r>
          </w:p>
        </w:tc>
      </w:tr>
      <w:tr w:rsidR="00302459" w:rsidRPr="00743A41" w:rsidTr="00C273E7">
        <w:trPr>
          <w:trHeight w:val="20"/>
        </w:trPr>
        <w:tc>
          <w:tcPr>
            <w:tcW w:w="8580" w:type="dxa"/>
            <w:shd w:val="clear" w:color="auto" w:fill="D9D9D9" w:themeFill="background1" w:themeFillShade="D9"/>
          </w:tcPr>
          <w:p w:rsidR="00302459" w:rsidRPr="00743A41" w:rsidRDefault="00302459"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International Society of Pharmaeconomics and Outcomes Research Student (ISPOR)</w:t>
            </w:r>
          </w:p>
        </w:tc>
      </w:tr>
      <w:tr w:rsidR="00302459" w:rsidRPr="00743A41" w:rsidTr="00C273E7">
        <w:trPr>
          <w:trHeight w:val="20"/>
        </w:trPr>
        <w:tc>
          <w:tcPr>
            <w:tcW w:w="8580" w:type="dxa"/>
            <w:shd w:val="clear" w:color="auto" w:fill="auto"/>
          </w:tcPr>
          <w:p w:rsidR="00302459" w:rsidRPr="00743A41" w:rsidRDefault="00302459"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outREACH (Research, Education, and Community Health)</w:t>
            </w:r>
          </w:p>
        </w:tc>
      </w:tr>
      <w:tr w:rsidR="00302459" w:rsidRPr="00743A41" w:rsidTr="00C273E7">
        <w:trPr>
          <w:trHeight w:val="20"/>
        </w:trPr>
        <w:tc>
          <w:tcPr>
            <w:tcW w:w="8580" w:type="dxa"/>
            <w:shd w:val="clear" w:color="auto" w:fill="D9D9D9" w:themeFill="background1" w:themeFillShade="D9"/>
          </w:tcPr>
          <w:p w:rsidR="00302459" w:rsidRPr="00743A41" w:rsidRDefault="00302459"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Student Epidemic Intelligence Society (SEIS)</w:t>
            </w:r>
          </w:p>
        </w:tc>
      </w:tr>
      <w:tr w:rsidR="00302459" w:rsidRPr="00743A41" w:rsidTr="00C273E7">
        <w:trPr>
          <w:trHeight w:val="20"/>
        </w:trPr>
        <w:tc>
          <w:tcPr>
            <w:tcW w:w="8580" w:type="dxa"/>
            <w:shd w:val="clear" w:color="auto" w:fill="auto"/>
          </w:tcPr>
          <w:p w:rsidR="00302459" w:rsidRPr="00743A41" w:rsidRDefault="00302459"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Student Association-San Antonio Regional Campus</w:t>
            </w:r>
          </w:p>
        </w:tc>
      </w:tr>
      <w:tr w:rsidR="00302459" w:rsidRPr="00743A41" w:rsidTr="00C273E7">
        <w:trPr>
          <w:trHeight w:val="20"/>
        </w:trPr>
        <w:tc>
          <w:tcPr>
            <w:tcW w:w="8580" w:type="dxa"/>
            <w:shd w:val="clear" w:color="auto" w:fill="D9D9D9" w:themeFill="background1" w:themeFillShade="D9"/>
          </w:tcPr>
          <w:p w:rsidR="00302459" w:rsidRPr="00743A41" w:rsidRDefault="00302459"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Society for Women &amp; Leadership</w:t>
            </w:r>
          </w:p>
        </w:tc>
      </w:tr>
      <w:tr w:rsidR="00302459" w:rsidRPr="00743A41" w:rsidTr="00C273E7">
        <w:trPr>
          <w:trHeight w:val="20"/>
        </w:trPr>
        <w:tc>
          <w:tcPr>
            <w:tcW w:w="8580" w:type="dxa"/>
            <w:shd w:val="clear" w:color="auto" w:fill="auto"/>
          </w:tcPr>
          <w:p w:rsidR="00302459" w:rsidRPr="00743A41" w:rsidRDefault="00302459"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Student Society for Global Health-Houston</w:t>
            </w:r>
          </w:p>
        </w:tc>
      </w:tr>
      <w:tr w:rsidR="00302459" w:rsidRPr="00743A41" w:rsidTr="00C273E7">
        <w:trPr>
          <w:trHeight w:val="20"/>
        </w:trPr>
        <w:tc>
          <w:tcPr>
            <w:tcW w:w="8580" w:type="dxa"/>
            <w:shd w:val="clear" w:color="auto" w:fill="D9D9D9" w:themeFill="background1" w:themeFillShade="D9"/>
          </w:tcPr>
          <w:p w:rsidR="00302459" w:rsidRPr="00743A41" w:rsidRDefault="00302459"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Student Society for Global Health-Austin Chapter</w:t>
            </w:r>
          </w:p>
        </w:tc>
      </w:tr>
      <w:tr w:rsidR="00302459" w:rsidRPr="00743A41" w:rsidTr="00C273E7">
        <w:trPr>
          <w:trHeight w:val="20"/>
        </w:trPr>
        <w:tc>
          <w:tcPr>
            <w:tcW w:w="8580" w:type="dxa"/>
            <w:shd w:val="clear" w:color="auto" w:fill="auto"/>
          </w:tcPr>
          <w:p w:rsidR="00302459" w:rsidRPr="00743A41" w:rsidRDefault="00302459" w:rsidP="00A37ED6">
            <w:pPr>
              <w:tabs>
                <w:tab w:val="left" w:pos="720"/>
              </w:tabs>
              <w:ind w:left="360" w:hanging="36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Student Veterans Organization (SVO)</w:t>
            </w:r>
          </w:p>
        </w:tc>
      </w:tr>
    </w:tbl>
    <w:p w:rsidR="00302459" w:rsidRPr="00743A41" w:rsidRDefault="00302459" w:rsidP="00A37ED6">
      <w:pPr>
        <w:pStyle w:val="Default"/>
        <w:jc w:val="both"/>
        <w:rPr>
          <w:rFonts w:asciiTheme="majorHAnsi" w:hAnsiTheme="majorHAnsi" w:cstheme="majorHAnsi"/>
          <w:color w:val="auto"/>
          <w:szCs w:val="20"/>
        </w:rPr>
      </w:pPr>
    </w:p>
    <w:p w:rsidR="00B2068C" w:rsidRPr="00DE25B3" w:rsidRDefault="00B2068C" w:rsidP="00A37ED6">
      <w:pPr>
        <w:pStyle w:val="Default"/>
        <w:ind w:left="720"/>
        <w:jc w:val="both"/>
        <w:rPr>
          <w:rFonts w:asciiTheme="majorHAnsi" w:hAnsiTheme="majorHAnsi" w:cstheme="majorHAnsi"/>
          <w:color w:val="auto"/>
          <w:szCs w:val="20"/>
        </w:rPr>
      </w:pPr>
      <w:r w:rsidRPr="00DE25B3">
        <w:rPr>
          <w:rFonts w:asciiTheme="majorHAnsi" w:hAnsiTheme="majorHAnsi" w:cstheme="majorHAnsi"/>
          <w:color w:val="auto"/>
          <w:szCs w:val="20"/>
        </w:rPr>
        <w:t>Associated documents in the electronic resource file:</w:t>
      </w:r>
    </w:p>
    <w:p w:rsidR="0043737C" w:rsidRPr="00DE25B3" w:rsidRDefault="00A420F1" w:rsidP="00A37ED6">
      <w:pPr>
        <w:pStyle w:val="Default"/>
        <w:numPr>
          <w:ilvl w:val="0"/>
          <w:numId w:val="63"/>
        </w:numPr>
        <w:jc w:val="both"/>
        <w:rPr>
          <w:rStyle w:val="Hyperlink"/>
          <w:rFonts w:asciiTheme="majorHAnsi" w:hAnsiTheme="majorHAnsi" w:cstheme="majorHAnsi"/>
          <w:i/>
          <w:color w:val="auto"/>
          <w:szCs w:val="20"/>
          <w:u w:val="none"/>
        </w:rPr>
      </w:pPr>
      <w:r w:rsidRPr="00DE25B3">
        <w:rPr>
          <w:rFonts w:asciiTheme="majorHAnsi" w:hAnsiTheme="majorHAnsi" w:cstheme="majorHAnsi"/>
          <w:i/>
        </w:rPr>
        <w:t>A3. Student Engagement</w:t>
      </w:r>
    </w:p>
    <w:p w:rsidR="00816FB6" w:rsidRPr="00DE25B3" w:rsidRDefault="00A420F1" w:rsidP="00A37ED6">
      <w:pPr>
        <w:pStyle w:val="Default"/>
        <w:numPr>
          <w:ilvl w:val="1"/>
          <w:numId w:val="63"/>
        </w:numPr>
        <w:jc w:val="both"/>
        <w:rPr>
          <w:rStyle w:val="Hyperlink"/>
          <w:rFonts w:asciiTheme="majorHAnsi" w:hAnsiTheme="majorHAnsi" w:cstheme="majorHAnsi"/>
          <w:i/>
          <w:color w:val="auto"/>
          <w:szCs w:val="20"/>
          <w:u w:val="none"/>
        </w:rPr>
      </w:pPr>
      <w:r w:rsidRPr="00DE25B3">
        <w:rPr>
          <w:rFonts w:asciiTheme="majorHAnsi" w:hAnsiTheme="majorHAnsi" w:cstheme="majorHAnsi"/>
          <w:i/>
        </w:rPr>
        <w:t>UTHealth Student Organization Manual</w:t>
      </w:r>
      <w:r w:rsidR="00816FB6" w:rsidRPr="00DE25B3">
        <w:rPr>
          <w:rStyle w:val="Hyperlink"/>
          <w:rFonts w:asciiTheme="majorHAnsi" w:hAnsiTheme="majorHAnsi" w:cstheme="majorHAnsi"/>
          <w:i/>
          <w:szCs w:val="20"/>
        </w:rPr>
        <w:t xml:space="preserve"> </w:t>
      </w:r>
    </w:p>
    <w:p w:rsidR="00DD2E3C" w:rsidRPr="00DE25B3" w:rsidRDefault="002950E1" w:rsidP="00A37ED6">
      <w:pPr>
        <w:pStyle w:val="Default"/>
        <w:numPr>
          <w:ilvl w:val="1"/>
          <w:numId w:val="63"/>
        </w:numPr>
        <w:jc w:val="both"/>
        <w:rPr>
          <w:rFonts w:asciiTheme="majorHAnsi" w:hAnsiTheme="majorHAnsi" w:cstheme="majorHAnsi"/>
          <w:i/>
          <w:color w:val="auto"/>
          <w:szCs w:val="20"/>
        </w:rPr>
      </w:pPr>
      <w:r w:rsidRPr="00DE25B3">
        <w:rPr>
          <w:rFonts w:asciiTheme="majorHAnsi" w:hAnsiTheme="majorHAnsi" w:cstheme="majorHAnsi"/>
          <w:i/>
          <w:szCs w:val="20"/>
        </w:rPr>
        <w:t>Fall 2019</w:t>
      </w:r>
      <w:r w:rsidR="00A420F1" w:rsidRPr="00DE25B3">
        <w:rPr>
          <w:rFonts w:asciiTheme="majorHAnsi" w:hAnsiTheme="majorHAnsi" w:cstheme="majorHAnsi"/>
          <w:i/>
        </w:rPr>
        <w:t xml:space="preserve"> Academic Year Student Association Leadership and Planned Activities</w:t>
      </w:r>
    </w:p>
    <w:p w:rsidR="00816FB6" w:rsidRPr="00DE25B3" w:rsidRDefault="00816FB6" w:rsidP="00A37ED6">
      <w:pPr>
        <w:pStyle w:val="Default"/>
        <w:numPr>
          <w:ilvl w:val="1"/>
          <w:numId w:val="63"/>
        </w:numPr>
        <w:jc w:val="both"/>
        <w:rPr>
          <w:rFonts w:asciiTheme="majorHAnsi" w:hAnsiTheme="majorHAnsi" w:cstheme="majorHAnsi"/>
          <w:i/>
          <w:color w:val="auto"/>
          <w:szCs w:val="20"/>
        </w:rPr>
      </w:pPr>
      <w:r w:rsidRPr="00DE25B3">
        <w:rPr>
          <w:rFonts w:asciiTheme="majorHAnsi" w:hAnsiTheme="majorHAnsi" w:cstheme="majorHAnsi"/>
          <w:i/>
          <w:szCs w:val="20"/>
        </w:rPr>
        <w:t>Student Organizations – Purpose and Bylaws</w:t>
      </w:r>
    </w:p>
    <w:p w:rsidR="00B2068C" w:rsidRPr="00DE25B3" w:rsidRDefault="00A420F1" w:rsidP="00A37ED6">
      <w:pPr>
        <w:pStyle w:val="Default"/>
        <w:numPr>
          <w:ilvl w:val="2"/>
          <w:numId w:val="63"/>
        </w:numPr>
        <w:rPr>
          <w:rFonts w:asciiTheme="majorHAnsi" w:hAnsiTheme="majorHAnsi" w:cstheme="majorHAnsi"/>
          <w:i/>
          <w:color w:val="auto"/>
          <w:szCs w:val="20"/>
        </w:rPr>
      </w:pPr>
      <w:r w:rsidRPr="00DE25B3">
        <w:rPr>
          <w:rFonts w:asciiTheme="majorHAnsi" w:hAnsiTheme="majorHAnsi" w:cstheme="majorHAnsi"/>
          <w:i/>
        </w:rPr>
        <w:t>Student Association purpose and bylaws</w:t>
      </w:r>
    </w:p>
    <w:p w:rsidR="00B2068C" w:rsidRPr="00DE25B3" w:rsidRDefault="00A420F1" w:rsidP="00A37ED6">
      <w:pPr>
        <w:pStyle w:val="Default"/>
        <w:numPr>
          <w:ilvl w:val="2"/>
          <w:numId w:val="63"/>
        </w:numPr>
        <w:rPr>
          <w:rFonts w:asciiTheme="majorHAnsi" w:hAnsiTheme="majorHAnsi" w:cstheme="majorHAnsi"/>
          <w:i/>
          <w:color w:val="auto"/>
          <w:szCs w:val="20"/>
        </w:rPr>
      </w:pPr>
      <w:r w:rsidRPr="00DE25B3">
        <w:rPr>
          <w:rFonts w:asciiTheme="majorHAnsi" w:hAnsiTheme="majorHAnsi" w:cstheme="majorHAnsi"/>
          <w:i/>
        </w:rPr>
        <w:t>Academy Health Student Chapter purpose and bylaws</w:t>
      </w:r>
    </w:p>
    <w:p w:rsidR="00B2068C" w:rsidRPr="00DE25B3" w:rsidRDefault="00A420F1" w:rsidP="00A37ED6">
      <w:pPr>
        <w:pStyle w:val="Default"/>
        <w:numPr>
          <w:ilvl w:val="2"/>
          <w:numId w:val="63"/>
        </w:numPr>
        <w:rPr>
          <w:rFonts w:asciiTheme="majorHAnsi" w:hAnsiTheme="majorHAnsi" w:cstheme="majorHAnsi"/>
          <w:i/>
          <w:color w:val="auto"/>
          <w:szCs w:val="20"/>
        </w:rPr>
      </w:pPr>
      <w:r w:rsidRPr="00DE25B3">
        <w:rPr>
          <w:rFonts w:asciiTheme="majorHAnsi" w:hAnsiTheme="majorHAnsi" w:cstheme="majorHAnsi"/>
          <w:i/>
        </w:rPr>
        <w:t>American Industrial Hygiene Association purpose and bylaws</w:t>
      </w:r>
    </w:p>
    <w:p w:rsidR="00B2068C" w:rsidRPr="00DE25B3" w:rsidRDefault="00A420F1" w:rsidP="00A37ED6">
      <w:pPr>
        <w:pStyle w:val="Default"/>
        <w:numPr>
          <w:ilvl w:val="2"/>
          <w:numId w:val="63"/>
        </w:numPr>
        <w:rPr>
          <w:rFonts w:asciiTheme="majorHAnsi" w:hAnsiTheme="majorHAnsi" w:cstheme="majorHAnsi"/>
          <w:i/>
          <w:color w:val="auto"/>
          <w:szCs w:val="20"/>
        </w:rPr>
      </w:pPr>
      <w:r w:rsidRPr="00DE25B3">
        <w:rPr>
          <w:rFonts w:asciiTheme="majorHAnsi" w:hAnsiTheme="majorHAnsi" w:cstheme="majorHAnsi"/>
          <w:i/>
        </w:rPr>
        <w:t>Austin Student Association purpose and bylaws</w:t>
      </w:r>
    </w:p>
    <w:p w:rsidR="00B2068C" w:rsidRPr="00DE25B3" w:rsidRDefault="00A420F1" w:rsidP="00A37ED6">
      <w:pPr>
        <w:pStyle w:val="Default"/>
        <w:numPr>
          <w:ilvl w:val="2"/>
          <w:numId w:val="63"/>
        </w:numPr>
        <w:rPr>
          <w:rFonts w:asciiTheme="majorHAnsi" w:hAnsiTheme="majorHAnsi" w:cstheme="majorHAnsi"/>
          <w:i/>
          <w:color w:val="auto"/>
          <w:szCs w:val="20"/>
        </w:rPr>
      </w:pPr>
      <w:r w:rsidRPr="00DE25B3">
        <w:rPr>
          <w:rFonts w:asciiTheme="majorHAnsi" w:hAnsiTheme="majorHAnsi" w:cstheme="majorHAnsi"/>
          <w:i/>
        </w:rPr>
        <w:t>Brownsville Regional Campus-Graduate Student Association purpose and bylaws</w:t>
      </w:r>
    </w:p>
    <w:p w:rsidR="00B2068C" w:rsidRPr="00DE25B3" w:rsidRDefault="00A420F1" w:rsidP="00A37ED6">
      <w:pPr>
        <w:pStyle w:val="Default"/>
        <w:numPr>
          <w:ilvl w:val="2"/>
          <w:numId w:val="63"/>
        </w:numPr>
        <w:rPr>
          <w:rFonts w:asciiTheme="majorHAnsi" w:hAnsiTheme="majorHAnsi" w:cstheme="majorHAnsi"/>
          <w:i/>
          <w:color w:val="auto"/>
          <w:szCs w:val="20"/>
        </w:rPr>
      </w:pPr>
      <w:r w:rsidRPr="00DE25B3">
        <w:rPr>
          <w:rFonts w:asciiTheme="majorHAnsi" w:hAnsiTheme="majorHAnsi" w:cstheme="majorHAnsi"/>
          <w:i/>
        </w:rPr>
        <w:t>Dallas Regional Student Association purpose and bylaws</w:t>
      </w:r>
    </w:p>
    <w:p w:rsidR="00B2068C" w:rsidRPr="00DE25B3" w:rsidRDefault="00A420F1" w:rsidP="00A37ED6">
      <w:pPr>
        <w:pStyle w:val="Default"/>
        <w:numPr>
          <w:ilvl w:val="2"/>
          <w:numId w:val="63"/>
        </w:numPr>
        <w:rPr>
          <w:rFonts w:asciiTheme="majorHAnsi" w:hAnsiTheme="majorHAnsi" w:cstheme="majorHAnsi"/>
          <w:i/>
          <w:color w:val="auto"/>
          <w:szCs w:val="20"/>
        </w:rPr>
      </w:pPr>
      <w:r w:rsidRPr="00DE25B3">
        <w:rPr>
          <w:rFonts w:asciiTheme="majorHAnsi" w:hAnsiTheme="majorHAnsi" w:cstheme="majorHAnsi"/>
          <w:i/>
        </w:rPr>
        <w:t>El Paso Student Association purpose and bylaws</w:t>
      </w:r>
    </w:p>
    <w:p w:rsidR="00B2068C" w:rsidRPr="00DE25B3" w:rsidRDefault="00A420F1" w:rsidP="00A37ED6">
      <w:pPr>
        <w:pStyle w:val="Default"/>
        <w:numPr>
          <w:ilvl w:val="2"/>
          <w:numId w:val="63"/>
        </w:numPr>
        <w:rPr>
          <w:rFonts w:asciiTheme="majorHAnsi" w:hAnsiTheme="majorHAnsi" w:cstheme="majorHAnsi"/>
          <w:i/>
          <w:color w:val="auto"/>
          <w:szCs w:val="20"/>
        </w:rPr>
      </w:pPr>
      <w:r w:rsidRPr="00DE25B3">
        <w:rPr>
          <w:rFonts w:asciiTheme="majorHAnsi" w:hAnsiTheme="majorHAnsi" w:cstheme="majorHAnsi"/>
          <w:i/>
        </w:rPr>
        <w:t>International Society of Pharmaeconomics and Outcomes Research Student purpose and bylaws</w:t>
      </w:r>
    </w:p>
    <w:p w:rsidR="00B2068C" w:rsidRPr="00DE25B3" w:rsidRDefault="00A420F1" w:rsidP="00A37ED6">
      <w:pPr>
        <w:pStyle w:val="Default"/>
        <w:numPr>
          <w:ilvl w:val="2"/>
          <w:numId w:val="63"/>
        </w:numPr>
        <w:rPr>
          <w:rFonts w:asciiTheme="majorHAnsi" w:hAnsiTheme="majorHAnsi" w:cstheme="majorHAnsi"/>
          <w:i/>
          <w:color w:val="auto"/>
          <w:szCs w:val="20"/>
        </w:rPr>
      </w:pPr>
      <w:r w:rsidRPr="00DE25B3">
        <w:rPr>
          <w:rFonts w:asciiTheme="majorHAnsi" w:hAnsiTheme="majorHAnsi" w:cstheme="majorHAnsi"/>
          <w:i/>
        </w:rPr>
        <w:t>outREACH purpose and bylaws</w:t>
      </w:r>
    </w:p>
    <w:p w:rsidR="00B2068C" w:rsidRPr="00DE25B3" w:rsidRDefault="00A420F1" w:rsidP="00A37ED6">
      <w:pPr>
        <w:pStyle w:val="Default"/>
        <w:numPr>
          <w:ilvl w:val="2"/>
          <w:numId w:val="63"/>
        </w:numPr>
        <w:rPr>
          <w:rFonts w:asciiTheme="majorHAnsi" w:hAnsiTheme="majorHAnsi" w:cstheme="majorHAnsi"/>
          <w:i/>
          <w:color w:val="auto"/>
          <w:szCs w:val="20"/>
        </w:rPr>
      </w:pPr>
      <w:r w:rsidRPr="00DE25B3">
        <w:rPr>
          <w:rFonts w:asciiTheme="majorHAnsi" w:hAnsiTheme="majorHAnsi" w:cstheme="majorHAnsi"/>
          <w:i/>
        </w:rPr>
        <w:t>Student Epidemic Intelligence Society purpose and bylaws</w:t>
      </w:r>
    </w:p>
    <w:p w:rsidR="00B2068C" w:rsidRPr="00DE25B3" w:rsidRDefault="00A420F1" w:rsidP="00A37ED6">
      <w:pPr>
        <w:pStyle w:val="Default"/>
        <w:numPr>
          <w:ilvl w:val="2"/>
          <w:numId w:val="63"/>
        </w:numPr>
        <w:rPr>
          <w:rFonts w:asciiTheme="majorHAnsi" w:hAnsiTheme="majorHAnsi" w:cstheme="majorHAnsi"/>
          <w:i/>
          <w:color w:val="auto"/>
          <w:szCs w:val="20"/>
        </w:rPr>
      </w:pPr>
      <w:r w:rsidRPr="00DE25B3">
        <w:rPr>
          <w:rFonts w:asciiTheme="majorHAnsi" w:hAnsiTheme="majorHAnsi" w:cstheme="majorHAnsi"/>
          <w:i/>
        </w:rPr>
        <w:t>Student Association-San Antonio Regional Campus purpose and bylaws</w:t>
      </w:r>
    </w:p>
    <w:p w:rsidR="00B2068C" w:rsidRPr="00DE25B3" w:rsidRDefault="00A420F1" w:rsidP="00A37ED6">
      <w:pPr>
        <w:pStyle w:val="Default"/>
        <w:numPr>
          <w:ilvl w:val="2"/>
          <w:numId w:val="63"/>
        </w:numPr>
        <w:rPr>
          <w:rFonts w:asciiTheme="majorHAnsi" w:hAnsiTheme="majorHAnsi" w:cstheme="majorHAnsi"/>
          <w:i/>
          <w:color w:val="auto"/>
          <w:szCs w:val="20"/>
        </w:rPr>
      </w:pPr>
      <w:r w:rsidRPr="00DE25B3">
        <w:rPr>
          <w:rFonts w:asciiTheme="majorHAnsi" w:hAnsiTheme="majorHAnsi" w:cstheme="majorHAnsi"/>
          <w:i/>
        </w:rPr>
        <w:t>Society for Women &amp; Leadership purpose and bylaws</w:t>
      </w:r>
    </w:p>
    <w:p w:rsidR="00B2068C" w:rsidRPr="00DE25B3" w:rsidRDefault="00A420F1" w:rsidP="00A37ED6">
      <w:pPr>
        <w:pStyle w:val="Default"/>
        <w:numPr>
          <w:ilvl w:val="2"/>
          <w:numId w:val="63"/>
        </w:numPr>
        <w:rPr>
          <w:rFonts w:asciiTheme="majorHAnsi" w:hAnsiTheme="majorHAnsi" w:cstheme="majorHAnsi"/>
          <w:i/>
          <w:color w:val="auto"/>
          <w:szCs w:val="20"/>
        </w:rPr>
      </w:pPr>
      <w:r w:rsidRPr="00DE25B3">
        <w:rPr>
          <w:rFonts w:asciiTheme="majorHAnsi" w:hAnsiTheme="majorHAnsi" w:cstheme="majorHAnsi"/>
          <w:i/>
        </w:rPr>
        <w:t>Student Society for Global Health-Houston purpose and bylaws</w:t>
      </w:r>
    </w:p>
    <w:p w:rsidR="00B2068C" w:rsidRPr="00DE25B3" w:rsidRDefault="00A420F1" w:rsidP="00A37ED6">
      <w:pPr>
        <w:pStyle w:val="Default"/>
        <w:numPr>
          <w:ilvl w:val="2"/>
          <w:numId w:val="63"/>
        </w:numPr>
        <w:rPr>
          <w:rFonts w:asciiTheme="majorHAnsi" w:hAnsiTheme="majorHAnsi" w:cstheme="majorHAnsi"/>
          <w:i/>
          <w:color w:val="auto"/>
          <w:szCs w:val="20"/>
        </w:rPr>
      </w:pPr>
      <w:r w:rsidRPr="00DE25B3">
        <w:rPr>
          <w:rFonts w:asciiTheme="majorHAnsi" w:hAnsiTheme="majorHAnsi" w:cstheme="majorHAnsi"/>
          <w:i/>
        </w:rPr>
        <w:t>Student Society for Global Health-Austin Chapter purpose and bylaws</w:t>
      </w:r>
    </w:p>
    <w:p w:rsidR="00B2068C" w:rsidRPr="00DE25B3" w:rsidRDefault="00A420F1" w:rsidP="00A37ED6">
      <w:pPr>
        <w:pStyle w:val="Default"/>
        <w:numPr>
          <w:ilvl w:val="2"/>
          <w:numId w:val="63"/>
        </w:numPr>
        <w:rPr>
          <w:rFonts w:asciiTheme="majorHAnsi" w:hAnsiTheme="majorHAnsi" w:cstheme="majorHAnsi"/>
          <w:i/>
          <w:color w:val="auto"/>
          <w:szCs w:val="20"/>
        </w:rPr>
      </w:pPr>
      <w:r w:rsidRPr="00DE25B3">
        <w:rPr>
          <w:rFonts w:asciiTheme="majorHAnsi" w:hAnsiTheme="majorHAnsi" w:cstheme="majorHAnsi"/>
          <w:i/>
        </w:rPr>
        <w:t>Student Veterans Organization purpose and bylaws</w:t>
      </w:r>
    </w:p>
    <w:p w:rsidR="00FC7909" w:rsidRPr="00743A41" w:rsidRDefault="00FC7909" w:rsidP="00A37ED6">
      <w:pPr>
        <w:pStyle w:val="Default"/>
        <w:ind w:left="720"/>
        <w:jc w:val="both"/>
        <w:rPr>
          <w:rFonts w:asciiTheme="majorHAnsi" w:hAnsiTheme="majorHAnsi" w:cstheme="majorHAnsi"/>
          <w:color w:val="auto"/>
          <w:szCs w:val="20"/>
        </w:rPr>
      </w:pPr>
    </w:p>
    <w:p w:rsidR="00933038" w:rsidRPr="00743A41" w:rsidRDefault="00933038" w:rsidP="00A37ED6">
      <w:pPr>
        <w:pStyle w:val="Default"/>
        <w:numPr>
          <w:ilvl w:val="0"/>
          <w:numId w:val="3"/>
        </w:numPr>
        <w:ind w:left="720"/>
        <w:jc w:val="both"/>
        <w:rPr>
          <w:rFonts w:asciiTheme="majorHAnsi" w:hAnsiTheme="majorHAnsi" w:cstheme="majorHAnsi"/>
          <w:color w:val="auto"/>
          <w:szCs w:val="20"/>
        </w:rPr>
      </w:pPr>
      <w:r w:rsidRPr="00743A41">
        <w:rPr>
          <w:rFonts w:asciiTheme="majorHAnsi" w:hAnsiTheme="majorHAnsi" w:cstheme="majorHAnsi"/>
          <w:color w:val="auto"/>
          <w:szCs w:val="20"/>
        </w:rPr>
        <w:t xml:space="preserve">If applicable, assess strengths and weaknesses related to this criterion and plans for improvement in this area. </w:t>
      </w:r>
    </w:p>
    <w:p w:rsidR="00933038" w:rsidRPr="00743A41" w:rsidRDefault="00933038" w:rsidP="00A37ED6">
      <w:pPr>
        <w:pStyle w:val="Default"/>
        <w:ind w:left="720"/>
        <w:jc w:val="both"/>
        <w:rPr>
          <w:rFonts w:asciiTheme="majorHAnsi" w:hAnsiTheme="majorHAnsi" w:cstheme="majorHAnsi"/>
          <w:color w:val="auto"/>
          <w:szCs w:val="20"/>
        </w:rPr>
      </w:pPr>
    </w:p>
    <w:p w:rsidR="007E0382" w:rsidRPr="00743A41" w:rsidRDefault="007E0382" w:rsidP="00A37ED6">
      <w:pPr>
        <w:ind w:firstLine="720"/>
        <w:rPr>
          <w:rStyle w:val="Heading1Char"/>
          <w:color w:val="000000"/>
        </w:rPr>
      </w:pPr>
      <w:r w:rsidRPr="00743A41">
        <w:rPr>
          <w:rStyle w:val="Heading1Char"/>
        </w:rPr>
        <w:t>Strengths:</w:t>
      </w:r>
    </w:p>
    <w:p w:rsidR="007E0382" w:rsidRPr="00743A41" w:rsidRDefault="007E0382" w:rsidP="00A37ED6">
      <w:pPr>
        <w:pStyle w:val="ListParagraph"/>
        <w:numPr>
          <w:ilvl w:val="0"/>
          <w:numId w:val="172"/>
        </w:numPr>
        <w:spacing w:after="160"/>
        <w:contextualSpacing/>
        <w:rPr>
          <w:rStyle w:val="Heading1Char"/>
        </w:rPr>
      </w:pPr>
      <w:r w:rsidRPr="00743A41">
        <w:rPr>
          <w:rStyle w:val="Heading1Char"/>
          <w:b w:val="0"/>
        </w:rPr>
        <w:t xml:space="preserve">Students participate in policy- and decision-making processes through the formal council structure. Students are members of the Academic, Practice, and Executive Councils, as well as the Diversity and the CEPH Steering Committees.  </w:t>
      </w:r>
    </w:p>
    <w:p w:rsidR="007E0382" w:rsidRPr="00743A41" w:rsidRDefault="007E0382" w:rsidP="00A37ED6">
      <w:pPr>
        <w:pStyle w:val="ListParagraph"/>
        <w:numPr>
          <w:ilvl w:val="0"/>
          <w:numId w:val="172"/>
        </w:numPr>
        <w:spacing w:after="160"/>
        <w:contextualSpacing/>
        <w:rPr>
          <w:rStyle w:val="Heading1Char"/>
        </w:rPr>
      </w:pPr>
      <w:r w:rsidRPr="00743A41">
        <w:rPr>
          <w:rStyle w:val="Heading1Char"/>
          <w:b w:val="0"/>
        </w:rPr>
        <w:t xml:space="preserve">The UTHealth School of Public Health holds regular meetings to solicit student input. </w:t>
      </w:r>
    </w:p>
    <w:p w:rsidR="007E0382" w:rsidRPr="00743A41" w:rsidRDefault="007E0382" w:rsidP="00A37ED6">
      <w:pPr>
        <w:ind w:left="360" w:firstLine="360"/>
        <w:rPr>
          <w:rStyle w:val="Heading1Char"/>
        </w:rPr>
      </w:pPr>
      <w:r w:rsidRPr="00743A41">
        <w:rPr>
          <w:rStyle w:val="Heading1Char"/>
        </w:rPr>
        <w:t xml:space="preserve">Weaknesses: </w:t>
      </w:r>
    </w:p>
    <w:p w:rsidR="007E0382" w:rsidRPr="00743A41" w:rsidRDefault="007E0382" w:rsidP="00A37ED6">
      <w:pPr>
        <w:pStyle w:val="ListParagraph"/>
        <w:numPr>
          <w:ilvl w:val="0"/>
          <w:numId w:val="172"/>
        </w:numPr>
        <w:spacing w:after="160"/>
        <w:contextualSpacing/>
        <w:rPr>
          <w:rStyle w:val="Heading1Char"/>
        </w:rPr>
      </w:pPr>
      <w:r w:rsidRPr="00743A41">
        <w:rPr>
          <w:rStyle w:val="Heading1Char"/>
          <w:b w:val="0"/>
        </w:rPr>
        <w:t xml:space="preserve">Student representatives in decision-making structures tend to be mainly full-time students who are not working in full-time positions. </w:t>
      </w:r>
    </w:p>
    <w:p w:rsidR="007E0382" w:rsidRPr="00743A41" w:rsidRDefault="007E0382" w:rsidP="00A37ED6">
      <w:pPr>
        <w:pStyle w:val="ListParagraph"/>
        <w:numPr>
          <w:ilvl w:val="0"/>
          <w:numId w:val="172"/>
        </w:numPr>
        <w:spacing w:after="160"/>
        <w:contextualSpacing/>
        <w:rPr>
          <w:rStyle w:val="Heading1Char"/>
        </w:rPr>
      </w:pPr>
      <w:r w:rsidRPr="00743A41">
        <w:rPr>
          <w:rStyle w:val="Heading1Char"/>
          <w:b w:val="0"/>
        </w:rPr>
        <w:t xml:space="preserve">The UTHealth School of Public Health currently lacks a </w:t>
      </w:r>
      <w:r w:rsidR="00B94095" w:rsidRPr="00743A41">
        <w:rPr>
          <w:rStyle w:val="Heading1Char"/>
          <w:b w:val="0"/>
        </w:rPr>
        <w:t xml:space="preserve">formal </w:t>
      </w:r>
      <w:r w:rsidRPr="00743A41">
        <w:rPr>
          <w:rStyle w:val="Heading1Char"/>
          <w:b w:val="0"/>
        </w:rPr>
        <w:t xml:space="preserve">mechanism for obtaining input from international students. To address this weakness, the school </w:t>
      </w:r>
      <w:r w:rsidR="00B94095" w:rsidRPr="00743A41">
        <w:rPr>
          <w:rStyle w:val="Heading1Char"/>
          <w:b w:val="0"/>
        </w:rPr>
        <w:t>began holding</w:t>
      </w:r>
      <w:r w:rsidRPr="00743A41">
        <w:rPr>
          <w:rStyle w:val="Heading1Char"/>
          <w:b w:val="0"/>
        </w:rPr>
        <w:t xml:space="preserve"> international student feedback session</w:t>
      </w:r>
      <w:r w:rsidR="002F5ABB" w:rsidRPr="00743A41">
        <w:rPr>
          <w:rStyle w:val="Heading1Char"/>
          <w:b w:val="0"/>
        </w:rPr>
        <w:t>s</w:t>
      </w:r>
      <w:r w:rsidRPr="00743A41">
        <w:rPr>
          <w:rStyle w:val="Heading1Char"/>
          <w:b w:val="0"/>
        </w:rPr>
        <w:t xml:space="preserve">, which resulted in the formation of an international student subcommittee under the UTHealth Student Inter-council. </w:t>
      </w:r>
    </w:p>
    <w:p w:rsidR="00933038" w:rsidRPr="00743A41" w:rsidRDefault="00933038" w:rsidP="00A37ED6">
      <w:pPr>
        <w:ind w:firstLine="720"/>
        <w:contextualSpacing/>
        <w:jc w:val="both"/>
        <w:rPr>
          <w:rFonts w:asciiTheme="majorHAnsi" w:hAnsiTheme="majorHAnsi" w:cstheme="majorHAnsi"/>
          <w:i/>
          <w:sz w:val="20"/>
          <w:szCs w:val="20"/>
        </w:rPr>
      </w:pPr>
    </w:p>
    <w:p w:rsidR="00933038" w:rsidRPr="00743A41" w:rsidRDefault="00933038" w:rsidP="00A37ED6">
      <w:pPr>
        <w:ind w:left="720"/>
        <w:rPr>
          <w:rStyle w:val="Heading1Char"/>
        </w:rPr>
      </w:pPr>
      <w:bookmarkStart w:id="22" w:name="_Toc464487854"/>
    </w:p>
    <w:p w:rsidR="00D30FE8" w:rsidRPr="00743A41" w:rsidRDefault="00D30FE8" w:rsidP="00A37ED6">
      <w:pPr>
        <w:rPr>
          <w:rStyle w:val="Heading1Char"/>
        </w:rPr>
      </w:pPr>
      <w:r w:rsidRPr="00743A41">
        <w:rPr>
          <w:rStyle w:val="Heading1Char"/>
        </w:rPr>
        <w:br w:type="page"/>
      </w:r>
    </w:p>
    <w:p w:rsidR="00933038" w:rsidRPr="00743A41" w:rsidRDefault="00933038" w:rsidP="007A68BE">
      <w:pPr>
        <w:pStyle w:val="Heading1"/>
      </w:pPr>
      <w:bookmarkStart w:id="23" w:name="_Toc7118187"/>
      <w:r w:rsidRPr="00743A41">
        <w:rPr>
          <w:rStyle w:val="Heading1Char"/>
          <w:b/>
        </w:rPr>
        <w:t>A4. Autonomy for Schools of Public Health</w:t>
      </w:r>
      <w:bookmarkEnd w:id="22"/>
      <w:bookmarkEnd w:id="23"/>
      <w:r w:rsidRPr="00743A41">
        <w:t xml:space="preserve"> </w:t>
      </w:r>
    </w:p>
    <w:p w:rsidR="00933038" w:rsidRPr="00743A41" w:rsidRDefault="00933038" w:rsidP="00A37ED6">
      <w:pPr>
        <w:rPr>
          <w:rFonts w:asciiTheme="majorHAnsi" w:hAnsiTheme="majorHAnsi" w:cstheme="majorHAnsi"/>
          <w:b/>
          <w:sz w:val="20"/>
          <w:szCs w:val="20"/>
        </w:rPr>
      </w:pPr>
    </w:p>
    <w:p w:rsidR="00D30FE8" w:rsidRPr="00743A41" w:rsidRDefault="00D30FE8" w:rsidP="00A37ED6">
      <w:pPr>
        <w:pStyle w:val="ListParagraph"/>
        <w:ind w:left="0"/>
        <w:jc w:val="both"/>
        <w:rPr>
          <w:rFonts w:asciiTheme="majorHAnsi" w:hAnsiTheme="majorHAnsi" w:cstheme="majorHAnsi"/>
          <w:b/>
          <w:szCs w:val="20"/>
        </w:rPr>
      </w:pPr>
      <w:r w:rsidRPr="00743A41">
        <w:rPr>
          <w:rFonts w:asciiTheme="majorHAnsi" w:hAnsiTheme="majorHAnsi" w:cstheme="majorHAnsi"/>
          <w:b/>
          <w:szCs w:val="20"/>
        </w:rPr>
        <w:t>A school of public health operates at the highest level of organizational status and independence available within the university context. If there are other professional schools in the same university (eg, medicine, nursing, law, etc.), the school of public health shall have the same degree of independence accorded to those professional schools. Independence and status are viewed within the context of institutional policies, procedures and practices.</w:t>
      </w:r>
    </w:p>
    <w:p w:rsidR="00BB4013" w:rsidRPr="00743A41" w:rsidRDefault="00933038" w:rsidP="00A37ED6">
      <w:pPr>
        <w:rPr>
          <w:rFonts w:asciiTheme="majorHAnsi" w:hAnsiTheme="majorHAnsi" w:cstheme="majorHAnsi"/>
          <w:sz w:val="20"/>
          <w:szCs w:val="20"/>
        </w:rPr>
      </w:pPr>
      <w:r w:rsidRPr="00743A41">
        <w:rPr>
          <w:rFonts w:asciiTheme="majorHAnsi" w:hAnsiTheme="majorHAnsi" w:cstheme="majorHAnsi"/>
          <w:sz w:val="20"/>
          <w:szCs w:val="20"/>
        </w:rPr>
        <w:t xml:space="preserve"> </w:t>
      </w:r>
    </w:p>
    <w:p w:rsidR="00BB4013" w:rsidRPr="00743A41" w:rsidRDefault="00BB4013" w:rsidP="00A37ED6">
      <w:pPr>
        <w:pStyle w:val="Default"/>
        <w:numPr>
          <w:ilvl w:val="0"/>
          <w:numId w:val="46"/>
        </w:numPr>
        <w:jc w:val="both"/>
        <w:rPr>
          <w:rFonts w:asciiTheme="majorHAnsi" w:hAnsiTheme="majorHAnsi" w:cstheme="majorHAnsi"/>
          <w:color w:val="auto"/>
          <w:szCs w:val="20"/>
        </w:rPr>
      </w:pPr>
      <w:r w:rsidRPr="00743A41">
        <w:rPr>
          <w:rFonts w:asciiTheme="majorHAnsi" w:hAnsiTheme="majorHAnsi" w:cstheme="majorHAnsi"/>
          <w:color w:val="auto"/>
          <w:szCs w:val="20"/>
        </w:rPr>
        <w:t>Briefly describe the school’s reporting lines up to the institution’s chief executive officer. The response may refer to the organizational chart provided in the introduction.</w:t>
      </w:r>
    </w:p>
    <w:p w:rsidR="00BB4013" w:rsidRPr="00743A41" w:rsidRDefault="00BB4013" w:rsidP="00A37ED6">
      <w:pPr>
        <w:pStyle w:val="Default"/>
        <w:jc w:val="both"/>
        <w:rPr>
          <w:rFonts w:asciiTheme="majorHAnsi" w:hAnsiTheme="majorHAnsi" w:cstheme="majorHAnsi"/>
          <w:color w:val="auto"/>
          <w:szCs w:val="20"/>
        </w:rPr>
      </w:pPr>
    </w:p>
    <w:p w:rsidR="00302459" w:rsidRPr="00743A41" w:rsidRDefault="00302459" w:rsidP="00A37ED6">
      <w:pPr>
        <w:pStyle w:val="ListParagraph"/>
        <w:contextualSpacing/>
        <w:rPr>
          <w:rFonts w:asciiTheme="majorHAnsi" w:hAnsiTheme="majorHAnsi" w:cstheme="majorHAnsi"/>
          <w:szCs w:val="20"/>
        </w:rPr>
      </w:pPr>
      <w:r w:rsidRPr="00743A41">
        <w:rPr>
          <w:rFonts w:asciiTheme="majorHAnsi" w:eastAsia="Arial" w:hAnsiTheme="majorHAnsi" w:cstheme="majorHAnsi"/>
          <w:color w:val="000000"/>
          <w:szCs w:val="20"/>
        </w:rPr>
        <w:t xml:space="preserve">The dean of the UTHealth School of Public Health reports directly to the President of UTHealth </w:t>
      </w:r>
      <w:r w:rsidR="00C84570" w:rsidRPr="00743A41">
        <w:rPr>
          <w:rFonts w:asciiTheme="majorHAnsi" w:eastAsia="Arial" w:hAnsiTheme="majorHAnsi" w:cstheme="majorHAnsi"/>
          <w:color w:val="000000"/>
          <w:szCs w:val="20"/>
        </w:rPr>
        <w:t xml:space="preserve">as indicated in </w:t>
      </w:r>
      <w:hyperlink w:anchor="Figure_Intro2b" w:history="1">
        <w:r w:rsidRPr="00743A41">
          <w:rPr>
            <w:rStyle w:val="Hyperlink"/>
            <w:rFonts w:asciiTheme="majorHAnsi" w:eastAsia="Arial" w:hAnsiTheme="majorHAnsi" w:cstheme="majorHAnsi"/>
            <w:szCs w:val="20"/>
          </w:rPr>
          <w:t>Figure Intro.2.b.</w:t>
        </w:r>
      </w:hyperlink>
      <w:r w:rsidRPr="00743A41">
        <w:rPr>
          <w:rFonts w:asciiTheme="majorHAnsi" w:eastAsia="Arial" w:hAnsiTheme="majorHAnsi" w:cstheme="majorHAnsi"/>
          <w:color w:val="000000"/>
          <w:szCs w:val="20"/>
        </w:rPr>
        <w:t xml:space="preserve"> The dean and associate dean of management are responsible for developing and presenting the annual UTHealth School of Public Health budget request to UTHealth. </w:t>
      </w:r>
      <w:r w:rsidRPr="00743A41">
        <w:rPr>
          <w:rFonts w:asciiTheme="majorHAnsi" w:eastAsia="Arial" w:hAnsiTheme="majorHAnsi" w:cstheme="majorHAnsi"/>
          <w:szCs w:val="20"/>
        </w:rPr>
        <w:t xml:space="preserve">The UTHealth School of Public Health </w:t>
      </w:r>
      <w:r w:rsidRPr="00743A41">
        <w:rPr>
          <w:rFonts w:asciiTheme="majorHAnsi" w:eastAsia="Arial" w:hAnsiTheme="majorHAnsi" w:cstheme="majorHAnsi"/>
          <w:color w:val="000000"/>
          <w:szCs w:val="20"/>
        </w:rPr>
        <w:t>is responsible for administering its academic program and policies. Institution-wide policies are decided by institutional committees with representation of all six UTHealth schools. Dean Boerwinkle also serves on the UTHealth Budget Committee that approves all major UTHealth expenditures and develops strategic budgetary priorities.</w:t>
      </w:r>
    </w:p>
    <w:p w:rsidR="00BB4013" w:rsidRPr="00743A41" w:rsidRDefault="00BB4013" w:rsidP="00A37ED6">
      <w:pPr>
        <w:pStyle w:val="Default"/>
        <w:ind w:left="720"/>
        <w:jc w:val="both"/>
        <w:rPr>
          <w:rFonts w:asciiTheme="majorHAnsi" w:hAnsiTheme="majorHAnsi" w:cstheme="majorHAnsi"/>
          <w:color w:val="auto"/>
          <w:szCs w:val="20"/>
        </w:rPr>
      </w:pPr>
    </w:p>
    <w:p w:rsidR="00BB4013" w:rsidRPr="00743A41" w:rsidRDefault="00BB4013" w:rsidP="00A37ED6">
      <w:pPr>
        <w:pStyle w:val="Default"/>
        <w:numPr>
          <w:ilvl w:val="0"/>
          <w:numId w:val="46"/>
        </w:numPr>
        <w:jc w:val="both"/>
        <w:rPr>
          <w:rFonts w:asciiTheme="majorHAnsi" w:hAnsiTheme="majorHAnsi" w:cstheme="majorHAnsi"/>
          <w:color w:val="auto"/>
          <w:szCs w:val="20"/>
        </w:rPr>
      </w:pPr>
      <w:r w:rsidRPr="00743A41">
        <w:rPr>
          <w:rFonts w:asciiTheme="majorHAnsi" w:hAnsiTheme="majorHAnsi" w:cstheme="majorHAnsi"/>
          <w:color w:val="auto"/>
          <w:szCs w:val="20"/>
        </w:rPr>
        <w:t xml:space="preserve">Describe the reporting lines and levels of autonomy of other professional schools located in the same institution and identify any differences between the school of public health’s reporting lines/level of autonomy and those of other units. </w:t>
      </w:r>
    </w:p>
    <w:p w:rsidR="00BB4013" w:rsidRPr="00743A41" w:rsidRDefault="00BB4013" w:rsidP="00A37ED6">
      <w:pPr>
        <w:pStyle w:val="Default"/>
        <w:jc w:val="both"/>
        <w:rPr>
          <w:rFonts w:asciiTheme="majorHAnsi" w:hAnsiTheme="majorHAnsi" w:cstheme="majorHAnsi"/>
          <w:color w:val="auto"/>
          <w:szCs w:val="20"/>
        </w:rPr>
      </w:pPr>
    </w:p>
    <w:p w:rsidR="00302459" w:rsidRPr="00743A41" w:rsidRDefault="006E3D5E" w:rsidP="00A37ED6">
      <w:pPr>
        <w:pStyle w:val="ListParagraph"/>
        <w:contextualSpacing/>
        <w:rPr>
          <w:rFonts w:asciiTheme="majorHAnsi" w:hAnsiTheme="majorHAnsi" w:cstheme="majorHAnsi"/>
          <w:szCs w:val="20"/>
        </w:rPr>
      </w:pPr>
      <w:hyperlink w:anchor="Figure_Intro2b" w:history="1">
        <w:r w:rsidR="00302459" w:rsidRPr="00743A41">
          <w:rPr>
            <w:rStyle w:val="Hyperlink"/>
            <w:rFonts w:asciiTheme="majorHAnsi" w:eastAsia="Arial" w:hAnsiTheme="majorHAnsi" w:cstheme="majorHAnsi"/>
            <w:szCs w:val="20"/>
          </w:rPr>
          <w:t>Figure Intro.2.b.</w:t>
        </w:r>
      </w:hyperlink>
      <w:r w:rsidR="00302459" w:rsidRPr="00743A41">
        <w:rPr>
          <w:rFonts w:asciiTheme="majorHAnsi" w:eastAsia="Arial" w:hAnsiTheme="majorHAnsi" w:cstheme="majorHAnsi"/>
          <w:b/>
          <w:color w:val="000000"/>
          <w:szCs w:val="20"/>
        </w:rPr>
        <w:t xml:space="preserve"> </w:t>
      </w:r>
      <w:r w:rsidR="00302459" w:rsidRPr="00743A41">
        <w:rPr>
          <w:rFonts w:asciiTheme="majorHAnsi" w:eastAsia="Arial" w:hAnsiTheme="majorHAnsi" w:cstheme="majorHAnsi"/>
          <w:color w:val="000000"/>
          <w:szCs w:val="20"/>
        </w:rPr>
        <w:t>shows the reporting lines of the deans of the six UTHealth schools. There are no differences in autonomy, reporting lines, or structures by school. The deans serve equally on the University Executive Council and work together collaboratively with the President to develop UTHealth priorities.</w:t>
      </w:r>
    </w:p>
    <w:p w:rsidR="00BB4013" w:rsidRPr="00743A41" w:rsidRDefault="00BB4013" w:rsidP="00A37ED6">
      <w:pPr>
        <w:pStyle w:val="ListParagraph"/>
        <w:rPr>
          <w:rFonts w:asciiTheme="majorHAnsi" w:hAnsiTheme="majorHAnsi" w:cstheme="majorHAnsi"/>
          <w:szCs w:val="20"/>
        </w:rPr>
      </w:pPr>
    </w:p>
    <w:p w:rsidR="00BB4013" w:rsidRPr="00743A41" w:rsidRDefault="00BB4013" w:rsidP="00A37ED6">
      <w:pPr>
        <w:pStyle w:val="Default"/>
        <w:numPr>
          <w:ilvl w:val="0"/>
          <w:numId w:val="46"/>
        </w:numPr>
        <w:jc w:val="both"/>
        <w:rPr>
          <w:rFonts w:asciiTheme="majorHAnsi" w:hAnsiTheme="majorHAnsi" w:cstheme="majorHAnsi"/>
          <w:color w:val="auto"/>
          <w:szCs w:val="20"/>
        </w:rPr>
      </w:pPr>
      <w:r w:rsidRPr="00743A41">
        <w:rPr>
          <w:rFonts w:asciiTheme="majorHAnsi" w:hAnsiTheme="majorHAnsi" w:cstheme="majorHAnsi"/>
          <w:color w:val="auto"/>
          <w:szCs w:val="20"/>
        </w:rPr>
        <w:t xml:space="preserve">If applicable, assess strengths and weaknesses related to this criterion and plans for improvement in this area. </w:t>
      </w:r>
    </w:p>
    <w:p w:rsidR="00BB4013" w:rsidRPr="00743A41" w:rsidRDefault="00BB4013" w:rsidP="00A37ED6">
      <w:pPr>
        <w:pStyle w:val="Default"/>
        <w:jc w:val="both"/>
        <w:rPr>
          <w:rFonts w:asciiTheme="majorHAnsi" w:hAnsiTheme="majorHAnsi" w:cstheme="majorHAnsi"/>
          <w:i/>
          <w:color w:val="auto"/>
          <w:szCs w:val="20"/>
        </w:rPr>
      </w:pPr>
    </w:p>
    <w:p w:rsidR="00816742" w:rsidRPr="00743A41" w:rsidRDefault="00816742" w:rsidP="00A37ED6">
      <w:pPr>
        <w:ind w:firstLine="720"/>
        <w:rPr>
          <w:rStyle w:val="Heading1Char"/>
          <w:color w:val="000000"/>
        </w:rPr>
      </w:pPr>
      <w:r w:rsidRPr="00743A41">
        <w:rPr>
          <w:rStyle w:val="Heading1Char"/>
        </w:rPr>
        <w:t>Strengths:</w:t>
      </w:r>
    </w:p>
    <w:p w:rsidR="00816742" w:rsidRPr="00743A41" w:rsidRDefault="00816742" w:rsidP="00A37ED6">
      <w:pPr>
        <w:pStyle w:val="ListParagraph"/>
        <w:numPr>
          <w:ilvl w:val="0"/>
          <w:numId w:val="174"/>
        </w:numPr>
        <w:spacing w:after="160"/>
        <w:ind w:left="1440"/>
        <w:contextualSpacing/>
        <w:rPr>
          <w:rStyle w:val="Heading1Char"/>
        </w:rPr>
      </w:pPr>
      <w:r w:rsidRPr="00743A41">
        <w:rPr>
          <w:rStyle w:val="Heading1Char"/>
          <w:b w:val="0"/>
        </w:rPr>
        <w:t xml:space="preserve">The UTHealth School of Public Health has a high level of autonomy and independence from UTHealth, while enjoying a productive, mutually beneficial relationship with UTHealth. </w:t>
      </w:r>
    </w:p>
    <w:p w:rsidR="00933038" w:rsidRPr="00743A41" w:rsidRDefault="00933038" w:rsidP="00A37ED6">
      <w:pPr>
        <w:contextualSpacing/>
        <w:jc w:val="both"/>
        <w:rPr>
          <w:rFonts w:asciiTheme="majorHAnsi" w:hAnsiTheme="majorHAnsi" w:cstheme="majorHAnsi"/>
          <w:sz w:val="20"/>
          <w:szCs w:val="20"/>
        </w:rPr>
      </w:pPr>
    </w:p>
    <w:p w:rsidR="00BB4013" w:rsidRPr="00743A41" w:rsidRDefault="00BB4013" w:rsidP="00A37ED6">
      <w:pPr>
        <w:contextualSpacing/>
        <w:jc w:val="both"/>
        <w:rPr>
          <w:rFonts w:asciiTheme="majorHAnsi" w:hAnsiTheme="majorHAnsi" w:cstheme="majorHAnsi"/>
          <w:sz w:val="20"/>
          <w:szCs w:val="20"/>
        </w:rPr>
      </w:pPr>
    </w:p>
    <w:p w:rsidR="00BB4013" w:rsidRPr="00743A41" w:rsidRDefault="00BB4013" w:rsidP="00A37ED6">
      <w:pPr>
        <w:contextualSpacing/>
        <w:jc w:val="both"/>
        <w:rPr>
          <w:rFonts w:asciiTheme="majorHAnsi" w:hAnsiTheme="majorHAnsi" w:cstheme="majorHAnsi"/>
          <w:sz w:val="20"/>
          <w:szCs w:val="20"/>
        </w:rPr>
      </w:pPr>
    </w:p>
    <w:p w:rsidR="00BB4013" w:rsidRPr="00743A41" w:rsidRDefault="00BB4013" w:rsidP="00A37ED6">
      <w:pPr>
        <w:contextualSpacing/>
        <w:jc w:val="both"/>
        <w:rPr>
          <w:rFonts w:asciiTheme="majorHAnsi" w:hAnsiTheme="majorHAnsi" w:cstheme="majorHAnsi"/>
          <w:sz w:val="20"/>
          <w:szCs w:val="20"/>
        </w:rPr>
      </w:pPr>
    </w:p>
    <w:p w:rsidR="00BB4013" w:rsidRPr="00743A41" w:rsidRDefault="00BB4013" w:rsidP="00A37ED6">
      <w:pPr>
        <w:rPr>
          <w:rStyle w:val="Heading1Char"/>
        </w:rPr>
      </w:pPr>
      <w:bookmarkStart w:id="24" w:name="_Toc464487855"/>
      <w:r w:rsidRPr="00743A41">
        <w:rPr>
          <w:rStyle w:val="Heading1Char"/>
        </w:rPr>
        <w:br w:type="page"/>
      </w:r>
    </w:p>
    <w:p w:rsidR="00933038" w:rsidRPr="00743A41" w:rsidRDefault="00933038" w:rsidP="007A68BE">
      <w:pPr>
        <w:pStyle w:val="Heading1"/>
      </w:pPr>
      <w:bookmarkStart w:id="25" w:name="_Toc7118188"/>
      <w:r w:rsidRPr="00743A41">
        <w:rPr>
          <w:rStyle w:val="Heading1Char"/>
          <w:b/>
        </w:rPr>
        <w:t>A5. Degree Offerings in Schools of Public Health</w:t>
      </w:r>
      <w:bookmarkEnd w:id="24"/>
      <w:bookmarkEnd w:id="25"/>
    </w:p>
    <w:p w:rsidR="00933038" w:rsidRPr="00743A41" w:rsidRDefault="00933038" w:rsidP="00A37ED6">
      <w:pPr>
        <w:rPr>
          <w:rFonts w:asciiTheme="majorHAnsi" w:hAnsiTheme="majorHAnsi" w:cstheme="majorHAnsi"/>
          <w:sz w:val="20"/>
          <w:szCs w:val="20"/>
        </w:rPr>
      </w:pPr>
    </w:p>
    <w:p w:rsidR="00193137" w:rsidRPr="00743A41" w:rsidRDefault="00193137" w:rsidP="00A37ED6">
      <w:pPr>
        <w:pStyle w:val="ListParagraph"/>
        <w:ind w:left="0"/>
        <w:jc w:val="both"/>
        <w:rPr>
          <w:rFonts w:asciiTheme="majorHAnsi" w:hAnsiTheme="majorHAnsi" w:cstheme="majorHAnsi"/>
          <w:b/>
          <w:szCs w:val="20"/>
        </w:rPr>
      </w:pPr>
      <w:r w:rsidRPr="00743A41">
        <w:rPr>
          <w:rFonts w:asciiTheme="majorHAnsi" w:hAnsiTheme="majorHAnsi" w:cstheme="majorHAnsi"/>
          <w:b/>
          <w:szCs w:val="20"/>
        </w:rPr>
        <w:t>A school of public health offers a professional public health master’s degree (eg, MPH) in at least three distinct concentrations (as defined by competencies in Criterion D4) and public health doctoral degree programs (academic or professional) in at least two concentrations (as defined by competencies in Criterion D4).  A school may offer more degrees or concentrations at either degree level.</w:t>
      </w:r>
    </w:p>
    <w:p w:rsidR="00193137" w:rsidRPr="00743A41" w:rsidRDefault="00193137" w:rsidP="00A37ED6">
      <w:pPr>
        <w:pStyle w:val="Default"/>
        <w:jc w:val="both"/>
        <w:rPr>
          <w:rFonts w:asciiTheme="majorHAnsi" w:hAnsiTheme="majorHAnsi" w:cstheme="majorHAnsi"/>
          <w:color w:val="auto"/>
          <w:szCs w:val="20"/>
        </w:rPr>
      </w:pPr>
    </w:p>
    <w:p w:rsidR="00193137" w:rsidRPr="00743A41" w:rsidRDefault="00193137" w:rsidP="00A37ED6">
      <w:pPr>
        <w:pStyle w:val="Default"/>
        <w:numPr>
          <w:ilvl w:val="0"/>
          <w:numId w:val="47"/>
        </w:numPr>
        <w:jc w:val="both"/>
        <w:rPr>
          <w:rFonts w:asciiTheme="majorHAnsi" w:hAnsiTheme="majorHAnsi" w:cstheme="majorHAnsi"/>
          <w:color w:val="auto"/>
          <w:szCs w:val="20"/>
        </w:rPr>
      </w:pPr>
      <w:r w:rsidRPr="00743A41">
        <w:rPr>
          <w:rFonts w:asciiTheme="majorHAnsi" w:hAnsiTheme="majorHAnsi" w:cstheme="majorHAnsi"/>
          <w:color w:val="auto"/>
          <w:szCs w:val="20"/>
        </w:rPr>
        <w:t xml:space="preserve">Affirm that the school offers professional public health master’s degree concentrations in at least three areas and public health doctoral degree programs of study in at least two areas. Template Intro-1 may be </w:t>
      </w:r>
      <w:r w:rsidR="00824F1A" w:rsidRPr="00743A41">
        <w:rPr>
          <w:rFonts w:asciiTheme="majorHAnsi" w:hAnsiTheme="majorHAnsi" w:cstheme="majorHAnsi"/>
          <w:color w:val="auto"/>
          <w:szCs w:val="20"/>
        </w:rPr>
        <w:t>r</w:t>
      </w:r>
      <w:r w:rsidRPr="00743A41">
        <w:rPr>
          <w:rFonts w:asciiTheme="majorHAnsi" w:hAnsiTheme="majorHAnsi" w:cstheme="majorHAnsi"/>
          <w:color w:val="auto"/>
          <w:szCs w:val="20"/>
        </w:rPr>
        <w:t xml:space="preserve">eferenced for this purpose. </w:t>
      </w:r>
    </w:p>
    <w:p w:rsidR="00193137" w:rsidRPr="00743A41" w:rsidRDefault="00193137" w:rsidP="00A37ED6">
      <w:pPr>
        <w:pStyle w:val="Default"/>
        <w:jc w:val="both"/>
        <w:rPr>
          <w:rFonts w:asciiTheme="majorHAnsi" w:hAnsiTheme="majorHAnsi" w:cstheme="majorHAnsi"/>
          <w:i/>
          <w:color w:val="auto"/>
          <w:szCs w:val="20"/>
        </w:rPr>
      </w:pPr>
    </w:p>
    <w:p w:rsidR="00302459" w:rsidRPr="00743A41" w:rsidRDefault="00A61C97" w:rsidP="00A37ED6">
      <w:pPr>
        <w:pStyle w:val="Default"/>
        <w:ind w:left="720"/>
        <w:rPr>
          <w:rFonts w:asciiTheme="majorHAnsi" w:hAnsiTheme="majorHAnsi" w:cstheme="majorHAnsi"/>
          <w:i/>
          <w:color w:val="auto"/>
          <w:szCs w:val="20"/>
        </w:rPr>
      </w:pPr>
      <w:r w:rsidRPr="00743A41">
        <w:rPr>
          <w:rStyle w:val="Heading1Char"/>
          <w:b w:val="0"/>
        </w:rPr>
        <w:t xml:space="preserve">The UTHealth School of Public Health offers a vast array of professional and academic degrees to train students in public health. </w:t>
      </w:r>
      <w:r w:rsidR="00302459" w:rsidRPr="00743A41">
        <w:rPr>
          <w:rFonts w:asciiTheme="majorHAnsi" w:eastAsia="Arial" w:hAnsiTheme="majorHAnsi" w:cstheme="majorHAnsi"/>
          <w:szCs w:val="20"/>
        </w:rPr>
        <w:t xml:space="preserve">The UTHealth School of Public Health offers masters of public health degrees in eight areas and doctoral degrees in nine areas, as shown in </w:t>
      </w:r>
      <w:hyperlink w:anchor="Table_Intro1b" w:history="1">
        <w:r w:rsidR="00302459" w:rsidRPr="00743A41">
          <w:rPr>
            <w:rStyle w:val="Hyperlink"/>
            <w:rFonts w:asciiTheme="majorHAnsi" w:eastAsia="Arial" w:hAnsiTheme="majorHAnsi" w:cstheme="majorHAnsi"/>
            <w:szCs w:val="20"/>
          </w:rPr>
          <w:t>Table Intro.1.b.</w:t>
        </w:r>
      </w:hyperlink>
    </w:p>
    <w:p w:rsidR="00193137" w:rsidRPr="00743A41" w:rsidRDefault="00193137" w:rsidP="00A37ED6">
      <w:pPr>
        <w:pStyle w:val="Default"/>
        <w:ind w:left="720"/>
        <w:jc w:val="both"/>
        <w:rPr>
          <w:rFonts w:asciiTheme="majorHAnsi" w:hAnsiTheme="majorHAnsi" w:cstheme="majorHAnsi"/>
          <w:color w:val="auto"/>
          <w:szCs w:val="20"/>
        </w:rPr>
      </w:pPr>
    </w:p>
    <w:p w:rsidR="00193137" w:rsidRPr="00743A41" w:rsidRDefault="00193137" w:rsidP="00A37ED6">
      <w:pPr>
        <w:pStyle w:val="Default"/>
        <w:numPr>
          <w:ilvl w:val="0"/>
          <w:numId w:val="47"/>
        </w:numPr>
        <w:jc w:val="both"/>
        <w:rPr>
          <w:rFonts w:asciiTheme="majorHAnsi" w:hAnsiTheme="majorHAnsi" w:cstheme="majorHAnsi"/>
          <w:color w:val="auto"/>
          <w:szCs w:val="20"/>
        </w:rPr>
      </w:pPr>
      <w:r w:rsidRPr="00743A41">
        <w:rPr>
          <w:rFonts w:asciiTheme="majorHAnsi" w:hAnsiTheme="majorHAnsi" w:cstheme="majorHAnsi"/>
          <w:color w:val="auto"/>
          <w:szCs w:val="20"/>
        </w:rPr>
        <w:t xml:space="preserve">An official catalog or bulletin that lists the degrees offered by the school. </w:t>
      </w:r>
    </w:p>
    <w:p w:rsidR="00193137" w:rsidRPr="00743A41" w:rsidRDefault="00193137" w:rsidP="00A37ED6">
      <w:pPr>
        <w:pStyle w:val="Default"/>
        <w:jc w:val="both"/>
        <w:rPr>
          <w:rFonts w:asciiTheme="majorHAnsi" w:hAnsiTheme="majorHAnsi" w:cstheme="majorHAnsi"/>
          <w:color w:val="auto"/>
          <w:szCs w:val="20"/>
        </w:rPr>
      </w:pPr>
    </w:p>
    <w:p w:rsidR="00302459" w:rsidRPr="00743A41" w:rsidRDefault="00302459" w:rsidP="00A37ED6">
      <w:pPr>
        <w:ind w:left="72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 xml:space="preserve">The </w:t>
      </w:r>
      <w:r w:rsidR="008E2BDA" w:rsidRPr="00084C76">
        <w:rPr>
          <w:rFonts w:asciiTheme="majorHAnsi" w:hAnsiTheme="majorHAnsi" w:cstheme="majorHAnsi"/>
          <w:sz w:val="20"/>
          <w:szCs w:val="20"/>
        </w:rPr>
        <w:t>2018–2020 Academic Catalog</w:t>
      </w:r>
      <w:r w:rsidRPr="00084C76">
        <w:rPr>
          <w:rFonts w:asciiTheme="majorHAnsi" w:eastAsia="Arial" w:hAnsiTheme="majorHAnsi" w:cstheme="majorHAnsi"/>
          <w:color w:val="000000"/>
          <w:sz w:val="20"/>
          <w:szCs w:val="20"/>
        </w:rPr>
        <w:t xml:space="preserve"> and </w:t>
      </w:r>
      <w:r w:rsidR="008E2BDA" w:rsidRPr="00084C76">
        <w:rPr>
          <w:rFonts w:asciiTheme="majorHAnsi" w:hAnsiTheme="majorHAnsi" w:cstheme="majorHAnsi"/>
          <w:sz w:val="20"/>
          <w:szCs w:val="20"/>
        </w:rPr>
        <w:t>2019–2020 Academic Catalog Addendum</w:t>
      </w:r>
      <w:r w:rsidRPr="00084C76">
        <w:rPr>
          <w:rFonts w:asciiTheme="majorHAnsi" w:eastAsia="Arial" w:hAnsiTheme="majorHAnsi" w:cstheme="majorHAnsi"/>
          <w:color w:val="000000"/>
          <w:sz w:val="20"/>
          <w:szCs w:val="20"/>
        </w:rPr>
        <w:t xml:space="preserve"> list the degrees offered by the UTHealth School of Public Health, and are available </w:t>
      </w:r>
      <w:r w:rsidRPr="00084C76">
        <w:rPr>
          <w:rFonts w:asciiTheme="majorHAnsi" w:hAnsiTheme="majorHAnsi" w:cstheme="majorHAnsi"/>
          <w:sz w:val="20"/>
          <w:szCs w:val="20"/>
        </w:rPr>
        <w:t>in the electronic resource file (</w:t>
      </w:r>
      <w:r w:rsidR="003F40F5" w:rsidRPr="00084C76">
        <w:rPr>
          <w:rFonts w:asciiTheme="majorHAnsi" w:hAnsiTheme="majorHAnsi" w:cstheme="majorHAnsi"/>
          <w:i/>
          <w:sz w:val="20"/>
          <w:szCs w:val="20"/>
        </w:rPr>
        <w:t>ERF, A5. Degree Offerings in Schools of Public Health</w:t>
      </w:r>
      <w:r w:rsidRPr="00084C76">
        <w:rPr>
          <w:rFonts w:asciiTheme="majorHAnsi" w:hAnsiTheme="majorHAnsi" w:cstheme="majorHAnsi"/>
          <w:sz w:val="20"/>
          <w:szCs w:val="20"/>
        </w:rPr>
        <w:t>)</w:t>
      </w:r>
      <w:r w:rsidRPr="00084C76">
        <w:rPr>
          <w:rFonts w:asciiTheme="majorHAnsi" w:eastAsia="Arial" w:hAnsiTheme="majorHAnsi" w:cstheme="majorHAnsi"/>
          <w:color w:val="000000"/>
          <w:sz w:val="20"/>
          <w:szCs w:val="20"/>
        </w:rPr>
        <w:t xml:space="preserve">. A matrix outlining the degree offerings at the UTHealth School of Public Health is provided in </w:t>
      </w:r>
      <w:hyperlink w:anchor="tablea52" w:history="1">
        <w:r w:rsidRPr="00084C76">
          <w:rPr>
            <w:rStyle w:val="Hyperlink"/>
            <w:rFonts w:asciiTheme="majorHAnsi" w:eastAsia="Arial" w:hAnsiTheme="majorHAnsi" w:cstheme="majorHAnsi"/>
            <w:sz w:val="20"/>
            <w:szCs w:val="20"/>
          </w:rPr>
          <w:t>Table A.5.2.</w:t>
        </w:r>
      </w:hyperlink>
      <w:r w:rsidRPr="00743A41">
        <w:rPr>
          <w:rFonts w:asciiTheme="majorHAnsi" w:eastAsia="Arial" w:hAnsiTheme="majorHAnsi" w:cstheme="majorHAnsi"/>
          <w:color w:val="000000"/>
          <w:sz w:val="20"/>
          <w:szCs w:val="20"/>
        </w:rPr>
        <w:t xml:space="preserve"> and is available in the electronic resource file (</w:t>
      </w:r>
      <w:r w:rsidR="00B55C07" w:rsidRPr="006E28EE">
        <w:rPr>
          <w:rFonts w:asciiTheme="majorHAnsi" w:eastAsia="Arial" w:hAnsiTheme="majorHAnsi" w:cstheme="majorHAnsi"/>
          <w:i/>
          <w:color w:val="000000"/>
          <w:sz w:val="20"/>
          <w:szCs w:val="20"/>
        </w:rPr>
        <w:t>ERF, A5. Degree Offerings in Schools of Public Health</w:t>
      </w:r>
      <w:r w:rsidR="00B55C07" w:rsidRPr="00743A41">
        <w:rPr>
          <w:rFonts w:asciiTheme="majorHAnsi" w:eastAsia="Arial" w:hAnsiTheme="majorHAnsi" w:cstheme="majorHAnsi"/>
          <w:color w:val="000000"/>
          <w:sz w:val="20"/>
          <w:szCs w:val="20"/>
        </w:rPr>
        <w:t xml:space="preserve">). </w:t>
      </w:r>
    </w:p>
    <w:p w:rsidR="00302459" w:rsidRPr="00743A41" w:rsidRDefault="00302459" w:rsidP="00A37ED6">
      <w:pPr>
        <w:ind w:left="720"/>
        <w:jc w:val="both"/>
        <w:rPr>
          <w:rFonts w:asciiTheme="majorHAnsi" w:hAnsiTheme="majorHAnsi" w:cstheme="majorHAnsi"/>
          <w:sz w:val="20"/>
          <w:szCs w:val="20"/>
        </w:rPr>
      </w:pPr>
    </w:p>
    <w:p w:rsidR="00302459" w:rsidRPr="00084C76" w:rsidRDefault="00642AC4" w:rsidP="00A37ED6">
      <w:pPr>
        <w:ind w:left="720"/>
        <w:jc w:val="both"/>
        <w:rPr>
          <w:rFonts w:asciiTheme="majorHAnsi" w:hAnsiTheme="majorHAnsi" w:cstheme="majorHAnsi"/>
          <w:b/>
          <w:sz w:val="20"/>
          <w:szCs w:val="20"/>
        </w:rPr>
      </w:pPr>
      <w:bookmarkStart w:id="26" w:name="tablea52"/>
      <w:r w:rsidRPr="00084C76">
        <w:rPr>
          <w:rFonts w:asciiTheme="majorHAnsi" w:hAnsiTheme="majorHAnsi" w:cstheme="majorHAnsi"/>
          <w:sz w:val="20"/>
          <w:szCs w:val="20"/>
        </w:rPr>
        <w:t xml:space="preserve">Table A.5.2. </w:t>
      </w:r>
      <w:bookmarkEnd w:id="26"/>
      <w:r w:rsidRPr="00084C76">
        <w:rPr>
          <w:rFonts w:asciiTheme="majorHAnsi" w:hAnsiTheme="majorHAnsi" w:cstheme="majorHAnsi"/>
          <w:sz w:val="20"/>
          <w:szCs w:val="20"/>
        </w:rPr>
        <w:t>UTHealth School of Public Health Degree Offerings by Degree, Major, and Campus</w:t>
      </w:r>
    </w:p>
    <w:tbl>
      <w:tblPr>
        <w:tblStyle w:val="15"/>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900"/>
        <w:gridCol w:w="810"/>
        <w:gridCol w:w="1170"/>
        <w:gridCol w:w="720"/>
        <w:gridCol w:w="836"/>
        <w:gridCol w:w="964"/>
        <w:gridCol w:w="810"/>
      </w:tblGrid>
      <w:tr w:rsidR="00227EEB" w:rsidRPr="00743A41" w:rsidTr="00F026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30" w:type="dxa"/>
            <w:tcBorders>
              <w:top w:val="none" w:sz="0" w:space="0" w:color="auto"/>
              <w:bottom w:val="none" w:sz="0" w:space="0" w:color="auto"/>
              <w:right w:val="none" w:sz="0" w:space="0" w:color="auto"/>
            </w:tcBorders>
          </w:tcPr>
          <w:p w:rsidR="00C21EDD" w:rsidRPr="00743A41" w:rsidRDefault="00C21EDD" w:rsidP="00A37ED6">
            <w:pPr>
              <w:ind w:left="180" w:hanging="90"/>
              <w:jc w:val="center"/>
              <w:rPr>
                <w:rFonts w:asciiTheme="majorHAnsi" w:hAnsiTheme="majorHAnsi" w:cstheme="majorHAnsi"/>
                <w:b w:val="0"/>
                <w:sz w:val="20"/>
                <w:szCs w:val="20"/>
              </w:rPr>
            </w:pPr>
          </w:p>
        </w:tc>
        <w:tc>
          <w:tcPr>
            <w:tcW w:w="900" w:type="dxa"/>
            <w:tcBorders>
              <w:top w:val="none" w:sz="0" w:space="0" w:color="auto"/>
              <w:left w:val="none" w:sz="0" w:space="0" w:color="auto"/>
              <w:bottom w:val="none" w:sz="0" w:space="0" w:color="auto"/>
              <w:right w:val="none" w:sz="0" w:space="0" w:color="auto"/>
            </w:tcBorders>
          </w:tcPr>
          <w:p w:rsidR="00C21EDD" w:rsidRPr="00743A41" w:rsidRDefault="00C21EDD" w:rsidP="00A37ED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743A41">
              <w:rPr>
                <w:rFonts w:asciiTheme="majorHAnsi" w:hAnsiTheme="majorHAnsi" w:cstheme="majorHAnsi"/>
                <w:sz w:val="20"/>
                <w:szCs w:val="20"/>
              </w:rPr>
              <w:t>Houston</w:t>
            </w:r>
          </w:p>
        </w:tc>
        <w:tc>
          <w:tcPr>
            <w:tcW w:w="810" w:type="dxa"/>
            <w:tcBorders>
              <w:top w:val="none" w:sz="0" w:space="0" w:color="auto"/>
              <w:left w:val="none" w:sz="0" w:space="0" w:color="auto"/>
              <w:bottom w:val="none" w:sz="0" w:space="0" w:color="auto"/>
              <w:right w:val="none" w:sz="0" w:space="0" w:color="auto"/>
            </w:tcBorders>
          </w:tcPr>
          <w:p w:rsidR="00C21EDD" w:rsidRPr="00743A41" w:rsidRDefault="00C21EDD" w:rsidP="00A37ED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743A41">
              <w:rPr>
                <w:rFonts w:asciiTheme="majorHAnsi" w:hAnsiTheme="majorHAnsi" w:cstheme="majorHAnsi"/>
                <w:sz w:val="20"/>
                <w:szCs w:val="20"/>
              </w:rPr>
              <w:t>Austin</w:t>
            </w:r>
          </w:p>
        </w:tc>
        <w:tc>
          <w:tcPr>
            <w:tcW w:w="1170" w:type="dxa"/>
            <w:tcBorders>
              <w:top w:val="none" w:sz="0" w:space="0" w:color="auto"/>
              <w:left w:val="none" w:sz="0" w:space="0" w:color="auto"/>
              <w:bottom w:val="none" w:sz="0" w:space="0" w:color="auto"/>
              <w:right w:val="none" w:sz="0" w:space="0" w:color="auto"/>
            </w:tcBorders>
          </w:tcPr>
          <w:p w:rsidR="00C21EDD" w:rsidRPr="00743A41" w:rsidRDefault="00C21EDD" w:rsidP="00A37ED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743A41">
              <w:rPr>
                <w:rFonts w:asciiTheme="majorHAnsi" w:hAnsiTheme="majorHAnsi" w:cstheme="majorHAnsi"/>
                <w:sz w:val="20"/>
                <w:szCs w:val="20"/>
              </w:rPr>
              <w:t>Brownsville</w:t>
            </w:r>
          </w:p>
        </w:tc>
        <w:tc>
          <w:tcPr>
            <w:tcW w:w="720" w:type="dxa"/>
            <w:tcBorders>
              <w:top w:val="none" w:sz="0" w:space="0" w:color="auto"/>
              <w:left w:val="none" w:sz="0" w:space="0" w:color="auto"/>
              <w:bottom w:val="none" w:sz="0" w:space="0" w:color="auto"/>
              <w:right w:val="none" w:sz="0" w:space="0" w:color="auto"/>
            </w:tcBorders>
          </w:tcPr>
          <w:p w:rsidR="00C21EDD" w:rsidRPr="00743A41" w:rsidRDefault="00C21EDD" w:rsidP="00A37ED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743A41">
              <w:rPr>
                <w:rFonts w:asciiTheme="majorHAnsi" w:hAnsiTheme="majorHAnsi" w:cstheme="majorHAnsi"/>
                <w:sz w:val="20"/>
                <w:szCs w:val="20"/>
              </w:rPr>
              <w:t>Dallas</w:t>
            </w:r>
          </w:p>
        </w:tc>
        <w:tc>
          <w:tcPr>
            <w:tcW w:w="836" w:type="dxa"/>
            <w:tcBorders>
              <w:top w:val="none" w:sz="0" w:space="0" w:color="auto"/>
              <w:left w:val="none" w:sz="0" w:space="0" w:color="auto"/>
              <w:bottom w:val="none" w:sz="0" w:space="0" w:color="auto"/>
              <w:right w:val="none" w:sz="0" w:space="0" w:color="auto"/>
            </w:tcBorders>
          </w:tcPr>
          <w:p w:rsidR="00C21EDD" w:rsidRPr="00743A41" w:rsidRDefault="00C21EDD" w:rsidP="00A37ED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t>El Paso</w:t>
            </w:r>
          </w:p>
        </w:tc>
        <w:tc>
          <w:tcPr>
            <w:tcW w:w="964" w:type="dxa"/>
            <w:tcBorders>
              <w:top w:val="none" w:sz="0" w:space="0" w:color="auto"/>
              <w:left w:val="none" w:sz="0" w:space="0" w:color="auto"/>
              <w:bottom w:val="none" w:sz="0" w:space="0" w:color="auto"/>
              <w:right w:val="none" w:sz="0" w:space="0" w:color="auto"/>
            </w:tcBorders>
          </w:tcPr>
          <w:p w:rsidR="00C21EDD" w:rsidRPr="00743A41" w:rsidRDefault="00C21EDD" w:rsidP="00A37ED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743A41">
              <w:rPr>
                <w:rFonts w:asciiTheme="majorHAnsi" w:hAnsiTheme="majorHAnsi" w:cstheme="majorHAnsi"/>
                <w:sz w:val="20"/>
                <w:szCs w:val="20"/>
              </w:rPr>
              <w:t>San Antonio</w:t>
            </w:r>
          </w:p>
        </w:tc>
        <w:tc>
          <w:tcPr>
            <w:tcW w:w="810" w:type="dxa"/>
            <w:tcBorders>
              <w:top w:val="none" w:sz="0" w:space="0" w:color="auto"/>
              <w:left w:val="none" w:sz="0" w:space="0" w:color="auto"/>
              <w:bottom w:val="none" w:sz="0" w:space="0" w:color="auto"/>
            </w:tcBorders>
          </w:tcPr>
          <w:p w:rsidR="00C21EDD" w:rsidRPr="00743A41" w:rsidRDefault="00C21EDD" w:rsidP="00A37ED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743A41">
              <w:rPr>
                <w:rFonts w:asciiTheme="majorHAnsi" w:hAnsiTheme="majorHAnsi" w:cstheme="majorHAnsi"/>
                <w:sz w:val="20"/>
                <w:szCs w:val="20"/>
              </w:rPr>
              <w:t>Online</w:t>
            </w:r>
          </w:p>
        </w:tc>
      </w:tr>
      <w:tr w:rsidR="00302459" w:rsidRPr="00743A41" w:rsidTr="00B03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gridSpan w:val="8"/>
          </w:tcPr>
          <w:p w:rsidR="00302459" w:rsidRPr="00743A41" w:rsidRDefault="00302459" w:rsidP="00A37ED6">
            <w:pPr>
              <w:rPr>
                <w:rFonts w:asciiTheme="majorHAnsi" w:hAnsiTheme="majorHAnsi" w:cstheme="majorHAnsi"/>
                <w:b w:val="0"/>
                <w:sz w:val="20"/>
                <w:szCs w:val="20"/>
              </w:rPr>
            </w:pPr>
            <w:r w:rsidRPr="00743A41">
              <w:rPr>
                <w:rFonts w:asciiTheme="majorHAnsi" w:hAnsiTheme="majorHAnsi" w:cstheme="majorHAnsi"/>
                <w:sz w:val="20"/>
                <w:szCs w:val="20"/>
              </w:rPr>
              <w:t>Master of Public Health (MPH)</w:t>
            </w:r>
          </w:p>
        </w:tc>
      </w:tr>
      <w:tr w:rsidR="00227EEB" w:rsidRPr="00743A41" w:rsidTr="00F026B3">
        <w:tc>
          <w:tcPr>
            <w:cnfStyle w:val="001000000000" w:firstRow="0" w:lastRow="0" w:firstColumn="1" w:lastColumn="0" w:oddVBand="0" w:evenVBand="0" w:oddHBand="0" w:evenHBand="0" w:firstRowFirstColumn="0" w:firstRowLastColumn="0" w:lastRowFirstColumn="0" w:lastRowLastColumn="0"/>
            <w:tcW w:w="2430" w:type="dxa"/>
          </w:tcPr>
          <w:p w:rsidR="00302459" w:rsidRPr="00743A41" w:rsidRDefault="00302459"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Community Health Practice</w:t>
            </w:r>
          </w:p>
        </w:tc>
        <w:tc>
          <w:tcPr>
            <w:tcW w:w="90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7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36"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964"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1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227EEB" w:rsidRPr="00743A41" w:rsidTr="00F02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302459" w:rsidRPr="00743A41" w:rsidRDefault="00302459"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Customized</w:t>
            </w:r>
          </w:p>
        </w:tc>
        <w:tc>
          <w:tcPr>
            <w:tcW w:w="90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117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72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36"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964"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227EEB" w:rsidRPr="00743A41" w:rsidTr="00F026B3">
        <w:tc>
          <w:tcPr>
            <w:cnfStyle w:val="001000000000" w:firstRow="0" w:lastRow="0" w:firstColumn="1" w:lastColumn="0" w:oddVBand="0" w:evenVBand="0" w:oddHBand="0" w:evenHBand="0" w:firstRowFirstColumn="0" w:firstRowLastColumn="0" w:lastRowFirstColumn="0" w:lastRowLastColumn="0"/>
            <w:tcW w:w="2430" w:type="dxa"/>
          </w:tcPr>
          <w:p w:rsidR="00302459" w:rsidRPr="00743A41" w:rsidRDefault="00302459"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Environmental Health</w:t>
            </w:r>
          </w:p>
        </w:tc>
        <w:tc>
          <w:tcPr>
            <w:tcW w:w="90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7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36"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964"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1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227EEB" w:rsidRPr="00743A41" w:rsidTr="00F02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302459" w:rsidRPr="00743A41" w:rsidRDefault="00302459"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Epidemiology</w:t>
            </w:r>
          </w:p>
        </w:tc>
        <w:tc>
          <w:tcPr>
            <w:tcW w:w="90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117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72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36"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964"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r>
      <w:tr w:rsidR="00227EEB" w:rsidRPr="00743A41" w:rsidTr="00F026B3">
        <w:tc>
          <w:tcPr>
            <w:cnfStyle w:val="001000000000" w:firstRow="0" w:lastRow="0" w:firstColumn="1" w:lastColumn="0" w:oddVBand="0" w:evenVBand="0" w:oddHBand="0" w:evenHBand="0" w:firstRowFirstColumn="0" w:firstRowLastColumn="0" w:lastRowFirstColumn="0" w:lastRowLastColumn="0"/>
            <w:tcW w:w="2430" w:type="dxa"/>
          </w:tcPr>
          <w:p w:rsidR="00302459" w:rsidRPr="00743A41" w:rsidRDefault="00302459"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Health Promotion/Health Education</w:t>
            </w:r>
          </w:p>
        </w:tc>
        <w:tc>
          <w:tcPr>
            <w:tcW w:w="90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117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72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36"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964"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227EEB" w:rsidRPr="00743A41" w:rsidTr="00F02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302459" w:rsidRPr="00743A41" w:rsidRDefault="00302459"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Health Promotion/Health Education, Dietetic Internship Track</w:t>
            </w:r>
          </w:p>
        </w:tc>
        <w:tc>
          <w:tcPr>
            <w:tcW w:w="90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17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72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36"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964"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1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302459" w:rsidRPr="00743A41" w:rsidTr="00F026B3">
        <w:tc>
          <w:tcPr>
            <w:cnfStyle w:val="001000000000" w:firstRow="0" w:lastRow="0" w:firstColumn="1" w:lastColumn="0" w:oddVBand="0" w:evenVBand="0" w:oddHBand="0" w:evenHBand="0" w:firstRowFirstColumn="0" w:firstRowLastColumn="0" w:lastRowFirstColumn="0" w:lastRowLastColumn="0"/>
            <w:tcW w:w="2430" w:type="dxa"/>
          </w:tcPr>
          <w:p w:rsidR="00302459" w:rsidRPr="00743A41" w:rsidRDefault="00302459"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Healthcare Management</w:t>
            </w:r>
          </w:p>
        </w:tc>
        <w:tc>
          <w:tcPr>
            <w:tcW w:w="90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7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36"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964"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1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227EEB" w:rsidRPr="00743A41" w:rsidTr="00F02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302459" w:rsidRPr="00743A41" w:rsidRDefault="00302459"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Health Services Organization</w:t>
            </w:r>
          </w:p>
        </w:tc>
        <w:tc>
          <w:tcPr>
            <w:tcW w:w="90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17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72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36"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964"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1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302459" w:rsidRPr="00743A41" w:rsidTr="00B036EB">
        <w:tc>
          <w:tcPr>
            <w:cnfStyle w:val="001000000000" w:firstRow="0" w:lastRow="0" w:firstColumn="1" w:lastColumn="0" w:oddVBand="0" w:evenVBand="0" w:oddHBand="0" w:evenHBand="0" w:firstRowFirstColumn="0" w:firstRowLastColumn="0" w:lastRowFirstColumn="0" w:lastRowLastColumn="0"/>
            <w:tcW w:w="8640" w:type="dxa"/>
            <w:gridSpan w:val="8"/>
          </w:tcPr>
          <w:p w:rsidR="00302459" w:rsidRPr="00743A41" w:rsidRDefault="00302459" w:rsidP="00A37ED6">
            <w:pPr>
              <w:rPr>
                <w:rFonts w:asciiTheme="majorHAnsi" w:hAnsiTheme="majorHAnsi" w:cstheme="majorHAnsi"/>
                <w:b w:val="0"/>
                <w:sz w:val="20"/>
                <w:szCs w:val="20"/>
              </w:rPr>
            </w:pPr>
            <w:r w:rsidRPr="00743A41">
              <w:rPr>
                <w:rFonts w:asciiTheme="majorHAnsi" w:hAnsiTheme="majorHAnsi" w:cstheme="majorHAnsi"/>
                <w:sz w:val="20"/>
                <w:szCs w:val="20"/>
              </w:rPr>
              <w:t>Master of Science (MS)</w:t>
            </w:r>
          </w:p>
        </w:tc>
      </w:tr>
      <w:tr w:rsidR="00227EEB" w:rsidRPr="00743A41" w:rsidTr="00F02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302459" w:rsidRPr="00743A41" w:rsidRDefault="00302459"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Biostatistics</w:t>
            </w:r>
          </w:p>
        </w:tc>
        <w:tc>
          <w:tcPr>
            <w:tcW w:w="90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17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72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36"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964"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1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302459" w:rsidRPr="00743A41" w:rsidTr="00B036EB">
        <w:tc>
          <w:tcPr>
            <w:cnfStyle w:val="001000000000" w:firstRow="0" w:lastRow="0" w:firstColumn="1" w:lastColumn="0" w:oddVBand="0" w:evenVBand="0" w:oddHBand="0" w:evenHBand="0" w:firstRowFirstColumn="0" w:firstRowLastColumn="0" w:lastRowFirstColumn="0" w:lastRowLastColumn="0"/>
            <w:tcW w:w="8640" w:type="dxa"/>
            <w:gridSpan w:val="8"/>
          </w:tcPr>
          <w:p w:rsidR="00302459" w:rsidRPr="00743A41" w:rsidRDefault="00302459" w:rsidP="00A37ED6">
            <w:pPr>
              <w:rPr>
                <w:rFonts w:asciiTheme="majorHAnsi" w:hAnsiTheme="majorHAnsi" w:cstheme="majorHAnsi"/>
                <w:b w:val="0"/>
                <w:sz w:val="20"/>
                <w:szCs w:val="20"/>
              </w:rPr>
            </w:pPr>
            <w:r w:rsidRPr="00743A41">
              <w:rPr>
                <w:rFonts w:asciiTheme="majorHAnsi" w:hAnsiTheme="majorHAnsi" w:cstheme="majorHAnsi"/>
                <w:sz w:val="20"/>
                <w:szCs w:val="20"/>
              </w:rPr>
              <w:t>Doctor of Public Health (DrPH)</w:t>
            </w:r>
          </w:p>
        </w:tc>
      </w:tr>
      <w:tr w:rsidR="00227EEB" w:rsidRPr="00743A41" w:rsidTr="00F02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302459" w:rsidRPr="00743A41" w:rsidRDefault="00302459"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Community Health Practice</w:t>
            </w:r>
          </w:p>
        </w:tc>
        <w:tc>
          <w:tcPr>
            <w:tcW w:w="90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17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72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36"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964"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1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227EEB" w:rsidRPr="00743A41" w:rsidTr="00F026B3">
        <w:tc>
          <w:tcPr>
            <w:cnfStyle w:val="001000000000" w:firstRow="0" w:lastRow="0" w:firstColumn="1" w:lastColumn="0" w:oddVBand="0" w:evenVBand="0" w:oddHBand="0" w:evenHBand="0" w:firstRowFirstColumn="0" w:firstRowLastColumn="0" w:lastRowFirstColumn="0" w:lastRowLastColumn="0"/>
            <w:tcW w:w="2430" w:type="dxa"/>
          </w:tcPr>
          <w:p w:rsidR="00302459" w:rsidRPr="00743A41" w:rsidRDefault="00302459"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Health Promotion/Health Education</w:t>
            </w:r>
          </w:p>
        </w:tc>
        <w:tc>
          <w:tcPr>
            <w:tcW w:w="90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117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72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36"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964"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1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302459" w:rsidRPr="00743A41" w:rsidTr="00B03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gridSpan w:val="8"/>
          </w:tcPr>
          <w:p w:rsidR="00302459" w:rsidRPr="00743A41" w:rsidRDefault="00302459" w:rsidP="00A37ED6">
            <w:pPr>
              <w:rPr>
                <w:rFonts w:asciiTheme="majorHAnsi" w:hAnsiTheme="majorHAnsi" w:cstheme="majorHAnsi"/>
                <w:b w:val="0"/>
                <w:sz w:val="20"/>
                <w:szCs w:val="20"/>
              </w:rPr>
            </w:pPr>
            <w:r w:rsidRPr="00743A41">
              <w:rPr>
                <w:rFonts w:asciiTheme="majorHAnsi" w:hAnsiTheme="majorHAnsi" w:cstheme="majorHAnsi"/>
                <w:sz w:val="20"/>
                <w:szCs w:val="20"/>
              </w:rPr>
              <w:t>Doctor of Philosophy (PhD)</w:t>
            </w:r>
          </w:p>
        </w:tc>
      </w:tr>
      <w:tr w:rsidR="00302459" w:rsidRPr="00743A41" w:rsidTr="00F026B3">
        <w:tc>
          <w:tcPr>
            <w:cnfStyle w:val="001000000000" w:firstRow="0" w:lastRow="0" w:firstColumn="1" w:lastColumn="0" w:oddVBand="0" w:evenVBand="0" w:oddHBand="0" w:evenHBand="0" w:firstRowFirstColumn="0" w:firstRowLastColumn="0" w:lastRowFirstColumn="0" w:lastRowLastColumn="0"/>
            <w:tcW w:w="2430" w:type="dxa"/>
          </w:tcPr>
          <w:p w:rsidR="00302459" w:rsidRPr="00743A41" w:rsidRDefault="00302459"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Behavioral Science and Health Promotion</w:t>
            </w:r>
          </w:p>
        </w:tc>
        <w:tc>
          <w:tcPr>
            <w:tcW w:w="90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117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36"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964"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1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227EEB" w:rsidRPr="00743A41" w:rsidTr="00F02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302459" w:rsidRPr="00743A41" w:rsidRDefault="00302459"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Biostatistics</w:t>
            </w:r>
          </w:p>
        </w:tc>
        <w:tc>
          <w:tcPr>
            <w:tcW w:w="90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17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72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36"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964"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1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302459" w:rsidRPr="00743A41" w:rsidTr="00F026B3">
        <w:tc>
          <w:tcPr>
            <w:cnfStyle w:val="001000000000" w:firstRow="0" w:lastRow="0" w:firstColumn="1" w:lastColumn="0" w:oddVBand="0" w:evenVBand="0" w:oddHBand="0" w:evenHBand="0" w:firstRowFirstColumn="0" w:firstRowLastColumn="0" w:lastRowFirstColumn="0" w:lastRowLastColumn="0"/>
            <w:tcW w:w="2430" w:type="dxa"/>
          </w:tcPr>
          <w:p w:rsidR="00302459" w:rsidRPr="00743A41" w:rsidRDefault="00302459"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Environmental Science – Total Worker Health</w:t>
            </w:r>
          </w:p>
        </w:tc>
        <w:tc>
          <w:tcPr>
            <w:tcW w:w="90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7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36"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964"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743A41">
              <w:rPr>
                <w:rFonts w:asciiTheme="majorHAnsi" w:hAnsiTheme="majorHAnsi" w:cstheme="majorHAnsi"/>
                <w:sz w:val="20"/>
                <w:szCs w:val="20"/>
              </w:rPr>
              <w:sym w:font="Wingdings 2" w:char="F050"/>
            </w:r>
          </w:p>
        </w:tc>
        <w:tc>
          <w:tcPr>
            <w:tcW w:w="81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227EEB" w:rsidRPr="00743A41" w:rsidTr="00F02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302459" w:rsidRPr="00743A41" w:rsidRDefault="00302459"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Environmental Science – Environmental Disease Prevention</w:t>
            </w:r>
          </w:p>
        </w:tc>
        <w:tc>
          <w:tcPr>
            <w:tcW w:w="90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17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72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36"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964"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743A41">
              <w:rPr>
                <w:rFonts w:asciiTheme="majorHAnsi" w:hAnsiTheme="majorHAnsi" w:cstheme="majorHAnsi"/>
                <w:sz w:val="20"/>
                <w:szCs w:val="20"/>
              </w:rPr>
              <w:sym w:font="Wingdings 2" w:char="F050"/>
            </w:r>
          </w:p>
        </w:tc>
        <w:tc>
          <w:tcPr>
            <w:tcW w:w="81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302459" w:rsidRPr="00743A41" w:rsidTr="00F026B3">
        <w:tc>
          <w:tcPr>
            <w:cnfStyle w:val="001000000000" w:firstRow="0" w:lastRow="0" w:firstColumn="1" w:lastColumn="0" w:oddVBand="0" w:evenVBand="0" w:oddHBand="0" w:evenHBand="0" w:firstRowFirstColumn="0" w:firstRowLastColumn="0" w:lastRowFirstColumn="0" w:lastRowLastColumn="0"/>
            <w:tcW w:w="2430" w:type="dxa"/>
          </w:tcPr>
          <w:p w:rsidR="00302459" w:rsidRPr="00743A41" w:rsidRDefault="00302459"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Epidemiology</w:t>
            </w:r>
          </w:p>
        </w:tc>
        <w:tc>
          <w:tcPr>
            <w:tcW w:w="90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117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72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36"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964"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743A41">
              <w:rPr>
                <w:rFonts w:asciiTheme="majorHAnsi" w:hAnsiTheme="majorHAnsi" w:cstheme="majorHAnsi"/>
                <w:sz w:val="20"/>
                <w:szCs w:val="20"/>
              </w:rPr>
              <w:sym w:font="Wingdings 2" w:char="F050"/>
            </w:r>
          </w:p>
        </w:tc>
        <w:tc>
          <w:tcPr>
            <w:tcW w:w="81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227EEB" w:rsidRPr="00743A41" w:rsidTr="00F02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302459" w:rsidRPr="00743A41" w:rsidRDefault="00302459"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Health Economics and Health Services Research</w:t>
            </w:r>
          </w:p>
        </w:tc>
        <w:tc>
          <w:tcPr>
            <w:tcW w:w="90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17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72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36"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964"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10" w:type="dxa"/>
          </w:tcPr>
          <w:p w:rsidR="00302459" w:rsidRPr="00743A41" w:rsidRDefault="00302459"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302459" w:rsidRPr="00743A41" w:rsidTr="00F026B3">
        <w:tc>
          <w:tcPr>
            <w:cnfStyle w:val="001000000000" w:firstRow="0" w:lastRow="0" w:firstColumn="1" w:lastColumn="0" w:oddVBand="0" w:evenVBand="0" w:oddHBand="0" w:evenHBand="0" w:firstRowFirstColumn="0" w:firstRowLastColumn="0" w:lastRowFirstColumn="0" w:lastRowLastColumn="0"/>
            <w:tcW w:w="2430" w:type="dxa"/>
          </w:tcPr>
          <w:p w:rsidR="00302459" w:rsidRPr="00743A41" w:rsidRDefault="00302459"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Healthcare Management and Health Policy</w:t>
            </w:r>
          </w:p>
        </w:tc>
        <w:tc>
          <w:tcPr>
            <w:tcW w:w="90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7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36"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964"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10" w:type="dxa"/>
          </w:tcPr>
          <w:p w:rsidR="00302459" w:rsidRPr="00743A41" w:rsidRDefault="00302459"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7D0291" w:rsidRPr="00743A41" w:rsidTr="00B03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gridSpan w:val="8"/>
          </w:tcPr>
          <w:p w:rsidR="007D0291" w:rsidRPr="00743A41" w:rsidRDefault="007D0291" w:rsidP="00A37ED6">
            <w:pPr>
              <w:rPr>
                <w:rFonts w:asciiTheme="majorHAnsi" w:hAnsiTheme="majorHAnsi" w:cstheme="majorHAnsi"/>
                <w:b w:val="0"/>
                <w:sz w:val="20"/>
                <w:szCs w:val="20"/>
              </w:rPr>
            </w:pPr>
            <w:r w:rsidRPr="00743A41">
              <w:rPr>
                <w:rFonts w:asciiTheme="majorHAnsi" w:hAnsiTheme="majorHAnsi" w:cstheme="majorHAnsi"/>
                <w:sz w:val="20"/>
                <w:szCs w:val="20"/>
              </w:rPr>
              <w:t>Dual Degrees</w:t>
            </w:r>
          </w:p>
        </w:tc>
      </w:tr>
      <w:tr w:rsidR="00C21EDD" w:rsidRPr="00743A41" w:rsidTr="00F026B3">
        <w:tc>
          <w:tcPr>
            <w:cnfStyle w:val="001000000000" w:firstRow="0" w:lastRow="0" w:firstColumn="1" w:lastColumn="0" w:oddVBand="0" w:evenVBand="0" w:oddHBand="0" w:evenHBand="0" w:firstRowFirstColumn="0" w:firstRowLastColumn="0" w:lastRowFirstColumn="0" w:lastRowLastColumn="0"/>
            <w:tcW w:w="2430" w:type="dxa"/>
          </w:tcPr>
          <w:p w:rsidR="00C21EDD" w:rsidRPr="00743A41" w:rsidRDefault="00C21EDD"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DDS/MPH – UTHealth School of Dentistry</w:t>
            </w:r>
          </w:p>
        </w:tc>
        <w:tc>
          <w:tcPr>
            <w:tcW w:w="900" w:type="dxa"/>
          </w:tcPr>
          <w:p w:rsidR="00C21EDD" w:rsidRPr="00743A41" w:rsidRDefault="00F83911"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C21EDD" w:rsidRPr="00743A41" w:rsidRDefault="00C21EDD"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70" w:type="dxa"/>
          </w:tcPr>
          <w:p w:rsidR="00C21EDD" w:rsidRPr="00743A41" w:rsidRDefault="00C21EDD"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00C21EDD" w:rsidRPr="00743A41" w:rsidRDefault="00C21EDD"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36" w:type="dxa"/>
          </w:tcPr>
          <w:p w:rsidR="00C21EDD" w:rsidRPr="00743A41" w:rsidRDefault="00C21EDD"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964" w:type="dxa"/>
          </w:tcPr>
          <w:p w:rsidR="00C21EDD" w:rsidRPr="00743A41" w:rsidRDefault="00C21EDD"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10" w:type="dxa"/>
          </w:tcPr>
          <w:p w:rsidR="00C21EDD" w:rsidRPr="00743A41" w:rsidRDefault="00C21EDD"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227EEB" w:rsidRPr="00743A41" w:rsidTr="00F02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C21EDD" w:rsidRPr="00743A41" w:rsidRDefault="00A67E67"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JD/MPH – University of Houston Law Center</w:t>
            </w:r>
          </w:p>
        </w:tc>
        <w:tc>
          <w:tcPr>
            <w:tcW w:w="900" w:type="dxa"/>
          </w:tcPr>
          <w:p w:rsidR="00C21EDD" w:rsidRPr="00743A41" w:rsidRDefault="00F83911"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C21EDD" w:rsidRPr="00743A41" w:rsidRDefault="00C21EDD"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170" w:type="dxa"/>
          </w:tcPr>
          <w:p w:rsidR="00C21EDD" w:rsidRPr="00743A41" w:rsidRDefault="00C21EDD"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720" w:type="dxa"/>
          </w:tcPr>
          <w:p w:rsidR="00C21EDD" w:rsidRPr="00743A41" w:rsidRDefault="00C21EDD"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36" w:type="dxa"/>
          </w:tcPr>
          <w:p w:rsidR="00C21EDD" w:rsidRPr="00743A41" w:rsidRDefault="00C21EDD"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964" w:type="dxa"/>
          </w:tcPr>
          <w:p w:rsidR="00C21EDD" w:rsidRPr="00743A41" w:rsidRDefault="00C21EDD"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10" w:type="dxa"/>
          </w:tcPr>
          <w:p w:rsidR="00C21EDD" w:rsidRPr="00743A41" w:rsidRDefault="00C21EDD"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C21EDD" w:rsidRPr="00743A41" w:rsidTr="00F026B3">
        <w:tc>
          <w:tcPr>
            <w:cnfStyle w:val="001000000000" w:firstRow="0" w:lastRow="0" w:firstColumn="1" w:lastColumn="0" w:oddVBand="0" w:evenVBand="0" w:oddHBand="0" w:evenHBand="0" w:firstRowFirstColumn="0" w:firstRowLastColumn="0" w:lastRowFirstColumn="0" w:lastRowLastColumn="0"/>
            <w:tcW w:w="2430" w:type="dxa"/>
          </w:tcPr>
          <w:p w:rsidR="00C21EDD" w:rsidRPr="00743A41" w:rsidRDefault="00A67E67"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MBA/MPH – The University of Texas at San Antonio College of Business</w:t>
            </w:r>
          </w:p>
        </w:tc>
        <w:tc>
          <w:tcPr>
            <w:tcW w:w="900" w:type="dxa"/>
          </w:tcPr>
          <w:p w:rsidR="00C21EDD" w:rsidRPr="00743A41" w:rsidRDefault="00C21EDD"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10" w:type="dxa"/>
          </w:tcPr>
          <w:p w:rsidR="00C21EDD" w:rsidRPr="00743A41" w:rsidRDefault="00C21EDD"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70" w:type="dxa"/>
          </w:tcPr>
          <w:p w:rsidR="00C21EDD" w:rsidRPr="00743A41" w:rsidRDefault="00C21EDD"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00C21EDD" w:rsidRPr="00743A41" w:rsidRDefault="00C21EDD"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36" w:type="dxa"/>
          </w:tcPr>
          <w:p w:rsidR="00C21EDD" w:rsidRPr="00743A41" w:rsidRDefault="00C21EDD"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964" w:type="dxa"/>
          </w:tcPr>
          <w:p w:rsidR="00C21EDD" w:rsidRPr="00743A41" w:rsidRDefault="00F83911"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C21EDD" w:rsidRPr="00743A41" w:rsidRDefault="00C21EDD"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227EEB" w:rsidRPr="00743A41" w:rsidTr="00F02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C21EDD" w:rsidRPr="00743A41" w:rsidRDefault="00A67E67"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MD/MPH – Baylor College of Medicine</w:t>
            </w:r>
          </w:p>
        </w:tc>
        <w:tc>
          <w:tcPr>
            <w:tcW w:w="900" w:type="dxa"/>
          </w:tcPr>
          <w:p w:rsidR="00C21EDD" w:rsidRPr="00743A41" w:rsidRDefault="00F83911"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C21EDD" w:rsidRPr="00743A41" w:rsidRDefault="00C21EDD"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170" w:type="dxa"/>
          </w:tcPr>
          <w:p w:rsidR="00C21EDD" w:rsidRPr="00743A41" w:rsidRDefault="00C21EDD"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720" w:type="dxa"/>
          </w:tcPr>
          <w:p w:rsidR="00C21EDD" w:rsidRPr="00743A41" w:rsidRDefault="00C21EDD"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36" w:type="dxa"/>
          </w:tcPr>
          <w:p w:rsidR="00C21EDD" w:rsidRPr="00743A41" w:rsidRDefault="00C21EDD"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964" w:type="dxa"/>
          </w:tcPr>
          <w:p w:rsidR="00C21EDD" w:rsidRPr="00743A41" w:rsidRDefault="00C21EDD"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10" w:type="dxa"/>
          </w:tcPr>
          <w:p w:rsidR="00C21EDD" w:rsidRPr="00743A41" w:rsidRDefault="00C21EDD"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C21EDD" w:rsidRPr="00743A41" w:rsidTr="00F026B3">
        <w:tc>
          <w:tcPr>
            <w:cnfStyle w:val="001000000000" w:firstRow="0" w:lastRow="0" w:firstColumn="1" w:lastColumn="0" w:oddVBand="0" w:evenVBand="0" w:oddHBand="0" w:evenHBand="0" w:firstRowFirstColumn="0" w:firstRowLastColumn="0" w:lastRowFirstColumn="0" w:lastRowLastColumn="0"/>
            <w:tcW w:w="2430" w:type="dxa"/>
          </w:tcPr>
          <w:p w:rsidR="00C21EDD" w:rsidRPr="00743A41" w:rsidRDefault="00A67E67"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MD/MPH – Dell Medical School</w:t>
            </w:r>
          </w:p>
        </w:tc>
        <w:tc>
          <w:tcPr>
            <w:tcW w:w="900" w:type="dxa"/>
          </w:tcPr>
          <w:p w:rsidR="00C21EDD" w:rsidRPr="00743A41" w:rsidRDefault="00C21EDD"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10" w:type="dxa"/>
          </w:tcPr>
          <w:p w:rsidR="00C21EDD" w:rsidRPr="00743A41" w:rsidRDefault="00F83911"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1170" w:type="dxa"/>
          </w:tcPr>
          <w:p w:rsidR="00C21EDD" w:rsidRPr="00743A41" w:rsidRDefault="00C21EDD"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00C21EDD" w:rsidRPr="00743A41" w:rsidRDefault="00C21EDD"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36" w:type="dxa"/>
          </w:tcPr>
          <w:p w:rsidR="00C21EDD" w:rsidRPr="00743A41" w:rsidRDefault="00C21EDD"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964" w:type="dxa"/>
          </w:tcPr>
          <w:p w:rsidR="00C21EDD" w:rsidRPr="00743A41" w:rsidRDefault="00C21EDD"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10" w:type="dxa"/>
          </w:tcPr>
          <w:p w:rsidR="00C21EDD" w:rsidRPr="00743A41" w:rsidRDefault="00C21EDD"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227EEB" w:rsidRPr="00743A41" w:rsidTr="00F02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A67E67" w:rsidRPr="00743A41" w:rsidRDefault="00A67E67"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MD/MPH – McGovern Medical School</w:t>
            </w:r>
          </w:p>
        </w:tc>
        <w:tc>
          <w:tcPr>
            <w:tcW w:w="900" w:type="dxa"/>
          </w:tcPr>
          <w:p w:rsidR="00A67E67" w:rsidRPr="00743A41" w:rsidRDefault="00F83911"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170"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720"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36"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964"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10"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A67E67" w:rsidRPr="00743A41" w:rsidTr="00F026B3">
        <w:tc>
          <w:tcPr>
            <w:cnfStyle w:val="001000000000" w:firstRow="0" w:lastRow="0" w:firstColumn="1" w:lastColumn="0" w:oddVBand="0" w:evenVBand="0" w:oddHBand="0" w:evenHBand="0" w:firstRowFirstColumn="0" w:firstRowLastColumn="0" w:lastRowFirstColumn="0" w:lastRowLastColumn="0"/>
            <w:tcW w:w="2430" w:type="dxa"/>
          </w:tcPr>
          <w:p w:rsidR="00A67E67" w:rsidRPr="00743A41" w:rsidRDefault="00A67E67"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MD/MPH – Texas Tech University, Paul Foster School of Medicine</w:t>
            </w:r>
          </w:p>
        </w:tc>
        <w:tc>
          <w:tcPr>
            <w:tcW w:w="900" w:type="dxa"/>
          </w:tcPr>
          <w:p w:rsidR="00A67E67" w:rsidRPr="00743A41" w:rsidRDefault="00A67E67"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10" w:type="dxa"/>
          </w:tcPr>
          <w:p w:rsidR="00A67E67" w:rsidRPr="00743A41" w:rsidRDefault="00A67E67"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70" w:type="dxa"/>
          </w:tcPr>
          <w:p w:rsidR="00A67E67" w:rsidRPr="00743A41" w:rsidRDefault="00A67E67"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00A67E67" w:rsidRPr="00743A41" w:rsidRDefault="00A67E67"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36" w:type="dxa"/>
          </w:tcPr>
          <w:p w:rsidR="00A67E67" w:rsidRPr="00743A41" w:rsidRDefault="00F83911"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964" w:type="dxa"/>
          </w:tcPr>
          <w:p w:rsidR="00A67E67" w:rsidRPr="00743A41" w:rsidRDefault="00A67E67"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10" w:type="dxa"/>
          </w:tcPr>
          <w:p w:rsidR="00A67E67" w:rsidRPr="00743A41" w:rsidRDefault="00A67E67"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227EEB" w:rsidRPr="00743A41" w:rsidTr="00F02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A67E67" w:rsidRPr="00743A41" w:rsidRDefault="00A67E67"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MD/MPH – UT Health San Antonio Long School of Medicine</w:t>
            </w:r>
          </w:p>
        </w:tc>
        <w:tc>
          <w:tcPr>
            <w:tcW w:w="900"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10"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170"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720"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36"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964" w:type="dxa"/>
          </w:tcPr>
          <w:p w:rsidR="00A67E67" w:rsidRPr="00743A41" w:rsidRDefault="00F83911"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A67E67" w:rsidRPr="00743A41" w:rsidTr="00F026B3">
        <w:tc>
          <w:tcPr>
            <w:cnfStyle w:val="001000000000" w:firstRow="0" w:lastRow="0" w:firstColumn="1" w:lastColumn="0" w:oddVBand="0" w:evenVBand="0" w:oddHBand="0" w:evenHBand="0" w:firstRowFirstColumn="0" w:firstRowLastColumn="0" w:lastRowFirstColumn="0" w:lastRowLastColumn="0"/>
            <w:tcW w:w="2430" w:type="dxa"/>
          </w:tcPr>
          <w:p w:rsidR="00A67E67" w:rsidRPr="00743A41" w:rsidRDefault="00A67E67"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MD/MPH – UT Southwestern Medical School</w:t>
            </w:r>
          </w:p>
        </w:tc>
        <w:tc>
          <w:tcPr>
            <w:tcW w:w="900" w:type="dxa"/>
          </w:tcPr>
          <w:p w:rsidR="00A67E67" w:rsidRPr="00743A41" w:rsidRDefault="00A67E67"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10" w:type="dxa"/>
          </w:tcPr>
          <w:p w:rsidR="00A67E67" w:rsidRPr="00743A41" w:rsidRDefault="00A67E67"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70" w:type="dxa"/>
          </w:tcPr>
          <w:p w:rsidR="00A67E67" w:rsidRPr="00743A41" w:rsidRDefault="00A67E67"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00A67E67" w:rsidRPr="00743A41" w:rsidRDefault="00F83911"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36" w:type="dxa"/>
          </w:tcPr>
          <w:p w:rsidR="00A67E67" w:rsidRPr="00743A41" w:rsidRDefault="00A67E67"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964" w:type="dxa"/>
          </w:tcPr>
          <w:p w:rsidR="00A67E67" w:rsidRPr="00743A41" w:rsidRDefault="00A67E67"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10" w:type="dxa"/>
          </w:tcPr>
          <w:p w:rsidR="00A67E67" w:rsidRPr="00743A41" w:rsidRDefault="00A67E67"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227EEB" w:rsidRPr="00743A41" w:rsidTr="00F02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A67E67" w:rsidRPr="00743A41" w:rsidRDefault="00A67E67"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MD/MPH – University of Texas Rio Grande Valley</w:t>
            </w:r>
          </w:p>
        </w:tc>
        <w:tc>
          <w:tcPr>
            <w:tcW w:w="900"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10"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170" w:type="dxa"/>
          </w:tcPr>
          <w:p w:rsidR="00A67E67" w:rsidRPr="00743A41" w:rsidRDefault="00F83911"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720"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36"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964"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10"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A67E67" w:rsidRPr="00743A41" w:rsidTr="00F026B3">
        <w:tc>
          <w:tcPr>
            <w:cnfStyle w:val="001000000000" w:firstRow="0" w:lastRow="0" w:firstColumn="1" w:lastColumn="0" w:oddVBand="0" w:evenVBand="0" w:oddHBand="0" w:evenHBand="0" w:firstRowFirstColumn="0" w:firstRowLastColumn="0" w:lastRowFirstColumn="0" w:lastRowLastColumn="0"/>
            <w:tcW w:w="2430" w:type="dxa"/>
          </w:tcPr>
          <w:p w:rsidR="00A67E67" w:rsidRPr="00743A41" w:rsidRDefault="00A67E67"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MGPS/MPH – The University of Texas at Austin, LBJ School of Public Affairs</w:t>
            </w:r>
          </w:p>
        </w:tc>
        <w:tc>
          <w:tcPr>
            <w:tcW w:w="900" w:type="dxa"/>
          </w:tcPr>
          <w:p w:rsidR="00A67E67" w:rsidRPr="00743A41" w:rsidRDefault="00A67E67"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10" w:type="dxa"/>
          </w:tcPr>
          <w:p w:rsidR="00A67E67" w:rsidRPr="00743A41" w:rsidRDefault="00F83911"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1170" w:type="dxa"/>
          </w:tcPr>
          <w:p w:rsidR="00A67E67" w:rsidRPr="00743A41" w:rsidRDefault="00A67E67"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00A67E67" w:rsidRPr="00743A41" w:rsidRDefault="00A67E67"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36" w:type="dxa"/>
          </w:tcPr>
          <w:p w:rsidR="00A67E67" w:rsidRPr="00743A41" w:rsidRDefault="00A67E67"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964" w:type="dxa"/>
          </w:tcPr>
          <w:p w:rsidR="00A67E67" w:rsidRPr="00743A41" w:rsidRDefault="00A67E67"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10" w:type="dxa"/>
          </w:tcPr>
          <w:p w:rsidR="00A67E67" w:rsidRPr="00743A41" w:rsidRDefault="00A67E67"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227EEB" w:rsidRPr="00743A41" w:rsidTr="00F02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A67E67" w:rsidRPr="00743A41" w:rsidRDefault="00A67E67"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MPAff/MPH – The University of Texas at Austin, LBJ School of Public Affairs</w:t>
            </w:r>
          </w:p>
        </w:tc>
        <w:tc>
          <w:tcPr>
            <w:tcW w:w="900"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10" w:type="dxa"/>
          </w:tcPr>
          <w:p w:rsidR="00A67E67" w:rsidRPr="00743A41" w:rsidRDefault="00F83911"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1170"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720"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36"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964"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10"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83911" w:rsidRPr="00743A41" w:rsidTr="00F026B3">
        <w:tc>
          <w:tcPr>
            <w:cnfStyle w:val="001000000000" w:firstRow="0" w:lastRow="0" w:firstColumn="1" w:lastColumn="0" w:oddVBand="0" w:evenVBand="0" w:oddHBand="0" w:evenHBand="0" w:firstRowFirstColumn="0" w:firstRowLastColumn="0" w:lastRowFirstColumn="0" w:lastRowLastColumn="0"/>
            <w:tcW w:w="2430" w:type="dxa"/>
          </w:tcPr>
          <w:p w:rsidR="00F83911" w:rsidRPr="00743A41" w:rsidRDefault="00F83911"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MS/MPH – UTHealth School of Biomedical Informatics</w:t>
            </w:r>
          </w:p>
        </w:tc>
        <w:tc>
          <w:tcPr>
            <w:tcW w:w="900" w:type="dxa"/>
          </w:tcPr>
          <w:p w:rsidR="00F83911" w:rsidRPr="00743A41" w:rsidRDefault="00F83911"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F83911" w:rsidRPr="00743A41" w:rsidRDefault="00F83911"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1170" w:type="dxa"/>
          </w:tcPr>
          <w:p w:rsidR="00F83911" w:rsidRPr="00743A41" w:rsidRDefault="00F83911"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720" w:type="dxa"/>
          </w:tcPr>
          <w:p w:rsidR="00F83911" w:rsidRPr="00743A41" w:rsidRDefault="00F83911"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36" w:type="dxa"/>
          </w:tcPr>
          <w:p w:rsidR="00F83911" w:rsidRPr="00743A41" w:rsidRDefault="00F83911"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964" w:type="dxa"/>
          </w:tcPr>
          <w:p w:rsidR="00F83911" w:rsidRPr="00743A41" w:rsidRDefault="00F83911"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F83911" w:rsidRPr="00743A41" w:rsidRDefault="00F83911"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227EEB" w:rsidRPr="00743A41" w:rsidTr="00F02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A67E67" w:rsidRPr="00743A41" w:rsidRDefault="00A67E67"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MSSW/MPH – The University of Texas at Austin, School of Social Work</w:t>
            </w:r>
          </w:p>
        </w:tc>
        <w:tc>
          <w:tcPr>
            <w:tcW w:w="900"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10" w:type="dxa"/>
          </w:tcPr>
          <w:p w:rsidR="00A67E67" w:rsidRPr="00743A41" w:rsidRDefault="00F83911"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1170"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720"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36"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964"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10" w:type="dxa"/>
          </w:tcPr>
          <w:p w:rsidR="00A67E67" w:rsidRPr="00743A41" w:rsidRDefault="00A67E67"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83911" w:rsidRPr="00743A41" w:rsidTr="00F026B3">
        <w:tc>
          <w:tcPr>
            <w:cnfStyle w:val="001000000000" w:firstRow="0" w:lastRow="0" w:firstColumn="1" w:lastColumn="0" w:oddVBand="0" w:evenVBand="0" w:oddHBand="0" w:evenHBand="0" w:firstRowFirstColumn="0" w:firstRowLastColumn="0" w:lastRowFirstColumn="0" w:lastRowLastColumn="0"/>
            <w:tcW w:w="2430" w:type="dxa"/>
          </w:tcPr>
          <w:p w:rsidR="00F83911" w:rsidRPr="00743A41" w:rsidRDefault="00F83911"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MSW/MPH – The University of Houston School of Social Work</w:t>
            </w:r>
          </w:p>
        </w:tc>
        <w:tc>
          <w:tcPr>
            <w:tcW w:w="900" w:type="dxa"/>
          </w:tcPr>
          <w:p w:rsidR="00F83911" w:rsidRPr="00743A41" w:rsidRDefault="00F83911"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F83911" w:rsidRPr="00743A41" w:rsidRDefault="00F83911"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70" w:type="dxa"/>
          </w:tcPr>
          <w:p w:rsidR="00F83911" w:rsidRPr="00743A41" w:rsidRDefault="00F83911"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00F83911" w:rsidRPr="00743A41" w:rsidRDefault="00F83911"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36" w:type="dxa"/>
          </w:tcPr>
          <w:p w:rsidR="00F83911" w:rsidRPr="00743A41" w:rsidRDefault="00F83911"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964" w:type="dxa"/>
          </w:tcPr>
          <w:p w:rsidR="00F83911" w:rsidRPr="00743A41" w:rsidRDefault="00F83911"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10" w:type="dxa"/>
          </w:tcPr>
          <w:p w:rsidR="00F83911" w:rsidRPr="00743A41" w:rsidRDefault="00F83911"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227EEB" w:rsidRPr="00743A41" w:rsidTr="00F02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83911" w:rsidRPr="00743A41" w:rsidRDefault="00F83911" w:rsidP="00A37ED6">
            <w:pPr>
              <w:ind w:left="180" w:hanging="90"/>
              <w:rPr>
                <w:rFonts w:asciiTheme="majorHAnsi" w:hAnsiTheme="majorHAnsi" w:cstheme="majorHAnsi"/>
                <w:b w:val="0"/>
                <w:sz w:val="20"/>
                <w:szCs w:val="20"/>
              </w:rPr>
            </w:pPr>
            <w:r w:rsidRPr="00743A41">
              <w:rPr>
                <w:rFonts w:asciiTheme="majorHAnsi" w:hAnsiTheme="majorHAnsi" w:cstheme="majorHAnsi"/>
                <w:b w:val="0"/>
                <w:sz w:val="20"/>
                <w:szCs w:val="20"/>
              </w:rPr>
              <w:t>PhD/MPH – UTHealth School of Biomedical Informatics</w:t>
            </w:r>
          </w:p>
        </w:tc>
        <w:tc>
          <w:tcPr>
            <w:tcW w:w="900" w:type="dxa"/>
          </w:tcPr>
          <w:p w:rsidR="00F83911" w:rsidRPr="00743A41" w:rsidRDefault="00F83911"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sym w:font="Wingdings 2" w:char="F050"/>
            </w:r>
          </w:p>
        </w:tc>
        <w:tc>
          <w:tcPr>
            <w:tcW w:w="810" w:type="dxa"/>
          </w:tcPr>
          <w:p w:rsidR="00F83911" w:rsidRPr="00743A41" w:rsidRDefault="00F83911"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170" w:type="dxa"/>
          </w:tcPr>
          <w:p w:rsidR="00F83911" w:rsidRPr="00743A41" w:rsidRDefault="00F83911"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720" w:type="dxa"/>
          </w:tcPr>
          <w:p w:rsidR="00F83911" w:rsidRPr="00743A41" w:rsidRDefault="00F83911"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36" w:type="dxa"/>
          </w:tcPr>
          <w:p w:rsidR="00F83911" w:rsidRPr="00743A41" w:rsidRDefault="00F83911"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964" w:type="dxa"/>
          </w:tcPr>
          <w:p w:rsidR="00F83911" w:rsidRPr="00743A41" w:rsidRDefault="00F83911"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810" w:type="dxa"/>
          </w:tcPr>
          <w:p w:rsidR="00F83911" w:rsidRPr="00743A41" w:rsidRDefault="00F83911"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rsidR="00C21EDD" w:rsidRPr="00743A41" w:rsidRDefault="00C21EDD" w:rsidP="00A37ED6">
      <w:pPr>
        <w:rPr>
          <w:rFonts w:asciiTheme="majorHAnsi" w:hAnsiTheme="majorHAnsi" w:cstheme="majorHAnsi"/>
          <w:b/>
          <w:sz w:val="20"/>
          <w:szCs w:val="20"/>
        </w:rPr>
      </w:pPr>
    </w:p>
    <w:p w:rsidR="00D97753" w:rsidRPr="00743A41" w:rsidRDefault="00D97753" w:rsidP="00A37ED6">
      <w:pPr>
        <w:ind w:left="720"/>
        <w:jc w:val="both"/>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Associated documents in the electronic resource file:</w:t>
      </w:r>
    </w:p>
    <w:p w:rsidR="00642AC4" w:rsidRPr="006E28EE" w:rsidRDefault="00642AC4" w:rsidP="00642AC4">
      <w:pPr>
        <w:numPr>
          <w:ilvl w:val="0"/>
          <w:numId w:val="63"/>
        </w:numPr>
        <w:jc w:val="both"/>
        <w:rPr>
          <w:rFonts w:asciiTheme="majorHAnsi" w:hAnsiTheme="majorHAnsi" w:cstheme="majorHAnsi"/>
          <w:i/>
          <w:sz w:val="20"/>
          <w:szCs w:val="20"/>
        </w:rPr>
      </w:pPr>
      <w:r w:rsidRPr="00743A41">
        <w:rPr>
          <w:rFonts w:asciiTheme="majorHAnsi" w:hAnsiTheme="majorHAnsi" w:cstheme="majorHAnsi"/>
          <w:i/>
          <w:sz w:val="20"/>
          <w:szCs w:val="20"/>
        </w:rPr>
        <w:t>A5. Degree Offerings in Schools of Public Health</w:t>
      </w:r>
    </w:p>
    <w:p w:rsidR="00D97753" w:rsidRPr="00084C76" w:rsidRDefault="00642AC4" w:rsidP="006E28EE">
      <w:pPr>
        <w:numPr>
          <w:ilvl w:val="1"/>
          <w:numId w:val="63"/>
        </w:numPr>
        <w:jc w:val="both"/>
        <w:rPr>
          <w:rStyle w:val="Hyperlink"/>
          <w:rFonts w:asciiTheme="majorHAnsi" w:eastAsia="Calibri" w:hAnsiTheme="majorHAnsi" w:cstheme="majorHAnsi"/>
          <w:i/>
          <w:color w:val="auto"/>
          <w:sz w:val="20"/>
          <w:szCs w:val="20"/>
          <w:u w:val="none"/>
        </w:rPr>
      </w:pPr>
      <w:r w:rsidRPr="00084C76">
        <w:rPr>
          <w:rFonts w:asciiTheme="majorHAnsi" w:hAnsiTheme="majorHAnsi" w:cstheme="majorHAnsi"/>
          <w:i/>
          <w:sz w:val="20"/>
          <w:szCs w:val="20"/>
        </w:rPr>
        <w:t>School of Public Health 2018-2020 Academic Catalog</w:t>
      </w:r>
    </w:p>
    <w:p w:rsidR="000D36FD" w:rsidRPr="00084C76" w:rsidRDefault="00642AC4" w:rsidP="006E28EE">
      <w:pPr>
        <w:numPr>
          <w:ilvl w:val="1"/>
          <w:numId w:val="63"/>
        </w:numPr>
        <w:jc w:val="both"/>
        <w:rPr>
          <w:rFonts w:asciiTheme="majorHAnsi" w:hAnsiTheme="majorHAnsi" w:cstheme="majorHAnsi"/>
          <w:i/>
          <w:sz w:val="20"/>
          <w:szCs w:val="20"/>
        </w:rPr>
      </w:pPr>
      <w:r w:rsidRPr="00084C76">
        <w:rPr>
          <w:rFonts w:asciiTheme="majorHAnsi" w:hAnsiTheme="majorHAnsi" w:cstheme="majorHAnsi"/>
          <w:i/>
          <w:sz w:val="20"/>
          <w:szCs w:val="20"/>
        </w:rPr>
        <w:t>School of Public Health 2019-2020 Academic Catalog Addendum</w:t>
      </w:r>
    </w:p>
    <w:p w:rsidR="00642AC4" w:rsidRPr="00084C76" w:rsidRDefault="00642AC4" w:rsidP="006E28EE">
      <w:pPr>
        <w:numPr>
          <w:ilvl w:val="1"/>
          <w:numId w:val="63"/>
        </w:numPr>
        <w:jc w:val="both"/>
        <w:rPr>
          <w:rFonts w:asciiTheme="majorHAnsi" w:hAnsiTheme="majorHAnsi" w:cstheme="majorHAnsi"/>
          <w:sz w:val="20"/>
          <w:szCs w:val="20"/>
        </w:rPr>
      </w:pPr>
      <w:r w:rsidRPr="00084C76">
        <w:rPr>
          <w:rFonts w:asciiTheme="majorHAnsi" w:hAnsiTheme="majorHAnsi" w:cstheme="majorHAnsi"/>
          <w:i/>
          <w:sz w:val="20"/>
          <w:szCs w:val="20"/>
        </w:rPr>
        <w:t>Matrix of Degree Program Offerings</w:t>
      </w:r>
    </w:p>
    <w:p w:rsidR="00D97753" w:rsidRPr="00084C76" w:rsidRDefault="00D97753" w:rsidP="00A37ED6">
      <w:pPr>
        <w:ind w:left="720"/>
        <w:rPr>
          <w:rFonts w:asciiTheme="majorHAnsi" w:hAnsiTheme="majorHAnsi" w:cstheme="majorHAnsi"/>
          <w:b/>
          <w:sz w:val="20"/>
          <w:szCs w:val="20"/>
        </w:rPr>
      </w:pPr>
    </w:p>
    <w:p w:rsidR="00933038" w:rsidRPr="00743A41" w:rsidRDefault="00933038" w:rsidP="00A37ED6">
      <w:pPr>
        <w:pStyle w:val="Default"/>
        <w:jc w:val="both"/>
        <w:rPr>
          <w:rFonts w:asciiTheme="majorHAnsi" w:hAnsiTheme="majorHAnsi" w:cstheme="majorHAnsi"/>
          <w:color w:val="auto"/>
          <w:szCs w:val="20"/>
        </w:rPr>
      </w:pPr>
    </w:p>
    <w:p w:rsidR="00933038" w:rsidRPr="00743A41" w:rsidRDefault="00933038" w:rsidP="00A37ED6">
      <w:pPr>
        <w:rPr>
          <w:rStyle w:val="Heading1Char"/>
        </w:rPr>
      </w:pPr>
      <w:bookmarkStart w:id="27" w:name="_Toc464487856"/>
      <w:r w:rsidRPr="00743A41">
        <w:rPr>
          <w:rStyle w:val="Heading1Char"/>
        </w:rPr>
        <w:br w:type="page"/>
      </w:r>
    </w:p>
    <w:p w:rsidR="00933038" w:rsidRPr="00743A41" w:rsidRDefault="00933038" w:rsidP="007A68BE">
      <w:pPr>
        <w:pStyle w:val="Heading1"/>
      </w:pPr>
      <w:bookmarkStart w:id="28" w:name="_B1._Guiding_Statements"/>
      <w:bookmarkStart w:id="29" w:name="_Toc7118189"/>
      <w:bookmarkEnd w:id="28"/>
      <w:r w:rsidRPr="00743A41">
        <w:rPr>
          <w:rStyle w:val="Heading1Char"/>
          <w:b/>
        </w:rPr>
        <w:t>B1. Guiding Statements</w:t>
      </w:r>
      <w:bookmarkEnd w:id="27"/>
      <w:bookmarkEnd w:id="29"/>
      <w:r w:rsidRPr="00743A41">
        <w:t xml:space="preserve"> </w:t>
      </w:r>
    </w:p>
    <w:p w:rsidR="00933038" w:rsidRPr="00743A41" w:rsidRDefault="00933038" w:rsidP="00A37ED6">
      <w:pPr>
        <w:pStyle w:val="Default"/>
        <w:ind w:left="720"/>
        <w:rPr>
          <w:rFonts w:asciiTheme="majorHAnsi" w:hAnsiTheme="majorHAnsi" w:cstheme="majorHAnsi"/>
          <w:color w:val="auto"/>
          <w:szCs w:val="20"/>
        </w:rPr>
      </w:pPr>
    </w:p>
    <w:p w:rsidR="00933038" w:rsidRPr="00743A41" w:rsidRDefault="00933038" w:rsidP="00A37ED6">
      <w:pPr>
        <w:pStyle w:val="Default"/>
        <w:jc w:val="both"/>
        <w:rPr>
          <w:rFonts w:asciiTheme="majorHAnsi" w:hAnsiTheme="majorHAnsi" w:cstheme="majorHAnsi"/>
          <w:b/>
          <w:color w:val="auto"/>
          <w:szCs w:val="20"/>
        </w:rPr>
      </w:pPr>
      <w:r w:rsidRPr="00743A41">
        <w:rPr>
          <w:rFonts w:asciiTheme="majorHAnsi" w:hAnsiTheme="majorHAnsi" w:cstheme="majorHAnsi"/>
          <w:b/>
          <w:color w:val="auto"/>
          <w:szCs w:val="20"/>
        </w:rPr>
        <w:t xml:space="preserve">The school defines a </w:t>
      </w:r>
      <w:r w:rsidRPr="00743A41">
        <w:rPr>
          <w:rFonts w:asciiTheme="majorHAnsi" w:hAnsiTheme="majorHAnsi" w:cstheme="majorHAnsi"/>
          <w:b/>
          <w:i/>
          <w:color w:val="auto"/>
          <w:szCs w:val="20"/>
        </w:rPr>
        <w:t>vision</w:t>
      </w:r>
      <w:r w:rsidRPr="00743A41">
        <w:rPr>
          <w:rFonts w:asciiTheme="majorHAnsi" w:hAnsiTheme="majorHAnsi" w:cstheme="majorHAnsi"/>
          <w:b/>
          <w:color w:val="auto"/>
          <w:szCs w:val="20"/>
        </w:rPr>
        <w:t xml:space="preserve"> that describes how the community/world will be different if the school achieves its aims.</w:t>
      </w:r>
    </w:p>
    <w:p w:rsidR="00933038" w:rsidRPr="00743A41" w:rsidRDefault="00933038" w:rsidP="00A37ED6">
      <w:pPr>
        <w:pStyle w:val="Default"/>
        <w:jc w:val="both"/>
        <w:rPr>
          <w:rFonts w:asciiTheme="majorHAnsi" w:hAnsiTheme="majorHAnsi" w:cstheme="majorHAnsi"/>
          <w:b/>
          <w:color w:val="auto"/>
          <w:szCs w:val="20"/>
        </w:rPr>
      </w:pPr>
    </w:p>
    <w:p w:rsidR="00933038" w:rsidRPr="00743A41" w:rsidRDefault="00933038" w:rsidP="00A37ED6">
      <w:pPr>
        <w:pStyle w:val="Default"/>
        <w:jc w:val="both"/>
        <w:rPr>
          <w:rFonts w:asciiTheme="majorHAnsi" w:hAnsiTheme="majorHAnsi" w:cstheme="majorHAnsi"/>
          <w:b/>
          <w:color w:val="auto"/>
          <w:szCs w:val="20"/>
        </w:rPr>
      </w:pPr>
      <w:r w:rsidRPr="00743A41">
        <w:rPr>
          <w:rFonts w:asciiTheme="majorHAnsi" w:hAnsiTheme="majorHAnsi" w:cstheme="majorHAnsi"/>
          <w:b/>
          <w:color w:val="auto"/>
          <w:szCs w:val="20"/>
        </w:rPr>
        <w:t xml:space="preserve">The school defines a </w:t>
      </w:r>
      <w:r w:rsidRPr="00743A41">
        <w:rPr>
          <w:rFonts w:asciiTheme="majorHAnsi" w:hAnsiTheme="majorHAnsi" w:cstheme="majorHAnsi"/>
          <w:b/>
          <w:i/>
          <w:color w:val="auto"/>
          <w:szCs w:val="20"/>
        </w:rPr>
        <w:t>mission statement</w:t>
      </w:r>
      <w:r w:rsidRPr="00743A41">
        <w:rPr>
          <w:rFonts w:asciiTheme="majorHAnsi" w:hAnsiTheme="majorHAnsi" w:cstheme="majorHAnsi"/>
          <w:b/>
          <w:color w:val="auto"/>
          <w:szCs w:val="20"/>
        </w:rPr>
        <w:t xml:space="preserve"> that identifies what the school will accomplish operationally in its instructional, community engagement and scholarly activities. The mission may also define the school’s setting or community and priority population(s).</w:t>
      </w:r>
    </w:p>
    <w:p w:rsidR="00933038" w:rsidRPr="00743A41" w:rsidRDefault="00933038" w:rsidP="00A37ED6">
      <w:pPr>
        <w:pStyle w:val="Default"/>
        <w:jc w:val="both"/>
        <w:rPr>
          <w:rFonts w:asciiTheme="majorHAnsi" w:hAnsiTheme="majorHAnsi" w:cstheme="majorHAnsi"/>
          <w:b/>
          <w:color w:val="auto"/>
          <w:szCs w:val="20"/>
        </w:rPr>
      </w:pPr>
    </w:p>
    <w:p w:rsidR="00933038" w:rsidRPr="00743A41" w:rsidRDefault="00933038" w:rsidP="00A37ED6">
      <w:pPr>
        <w:pStyle w:val="Default"/>
        <w:jc w:val="both"/>
        <w:rPr>
          <w:rFonts w:asciiTheme="majorHAnsi" w:hAnsiTheme="majorHAnsi" w:cstheme="majorHAnsi"/>
          <w:b/>
          <w:color w:val="auto"/>
          <w:szCs w:val="20"/>
        </w:rPr>
      </w:pPr>
      <w:r w:rsidRPr="00743A41">
        <w:rPr>
          <w:rFonts w:asciiTheme="majorHAnsi" w:hAnsiTheme="majorHAnsi" w:cstheme="majorHAnsi"/>
          <w:b/>
          <w:color w:val="auto"/>
          <w:szCs w:val="20"/>
        </w:rPr>
        <w:t xml:space="preserve">The school defines </w:t>
      </w:r>
      <w:r w:rsidRPr="00743A41">
        <w:rPr>
          <w:rFonts w:asciiTheme="majorHAnsi" w:hAnsiTheme="majorHAnsi" w:cstheme="majorHAnsi"/>
          <w:b/>
          <w:i/>
          <w:color w:val="auto"/>
          <w:szCs w:val="20"/>
        </w:rPr>
        <w:t>goals</w:t>
      </w:r>
      <w:r w:rsidRPr="00743A41">
        <w:rPr>
          <w:rFonts w:asciiTheme="majorHAnsi" w:hAnsiTheme="majorHAnsi" w:cstheme="majorHAnsi"/>
          <w:b/>
          <w:color w:val="auto"/>
          <w:szCs w:val="20"/>
        </w:rPr>
        <w:t xml:space="preserve"> that describe strategies to accomplish the defined mission.</w:t>
      </w:r>
    </w:p>
    <w:p w:rsidR="00933038" w:rsidRPr="00743A41" w:rsidRDefault="00933038" w:rsidP="00A37ED6">
      <w:pPr>
        <w:pStyle w:val="Default"/>
        <w:jc w:val="both"/>
        <w:rPr>
          <w:rFonts w:asciiTheme="majorHAnsi" w:hAnsiTheme="majorHAnsi" w:cstheme="majorHAnsi"/>
          <w:b/>
          <w:color w:val="auto"/>
          <w:szCs w:val="20"/>
        </w:rPr>
      </w:pPr>
    </w:p>
    <w:p w:rsidR="00933038" w:rsidRPr="00743A41" w:rsidRDefault="00933038" w:rsidP="00A37ED6">
      <w:pPr>
        <w:pStyle w:val="Default"/>
        <w:jc w:val="both"/>
        <w:rPr>
          <w:rFonts w:asciiTheme="majorHAnsi" w:hAnsiTheme="majorHAnsi" w:cstheme="majorHAnsi"/>
          <w:b/>
          <w:color w:val="auto"/>
          <w:szCs w:val="20"/>
        </w:rPr>
      </w:pPr>
      <w:r w:rsidRPr="00743A41">
        <w:rPr>
          <w:rFonts w:asciiTheme="majorHAnsi" w:hAnsiTheme="majorHAnsi" w:cstheme="majorHAnsi"/>
          <w:b/>
          <w:color w:val="auto"/>
          <w:szCs w:val="20"/>
        </w:rPr>
        <w:t xml:space="preserve">The school defines a statement of </w:t>
      </w:r>
      <w:r w:rsidRPr="00743A41">
        <w:rPr>
          <w:rFonts w:asciiTheme="majorHAnsi" w:hAnsiTheme="majorHAnsi" w:cstheme="majorHAnsi"/>
          <w:b/>
          <w:i/>
          <w:color w:val="auto"/>
          <w:szCs w:val="20"/>
        </w:rPr>
        <w:t>values</w:t>
      </w:r>
      <w:r w:rsidRPr="00743A41">
        <w:rPr>
          <w:rFonts w:asciiTheme="majorHAnsi" w:hAnsiTheme="majorHAnsi" w:cstheme="majorHAnsi"/>
          <w:b/>
          <w:color w:val="auto"/>
          <w:szCs w:val="20"/>
        </w:rPr>
        <w:t xml:space="preserve"> that informs stakeholders about its core principles, beliefs and priorities.</w:t>
      </w:r>
    </w:p>
    <w:p w:rsidR="00933038" w:rsidRPr="00743A41" w:rsidRDefault="00933038" w:rsidP="00A37ED6">
      <w:pPr>
        <w:pStyle w:val="Default"/>
        <w:jc w:val="both"/>
        <w:rPr>
          <w:rFonts w:asciiTheme="majorHAnsi" w:hAnsiTheme="majorHAnsi" w:cstheme="majorHAnsi"/>
          <w:b/>
          <w:color w:val="auto"/>
          <w:szCs w:val="20"/>
        </w:rPr>
      </w:pPr>
    </w:p>
    <w:p w:rsidR="00933038" w:rsidRPr="00743A41" w:rsidRDefault="00933038" w:rsidP="00A37ED6">
      <w:pPr>
        <w:pStyle w:val="Default"/>
        <w:numPr>
          <w:ilvl w:val="0"/>
          <w:numId w:val="4"/>
        </w:numPr>
        <w:jc w:val="both"/>
        <w:rPr>
          <w:rFonts w:asciiTheme="majorHAnsi" w:hAnsiTheme="majorHAnsi" w:cstheme="majorHAnsi"/>
          <w:color w:val="auto"/>
          <w:szCs w:val="20"/>
        </w:rPr>
      </w:pPr>
      <w:r w:rsidRPr="00743A41">
        <w:rPr>
          <w:rFonts w:asciiTheme="majorHAnsi" w:hAnsiTheme="majorHAnsi" w:cstheme="majorHAnsi"/>
          <w:color w:val="auto"/>
          <w:szCs w:val="20"/>
        </w:rPr>
        <w:t xml:space="preserve">A one- to three-page document that, at a minimum, presents the school’s vision, mission, goals and values. </w:t>
      </w:r>
    </w:p>
    <w:p w:rsidR="00933038" w:rsidRPr="00743A41" w:rsidRDefault="00933038" w:rsidP="00A37ED6">
      <w:pPr>
        <w:pStyle w:val="Default"/>
        <w:jc w:val="both"/>
        <w:rPr>
          <w:rFonts w:asciiTheme="majorHAnsi" w:hAnsiTheme="majorHAnsi" w:cstheme="majorHAnsi"/>
          <w:color w:val="auto"/>
          <w:szCs w:val="20"/>
        </w:rPr>
      </w:pPr>
    </w:p>
    <w:p w:rsidR="00F83911" w:rsidRPr="00743A41" w:rsidRDefault="00F83911" w:rsidP="00A37ED6">
      <w:pPr>
        <w:pBdr>
          <w:top w:val="nil"/>
          <w:left w:val="nil"/>
          <w:bottom w:val="nil"/>
          <w:right w:val="nil"/>
          <w:between w:val="nil"/>
        </w:pBdr>
        <w:ind w:left="720"/>
        <w:rPr>
          <w:rFonts w:asciiTheme="majorHAnsi" w:eastAsia="Arial" w:hAnsiTheme="majorHAnsi" w:cstheme="majorHAnsi"/>
          <w:color w:val="000000"/>
          <w:sz w:val="20"/>
          <w:szCs w:val="20"/>
        </w:rPr>
      </w:pPr>
      <w:r w:rsidRPr="00743A41">
        <w:rPr>
          <w:rFonts w:asciiTheme="majorHAnsi" w:eastAsia="Arial" w:hAnsiTheme="majorHAnsi" w:cstheme="majorHAnsi"/>
          <w:b/>
          <w:color w:val="000000"/>
          <w:sz w:val="20"/>
          <w:szCs w:val="20"/>
        </w:rPr>
        <w:t>Vision, mission, goals and values.</w:t>
      </w:r>
      <w:r w:rsidRPr="00743A41">
        <w:rPr>
          <w:rFonts w:asciiTheme="majorHAnsi" w:eastAsia="Arial" w:hAnsiTheme="majorHAnsi" w:cstheme="majorHAnsi"/>
          <w:color w:val="000000"/>
          <w:sz w:val="20"/>
          <w:szCs w:val="20"/>
        </w:rPr>
        <w:t xml:space="preserve"> </w:t>
      </w:r>
    </w:p>
    <w:p w:rsidR="00F83911" w:rsidRPr="00743A41" w:rsidRDefault="00F83911" w:rsidP="00A37ED6">
      <w:pPr>
        <w:pBdr>
          <w:top w:val="nil"/>
          <w:left w:val="nil"/>
          <w:bottom w:val="nil"/>
          <w:right w:val="nil"/>
          <w:between w:val="nil"/>
        </w:pBdr>
        <w:ind w:left="720"/>
        <w:rPr>
          <w:rFonts w:asciiTheme="majorHAnsi" w:eastAsia="Arial" w:hAnsiTheme="majorHAnsi" w:cstheme="majorHAnsi"/>
          <w:color w:val="000000"/>
          <w:sz w:val="20"/>
          <w:szCs w:val="20"/>
        </w:rPr>
      </w:pPr>
    </w:p>
    <w:p w:rsidR="003A1E3B" w:rsidRPr="00743A41" w:rsidRDefault="003A1E3B" w:rsidP="00A37ED6">
      <w:pPr>
        <w:pBdr>
          <w:top w:val="nil"/>
          <w:left w:val="nil"/>
          <w:bottom w:val="nil"/>
          <w:right w:val="nil"/>
          <w:between w:val="nil"/>
        </w:pBdr>
        <w:ind w:left="720"/>
        <w:rPr>
          <w:rFonts w:asciiTheme="majorHAnsi" w:eastAsia="Arial" w:hAnsiTheme="majorHAnsi" w:cstheme="majorHAnsi"/>
          <w:i/>
          <w:color w:val="000000"/>
          <w:sz w:val="20"/>
          <w:szCs w:val="20"/>
        </w:rPr>
      </w:pPr>
      <w:r w:rsidRPr="00743A41">
        <w:rPr>
          <w:rFonts w:asciiTheme="majorHAnsi" w:eastAsia="Arial" w:hAnsiTheme="majorHAnsi" w:cstheme="majorHAnsi"/>
          <w:b/>
          <w:color w:val="000000"/>
          <w:sz w:val="20"/>
          <w:szCs w:val="20"/>
        </w:rPr>
        <w:t>The vision</w:t>
      </w:r>
      <w:r w:rsidRPr="00743A41">
        <w:rPr>
          <w:rFonts w:asciiTheme="majorHAnsi" w:eastAsia="Arial" w:hAnsiTheme="majorHAnsi" w:cstheme="majorHAnsi"/>
          <w:color w:val="000000"/>
          <w:sz w:val="20"/>
          <w:szCs w:val="20"/>
        </w:rPr>
        <w:t xml:space="preserve">: </w:t>
      </w:r>
      <w:r w:rsidRPr="00743A41">
        <w:rPr>
          <w:rFonts w:asciiTheme="majorHAnsi" w:eastAsia="Arial" w:hAnsiTheme="majorHAnsi" w:cstheme="majorHAnsi"/>
          <w:i/>
          <w:color w:val="000000"/>
          <w:sz w:val="20"/>
          <w:szCs w:val="20"/>
        </w:rPr>
        <w:t>Health without boundaries.</w:t>
      </w:r>
    </w:p>
    <w:p w:rsidR="003A1E3B" w:rsidRPr="00743A41" w:rsidRDefault="003A1E3B" w:rsidP="00A37ED6">
      <w:pPr>
        <w:pBdr>
          <w:top w:val="nil"/>
          <w:left w:val="nil"/>
          <w:bottom w:val="nil"/>
          <w:right w:val="nil"/>
          <w:between w:val="nil"/>
        </w:pBdr>
        <w:ind w:left="720"/>
        <w:rPr>
          <w:rFonts w:asciiTheme="majorHAnsi" w:eastAsia="Arial" w:hAnsiTheme="majorHAnsi" w:cstheme="majorHAnsi"/>
          <w:color w:val="000000"/>
          <w:sz w:val="20"/>
          <w:szCs w:val="20"/>
        </w:rPr>
      </w:pPr>
    </w:p>
    <w:p w:rsidR="00C91EFA" w:rsidRPr="00743A41" w:rsidRDefault="00C91EFA" w:rsidP="00A37ED6">
      <w:pPr>
        <w:pBdr>
          <w:top w:val="nil"/>
          <w:left w:val="nil"/>
          <w:bottom w:val="nil"/>
          <w:right w:val="nil"/>
          <w:between w:val="nil"/>
        </w:pBdr>
        <w:ind w:left="72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 xml:space="preserve">We believe that a world in which there are no caveats or conditions on who can have good health is within our reach. </w:t>
      </w:r>
    </w:p>
    <w:p w:rsidR="003A1E3B" w:rsidRPr="00743A41" w:rsidRDefault="003A1E3B" w:rsidP="00A37ED6">
      <w:pPr>
        <w:pBdr>
          <w:top w:val="nil"/>
          <w:left w:val="nil"/>
          <w:bottom w:val="nil"/>
          <w:right w:val="nil"/>
          <w:between w:val="nil"/>
        </w:pBdr>
        <w:ind w:left="720"/>
        <w:rPr>
          <w:rFonts w:asciiTheme="majorHAnsi" w:eastAsia="Arial" w:hAnsiTheme="majorHAnsi" w:cstheme="majorHAnsi"/>
          <w:color w:val="000000"/>
          <w:sz w:val="20"/>
          <w:szCs w:val="20"/>
        </w:rPr>
      </w:pPr>
    </w:p>
    <w:p w:rsidR="003A1E3B" w:rsidRPr="00743A41" w:rsidRDefault="003A1E3B" w:rsidP="00A37ED6">
      <w:pPr>
        <w:pBdr>
          <w:top w:val="nil"/>
          <w:left w:val="nil"/>
          <w:bottom w:val="nil"/>
          <w:right w:val="nil"/>
          <w:between w:val="nil"/>
        </w:pBdr>
        <w:ind w:left="720"/>
        <w:rPr>
          <w:rFonts w:asciiTheme="majorHAnsi" w:eastAsia="Arial" w:hAnsiTheme="majorHAnsi" w:cstheme="majorHAnsi"/>
          <w:color w:val="000000"/>
          <w:sz w:val="20"/>
          <w:szCs w:val="20"/>
        </w:rPr>
      </w:pPr>
      <w:r w:rsidRPr="00743A41">
        <w:rPr>
          <w:rFonts w:asciiTheme="majorHAnsi" w:eastAsia="Arial" w:hAnsiTheme="majorHAnsi" w:cstheme="majorHAnsi"/>
          <w:b/>
          <w:color w:val="000000"/>
          <w:sz w:val="20"/>
          <w:szCs w:val="20"/>
        </w:rPr>
        <w:t>Our mission</w:t>
      </w:r>
      <w:r w:rsidRPr="00743A41">
        <w:rPr>
          <w:rFonts w:asciiTheme="majorHAnsi" w:eastAsia="Arial" w:hAnsiTheme="majorHAnsi" w:cstheme="majorHAnsi"/>
          <w:color w:val="000000"/>
          <w:sz w:val="20"/>
          <w:szCs w:val="20"/>
        </w:rPr>
        <w:t xml:space="preserve">: </w:t>
      </w:r>
      <w:r w:rsidRPr="00743A41">
        <w:rPr>
          <w:rFonts w:asciiTheme="majorHAnsi" w:eastAsia="Arial" w:hAnsiTheme="majorHAnsi" w:cstheme="majorHAnsi"/>
          <w:i/>
          <w:color w:val="000000"/>
          <w:sz w:val="20"/>
          <w:szCs w:val="20"/>
        </w:rPr>
        <w:t xml:space="preserve">Changing the culture of health through excellence in graduate education, research and engagement. </w:t>
      </w:r>
    </w:p>
    <w:p w:rsidR="003A1E3B" w:rsidRPr="00743A41" w:rsidRDefault="003A1E3B" w:rsidP="00A37ED6">
      <w:pPr>
        <w:pBdr>
          <w:top w:val="nil"/>
          <w:left w:val="nil"/>
          <w:bottom w:val="nil"/>
          <w:right w:val="nil"/>
          <w:between w:val="nil"/>
        </w:pBdr>
        <w:ind w:left="720"/>
        <w:rPr>
          <w:rFonts w:asciiTheme="majorHAnsi" w:eastAsia="Arial" w:hAnsiTheme="majorHAnsi" w:cstheme="majorHAnsi"/>
          <w:color w:val="000000"/>
          <w:sz w:val="20"/>
          <w:szCs w:val="20"/>
        </w:rPr>
      </w:pPr>
    </w:p>
    <w:p w:rsidR="00C91EFA" w:rsidRPr="00743A41" w:rsidRDefault="00C91EFA" w:rsidP="00A37ED6">
      <w:pPr>
        <w:pBdr>
          <w:top w:val="nil"/>
          <w:left w:val="nil"/>
          <w:bottom w:val="nil"/>
          <w:right w:val="nil"/>
          <w:between w:val="nil"/>
        </w:pBdr>
        <w:ind w:left="72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 xml:space="preserve">To achieve a world in which health has no boundaries, we must first shift the way people—from the communities around us to the </w:t>
      </w:r>
      <w:r w:rsidR="00D06EEE" w:rsidRPr="00743A41">
        <w:rPr>
          <w:rFonts w:asciiTheme="majorHAnsi" w:eastAsia="Arial" w:hAnsiTheme="majorHAnsi" w:cstheme="majorHAnsi"/>
          <w:color w:val="000000"/>
          <w:sz w:val="20"/>
          <w:szCs w:val="20"/>
        </w:rPr>
        <w:t>healthcare</w:t>
      </w:r>
      <w:r w:rsidRPr="00743A41">
        <w:rPr>
          <w:rFonts w:asciiTheme="majorHAnsi" w:eastAsia="Arial" w:hAnsiTheme="majorHAnsi" w:cstheme="majorHAnsi"/>
          <w:color w:val="000000"/>
          <w:sz w:val="20"/>
          <w:szCs w:val="20"/>
        </w:rPr>
        <w:t xml:space="preserve"> industry to decision-makers in government—think about, and act on, matters relating to health. </w:t>
      </w:r>
    </w:p>
    <w:p w:rsidR="003A1E3B" w:rsidRPr="00743A41" w:rsidRDefault="003A1E3B" w:rsidP="00A37ED6">
      <w:pPr>
        <w:pBdr>
          <w:top w:val="nil"/>
          <w:left w:val="nil"/>
          <w:bottom w:val="nil"/>
          <w:right w:val="nil"/>
          <w:between w:val="nil"/>
        </w:pBdr>
        <w:ind w:left="720"/>
        <w:rPr>
          <w:rFonts w:asciiTheme="majorHAnsi" w:eastAsia="Arial" w:hAnsiTheme="majorHAnsi" w:cstheme="majorHAnsi"/>
          <w:color w:val="000000"/>
          <w:sz w:val="20"/>
          <w:szCs w:val="20"/>
        </w:rPr>
      </w:pPr>
    </w:p>
    <w:p w:rsidR="003A1E3B" w:rsidRPr="00743A41" w:rsidRDefault="003A1E3B" w:rsidP="00A37ED6">
      <w:pPr>
        <w:ind w:left="720"/>
        <w:rPr>
          <w:rFonts w:asciiTheme="majorHAnsi" w:eastAsia="Arial" w:hAnsiTheme="majorHAnsi" w:cstheme="majorHAnsi"/>
          <w:i/>
          <w:sz w:val="20"/>
          <w:szCs w:val="20"/>
        </w:rPr>
      </w:pPr>
      <w:r w:rsidRPr="00743A41">
        <w:rPr>
          <w:rFonts w:asciiTheme="majorHAnsi" w:eastAsia="Arial" w:hAnsiTheme="majorHAnsi" w:cstheme="majorHAnsi"/>
          <w:b/>
          <w:sz w:val="20"/>
          <w:szCs w:val="20"/>
        </w:rPr>
        <w:t xml:space="preserve">Our goals are to: </w:t>
      </w:r>
      <w:r w:rsidR="00C91EFA" w:rsidRPr="00743A41">
        <w:rPr>
          <w:rFonts w:asciiTheme="majorHAnsi" w:eastAsia="Arial" w:hAnsiTheme="majorHAnsi" w:cstheme="majorHAnsi"/>
          <w:sz w:val="20"/>
          <w:szCs w:val="20"/>
        </w:rPr>
        <w:t xml:space="preserve">(1) </w:t>
      </w:r>
      <w:r w:rsidR="008D677D" w:rsidRPr="00743A41">
        <w:rPr>
          <w:rFonts w:asciiTheme="majorHAnsi" w:eastAsia="Arial" w:hAnsiTheme="majorHAnsi" w:cstheme="majorHAnsi"/>
          <w:sz w:val="20"/>
          <w:szCs w:val="20"/>
        </w:rPr>
        <w:t>Recruit and train high-quality students to contribute to public health in Texas, the United States, and internationally</w:t>
      </w:r>
      <w:r w:rsidR="00C91EFA" w:rsidRPr="00743A41">
        <w:rPr>
          <w:rFonts w:asciiTheme="majorHAnsi" w:eastAsia="Arial" w:hAnsiTheme="majorHAnsi" w:cstheme="majorHAnsi"/>
          <w:sz w:val="20"/>
          <w:szCs w:val="20"/>
        </w:rPr>
        <w:t xml:space="preserve">; (2) </w:t>
      </w:r>
      <w:r w:rsidR="00C5481A" w:rsidRPr="00743A41">
        <w:rPr>
          <w:rFonts w:asciiTheme="majorHAnsi" w:eastAsia="Arial" w:hAnsiTheme="majorHAnsi" w:cstheme="majorHAnsi"/>
          <w:sz w:val="20"/>
          <w:szCs w:val="20"/>
        </w:rPr>
        <w:t>encourage the discovery and dissemination of scientific knowledge in public health</w:t>
      </w:r>
      <w:r w:rsidR="00C91EFA" w:rsidRPr="00743A41">
        <w:rPr>
          <w:rFonts w:asciiTheme="majorHAnsi" w:eastAsia="Arial" w:hAnsiTheme="majorHAnsi" w:cstheme="majorHAnsi"/>
          <w:sz w:val="20"/>
          <w:szCs w:val="20"/>
        </w:rPr>
        <w:t xml:space="preserve">; (3) and improve the public’s health through community collaboration, engagement, and service. </w:t>
      </w:r>
      <w:r w:rsidR="00C91EFA" w:rsidRPr="00743A41">
        <w:rPr>
          <w:rFonts w:asciiTheme="majorHAnsi" w:eastAsia="Arial" w:hAnsiTheme="majorHAnsi" w:cstheme="majorHAnsi"/>
          <w:i/>
          <w:sz w:val="20"/>
          <w:szCs w:val="20"/>
        </w:rPr>
        <w:t xml:space="preserve">Specific measures </w:t>
      </w:r>
      <w:r w:rsidR="0015126C">
        <w:rPr>
          <w:rFonts w:asciiTheme="majorHAnsi" w:eastAsia="Arial" w:hAnsiTheme="majorHAnsi" w:cstheme="majorHAnsi"/>
          <w:i/>
          <w:sz w:val="20"/>
          <w:szCs w:val="20"/>
        </w:rPr>
        <w:t xml:space="preserve">and examples </w:t>
      </w:r>
      <w:r w:rsidR="00C91EFA" w:rsidRPr="00743A41">
        <w:rPr>
          <w:rFonts w:asciiTheme="majorHAnsi" w:eastAsia="Arial" w:hAnsiTheme="majorHAnsi" w:cstheme="majorHAnsi"/>
          <w:i/>
          <w:sz w:val="20"/>
          <w:szCs w:val="20"/>
        </w:rPr>
        <w:t xml:space="preserve">related to these goals are outlined in </w:t>
      </w:r>
      <w:hyperlink w:anchor="_B5._Defining_Evaluation" w:history="1">
        <w:r w:rsidR="004973C8" w:rsidRPr="00743A41">
          <w:rPr>
            <w:rStyle w:val="Hyperlink"/>
            <w:rFonts w:asciiTheme="majorHAnsi" w:eastAsia="Arial" w:hAnsiTheme="majorHAnsi" w:cstheme="majorHAnsi"/>
            <w:i/>
            <w:sz w:val="20"/>
            <w:szCs w:val="20"/>
          </w:rPr>
          <w:t>Criterion B5. Defining Evaluation Practices</w:t>
        </w:r>
      </w:hyperlink>
      <w:r w:rsidR="0015126C">
        <w:rPr>
          <w:rFonts w:asciiTheme="majorHAnsi" w:eastAsia="Arial" w:hAnsiTheme="majorHAnsi" w:cstheme="majorHAnsi"/>
          <w:i/>
          <w:sz w:val="20"/>
          <w:szCs w:val="20"/>
        </w:rPr>
        <w:t xml:space="preserve"> and </w:t>
      </w:r>
      <w:hyperlink w:anchor="_B6._Use_of" w:history="1">
        <w:r w:rsidR="0015126C" w:rsidRPr="0015126C">
          <w:rPr>
            <w:rStyle w:val="Hyperlink"/>
            <w:rFonts w:asciiTheme="majorHAnsi" w:eastAsia="Arial" w:hAnsiTheme="majorHAnsi" w:cstheme="majorHAnsi"/>
            <w:i/>
            <w:sz w:val="20"/>
            <w:szCs w:val="20"/>
          </w:rPr>
          <w:t>Criterion B6. Use of Evaluation Data</w:t>
        </w:r>
      </w:hyperlink>
      <w:r w:rsidR="0015126C">
        <w:rPr>
          <w:rFonts w:asciiTheme="majorHAnsi" w:eastAsia="Arial" w:hAnsiTheme="majorHAnsi" w:cstheme="majorHAnsi"/>
          <w:i/>
          <w:sz w:val="20"/>
          <w:szCs w:val="20"/>
        </w:rPr>
        <w:t xml:space="preserve">. </w:t>
      </w:r>
    </w:p>
    <w:p w:rsidR="003A1E3B" w:rsidRPr="00743A41" w:rsidRDefault="003A1E3B" w:rsidP="00A37ED6">
      <w:pPr>
        <w:pBdr>
          <w:top w:val="nil"/>
          <w:left w:val="nil"/>
          <w:bottom w:val="nil"/>
          <w:right w:val="nil"/>
          <w:between w:val="nil"/>
        </w:pBdr>
        <w:ind w:left="720"/>
        <w:rPr>
          <w:rFonts w:asciiTheme="majorHAnsi" w:eastAsia="Arial" w:hAnsiTheme="majorHAnsi" w:cstheme="majorHAnsi"/>
          <w:color w:val="000000"/>
          <w:sz w:val="20"/>
          <w:szCs w:val="20"/>
        </w:rPr>
      </w:pPr>
    </w:p>
    <w:p w:rsidR="003A1E3B" w:rsidRPr="00743A41" w:rsidRDefault="003A1E3B" w:rsidP="00A37ED6">
      <w:pPr>
        <w:pBdr>
          <w:top w:val="nil"/>
          <w:left w:val="nil"/>
          <w:bottom w:val="nil"/>
          <w:right w:val="nil"/>
          <w:between w:val="nil"/>
        </w:pBdr>
        <w:ind w:left="720"/>
        <w:rPr>
          <w:rFonts w:asciiTheme="majorHAnsi" w:eastAsia="Arial" w:hAnsiTheme="majorHAnsi" w:cstheme="majorHAnsi"/>
          <w:b/>
          <w:color w:val="000000"/>
          <w:sz w:val="20"/>
          <w:szCs w:val="20"/>
        </w:rPr>
      </w:pPr>
      <w:r w:rsidRPr="00743A41">
        <w:rPr>
          <w:rFonts w:asciiTheme="majorHAnsi" w:eastAsia="Arial" w:hAnsiTheme="majorHAnsi" w:cstheme="majorHAnsi"/>
          <w:color w:val="000000"/>
          <w:sz w:val="20"/>
          <w:szCs w:val="20"/>
        </w:rPr>
        <w:t xml:space="preserve">We seek to accomplish our mission by promoting the following </w:t>
      </w:r>
      <w:r w:rsidRPr="00743A41">
        <w:rPr>
          <w:rFonts w:asciiTheme="majorHAnsi" w:eastAsia="Arial" w:hAnsiTheme="majorHAnsi" w:cstheme="majorHAnsi"/>
          <w:b/>
          <w:color w:val="000000"/>
          <w:sz w:val="20"/>
          <w:szCs w:val="20"/>
        </w:rPr>
        <w:t>values:</w:t>
      </w:r>
    </w:p>
    <w:p w:rsidR="003A1E3B" w:rsidRPr="00743A41" w:rsidRDefault="003A1E3B" w:rsidP="00A37ED6">
      <w:pPr>
        <w:pBdr>
          <w:top w:val="nil"/>
          <w:left w:val="nil"/>
          <w:bottom w:val="nil"/>
          <w:right w:val="nil"/>
          <w:between w:val="nil"/>
        </w:pBdr>
        <w:ind w:left="720"/>
        <w:rPr>
          <w:rFonts w:asciiTheme="majorHAnsi" w:eastAsia="Arial" w:hAnsiTheme="majorHAnsi" w:cstheme="majorHAnsi"/>
          <w:b/>
          <w:color w:val="000000"/>
          <w:sz w:val="20"/>
          <w:szCs w:val="20"/>
        </w:rPr>
      </w:pPr>
    </w:p>
    <w:p w:rsidR="003A1E3B" w:rsidRPr="00743A41" w:rsidRDefault="003A1E3B" w:rsidP="00A37ED6">
      <w:pPr>
        <w:pStyle w:val="ListParagraph"/>
        <w:numPr>
          <w:ilvl w:val="0"/>
          <w:numId w:val="148"/>
        </w:numPr>
        <w:pBdr>
          <w:top w:val="nil"/>
          <w:left w:val="nil"/>
          <w:bottom w:val="nil"/>
          <w:right w:val="nil"/>
          <w:between w:val="nil"/>
        </w:pBdr>
        <w:rPr>
          <w:rFonts w:asciiTheme="majorHAnsi" w:eastAsia="Arial" w:hAnsiTheme="majorHAnsi" w:cstheme="majorHAnsi"/>
          <w:b/>
          <w:color w:val="000000"/>
          <w:szCs w:val="20"/>
        </w:rPr>
      </w:pPr>
      <w:r w:rsidRPr="00743A41">
        <w:rPr>
          <w:rFonts w:asciiTheme="majorHAnsi" w:eastAsia="Arial" w:hAnsiTheme="majorHAnsi" w:cstheme="majorHAnsi"/>
          <w:i/>
          <w:color w:val="000000"/>
          <w:szCs w:val="20"/>
        </w:rPr>
        <w:t>Collaborate:</w:t>
      </w:r>
      <w:r w:rsidRPr="00743A41">
        <w:rPr>
          <w:rFonts w:asciiTheme="majorHAnsi" w:eastAsia="Arial" w:hAnsiTheme="majorHAnsi" w:cstheme="majorHAnsi"/>
          <w:color w:val="000000"/>
          <w:szCs w:val="20"/>
        </w:rPr>
        <w:t xml:space="preserve"> A charge to seek out new perspectives, to listen as much as we talk, and to build authentic, sustainable relationships. </w:t>
      </w:r>
    </w:p>
    <w:p w:rsidR="003A1E3B" w:rsidRPr="00743A41" w:rsidRDefault="003A1E3B" w:rsidP="00A37ED6">
      <w:pPr>
        <w:pStyle w:val="ListParagraph"/>
        <w:numPr>
          <w:ilvl w:val="0"/>
          <w:numId w:val="148"/>
        </w:numPr>
        <w:pBdr>
          <w:top w:val="nil"/>
          <w:left w:val="nil"/>
          <w:bottom w:val="nil"/>
          <w:right w:val="nil"/>
          <w:between w:val="nil"/>
        </w:pBdr>
        <w:rPr>
          <w:rFonts w:asciiTheme="majorHAnsi" w:eastAsia="Arial" w:hAnsiTheme="majorHAnsi" w:cstheme="majorHAnsi"/>
          <w:b/>
          <w:color w:val="000000"/>
          <w:szCs w:val="20"/>
        </w:rPr>
      </w:pPr>
      <w:r w:rsidRPr="00743A41">
        <w:rPr>
          <w:rFonts w:asciiTheme="majorHAnsi" w:eastAsia="Arial" w:hAnsiTheme="majorHAnsi" w:cstheme="majorHAnsi"/>
          <w:i/>
          <w:color w:val="000000"/>
          <w:szCs w:val="20"/>
        </w:rPr>
        <w:t>Lead:</w:t>
      </w:r>
      <w:r w:rsidRPr="00743A41">
        <w:rPr>
          <w:rFonts w:asciiTheme="majorHAnsi" w:eastAsia="Arial" w:hAnsiTheme="majorHAnsi" w:cstheme="majorHAnsi"/>
          <w:color w:val="000000"/>
          <w:szCs w:val="20"/>
        </w:rPr>
        <w:t xml:space="preserve"> A pledge to march on the front lines of progress with passion, tenacity, and a strong sense of direction.         </w:t>
      </w:r>
    </w:p>
    <w:p w:rsidR="003A1E3B" w:rsidRPr="00743A41" w:rsidRDefault="003A1E3B" w:rsidP="00A37ED6">
      <w:pPr>
        <w:pStyle w:val="ListParagraph"/>
        <w:numPr>
          <w:ilvl w:val="0"/>
          <w:numId w:val="148"/>
        </w:numPr>
        <w:pBdr>
          <w:top w:val="nil"/>
          <w:left w:val="nil"/>
          <w:bottom w:val="nil"/>
          <w:right w:val="nil"/>
          <w:between w:val="nil"/>
        </w:pBdr>
        <w:rPr>
          <w:rFonts w:asciiTheme="majorHAnsi" w:eastAsia="Arial" w:hAnsiTheme="majorHAnsi" w:cstheme="majorHAnsi"/>
          <w:b/>
          <w:color w:val="000000"/>
          <w:szCs w:val="20"/>
        </w:rPr>
      </w:pPr>
      <w:r w:rsidRPr="00743A41">
        <w:rPr>
          <w:rFonts w:asciiTheme="majorHAnsi" w:eastAsia="Arial" w:hAnsiTheme="majorHAnsi" w:cstheme="majorHAnsi"/>
          <w:i/>
          <w:color w:val="000000"/>
          <w:szCs w:val="20"/>
        </w:rPr>
        <w:t>Transform:</w:t>
      </w:r>
      <w:r w:rsidRPr="00743A41">
        <w:rPr>
          <w:rFonts w:asciiTheme="majorHAnsi" w:eastAsia="Arial" w:hAnsiTheme="majorHAnsi" w:cstheme="majorHAnsi"/>
          <w:color w:val="000000"/>
          <w:szCs w:val="20"/>
        </w:rPr>
        <w:t xml:space="preserve"> A vow to invest our time, effort and resources in challenging, improving—and when necessary—the complete rebuilding of programs and systems that do not serve us all.  </w:t>
      </w:r>
    </w:p>
    <w:p w:rsidR="009D6512" w:rsidRPr="00743A41" w:rsidRDefault="009D6512" w:rsidP="00A37ED6">
      <w:pPr>
        <w:pStyle w:val="ListParagraph"/>
        <w:numPr>
          <w:ilvl w:val="0"/>
          <w:numId w:val="148"/>
        </w:numPr>
        <w:pBdr>
          <w:top w:val="nil"/>
          <w:left w:val="nil"/>
          <w:bottom w:val="nil"/>
          <w:right w:val="nil"/>
          <w:between w:val="nil"/>
        </w:pBdr>
        <w:rPr>
          <w:rFonts w:asciiTheme="majorHAnsi" w:eastAsia="Arial" w:hAnsiTheme="majorHAnsi" w:cstheme="majorHAnsi"/>
          <w:b/>
          <w:color w:val="000000"/>
          <w:szCs w:val="20"/>
        </w:rPr>
      </w:pPr>
      <w:r w:rsidRPr="00743A41">
        <w:rPr>
          <w:rFonts w:asciiTheme="majorHAnsi" w:eastAsia="Arial" w:hAnsiTheme="majorHAnsi" w:cstheme="majorHAnsi"/>
          <w:i/>
          <w:color w:val="000000"/>
          <w:szCs w:val="20"/>
        </w:rPr>
        <w:t>Diversify:</w:t>
      </w:r>
      <w:r w:rsidRPr="00743A41">
        <w:rPr>
          <w:rFonts w:asciiTheme="majorHAnsi" w:eastAsia="Arial" w:hAnsiTheme="majorHAnsi" w:cstheme="majorHAnsi"/>
          <w:color w:val="000000"/>
          <w:szCs w:val="20"/>
        </w:rPr>
        <w:t xml:space="preserve"> A commitment to representation, equity, and accountability in our school, the continuum of health, and our communities. </w:t>
      </w:r>
    </w:p>
    <w:p w:rsidR="00F37D17" w:rsidRPr="00743A41" w:rsidRDefault="00F37D17" w:rsidP="00A37ED6">
      <w:pPr>
        <w:pStyle w:val="Default"/>
        <w:jc w:val="both"/>
        <w:rPr>
          <w:rFonts w:asciiTheme="majorHAnsi" w:hAnsiTheme="majorHAnsi" w:cstheme="majorHAnsi"/>
          <w:color w:val="auto"/>
          <w:szCs w:val="20"/>
        </w:rPr>
      </w:pPr>
    </w:p>
    <w:p w:rsidR="00933038" w:rsidRPr="00743A41" w:rsidRDefault="00933038" w:rsidP="00A37ED6">
      <w:pPr>
        <w:pStyle w:val="Default"/>
        <w:numPr>
          <w:ilvl w:val="0"/>
          <w:numId w:val="4"/>
        </w:numPr>
        <w:jc w:val="both"/>
        <w:rPr>
          <w:rFonts w:asciiTheme="majorHAnsi" w:hAnsiTheme="majorHAnsi" w:cstheme="majorHAnsi"/>
          <w:color w:val="auto"/>
          <w:szCs w:val="20"/>
        </w:rPr>
      </w:pPr>
      <w:r w:rsidRPr="00743A41">
        <w:rPr>
          <w:rFonts w:asciiTheme="majorHAnsi" w:hAnsiTheme="majorHAnsi" w:cstheme="majorHAnsi"/>
          <w:color w:val="auto"/>
          <w:szCs w:val="20"/>
        </w:rPr>
        <w:t xml:space="preserve">If applicable, a school-specific strategic plan or other comparable document. </w:t>
      </w:r>
    </w:p>
    <w:p w:rsidR="00933038" w:rsidRPr="00743A41" w:rsidRDefault="00933038" w:rsidP="00A37ED6">
      <w:pPr>
        <w:pStyle w:val="Default"/>
        <w:jc w:val="both"/>
        <w:rPr>
          <w:rFonts w:asciiTheme="majorHAnsi" w:hAnsiTheme="majorHAnsi" w:cstheme="majorHAnsi"/>
          <w:color w:val="auto"/>
          <w:szCs w:val="20"/>
        </w:rPr>
      </w:pPr>
    </w:p>
    <w:p w:rsidR="00933038" w:rsidRPr="00743A41" w:rsidRDefault="00AC28B6" w:rsidP="00A37ED6">
      <w:pPr>
        <w:pStyle w:val="Default"/>
        <w:ind w:left="720"/>
        <w:jc w:val="both"/>
        <w:rPr>
          <w:rFonts w:asciiTheme="majorHAnsi" w:hAnsiTheme="majorHAnsi" w:cstheme="majorHAnsi"/>
          <w:i/>
          <w:color w:val="auto"/>
          <w:szCs w:val="20"/>
        </w:rPr>
      </w:pPr>
      <w:r w:rsidRPr="00743A41">
        <w:rPr>
          <w:rFonts w:asciiTheme="majorHAnsi" w:hAnsiTheme="majorHAnsi" w:cstheme="majorHAnsi"/>
          <w:i/>
          <w:color w:val="auto"/>
          <w:szCs w:val="20"/>
        </w:rPr>
        <w:t>Not applicable.</w:t>
      </w:r>
    </w:p>
    <w:p w:rsidR="00AC28B6" w:rsidRPr="00743A41" w:rsidRDefault="00AC28B6" w:rsidP="00A37ED6">
      <w:pPr>
        <w:pStyle w:val="Default"/>
        <w:ind w:left="720"/>
        <w:jc w:val="both"/>
        <w:rPr>
          <w:rFonts w:asciiTheme="majorHAnsi" w:hAnsiTheme="majorHAnsi" w:cstheme="majorHAnsi"/>
          <w:color w:val="auto"/>
          <w:szCs w:val="20"/>
        </w:rPr>
      </w:pPr>
    </w:p>
    <w:p w:rsidR="00933038" w:rsidRPr="00743A41" w:rsidRDefault="00933038" w:rsidP="00A37ED6">
      <w:pPr>
        <w:pStyle w:val="Default"/>
        <w:numPr>
          <w:ilvl w:val="0"/>
          <w:numId w:val="4"/>
        </w:numPr>
        <w:jc w:val="both"/>
        <w:rPr>
          <w:rFonts w:asciiTheme="majorHAnsi" w:hAnsiTheme="majorHAnsi" w:cstheme="majorHAnsi"/>
          <w:color w:val="auto"/>
          <w:szCs w:val="20"/>
        </w:rPr>
      </w:pPr>
      <w:r w:rsidRPr="00743A41">
        <w:rPr>
          <w:rFonts w:asciiTheme="majorHAnsi" w:hAnsiTheme="majorHAnsi" w:cstheme="majorHAnsi"/>
          <w:color w:val="auto"/>
          <w:szCs w:val="20"/>
        </w:rPr>
        <w:t xml:space="preserve">If applicable, assess strengths and weaknesses related to this criterion and plans for improvement in this area. </w:t>
      </w:r>
    </w:p>
    <w:p w:rsidR="00933038" w:rsidRPr="00743A41" w:rsidRDefault="00933038" w:rsidP="00A37ED6">
      <w:pPr>
        <w:pStyle w:val="Default"/>
        <w:jc w:val="both"/>
        <w:rPr>
          <w:rFonts w:asciiTheme="majorHAnsi" w:hAnsiTheme="majorHAnsi" w:cstheme="majorHAnsi"/>
          <w:color w:val="auto"/>
          <w:szCs w:val="20"/>
        </w:rPr>
      </w:pPr>
    </w:p>
    <w:p w:rsidR="004A7653" w:rsidRPr="00743A41" w:rsidRDefault="004A7653" w:rsidP="00A37ED6">
      <w:pPr>
        <w:pStyle w:val="Default"/>
        <w:ind w:left="720"/>
        <w:jc w:val="both"/>
        <w:rPr>
          <w:rFonts w:asciiTheme="majorHAnsi" w:eastAsia="Arial" w:hAnsiTheme="majorHAnsi" w:cstheme="majorHAnsi"/>
          <w:b/>
          <w:i/>
          <w:szCs w:val="20"/>
        </w:rPr>
      </w:pPr>
    </w:p>
    <w:p w:rsidR="00673ED9" w:rsidRPr="00743A41" w:rsidRDefault="00673ED9" w:rsidP="00A37ED6">
      <w:pPr>
        <w:pStyle w:val="Default"/>
        <w:ind w:left="720"/>
        <w:jc w:val="both"/>
        <w:rPr>
          <w:rFonts w:asciiTheme="majorHAnsi" w:eastAsia="Arial" w:hAnsiTheme="majorHAnsi" w:cstheme="majorHAnsi"/>
          <w:b/>
          <w:szCs w:val="20"/>
        </w:rPr>
      </w:pPr>
      <w:r w:rsidRPr="00743A41">
        <w:rPr>
          <w:rFonts w:asciiTheme="majorHAnsi" w:eastAsia="Arial" w:hAnsiTheme="majorHAnsi" w:cstheme="majorHAnsi"/>
          <w:b/>
          <w:szCs w:val="20"/>
        </w:rPr>
        <w:t>Strengths:</w:t>
      </w:r>
    </w:p>
    <w:p w:rsidR="00673ED9" w:rsidRPr="00743A41" w:rsidRDefault="00673ED9" w:rsidP="00A37ED6">
      <w:pPr>
        <w:pStyle w:val="ListParagraph"/>
        <w:numPr>
          <w:ilvl w:val="0"/>
          <w:numId w:val="176"/>
        </w:numPr>
        <w:spacing w:after="160"/>
        <w:ind w:left="1440"/>
        <w:contextualSpacing/>
        <w:rPr>
          <w:rStyle w:val="Heading1Char"/>
          <w:color w:val="000000"/>
        </w:rPr>
      </w:pPr>
      <w:r w:rsidRPr="00743A41">
        <w:rPr>
          <w:rStyle w:val="Heading1Char"/>
          <w:b w:val="0"/>
        </w:rPr>
        <w:t xml:space="preserve">The UTHealth School of Public Health recently updated its guiding statements to more adequately reflect its aspirations and to fully embrace its commitment to teaching, scholarship, and service. </w:t>
      </w:r>
    </w:p>
    <w:p w:rsidR="00673ED9" w:rsidRPr="00743A41" w:rsidRDefault="00673ED9" w:rsidP="00A37ED6">
      <w:pPr>
        <w:pStyle w:val="ListParagraph"/>
        <w:numPr>
          <w:ilvl w:val="0"/>
          <w:numId w:val="176"/>
        </w:numPr>
        <w:spacing w:after="160"/>
        <w:ind w:left="1440"/>
        <w:contextualSpacing/>
        <w:rPr>
          <w:rStyle w:val="Heading1Char"/>
        </w:rPr>
      </w:pPr>
      <w:r w:rsidRPr="00743A41">
        <w:rPr>
          <w:rStyle w:val="Heading1Char"/>
          <w:b w:val="0"/>
        </w:rPr>
        <w:t>The UTHealth School of Public Health was intentional in considering the value statements and their role in guiding its decision-making process.  After extensive input, the school changed its values from a long list of attributes to a short list of action-oriented values that have meaning: collaborate, lead, transform, and diversify.</w:t>
      </w:r>
    </w:p>
    <w:p w:rsidR="00673ED9" w:rsidRPr="00743A41" w:rsidRDefault="00673ED9" w:rsidP="00A37ED6">
      <w:pPr>
        <w:ind w:firstLine="720"/>
        <w:rPr>
          <w:rStyle w:val="Heading1Char"/>
        </w:rPr>
      </w:pPr>
      <w:r w:rsidRPr="00743A41">
        <w:rPr>
          <w:rStyle w:val="Heading1Char"/>
        </w:rPr>
        <w:t>Weaknesses:</w:t>
      </w:r>
    </w:p>
    <w:p w:rsidR="00673ED9" w:rsidRPr="00743A41" w:rsidRDefault="00673ED9" w:rsidP="00A37ED6">
      <w:pPr>
        <w:pStyle w:val="ListParagraph"/>
        <w:numPr>
          <w:ilvl w:val="0"/>
          <w:numId w:val="177"/>
        </w:numPr>
        <w:spacing w:after="160"/>
        <w:contextualSpacing/>
        <w:rPr>
          <w:rStyle w:val="Heading1Char"/>
        </w:rPr>
      </w:pPr>
      <w:r w:rsidRPr="00743A41">
        <w:rPr>
          <w:rStyle w:val="Heading1Char"/>
          <w:b w:val="0"/>
        </w:rPr>
        <w:t xml:space="preserve">The UTHealth School of Public Health very recently changed its guiding statements and, consequently, has not been able to communicate, disseminate, or infuse them into the culture of the school. </w:t>
      </w:r>
    </w:p>
    <w:p w:rsidR="00673ED9" w:rsidRPr="00743A41" w:rsidRDefault="00673ED9" w:rsidP="00A37ED6">
      <w:pPr>
        <w:pStyle w:val="Default"/>
        <w:ind w:left="720"/>
        <w:jc w:val="both"/>
        <w:rPr>
          <w:rFonts w:asciiTheme="majorHAnsi" w:hAnsiTheme="majorHAnsi" w:cstheme="majorHAnsi"/>
          <w:i/>
          <w:szCs w:val="20"/>
        </w:rPr>
      </w:pPr>
    </w:p>
    <w:p w:rsidR="00933038" w:rsidRPr="00743A41" w:rsidRDefault="00933038" w:rsidP="00A37ED6">
      <w:pPr>
        <w:pStyle w:val="Default"/>
        <w:jc w:val="both"/>
        <w:rPr>
          <w:rFonts w:asciiTheme="majorHAnsi" w:hAnsiTheme="majorHAnsi" w:cstheme="majorHAnsi"/>
          <w:color w:val="auto"/>
          <w:szCs w:val="20"/>
        </w:rPr>
      </w:pPr>
    </w:p>
    <w:p w:rsidR="00933038" w:rsidRPr="00743A41" w:rsidRDefault="00933038" w:rsidP="00A37ED6">
      <w:pPr>
        <w:rPr>
          <w:rStyle w:val="Heading1Char"/>
        </w:rPr>
      </w:pPr>
      <w:bookmarkStart w:id="30" w:name="_Toc464487857"/>
    </w:p>
    <w:p w:rsidR="00E7790E" w:rsidRPr="00743A41" w:rsidRDefault="00E7790E" w:rsidP="00A37ED6">
      <w:pPr>
        <w:rPr>
          <w:rStyle w:val="Heading1Char"/>
          <w:bCs w:val="0"/>
        </w:rPr>
      </w:pPr>
      <w:bookmarkStart w:id="31" w:name="_Toc7118190"/>
      <w:r w:rsidRPr="00743A41">
        <w:rPr>
          <w:rStyle w:val="Heading1Char"/>
          <w:b w:val="0"/>
        </w:rPr>
        <w:br w:type="page"/>
      </w:r>
    </w:p>
    <w:p w:rsidR="00933038" w:rsidRPr="00743A41" w:rsidRDefault="00933038" w:rsidP="007A68BE">
      <w:pPr>
        <w:pStyle w:val="Heading1"/>
      </w:pPr>
      <w:bookmarkStart w:id="32" w:name="_B2._Graduation_Rates"/>
      <w:bookmarkEnd w:id="32"/>
      <w:r w:rsidRPr="00743A41">
        <w:rPr>
          <w:rStyle w:val="Heading1Char"/>
          <w:b/>
        </w:rPr>
        <w:t>B2. Graduation Rates</w:t>
      </w:r>
      <w:bookmarkEnd w:id="30"/>
      <w:bookmarkEnd w:id="31"/>
      <w:r w:rsidRPr="00743A41">
        <w:t xml:space="preserve"> </w:t>
      </w:r>
    </w:p>
    <w:p w:rsidR="00933038" w:rsidRPr="00743A41" w:rsidRDefault="00933038" w:rsidP="00A37ED6">
      <w:pPr>
        <w:pStyle w:val="Default"/>
        <w:ind w:left="720"/>
        <w:rPr>
          <w:rFonts w:asciiTheme="majorHAnsi" w:hAnsiTheme="majorHAnsi" w:cstheme="majorHAnsi"/>
          <w:b/>
          <w:color w:val="auto"/>
          <w:szCs w:val="20"/>
        </w:rPr>
      </w:pPr>
    </w:p>
    <w:p w:rsidR="00933038" w:rsidRPr="00743A41" w:rsidRDefault="00933038" w:rsidP="00A37ED6">
      <w:pPr>
        <w:pStyle w:val="Default"/>
        <w:jc w:val="both"/>
        <w:rPr>
          <w:rFonts w:asciiTheme="majorHAnsi" w:hAnsiTheme="majorHAnsi" w:cstheme="majorHAnsi"/>
          <w:b/>
          <w:color w:val="auto"/>
          <w:szCs w:val="20"/>
        </w:rPr>
      </w:pPr>
      <w:r w:rsidRPr="00743A41">
        <w:rPr>
          <w:rFonts w:asciiTheme="majorHAnsi" w:hAnsiTheme="majorHAnsi" w:cstheme="majorHAnsi"/>
          <w:b/>
          <w:color w:val="auto"/>
          <w:szCs w:val="20"/>
        </w:rPr>
        <w:t>The school collects and analyzes graduation rate data for each</w:t>
      </w:r>
      <w:r w:rsidR="000C7D3C" w:rsidRPr="00743A41">
        <w:rPr>
          <w:rFonts w:asciiTheme="majorHAnsi" w:hAnsiTheme="majorHAnsi" w:cstheme="majorHAnsi"/>
          <w:b/>
          <w:color w:val="auto"/>
          <w:szCs w:val="20"/>
        </w:rPr>
        <w:t xml:space="preserve"> public health</w:t>
      </w:r>
      <w:r w:rsidRPr="00743A41">
        <w:rPr>
          <w:rFonts w:asciiTheme="majorHAnsi" w:hAnsiTheme="majorHAnsi" w:cstheme="majorHAnsi"/>
          <w:b/>
          <w:color w:val="auto"/>
          <w:szCs w:val="20"/>
        </w:rPr>
        <w:t xml:space="preserve"> degree offered (eg, BS, MPH, MS, PhD, DrPH).</w:t>
      </w:r>
    </w:p>
    <w:p w:rsidR="00933038" w:rsidRPr="00743A41" w:rsidRDefault="00933038" w:rsidP="00A37ED6">
      <w:pPr>
        <w:pStyle w:val="Default"/>
        <w:ind w:left="360"/>
        <w:jc w:val="both"/>
        <w:rPr>
          <w:rFonts w:asciiTheme="majorHAnsi" w:hAnsiTheme="majorHAnsi" w:cstheme="majorHAnsi"/>
          <w:b/>
          <w:color w:val="auto"/>
          <w:szCs w:val="20"/>
        </w:rPr>
      </w:pPr>
    </w:p>
    <w:p w:rsidR="00933038" w:rsidRPr="00743A41" w:rsidRDefault="00933038" w:rsidP="00A37ED6">
      <w:pPr>
        <w:pStyle w:val="Default"/>
        <w:jc w:val="both"/>
        <w:rPr>
          <w:rFonts w:asciiTheme="majorHAnsi" w:hAnsiTheme="majorHAnsi" w:cstheme="majorHAnsi"/>
          <w:b/>
          <w:color w:val="auto"/>
          <w:szCs w:val="20"/>
        </w:rPr>
      </w:pPr>
      <w:r w:rsidRPr="00743A41">
        <w:rPr>
          <w:rFonts w:asciiTheme="majorHAnsi" w:hAnsiTheme="majorHAnsi" w:cstheme="majorHAnsi"/>
          <w:b/>
          <w:color w:val="auto"/>
          <w:szCs w:val="20"/>
        </w:rPr>
        <w:t xml:space="preserve">The school achieves graduation rates of 70% or greater for bachelor’s and master’s degrees and 60% or greater for doctoral degrees. </w:t>
      </w:r>
    </w:p>
    <w:p w:rsidR="00933038" w:rsidRPr="00743A41" w:rsidRDefault="00933038" w:rsidP="00A37ED6">
      <w:pPr>
        <w:pStyle w:val="Default"/>
        <w:jc w:val="both"/>
        <w:rPr>
          <w:rFonts w:asciiTheme="majorHAnsi" w:hAnsiTheme="majorHAnsi" w:cstheme="majorHAnsi"/>
          <w:color w:val="auto"/>
          <w:szCs w:val="20"/>
        </w:rPr>
      </w:pPr>
    </w:p>
    <w:p w:rsidR="00933038" w:rsidRPr="00743A41" w:rsidRDefault="00933038" w:rsidP="00A37ED6">
      <w:pPr>
        <w:pStyle w:val="Default"/>
        <w:numPr>
          <w:ilvl w:val="0"/>
          <w:numId w:val="5"/>
        </w:numPr>
        <w:ind w:left="720"/>
        <w:jc w:val="both"/>
        <w:rPr>
          <w:rFonts w:asciiTheme="majorHAnsi" w:hAnsiTheme="majorHAnsi" w:cstheme="majorHAnsi"/>
          <w:color w:val="auto"/>
          <w:szCs w:val="20"/>
        </w:rPr>
      </w:pPr>
      <w:r w:rsidRPr="00743A41">
        <w:rPr>
          <w:rFonts w:asciiTheme="majorHAnsi" w:hAnsiTheme="majorHAnsi" w:cstheme="majorHAnsi"/>
          <w:color w:val="auto"/>
          <w:szCs w:val="20"/>
        </w:rPr>
        <w:t xml:space="preserve">Graduation rate data for each degree in unit of accreditation. See Template B2-1. </w:t>
      </w:r>
    </w:p>
    <w:p w:rsidR="00033DDB" w:rsidRDefault="00033DDB" w:rsidP="00A37ED6">
      <w:pPr>
        <w:pStyle w:val="Default"/>
        <w:ind w:firstLine="720"/>
        <w:jc w:val="both"/>
        <w:rPr>
          <w:rFonts w:asciiTheme="majorHAnsi" w:hAnsiTheme="majorHAnsi" w:cstheme="majorHAnsi"/>
          <w:color w:val="auto"/>
          <w:szCs w:val="20"/>
        </w:rPr>
      </w:pPr>
    </w:p>
    <w:p w:rsidR="006B1465" w:rsidRPr="00743A41" w:rsidRDefault="006B1465" w:rsidP="00A37ED6">
      <w:pPr>
        <w:pStyle w:val="Default"/>
        <w:ind w:firstLine="720"/>
        <w:jc w:val="both"/>
        <w:rPr>
          <w:rFonts w:asciiTheme="majorHAnsi" w:hAnsiTheme="majorHAnsi" w:cstheme="majorHAnsi"/>
          <w:color w:val="auto"/>
          <w:szCs w:val="20"/>
        </w:rPr>
      </w:pPr>
      <w:r w:rsidRPr="00743A41">
        <w:rPr>
          <w:rFonts w:asciiTheme="majorHAnsi" w:hAnsiTheme="majorHAnsi" w:cstheme="majorHAnsi"/>
          <w:color w:val="auto"/>
          <w:szCs w:val="20"/>
        </w:rPr>
        <w:t xml:space="preserve">Graduation rate data </w:t>
      </w:r>
      <w:r w:rsidR="00CE5676">
        <w:rPr>
          <w:rFonts w:asciiTheme="majorHAnsi" w:hAnsiTheme="majorHAnsi" w:cstheme="majorHAnsi"/>
          <w:color w:val="auto"/>
          <w:szCs w:val="20"/>
        </w:rPr>
        <w:t>is available in the electronic resource file</w:t>
      </w:r>
      <w:r w:rsidR="003208D7" w:rsidRPr="00743A41">
        <w:rPr>
          <w:rFonts w:asciiTheme="majorHAnsi" w:hAnsiTheme="majorHAnsi" w:cstheme="majorHAnsi"/>
          <w:color w:val="auto"/>
          <w:szCs w:val="20"/>
        </w:rPr>
        <w:t xml:space="preserve"> (</w:t>
      </w:r>
      <w:r w:rsidR="003208D7" w:rsidRPr="00E20CF3">
        <w:rPr>
          <w:rFonts w:asciiTheme="majorHAnsi" w:hAnsiTheme="majorHAnsi" w:cstheme="majorHAnsi"/>
          <w:i/>
          <w:color w:val="auto"/>
          <w:szCs w:val="20"/>
        </w:rPr>
        <w:t>ERF,</w:t>
      </w:r>
      <w:r w:rsidRPr="00E20CF3">
        <w:rPr>
          <w:rFonts w:asciiTheme="majorHAnsi" w:hAnsiTheme="majorHAnsi" w:cstheme="majorHAnsi"/>
          <w:i/>
          <w:color w:val="auto"/>
          <w:szCs w:val="20"/>
        </w:rPr>
        <w:t xml:space="preserve"> </w:t>
      </w:r>
      <w:r w:rsidR="003208D7" w:rsidRPr="00E20CF3">
        <w:rPr>
          <w:rFonts w:asciiTheme="majorHAnsi" w:hAnsiTheme="majorHAnsi" w:cstheme="majorHAnsi"/>
          <w:i/>
        </w:rPr>
        <w:t>B2. Graduation Rate</w:t>
      </w:r>
      <w:r w:rsidR="003208D7" w:rsidRPr="00E20CF3">
        <w:rPr>
          <w:rFonts w:asciiTheme="majorHAnsi" w:hAnsiTheme="majorHAnsi" w:cstheme="majorHAnsi"/>
          <w:i/>
          <w:color w:val="auto"/>
        </w:rPr>
        <w:t>s</w:t>
      </w:r>
      <w:r w:rsidR="003208D7" w:rsidRPr="00E20CF3">
        <w:rPr>
          <w:rStyle w:val="Hyperlink"/>
          <w:rFonts w:asciiTheme="majorHAnsi" w:hAnsiTheme="majorHAnsi" w:cstheme="majorHAnsi"/>
          <w:color w:val="auto"/>
          <w:szCs w:val="20"/>
          <w:u w:val="none"/>
        </w:rPr>
        <w:t>).</w:t>
      </w:r>
      <w:r w:rsidR="003208D7" w:rsidRPr="006E28EE">
        <w:rPr>
          <w:rStyle w:val="Hyperlink"/>
          <w:rFonts w:asciiTheme="majorHAnsi" w:hAnsiTheme="majorHAnsi" w:cstheme="majorHAnsi"/>
          <w:color w:val="auto"/>
          <w:szCs w:val="20"/>
        </w:rPr>
        <w:t xml:space="preserve"> </w:t>
      </w:r>
      <w:r w:rsidRPr="00743A41">
        <w:rPr>
          <w:rFonts w:asciiTheme="majorHAnsi" w:hAnsiTheme="majorHAnsi" w:cstheme="majorHAnsi"/>
          <w:color w:val="auto"/>
          <w:szCs w:val="20"/>
        </w:rPr>
        <w:t xml:space="preserve"> </w:t>
      </w:r>
    </w:p>
    <w:p w:rsidR="006B1465" w:rsidRPr="00743A41" w:rsidRDefault="006B1465" w:rsidP="00A37ED6">
      <w:pPr>
        <w:pStyle w:val="Default"/>
        <w:ind w:firstLine="720"/>
        <w:jc w:val="both"/>
        <w:rPr>
          <w:rFonts w:asciiTheme="majorHAnsi" w:hAnsiTheme="majorHAnsi" w:cstheme="majorHAnsi"/>
          <w:color w:val="auto"/>
          <w:szCs w:val="20"/>
        </w:rPr>
      </w:pPr>
    </w:p>
    <w:p w:rsidR="00C91EFA" w:rsidRPr="00084C76" w:rsidRDefault="00B16ADE" w:rsidP="00A37ED6">
      <w:pPr>
        <w:pStyle w:val="Default"/>
        <w:ind w:left="720"/>
        <w:jc w:val="both"/>
        <w:rPr>
          <w:rFonts w:asciiTheme="majorHAnsi" w:hAnsiTheme="majorHAnsi" w:cstheme="majorHAnsi"/>
          <w:color w:val="auto"/>
          <w:szCs w:val="20"/>
        </w:rPr>
      </w:pPr>
      <w:r w:rsidRPr="00084C76">
        <w:rPr>
          <w:rFonts w:asciiTheme="majorHAnsi" w:hAnsiTheme="majorHAnsi" w:cstheme="majorHAnsi"/>
        </w:rPr>
        <w:t>Table B.2.1.a. Students in MPH Degree Program by Cohorts Entering between 2013-14 and 2018-19</w:t>
      </w:r>
    </w:p>
    <w:tbl>
      <w:tblPr>
        <w:tblStyle w:val="20"/>
        <w:tblW w:w="4668"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98"/>
        <w:gridCol w:w="3397"/>
        <w:gridCol w:w="772"/>
        <w:gridCol w:w="772"/>
        <w:gridCol w:w="773"/>
        <w:gridCol w:w="772"/>
        <w:gridCol w:w="772"/>
        <w:gridCol w:w="773"/>
      </w:tblGrid>
      <w:tr w:rsidR="00AC28B6" w:rsidRPr="00743A41" w:rsidTr="00AC28B6">
        <w:trPr>
          <w:cantSplit/>
          <w:trHeight w:val="144"/>
          <w:tblHeader/>
        </w:trPr>
        <w:tc>
          <w:tcPr>
            <w:tcW w:w="5000" w:type="pct"/>
            <w:gridSpan w:val="8"/>
            <w:shd w:val="clear" w:color="auto" w:fill="D9D9D9"/>
          </w:tcPr>
          <w:p w:rsidR="00AC28B6" w:rsidRPr="00743A41" w:rsidRDefault="00C91EFA" w:rsidP="00A37ED6">
            <w:pPr>
              <w:jc w:val="center"/>
              <w:rPr>
                <w:rFonts w:asciiTheme="majorHAnsi" w:eastAsia="Arial" w:hAnsiTheme="majorHAnsi" w:cstheme="majorHAnsi"/>
                <w:color w:val="9C0006"/>
              </w:rPr>
            </w:pPr>
            <w:r w:rsidRPr="00743A41">
              <w:rPr>
                <w:rFonts w:asciiTheme="majorHAnsi" w:eastAsia="Arial" w:hAnsiTheme="majorHAnsi" w:cstheme="majorHAnsi"/>
                <w:b/>
                <w:color w:val="000000"/>
              </w:rPr>
              <w:t>Students in MPH Degree Program by Cohorts Entering between 2013-14 and 2018-19</w:t>
            </w:r>
          </w:p>
        </w:tc>
      </w:tr>
      <w:tr w:rsidR="00AC28B6" w:rsidRPr="00743A41" w:rsidTr="0043737C">
        <w:trPr>
          <w:cantSplit/>
          <w:trHeight w:val="144"/>
          <w:tblHeader/>
        </w:trPr>
        <w:tc>
          <w:tcPr>
            <w:tcW w:w="400" w:type="pct"/>
            <w:shd w:val="clear" w:color="auto" w:fill="D9D9D9"/>
          </w:tcPr>
          <w:p w:rsidR="00AC28B6" w:rsidRPr="00743A41" w:rsidRDefault="00AC28B6" w:rsidP="00A37ED6">
            <w:pPr>
              <w:rPr>
                <w:rFonts w:asciiTheme="majorHAnsi" w:eastAsia="Arial" w:hAnsiTheme="majorHAnsi" w:cstheme="majorHAnsi"/>
                <w:color w:val="000000"/>
              </w:rPr>
            </w:pPr>
            <w:r w:rsidRPr="00743A41">
              <w:rPr>
                <w:rFonts w:asciiTheme="majorHAnsi" w:eastAsia="Arial" w:hAnsiTheme="majorHAnsi" w:cstheme="majorHAnsi"/>
                <w:color w:val="000000"/>
              </w:rPr>
              <w:t> </w:t>
            </w:r>
          </w:p>
        </w:tc>
        <w:tc>
          <w:tcPr>
            <w:tcW w:w="1946" w:type="pct"/>
            <w:shd w:val="clear" w:color="auto" w:fill="D9D9D9"/>
          </w:tcPr>
          <w:p w:rsidR="00AC28B6" w:rsidRPr="00743A41" w:rsidRDefault="00AC28B6" w:rsidP="00A37ED6">
            <w:pPr>
              <w:rPr>
                <w:rFonts w:asciiTheme="majorHAnsi" w:eastAsia="Arial" w:hAnsiTheme="majorHAnsi" w:cstheme="majorHAnsi"/>
                <w:color w:val="000000"/>
              </w:rPr>
            </w:pPr>
            <w:r w:rsidRPr="00743A41">
              <w:rPr>
                <w:rFonts w:asciiTheme="majorHAnsi" w:eastAsia="Arial" w:hAnsiTheme="majorHAnsi" w:cstheme="majorHAnsi"/>
                <w:color w:val="000000"/>
              </w:rPr>
              <w:t>Cohort of Students</w:t>
            </w:r>
          </w:p>
        </w:tc>
        <w:tc>
          <w:tcPr>
            <w:tcW w:w="442" w:type="pct"/>
            <w:shd w:val="clear" w:color="auto" w:fill="D9D9D9"/>
          </w:tcPr>
          <w:p w:rsidR="00AC28B6" w:rsidRPr="00743A41" w:rsidRDefault="00AC28B6" w:rsidP="00A37ED6">
            <w:pPr>
              <w:rPr>
                <w:rFonts w:asciiTheme="majorHAnsi" w:eastAsia="Arial" w:hAnsiTheme="majorHAnsi" w:cstheme="majorHAnsi"/>
                <w:color w:val="000000"/>
              </w:rPr>
            </w:pPr>
            <w:r w:rsidRPr="00743A41">
              <w:rPr>
                <w:rFonts w:asciiTheme="majorHAnsi" w:eastAsia="Arial" w:hAnsiTheme="majorHAnsi" w:cstheme="majorHAnsi"/>
                <w:color w:val="000000"/>
              </w:rPr>
              <w:t>2013-14</w:t>
            </w:r>
          </w:p>
        </w:tc>
        <w:tc>
          <w:tcPr>
            <w:tcW w:w="442" w:type="pct"/>
            <w:shd w:val="clear" w:color="auto" w:fill="D9D9D9"/>
          </w:tcPr>
          <w:p w:rsidR="00AC28B6" w:rsidRPr="00743A41" w:rsidRDefault="00AC28B6" w:rsidP="00A37ED6">
            <w:pPr>
              <w:rPr>
                <w:rFonts w:asciiTheme="majorHAnsi" w:eastAsia="Arial" w:hAnsiTheme="majorHAnsi" w:cstheme="majorHAnsi"/>
                <w:color w:val="000000"/>
              </w:rPr>
            </w:pPr>
            <w:r w:rsidRPr="00743A41">
              <w:rPr>
                <w:rFonts w:asciiTheme="majorHAnsi" w:eastAsia="Arial" w:hAnsiTheme="majorHAnsi" w:cstheme="majorHAnsi"/>
                <w:color w:val="000000"/>
              </w:rPr>
              <w:t>2014-15</w:t>
            </w:r>
          </w:p>
        </w:tc>
        <w:tc>
          <w:tcPr>
            <w:tcW w:w="443" w:type="pct"/>
            <w:shd w:val="clear" w:color="auto" w:fill="D9D9D9"/>
          </w:tcPr>
          <w:p w:rsidR="00AC28B6" w:rsidRPr="00743A41" w:rsidRDefault="00AC28B6" w:rsidP="00A37ED6">
            <w:pPr>
              <w:rPr>
                <w:rFonts w:asciiTheme="majorHAnsi" w:eastAsia="Arial" w:hAnsiTheme="majorHAnsi" w:cstheme="majorHAnsi"/>
                <w:color w:val="000000"/>
              </w:rPr>
            </w:pPr>
            <w:r w:rsidRPr="00743A41">
              <w:rPr>
                <w:rFonts w:asciiTheme="majorHAnsi" w:eastAsia="Arial" w:hAnsiTheme="majorHAnsi" w:cstheme="majorHAnsi"/>
                <w:color w:val="000000"/>
              </w:rPr>
              <w:t>2015-16</w:t>
            </w:r>
          </w:p>
        </w:tc>
        <w:tc>
          <w:tcPr>
            <w:tcW w:w="442" w:type="pct"/>
            <w:shd w:val="clear" w:color="auto" w:fill="D9D9D9"/>
          </w:tcPr>
          <w:p w:rsidR="00AC28B6" w:rsidRPr="00743A41" w:rsidRDefault="00AC28B6" w:rsidP="00A37ED6">
            <w:pPr>
              <w:rPr>
                <w:rFonts w:asciiTheme="majorHAnsi" w:eastAsia="Arial" w:hAnsiTheme="majorHAnsi" w:cstheme="majorHAnsi"/>
                <w:color w:val="000000"/>
              </w:rPr>
            </w:pPr>
            <w:r w:rsidRPr="00743A41">
              <w:rPr>
                <w:rFonts w:asciiTheme="majorHAnsi" w:eastAsia="Arial" w:hAnsiTheme="majorHAnsi" w:cstheme="majorHAnsi"/>
                <w:color w:val="000000"/>
              </w:rPr>
              <w:t>2016-17</w:t>
            </w:r>
          </w:p>
        </w:tc>
        <w:tc>
          <w:tcPr>
            <w:tcW w:w="442" w:type="pct"/>
            <w:shd w:val="clear" w:color="auto" w:fill="D9D9D9"/>
          </w:tcPr>
          <w:p w:rsidR="00AC28B6" w:rsidRPr="00743A41" w:rsidRDefault="00AC28B6" w:rsidP="00A37ED6">
            <w:pPr>
              <w:rPr>
                <w:rFonts w:asciiTheme="majorHAnsi" w:eastAsia="Arial" w:hAnsiTheme="majorHAnsi" w:cstheme="majorHAnsi"/>
                <w:color w:val="000000"/>
              </w:rPr>
            </w:pPr>
            <w:r w:rsidRPr="00743A41">
              <w:rPr>
                <w:rFonts w:asciiTheme="majorHAnsi" w:eastAsia="Arial" w:hAnsiTheme="majorHAnsi" w:cstheme="majorHAnsi"/>
                <w:color w:val="000000"/>
              </w:rPr>
              <w:t>2017-18</w:t>
            </w:r>
          </w:p>
        </w:tc>
        <w:tc>
          <w:tcPr>
            <w:tcW w:w="443" w:type="pct"/>
            <w:shd w:val="clear" w:color="auto" w:fill="D9D9D9" w:themeFill="background1" w:themeFillShade="D9"/>
          </w:tcPr>
          <w:p w:rsidR="00AC28B6" w:rsidRPr="00743A41" w:rsidRDefault="00AC28B6" w:rsidP="00A37ED6">
            <w:pPr>
              <w:rPr>
                <w:rFonts w:asciiTheme="majorHAnsi" w:eastAsia="Arial" w:hAnsiTheme="majorHAnsi" w:cstheme="majorHAnsi"/>
              </w:rPr>
            </w:pPr>
            <w:r w:rsidRPr="00743A41">
              <w:rPr>
                <w:rFonts w:asciiTheme="majorHAnsi" w:eastAsia="Arial" w:hAnsiTheme="majorHAnsi" w:cstheme="majorHAnsi"/>
              </w:rPr>
              <w:t>2018-19</w:t>
            </w:r>
          </w:p>
        </w:tc>
      </w:tr>
      <w:tr w:rsidR="00A649CB" w:rsidRPr="00743A41" w:rsidTr="00AC28B6">
        <w:trPr>
          <w:cantSplit/>
          <w:trHeight w:val="144"/>
        </w:trPr>
        <w:tc>
          <w:tcPr>
            <w:tcW w:w="400" w:type="pct"/>
            <w:vMerge w:val="restar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2013-14</w:t>
            </w:r>
          </w:p>
        </w:tc>
        <w:tc>
          <w:tcPr>
            <w:tcW w:w="1946"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entered</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309</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AC28B6">
        <w:trPr>
          <w:cantSplit/>
          <w:trHeight w:val="144"/>
        </w:trPr>
        <w:tc>
          <w:tcPr>
            <w:tcW w:w="400"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46"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withdrew, dropped, etc.</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22</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AC28B6">
        <w:trPr>
          <w:cantSplit/>
          <w:trHeight w:val="144"/>
        </w:trPr>
        <w:tc>
          <w:tcPr>
            <w:tcW w:w="400"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46"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graduated</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12</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AC28B6">
        <w:trPr>
          <w:cantSplit/>
          <w:trHeight w:val="144"/>
        </w:trPr>
        <w:tc>
          <w:tcPr>
            <w:tcW w:w="400"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46"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Cumulative graduation rate</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4%</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AC28B6">
        <w:trPr>
          <w:cantSplit/>
          <w:trHeight w:val="144"/>
        </w:trPr>
        <w:tc>
          <w:tcPr>
            <w:tcW w:w="400" w:type="pct"/>
            <w:vMerge w:val="restar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2014-15</w:t>
            </w:r>
          </w:p>
        </w:tc>
        <w:tc>
          <w:tcPr>
            <w:tcW w:w="1946"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continuing at beginning of this school year (or # entering for newest cohort)</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275</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317</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AC28B6">
        <w:trPr>
          <w:cantSplit/>
          <w:trHeight w:val="144"/>
        </w:trPr>
        <w:tc>
          <w:tcPr>
            <w:tcW w:w="400"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46"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withdrew, dropped, etc.</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10</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18</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AC28B6">
        <w:trPr>
          <w:cantSplit/>
          <w:trHeight w:val="144"/>
        </w:trPr>
        <w:tc>
          <w:tcPr>
            <w:tcW w:w="400"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46"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graduated</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115</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10</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AC28B6">
        <w:trPr>
          <w:cantSplit/>
          <w:trHeight w:val="144"/>
        </w:trPr>
        <w:tc>
          <w:tcPr>
            <w:tcW w:w="400"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46"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Cumulative graduation rate</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41%</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3%</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AC28B6">
        <w:trPr>
          <w:cantSplit/>
          <w:trHeight w:val="144"/>
        </w:trPr>
        <w:tc>
          <w:tcPr>
            <w:tcW w:w="400" w:type="pct"/>
            <w:vMerge w:val="restar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2015-16</w:t>
            </w:r>
          </w:p>
        </w:tc>
        <w:tc>
          <w:tcPr>
            <w:tcW w:w="1946"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continuing at beginning of this school year (or # entering for newest cohort)</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150</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289</w:t>
            </w:r>
          </w:p>
        </w:tc>
        <w:tc>
          <w:tcPr>
            <w:tcW w:w="443"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331</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AC28B6">
        <w:trPr>
          <w:cantSplit/>
          <w:trHeight w:val="144"/>
        </w:trPr>
        <w:tc>
          <w:tcPr>
            <w:tcW w:w="400"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46"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withdrew, dropped, etc.</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3</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w:t>
            </w:r>
          </w:p>
        </w:tc>
        <w:tc>
          <w:tcPr>
            <w:tcW w:w="443"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6</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AC28B6">
        <w:trPr>
          <w:cantSplit/>
          <w:trHeight w:val="144"/>
        </w:trPr>
        <w:tc>
          <w:tcPr>
            <w:tcW w:w="400"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46"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graduated</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72</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151</w:t>
            </w:r>
          </w:p>
        </w:tc>
        <w:tc>
          <w:tcPr>
            <w:tcW w:w="443"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12</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AC28B6">
        <w:trPr>
          <w:cantSplit/>
          <w:trHeight w:val="144"/>
        </w:trPr>
        <w:tc>
          <w:tcPr>
            <w:tcW w:w="400"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46"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Cumulative graduation rate</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64%</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51%</w:t>
            </w:r>
          </w:p>
        </w:tc>
        <w:tc>
          <w:tcPr>
            <w:tcW w:w="443"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4%</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AC28B6">
        <w:trPr>
          <w:cantSplit/>
          <w:trHeight w:val="144"/>
        </w:trPr>
        <w:tc>
          <w:tcPr>
            <w:tcW w:w="400" w:type="pct"/>
            <w:vMerge w:val="restar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2016-17</w:t>
            </w:r>
          </w:p>
        </w:tc>
        <w:tc>
          <w:tcPr>
            <w:tcW w:w="1946"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continuing at beginning of this school year (or # entering for newest cohort)</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75</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137</w:t>
            </w:r>
          </w:p>
        </w:tc>
        <w:tc>
          <w:tcPr>
            <w:tcW w:w="443"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313</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307</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AC28B6">
        <w:trPr>
          <w:cantSplit/>
          <w:trHeight w:val="144"/>
        </w:trPr>
        <w:tc>
          <w:tcPr>
            <w:tcW w:w="400"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46"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withdrew, dropped, etc.</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443"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3</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AC28B6">
        <w:trPr>
          <w:cantSplit/>
          <w:trHeight w:val="144"/>
        </w:trPr>
        <w:tc>
          <w:tcPr>
            <w:tcW w:w="400"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46"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graduated</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23</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67</w:t>
            </w:r>
          </w:p>
        </w:tc>
        <w:tc>
          <w:tcPr>
            <w:tcW w:w="443"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144</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11</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AC28B6">
        <w:trPr>
          <w:cantSplit/>
          <w:trHeight w:val="144"/>
        </w:trPr>
        <w:tc>
          <w:tcPr>
            <w:tcW w:w="400"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46"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Cumulative graduation rate</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72%</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72%</w:t>
            </w:r>
          </w:p>
        </w:tc>
        <w:tc>
          <w:tcPr>
            <w:tcW w:w="443"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47%</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4%</w:t>
            </w:r>
          </w:p>
        </w:tc>
        <w:tc>
          <w:tcPr>
            <w:tcW w:w="442"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AC28B6">
        <w:trPr>
          <w:cantSplit/>
          <w:trHeight w:val="144"/>
        </w:trPr>
        <w:tc>
          <w:tcPr>
            <w:tcW w:w="400" w:type="pct"/>
            <w:vMerge w:val="restar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2017-18</w:t>
            </w:r>
          </w:p>
        </w:tc>
        <w:tc>
          <w:tcPr>
            <w:tcW w:w="1946" w:type="pct"/>
            <w:shd w:val="clear" w:color="auto" w:fill="auto"/>
            <w:vAlign w:val="bottom"/>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continuing at beginning of this school year (or # entering for newest cohort)</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52</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70</w:t>
            </w:r>
          </w:p>
        </w:tc>
        <w:tc>
          <w:tcPr>
            <w:tcW w:w="443"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169</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293</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368</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AC28B6">
        <w:trPr>
          <w:cantSplit/>
          <w:trHeight w:val="144"/>
        </w:trPr>
        <w:tc>
          <w:tcPr>
            <w:tcW w:w="400"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46" w:type="pct"/>
            <w:shd w:val="clear" w:color="auto" w:fill="auto"/>
            <w:vAlign w:val="bottom"/>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withdrew, dropped, etc.</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3</w:t>
            </w:r>
          </w:p>
        </w:tc>
        <w:tc>
          <w:tcPr>
            <w:tcW w:w="443"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3</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2</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AC28B6">
        <w:trPr>
          <w:cantSplit/>
          <w:trHeight w:val="144"/>
        </w:trPr>
        <w:tc>
          <w:tcPr>
            <w:tcW w:w="400"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46" w:type="pct"/>
            <w:shd w:val="clear" w:color="auto" w:fill="auto"/>
            <w:vAlign w:val="bottom"/>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graduated</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44</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26</w:t>
            </w:r>
          </w:p>
        </w:tc>
        <w:tc>
          <w:tcPr>
            <w:tcW w:w="443"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78</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157</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17</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AC28B6">
        <w:trPr>
          <w:cantSplit/>
          <w:trHeight w:val="144"/>
        </w:trPr>
        <w:tc>
          <w:tcPr>
            <w:tcW w:w="400"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46" w:type="pct"/>
            <w:shd w:val="clear" w:color="auto" w:fill="auto"/>
            <w:vAlign w:val="bottom"/>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Cumulative graduation rate</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86%</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80%</w:t>
            </w:r>
          </w:p>
        </w:tc>
        <w:tc>
          <w:tcPr>
            <w:tcW w:w="443"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71%</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55%</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5%</w:t>
            </w:r>
          </w:p>
        </w:tc>
        <w:tc>
          <w:tcPr>
            <w:tcW w:w="443" w:type="pct"/>
            <w:shd w:val="clear" w:color="auto" w:fill="A6A6A6"/>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43737C">
        <w:trPr>
          <w:cantSplit/>
          <w:trHeight w:val="144"/>
        </w:trPr>
        <w:tc>
          <w:tcPr>
            <w:tcW w:w="400" w:type="pct"/>
            <w:vMerge w:val="restart"/>
            <w:shd w:val="clear" w:color="auto" w:fill="auto"/>
          </w:tcPr>
          <w:p w:rsidR="00A649CB" w:rsidRPr="00743A41" w:rsidRDefault="00A649CB" w:rsidP="00A37ED6">
            <w:pPr>
              <w:rPr>
                <w:rFonts w:asciiTheme="majorHAnsi" w:eastAsia="Arial" w:hAnsiTheme="majorHAnsi" w:cstheme="majorHAnsi"/>
              </w:rPr>
            </w:pPr>
            <w:r w:rsidRPr="00743A41">
              <w:rPr>
                <w:rFonts w:asciiTheme="majorHAnsi" w:eastAsia="Arial" w:hAnsiTheme="majorHAnsi" w:cstheme="majorHAnsi"/>
              </w:rPr>
              <w:t>2018-19</w:t>
            </w:r>
          </w:p>
        </w:tc>
        <w:tc>
          <w:tcPr>
            <w:tcW w:w="1946" w:type="pct"/>
            <w:shd w:val="clear" w:color="auto" w:fill="auto"/>
          </w:tcPr>
          <w:p w:rsidR="00A649CB" w:rsidRPr="00743A41" w:rsidRDefault="00A649CB" w:rsidP="00A37ED6">
            <w:pPr>
              <w:rPr>
                <w:rFonts w:asciiTheme="majorHAnsi" w:eastAsia="Arial" w:hAnsiTheme="majorHAnsi" w:cstheme="majorHAnsi"/>
              </w:rPr>
            </w:pPr>
            <w:r w:rsidRPr="00743A41">
              <w:rPr>
                <w:rFonts w:asciiTheme="majorHAnsi" w:eastAsia="Arial" w:hAnsiTheme="majorHAnsi" w:cstheme="majorHAnsi"/>
              </w:rPr>
              <w:t># Students continuing at beginning of this school year (or # entering for newest cohort)</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7</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41</w:t>
            </w:r>
          </w:p>
        </w:tc>
        <w:tc>
          <w:tcPr>
            <w:tcW w:w="443"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88</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135</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349</w:t>
            </w:r>
          </w:p>
        </w:tc>
        <w:tc>
          <w:tcPr>
            <w:tcW w:w="443"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300</w:t>
            </w:r>
          </w:p>
        </w:tc>
      </w:tr>
      <w:tr w:rsidR="00A649CB" w:rsidRPr="00743A41" w:rsidTr="0043737C">
        <w:trPr>
          <w:cantSplit/>
          <w:trHeight w:val="144"/>
        </w:trPr>
        <w:tc>
          <w:tcPr>
            <w:tcW w:w="400"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rPr>
            </w:pPr>
          </w:p>
        </w:tc>
        <w:tc>
          <w:tcPr>
            <w:tcW w:w="1946" w:type="pct"/>
            <w:shd w:val="clear" w:color="auto" w:fill="auto"/>
          </w:tcPr>
          <w:p w:rsidR="00A649CB" w:rsidRPr="00743A41" w:rsidRDefault="00A649CB" w:rsidP="00A37ED6">
            <w:pPr>
              <w:rPr>
                <w:rFonts w:asciiTheme="majorHAnsi" w:eastAsia="Arial" w:hAnsiTheme="majorHAnsi" w:cstheme="majorHAnsi"/>
              </w:rPr>
            </w:pPr>
            <w:r w:rsidRPr="00743A41">
              <w:rPr>
                <w:rFonts w:asciiTheme="majorHAnsi" w:eastAsia="Arial" w:hAnsiTheme="majorHAnsi" w:cstheme="majorHAnsi"/>
              </w:rPr>
              <w:t># Students withdrew, dropped, etc.</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0</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0</w:t>
            </w:r>
          </w:p>
        </w:tc>
        <w:tc>
          <w:tcPr>
            <w:tcW w:w="443"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1</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3</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5</w:t>
            </w:r>
          </w:p>
        </w:tc>
        <w:tc>
          <w:tcPr>
            <w:tcW w:w="443"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19</w:t>
            </w:r>
          </w:p>
        </w:tc>
      </w:tr>
      <w:tr w:rsidR="00A649CB" w:rsidRPr="00743A41" w:rsidTr="0043737C">
        <w:trPr>
          <w:cantSplit/>
          <w:trHeight w:val="144"/>
        </w:trPr>
        <w:tc>
          <w:tcPr>
            <w:tcW w:w="400"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rPr>
            </w:pPr>
          </w:p>
        </w:tc>
        <w:tc>
          <w:tcPr>
            <w:tcW w:w="1946" w:type="pct"/>
            <w:shd w:val="clear" w:color="auto" w:fill="auto"/>
          </w:tcPr>
          <w:p w:rsidR="00A649CB" w:rsidRPr="00743A41" w:rsidRDefault="00A649CB" w:rsidP="00A37ED6">
            <w:pPr>
              <w:rPr>
                <w:rFonts w:asciiTheme="majorHAnsi" w:eastAsia="Arial" w:hAnsiTheme="majorHAnsi" w:cstheme="majorHAnsi"/>
              </w:rPr>
            </w:pPr>
            <w:r w:rsidRPr="00743A41">
              <w:rPr>
                <w:rFonts w:asciiTheme="majorHAnsi" w:eastAsia="Arial" w:hAnsiTheme="majorHAnsi" w:cstheme="majorHAnsi"/>
              </w:rPr>
              <w:t># Students graduated</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3</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30</w:t>
            </w:r>
          </w:p>
        </w:tc>
        <w:tc>
          <w:tcPr>
            <w:tcW w:w="443"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23</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36</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126</w:t>
            </w:r>
          </w:p>
        </w:tc>
        <w:tc>
          <w:tcPr>
            <w:tcW w:w="443"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13</w:t>
            </w:r>
          </w:p>
        </w:tc>
      </w:tr>
      <w:tr w:rsidR="00A649CB" w:rsidRPr="00743A41" w:rsidTr="0043737C">
        <w:trPr>
          <w:cantSplit/>
          <w:trHeight w:val="144"/>
        </w:trPr>
        <w:tc>
          <w:tcPr>
            <w:tcW w:w="400"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rPr>
            </w:pPr>
          </w:p>
        </w:tc>
        <w:tc>
          <w:tcPr>
            <w:tcW w:w="1946" w:type="pct"/>
            <w:shd w:val="clear" w:color="auto" w:fill="auto"/>
          </w:tcPr>
          <w:p w:rsidR="00A649CB" w:rsidRPr="00743A41" w:rsidRDefault="00A649CB" w:rsidP="00A37ED6">
            <w:pPr>
              <w:rPr>
                <w:rFonts w:asciiTheme="majorHAnsi" w:eastAsia="Arial" w:hAnsiTheme="majorHAnsi" w:cstheme="majorHAnsi"/>
              </w:rPr>
            </w:pPr>
            <w:r w:rsidRPr="00743A41">
              <w:rPr>
                <w:rFonts w:asciiTheme="majorHAnsi" w:eastAsia="Arial" w:hAnsiTheme="majorHAnsi" w:cstheme="majorHAnsi"/>
              </w:rPr>
              <w:t>Cumulative graduation rate</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bCs/>
              </w:rPr>
              <w:t>87%</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90%</w:t>
            </w:r>
          </w:p>
        </w:tc>
        <w:tc>
          <w:tcPr>
            <w:tcW w:w="443"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78%</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66%</w:t>
            </w:r>
          </w:p>
        </w:tc>
        <w:tc>
          <w:tcPr>
            <w:tcW w:w="442"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39%</w:t>
            </w:r>
          </w:p>
        </w:tc>
        <w:tc>
          <w:tcPr>
            <w:tcW w:w="443"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4%</w:t>
            </w:r>
          </w:p>
        </w:tc>
      </w:tr>
    </w:tbl>
    <w:p w:rsidR="00933038" w:rsidRPr="00743A41" w:rsidRDefault="00933038" w:rsidP="00A37ED6">
      <w:pPr>
        <w:pStyle w:val="Default"/>
        <w:ind w:left="720"/>
        <w:jc w:val="both"/>
        <w:rPr>
          <w:rFonts w:asciiTheme="majorHAnsi" w:hAnsiTheme="majorHAnsi" w:cstheme="majorHAnsi"/>
          <w:color w:val="auto"/>
          <w:szCs w:val="20"/>
        </w:rPr>
      </w:pPr>
    </w:p>
    <w:p w:rsidR="00C91EFA" w:rsidRPr="00084C76" w:rsidRDefault="00B16ADE" w:rsidP="00A37ED6">
      <w:pPr>
        <w:pStyle w:val="Default"/>
        <w:ind w:left="720"/>
        <w:jc w:val="both"/>
        <w:rPr>
          <w:rFonts w:asciiTheme="majorHAnsi" w:eastAsia="Arial" w:hAnsiTheme="majorHAnsi" w:cstheme="majorHAnsi"/>
          <w:szCs w:val="20"/>
        </w:rPr>
      </w:pPr>
      <w:r w:rsidRPr="00084C76">
        <w:rPr>
          <w:rFonts w:asciiTheme="majorHAnsi" w:hAnsiTheme="majorHAnsi" w:cstheme="majorHAnsi"/>
        </w:rPr>
        <w:t>Table B.2.1.b. Students in MS Degree Program by Cohorts Entering between 2013-14 and 2018-19</w:t>
      </w:r>
    </w:p>
    <w:tbl>
      <w:tblPr>
        <w:tblStyle w:val="19"/>
        <w:tblW w:w="4668" w:type="pct"/>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20"/>
        <w:gridCol w:w="3334"/>
        <w:gridCol w:w="780"/>
        <w:gridCol w:w="780"/>
        <w:gridCol w:w="780"/>
        <w:gridCol w:w="780"/>
        <w:gridCol w:w="780"/>
        <w:gridCol w:w="775"/>
      </w:tblGrid>
      <w:tr w:rsidR="00AC28B6" w:rsidRPr="00743A41" w:rsidTr="00AC28B6">
        <w:trPr>
          <w:trHeight w:val="144"/>
          <w:tblHeader/>
        </w:trPr>
        <w:tc>
          <w:tcPr>
            <w:tcW w:w="5000" w:type="pct"/>
            <w:gridSpan w:val="8"/>
            <w:shd w:val="clear" w:color="auto" w:fill="D9D9D9"/>
            <w:vAlign w:val="center"/>
          </w:tcPr>
          <w:p w:rsidR="00AC28B6" w:rsidRPr="00743A41" w:rsidRDefault="00C91EFA" w:rsidP="00A37ED6">
            <w:pPr>
              <w:jc w:val="center"/>
              <w:rPr>
                <w:rFonts w:asciiTheme="majorHAnsi" w:eastAsia="Arial" w:hAnsiTheme="majorHAnsi" w:cstheme="majorHAnsi"/>
                <w:color w:val="9C0006"/>
              </w:rPr>
            </w:pPr>
            <w:r w:rsidRPr="00743A41">
              <w:rPr>
                <w:rFonts w:asciiTheme="majorHAnsi" w:eastAsia="Arial" w:hAnsiTheme="majorHAnsi" w:cstheme="majorHAnsi"/>
                <w:b/>
                <w:color w:val="000000"/>
              </w:rPr>
              <w:t>Students in MS Degree Program by Cohorts Entering between 2013-14 and 2018-19</w:t>
            </w:r>
          </w:p>
        </w:tc>
      </w:tr>
      <w:tr w:rsidR="00AC28B6" w:rsidRPr="00743A41" w:rsidTr="00A649CB">
        <w:trPr>
          <w:trHeight w:val="144"/>
          <w:tblHeader/>
        </w:trPr>
        <w:tc>
          <w:tcPr>
            <w:tcW w:w="412" w:type="pct"/>
            <w:shd w:val="clear" w:color="auto" w:fill="D9D9D9"/>
          </w:tcPr>
          <w:p w:rsidR="00AC28B6" w:rsidRPr="00743A41" w:rsidRDefault="00AC28B6" w:rsidP="00A37ED6">
            <w:pPr>
              <w:rPr>
                <w:rFonts w:asciiTheme="majorHAnsi" w:eastAsia="Arial" w:hAnsiTheme="majorHAnsi" w:cstheme="majorHAnsi"/>
                <w:color w:val="000000"/>
              </w:rPr>
            </w:pPr>
            <w:r w:rsidRPr="00743A41">
              <w:rPr>
                <w:rFonts w:asciiTheme="majorHAnsi" w:eastAsia="Arial" w:hAnsiTheme="majorHAnsi" w:cstheme="majorHAnsi"/>
                <w:color w:val="000000"/>
              </w:rPr>
              <w:t> </w:t>
            </w:r>
          </w:p>
        </w:tc>
        <w:tc>
          <w:tcPr>
            <w:tcW w:w="1909" w:type="pct"/>
            <w:shd w:val="clear" w:color="auto" w:fill="D9D9D9"/>
          </w:tcPr>
          <w:p w:rsidR="00AC28B6" w:rsidRPr="00743A41" w:rsidRDefault="00AC28B6" w:rsidP="00A37ED6">
            <w:pPr>
              <w:rPr>
                <w:rFonts w:asciiTheme="majorHAnsi" w:eastAsia="Arial" w:hAnsiTheme="majorHAnsi" w:cstheme="majorHAnsi"/>
                <w:color w:val="000000"/>
              </w:rPr>
            </w:pPr>
            <w:r w:rsidRPr="00743A41">
              <w:rPr>
                <w:rFonts w:asciiTheme="majorHAnsi" w:eastAsia="Arial" w:hAnsiTheme="majorHAnsi" w:cstheme="majorHAnsi"/>
                <w:color w:val="000000"/>
              </w:rPr>
              <w:t>Cohort of Students</w:t>
            </w:r>
          </w:p>
        </w:tc>
        <w:tc>
          <w:tcPr>
            <w:tcW w:w="447" w:type="pct"/>
            <w:shd w:val="clear" w:color="auto" w:fill="D9D9D9"/>
          </w:tcPr>
          <w:p w:rsidR="00AC28B6" w:rsidRPr="00743A41" w:rsidRDefault="00AC28B6" w:rsidP="00A37ED6">
            <w:pPr>
              <w:rPr>
                <w:rFonts w:asciiTheme="majorHAnsi" w:eastAsia="Arial" w:hAnsiTheme="majorHAnsi" w:cstheme="majorHAnsi"/>
                <w:color w:val="000000"/>
              </w:rPr>
            </w:pPr>
            <w:r w:rsidRPr="00743A41">
              <w:rPr>
                <w:rFonts w:asciiTheme="majorHAnsi" w:eastAsia="Arial" w:hAnsiTheme="majorHAnsi" w:cstheme="majorHAnsi"/>
                <w:color w:val="000000"/>
              </w:rPr>
              <w:t>2013-14</w:t>
            </w:r>
          </w:p>
        </w:tc>
        <w:tc>
          <w:tcPr>
            <w:tcW w:w="447" w:type="pct"/>
            <w:shd w:val="clear" w:color="auto" w:fill="D9D9D9"/>
          </w:tcPr>
          <w:p w:rsidR="00AC28B6" w:rsidRPr="00743A41" w:rsidRDefault="00AC28B6" w:rsidP="00A37ED6">
            <w:pPr>
              <w:rPr>
                <w:rFonts w:asciiTheme="majorHAnsi" w:eastAsia="Arial" w:hAnsiTheme="majorHAnsi" w:cstheme="majorHAnsi"/>
                <w:color w:val="000000"/>
              </w:rPr>
            </w:pPr>
            <w:r w:rsidRPr="00743A41">
              <w:rPr>
                <w:rFonts w:asciiTheme="majorHAnsi" w:eastAsia="Arial" w:hAnsiTheme="majorHAnsi" w:cstheme="majorHAnsi"/>
                <w:color w:val="000000"/>
              </w:rPr>
              <w:t>2014-15</w:t>
            </w:r>
          </w:p>
        </w:tc>
        <w:tc>
          <w:tcPr>
            <w:tcW w:w="447" w:type="pct"/>
            <w:shd w:val="clear" w:color="auto" w:fill="D9D9D9"/>
          </w:tcPr>
          <w:p w:rsidR="00AC28B6" w:rsidRPr="00743A41" w:rsidRDefault="00AC28B6" w:rsidP="00A37ED6">
            <w:pPr>
              <w:rPr>
                <w:rFonts w:asciiTheme="majorHAnsi" w:eastAsia="Arial" w:hAnsiTheme="majorHAnsi" w:cstheme="majorHAnsi"/>
                <w:color w:val="000000"/>
              </w:rPr>
            </w:pPr>
            <w:r w:rsidRPr="00743A41">
              <w:rPr>
                <w:rFonts w:asciiTheme="majorHAnsi" w:eastAsia="Arial" w:hAnsiTheme="majorHAnsi" w:cstheme="majorHAnsi"/>
                <w:color w:val="000000"/>
              </w:rPr>
              <w:t>2015-16</w:t>
            </w:r>
          </w:p>
        </w:tc>
        <w:tc>
          <w:tcPr>
            <w:tcW w:w="447" w:type="pct"/>
            <w:shd w:val="clear" w:color="auto" w:fill="D9D9D9"/>
          </w:tcPr>
          <w:p w:rsidR="00AC28B6" w:rsidRPr="00743A41" w:rsidRDefault="00AC28B6" w:rsidP="00A37ED6">
            <w:pPr>
              <w:rPr>
                <w:rFonts w:asciiTheme="majorHAnsi" w:eastAsia="Arial" w:hAnsiTheme="majorHAnsi" w:cstheme="majorHAnsi"/>
                <w:color w:val="000000"/>
              </w:rPr>
            </w:pPr>
            <w:r w:rsidRPr="00743A41">
              <w:rPr>
                <w:rFonts w:asciiTheme="majorHAnsi" w:eastAsia="Arial" w:hAnsiTheme="majorHAnsi" w:cstheme="majorHAnsi"/>
                <w:color w:val="000000"/>
              </w:rPr>
              <w:t>2016-17</w:t>
            </w:r>
          </w:p>
        </w:tc>
        <w:tc>
          <w:tcPr>
            <w:tcW w:w="447" w:type="pct"/>
            <w:shd w:val="clear" w:color="auto" w:fill="D9D9D9"/>
          </w:tcPr>
          <w:p w:rsidR="00AC28B6" w:rsidRPr="00743A41" w:rsidRDefault="00AC28B6" w:rsidP="00A37ED6">
            <w:pPr>
              <w:rPr>
                <w:rFonts w:asciiTheme="majorHAnsi" w:eastAsia="Arial" w:hAnsiTheme="majorHAnsi" w:cstheme="majorHAnsi"/>
                <w:color w:val="000000"/>
              </w:rPr>
            </w:pPr>
            <w:r w:rsidRPr="00743A41">
              <w:rPr>
                <w:rFonts w:asciiTheme="majorHAnsi" w:eastAsia="Arial" w:hAnsiTheme="majorHAnsi" w:cstheme="majorHAnsi"/>
                <w:color w:val="000000"/>
              </w:rPr>
              <w:t>2017-18</w:t>
            </w:r>
          </w:p>
        </w:tc>
        <w:tc>
          <w:tcPr>
            <w:tcW w:w="445" w:type="pct"/>
            <w:shd w:val="clear" w:color="auto" w:fill="D9D9D9" w:themeFill="background1" w:themeFillShade="D9"/>
          </w:tcPr>
          <w:p w:rsidR="00AC28B6" w:rsidRPr="00743A41" w:rsidRDefault="00AC28B6" w:rsidP="00A37ED6">
            <w:pPr>
              <w:rPr>
                <w:rFonts w:asciiTheme="majorHAnsi" w:eastAsia="Arial" w:hAnsiTheme="majorHAnsi" w:cstheme="majorHAnsi"/>
              </w:rPr>
            </w:pPr>
            <w:r w:rsidRPr="00743A41">
              <w:rPr>
                <w:rFonts w:asciiTheme="majorHAnsi" w:eastAsia="Arial" w:hAnsiTheme="majorHAnsi" w:cstheme="majorHAnsi"/>
              </w:rPr>
              <w:t>2018-19</w:t>
            </w:r>
          </w:p>
        </w:tc>
      </w:tr>
      <w:tr w:rsidR="00A649CB" w:rsidRPr="00743A41" w:rsidTr="00F16C24">
        <w:trPr>
          <w:trHeight w:val="144"/>
        </w:trPr>
        <w:tc>
          <w:tcPr>
            <w:tcW w:w="412" w:type="pct"/>
            <w:vMerge w:val="restar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2013-14</w:t>
            </w:r>
          </w:p>
        </w:tc>
        <w:tc>
          <w:tcPr>
            <w:tcW w:w="1909"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entered</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14</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5"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F16C24">
        <w:trPr>
          <w:trHeight w:val="144"/>
        </w:trPr>
        <w:tc>
          <w:tcPr>
            <w:tcW w:w="412"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09"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withdrew, dropped, etc.</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5"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F16C24">
        <w:trPr>
          <w:trHeight w:val="144"/>
        </w:trPr>
        <w:tc>
          <w:tcPr>
            <w:tcW w:w="412"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09"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graduated</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5"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F16C24">
        <w:trPr>
          <w:trHeight w:val="144"/>
        </w:trPr>
        <w:tc>
          <w:tcPr>
            <w:tcW w:w="412"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09"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Cumulative graduation rate</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5"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F16C24">
        <w:trPr>
          <w:trHeight w:val="144"/>
        </w:trPr>
        <w:tc>
          <w:tcPr>
            <w:tcW w:w="412" w:type="pct"/>
            <w:vMerge w:val="restar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2014-15</w:t>
            </w:r>
          </w:p>
        </w:tc>
        <w:tc>
          <w:tcPr>
            <w:tcW w:w="1909"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continuing at beginning of this school year (or # entering for newest cohort)</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14</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14</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5"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F16C24">
        <w:trPr>
          <w:trHeight w:val="144"/>
        </w:trPr>
        <w:tc>
          <w:tcPr>
            <w:tcW w:w="412"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09"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withdrew, dropped, etc.</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5"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F16C24">
        <w:trPr>
          <w:trHeight w:val="144"/>
        </w:trPr>
        <w:tc>
          <w:tcPr>
            <w:tcW w:w="412"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09"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graduated</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6</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5"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F16C24">
        <w:trPr>
          <w:trHeight w:val="144"/>
        </w:trPr>
        <w:tc>
          <w:tcPr>
            <w:tcW w:w="412"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09"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Cumulative graduation rate</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43%</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7%</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5"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F16C24">
        <w:trPr>
          <w:trHeight w:val="144"/>
        </w:trPr>
        <w:tc>
          <w:tcPr>
            <w:tcW w:w="412" w:type="pct"/>
            <w:vMerge w:val="restar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2015-16</w:t>
            </w:r>
          </w:p>
        </w:tc>
        <w:tc>
          <w:tcPr>
            <w:tcW w:w="1909"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continuing at beginning of this school year (or # entering for newest cohort)</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8</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12</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12</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5"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F16C24">
        <w:trPr>
          <w:trHeight w:val="144"/>
        </w:trPr>
        <w:tc>
          <w:tcPr>
            <w:tcW w:w="412"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09"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withdrew, dropped, etc.</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5"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F16C24">
        <w:trPr>
          <w:trHeight w:val="144"/>
        </w:trPr>
        <w:tc>
          <w:tcPr>
            <w:tcW w:w="412"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09"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graduated</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6</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7</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5"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F16C24">
        <w:trPr>
          <w:trHeight w:val="144"/>
        </w:trPr>
        <w:tc>
          <w:tcPr>
            <w:tcW w:w="412"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09"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Cumulative graduation rate</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86%</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57%</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5"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F16C24">
        <w:trPr>
          <w:trHeight w:val="144"/>
        </w:trPr>
        <w:tc>
          <w:tcPr>
            <w:tcW w:w="412" w:type="pct"/>
            <w:vMerge w:val="restar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2016-17</w:t>
            </w:r>
          </w:p>
        </w:tc>
        <w:tc>
          <w:tcPr>
            <w:tcW w:w="1909"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continuing at beginning of this school year (or # entering for newest cohort)</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2</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5</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12</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16</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5"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F16C24">
        <w:trPr>
          <w:trHeight w:val="144"/>
        </w:trPr>
        <w:tc>
          <w:tcPr>
            <w:tcW w:w="412"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09"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withdrew, dropped, etc.</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5"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F16C24">
        <w:trPr>
          <w:trHeight w:val="144"/>
        </w:trPr>
        <w:tc>
          <w:tcPr>
            <w:tcW w:w="412"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09"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graduated</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4</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6</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5"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F16C24">
        <w:trPr>
          <w:trHeight w:val="144"/>
        </w:trPr>
        <w:tc>
          <w:tcPr>
            <w:tcW w:w="412"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09" w:type="pc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Cumulative graduation rate</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93%</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86%</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50%</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6%</w:t>
            </w:r>
          </w:p>
        </w:tc>
        <w:tc>
          <w:tcPr>
            <w:tcW w:w="447"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c>
          <w:tcPr>
            <w:tcW w:w="445"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F16C24">
        <w:trPr>
          <w:trHeight w:val="144"/>
        </w:trPr>
        <w:tc>
          <w:tcPr>
            <w:tcW w:w="412" w:type="pct"/>
            <w:vMerge w:val="restart"/>
            <w:shd w:val="clear" w:color="auto" w:fill="auto"/>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2017-18</w:t>
            </w:r>
          </w:p>
        </w:tc>
        <w:tc>
          <w:tcPr>
            <w:tcW w:w="1909" w:type="pct"/>
            <w:shd w:val="clear" w:color="auto" w:fill="auto"/>
            <w:vAlign w:val="bottom"/>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continuing at beginning of this school year (or # entering for newest cohort)</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6</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15</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18</w:t>
            </w:r>
          </w:p>
        </w:tc>
        <w:tc>
          <w:tcPr>
            <w:tcW w:w="445"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F16C24">
        <w:trPr>
          <w:trHeight w:val="144"/>
        </w:trPr>
        <w:tc>
          <w:tcPr>
            <w:tcW w:w="412"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09" w:type="pct"/>
            <w:shd w:val="clear" w:color="auto" w:fill="auto"/>
            <w:vAlign w:val="bottom"/>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withdrew, dropped, etc.</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445"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F16C24">
        <w:trPr>
          <w:trHeight w:val="144"/>
        </w:trPr>
        <w:tc>
          <w:tcPr>
            <w:tcW w:w="412"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09" w:type="pct"/>
            <w:shd w:val="clear" w:color="auto" w:fill="auto"/>
            <w:vAlign w:val="bottom"/>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graduated</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5</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7</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1</w:t>
            </w:r>
          </w:p>
        </w:tc>
        <w:tc>
          <w:tcPr>
            <w:tcW w:w="445"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F16C24">
        <w:trPr>
          <w:trHeight w:val="144"/>
        </w:trPr>
        <w:tc>
          <w:tcPr>
            <w:tcW w:w="412"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color w:val="000000"/>
              </w:rPr>
            </w:pPr>
          </w:p>
        </w:tc>
        <w:tc>
          <w:tcPr>
            <w:tcW w:w="1909" w:type="pct"/>
            <w:shd w:val="clear" w:color="auto" w:fill="auto"/>
            <w:vAlign w:val="bottom"/>
          </w:tcPr>
          <w:p w:rsidR="00A649CB" w:rsidRPr="00743A41" w:rsidRDefault="00A649CB" w:rsidP="00A37ED6">
            <w:pPr>
              <w:rPr>
                <w:rFonts w:asciiTheme="majorHAnsi" w:eastAsia="Arial" w:hAnsiTheme="majorHAnsi" w:cstheme="majorHAnsi"/>
                <w:color w:val="000000"/>
              </w:rPr>
            </w:pPr>
            <w:r w:rsidRPr="00743A41">
              <w:rPr>
                <w:rFonts w:asciiTheme="majorHAnsi" w:eastAsia="Arial" w:hAnsiTheme="majorHAnsi" w:cstheme="majorHAnsi"/>
                <w:color w:val="000000"/>
              </w:rPr>
              <w:t>Cumulative graduation rate</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93%</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86%</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92%</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50%</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color w:val="000000"/>
              </w:rPr>
            </w:pPr>
            <w:r w:rsidRPr="00743A41">
              <w:rPr>
                <w:rFonts w:asciiTheme="majorHAnsi" w:hAnsiTheme="majorHAnsi" w:cstheme="majorHAnsi"/>
                <w:color w:val="000000"/>
              </w:rPr>
              <w:t>6%</w:t>
            </w:r>
          </w:p>
        </w:tc>
        <w:tc>
          <w:tcPr>
            <w:tcW w:w="445" w:type="pct"/>
            <w:shd w:val="clear" w:color="auto" w:fill="A6A6A6"/>
            <w:vAlign w:val="center"/>
          </w:tcPr>
          <w:p w:rsidR="00A649CB" w:rsidRPr="00743A41" w:rsidRDefault="00A649CB" w:rsidP="00A37ED6">
            <w:pPr>
              <w:rPr>
                <w:rFonts w:asciiTheme="majorHAnsi" w:eastAsia="Arial" w:hAnsiTheme="majorHAnsi" w:cstheme="majorHAnsi"/>
                <w:color w:val="000000"/>
              </w:rPr>
            </w:pPr>
            <w:r w:rsidRPr="00743A41">
              <w:rPr>
                <w:rFonts w:asciiTheme="majorHAnsi" w:hAnsiTheme="majorHAnsi" w:cstheme="majorHAnsi"/>
                <w:color w:val="000000"/>
              </w:rPr>
              <w:t> </w:t>
            </w:r>
          </w:p>
        </w:tc>
      </w:tr>
      <w:tr w:rsidR="00A649CB" w:rsidRPr="00743A41" w:rsidTr="00A649CB">
        <w:trPr>
          <w:trHeight w:val="144"/>
        </w:trPr>
        <w:tc>
          <w:tcPr>
            <w:tcW w:w="412" w:type="pct"/>
            <w:vMerge w:val="restart"/>
            <w:shd w:val="clear" w:color="auto" w:fill="auto"/>
          </w:tcPr>
          <w:p w:rsidR="00A649CB" w:rsidRPr="00743A41" w:rsidRDefault="00A649CB" w:rsidP="00A37ED6">
            <w:pPr>
              <w:rPr>
                <w:rFonts w:asciiTheme="majorHAnsi" w:eastAsia="Arial" w:hAnsiTheme="majorHAnsi" w:cstheme="majorHAnsi"/>
              </w:rPr>
            </w:pPr>
            <w:r w:rsidRPr="00743A41">
              <w:rPr>
                <w:rFonts w:asciiTheme="majorHAnsi" w:eastAsia="Arial" w:hAnsiTheme="majorHAnsi" w:cstheme="majorHAnsi"/>
              </w:rPr>
              <w:t>2018-19</w:t>
            </w:r>
          </w:p>
        </w:tc>
        <w:tc>
          <w:tcPr>
            <w:tcW w:w="1909" w:type="pct"/>
            <w:shd w:val="clear" w:color="auto" w:fill="auto"/>
          </w:tcPr>
          <w:p w:rsidR="00A649CB" w:rsidRPr="00743A41" w:rsidRDefault="00A649CB" w:rsidP="00A37ED6">
            <w:pPr>
              <w:rPr>
                <w:rFonts w:asciiTheme="majorHAnsi" w:eastAsia="Arial" w:hAnsiTheme="majorHAnsi" w:cstheme="majorHAnsi"/>
              </w:rPr>
            </w:pPr>
            <w:r w:rsidRPr="00743A41">
              <w:rPr>
                <w:rFonts w:asciiTheme="majorHAnsi" w:eastAsia="Arial" w:hAnsiTheme="majorHAnsi" w:cstheme="majorHAnsi"/>
              </w:rPr>
              <w:t># Students continuing at beginning of this school year (or # entering for newest cohort)</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1</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1</w:t>
            </w:r>
          </w:p>
        </w:tc>
        <w:tc>
          <w:tcPr>
            <w:tcW w:w="447" w:type="pct"/>
            <w:shd w:val="clear" w:color="auto" w:fill="auto"/>
            <w:vAlign w:val="center"/>
          </w:tcPr>
          <w:p w:rsidR="00A649CB" w:rsidRPr="00743A41" w:rsidRDefault="00A649CB" w:rsidP="00A37ED6">
            <w:pPr>
              <w:rPr>
                <w:rFonts w:asciiTheme="majorHAnsi" w:eastAsia="Arial" w:hAnsiTheme="majorHAnsi" w:cstheme="majorHAnsi"/>
              </w:rPr>
            </w:pPr>
            <w:r w:rsidRPr="00743A41">
              <w:rPr>
                <w:rFonts w:asciiTheme="majorHAnsi" w:hAnsiTheme="majorHAnsi" w:cstheme="majorHAnsi"/>
              </w:rPr>
              <w:t>1</w:t>
            </w:r>
          </w:p>
        </w:tc>
        <w:tc>
          <w:tcPr>
            <w:tcW w:w="447" w:type="pct"/>
            <w:shd w:val="clear" w:color="auto" w:fill="auto"/>
            <w:vAlign w:val="center"/>
          </w:tcPr>
          <w:p w:rsidR="00A649CB" w:rsidRPr="00743A41" w:rsidRDefault="00A649CB" w:rsidP="00A37ED6">
            <w:pPr>
              <w:rPr>
                <w:rFonts w:asciiTheme="majorHAnsi" w:eastAsia="Arial" w:hAnsiTheme="majorHAnsi" w:cstheme="majorHAnsi"/>
              </w:rPr>
            </w:pPr>
            <w:r w:rsidRPr="00743A41">
              <w:rPr>
                <w:rFonts w:asciiTheme="majorHAnsi" w:hAnsiTheme="majorHAnsi" w:cstheme="majorHAnsi"/>
              </w:rPr>
              <w:t>8</w:t>
            </w:r>
          </w:p>
        </w:tc>
        <w:tc>
          <w:tcPr>
            <w:tcW w:w="447" w:type="pct"/>
            <w:shd w:val="clear" w:color="auto" w:fill="auto"/>
            <w:vAlign w:val="center"/>
          </w:tcPr>
          <w:p w:rsidR="00A649CB" w:rsidRPr="00743A41" w:rsidRDefault="00A649CB" w:rsidP="00A37ED6">
            <w:pPr>
              <w:rPr>
                <w:rFonts w:asciiTheme="majorHAnsi" w:eastAsia="Arial" w:hAnsiTheme="majorHAnsi" w:cstheme="majorHAnsi"/>
              </w:rPr>
            </w:pPr>
            <w:r w:rsidRPr="00743A41">
              <w:rPr>
                <w:rFonts w:asciiTheme="majorHAnsi" w:hAnsiTheme="majorHAnsi" w:cstheme="majorHAnsi"/>
              </w:rPr>
              <w:t>17</w:t>
            </w:r>
          </w:p>
        </w:tc>
        <w:tc>
          <w:tcPr>
            <w:tcW w:w="445"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18</w:t>
            </w:r>
          </w:p>
        </w:tc>
      </w:tr>
      <w:tr w:rsidR="00A649CB" w:rsidRPr="00743A41" w:rsidTr="00F16C24">
        <w:trPr>
          <w:trHeight w:val="144"/>
        </w:trPr>
        <w:tc>
          <w:tcPr>
            <w:tcW w:w="412"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rPr>
            </w:pPr>
          </w:p>
        </w:tc>
        <w:tc>
          <w:tcPr>
            <w:tcW w:w="1909" w:type="pct"/>
            <w:shd w:val="clear" w:color="auto" w:fill="auto"/>
          </w:tcPr>
          <w:p w:rsidR="00A649CB" w:rsidRPr="00743A41" w:rsidRDefault="00A649CB" w:rsidP="00A37ED6">
            <w:pPr>
              <w:rPr>
                <w:rFonts w:asciiTheme="majorHAnsi" w:eastAsia="Arial" w:hAnsiTheme="majorHAnsi" w:cstheme="majorHAnsi"/>
              </w:rPr>
            </w:pPr>
            <w:r w:rsidRPr="00743A41">
              <w:rPr>
                <w:rFonts w:asciiTheme="majorHAnsi" w:eastAsia="Arial" w:hAnsiTheme="majorHAnsi" w:cstheme="majorHAnsi"/>
              </w:rPr>
              <w:t># Students withdrew, dropped, etc.</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0</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0</w:t>
            </w:r>
          </w:p>
        </w:tc>
        <w:tc>
          <w:tcPr>
            <w:tcW w:w="447" w:type="pct"/>
            <w:shd w:val="clear" w:color="auto" w:fill="auto"/>
            <w:vAlign w:val="center"/>
          </w:tcPr>
          <w:p w:rsidR="00A649CB" w:rsidRPr="00743A41" w:rsidRDefault="00A649CB" w:rsidP="00A37ED6">
            <w:pPr>
              <w:rPr>
                <w:rFonts w:asciiTheme="majorHAnsi" w:eastAsia="Arial" w:hAnsiTheme="majorHAnsi" w:cstheme="majorHAnsi"/>
              </w:rPr>
            </w:pPr>
            <w:r w:rsidRPr="00743A41">
              <w:rPr>
                <w:rFonts w:asciiTheme="majorHAnsi" w:hAnsiTheme="majorHAnsi" w:cstheme="majorHAnsi"/>
              </w:rPr>
              <w:t>0</w:t>
            </w:r>
          </w:p>
        </w:tc>
        <w:tc>
          <w:tcPr>
            <w:tcW w:w="447" w:type="pct"/>
            <w:shd w:val="clear" w:color="auto" w:fill="auto"/>
            <w:vAlign w:val="center"/>
          </w:tcPr>
          <w:p w:rsidR="00A649CB" w:rsidRPr="00743A41" w:rsidRDefault="00A649CB" w:rsidP="00A37ED6">
            <w:pPr>
              <w:rPr>
                <w:rFonts w:asciiTheme="majorHAnsi" w:eastAsia="Arial" w:hAnsiTheme="majorHAnsi" w:cstheme="majorHAnsi"/>
              </w:rPr>
            </w:pPr>
            <w:r w:rsidRPr="00743A41">
              <w:rPr>
                <w:rFonts w:asciiTheme="majorHAnsi" w:hAnsiTheme="majorHAnsi" w:cstheme="majorHAnsi"/>
              </w:rPr>
              <w:t>0</w:t>
            </w:r>
          </w:p>
        </w:tc>
        <w:tc>
          <w:tcPr>
            <w:tcW w:w="447" w:type="pct"/>
            <w:shd w:val="clear" w:color="auto" w:fill="auto"/>
            <w:vAlign w:val="center"/>
          </w:tcPr>
          <w:p w:rsidR="00A649CB" w:rsidRPr="00743A41" w:rsidRDefault="00A649CB" w:rsidP="00A37ED6">
            <w:pPr>
              <w:rPr>
                <w:rFonts w:asciiTheme="majorHAnsi" w:eastAsia="Arial" w:hAnsiTheme="majorHAnsi" w:cstheme="majorHAnsi"/>
              </w:rPr>
            </w:pPr>
            <w:r w:rsidRPr="00743A41">
              <w:rPr>
                <w:rFonts w:asciiTheme="majorHAnsi" w:hAnsiTheme="majorHAnsi" w:cstheme="majorHAnsi"/>
              </w:rPr>
              <w:t>0</w:t>
            </w:r>
          </w:p>
        </w:tc>
        <w:tc>
          <w:tcPr>
            <w:tcW w:w="445" w:type="pct"/>
            <w:shd w:val="clear" w:color="auto" w:fill="auto"/>
            <w:vAlign w:val="center"/>
          </w:tcPr>
          <w:p w:rsidR="00A649CB" w:rsidRPr="00743A41" w:rsidRDefault="00A649CB" w:rsidP="00A37ED6">
            <w:pPr>
              <w:rPr>
                <w:rFonts w:asciiTheme="majorHAnsi" w:eastAsia="Arial" w:hAnsiTheme="majorHAnsi" w:cstheme="majorHAnsi"/>
              </w:rPr>
            </w:pPr>
            <w:r w:rsidRPr="00743A41">
              <w:rPr>
                <w:rFonts w:asciiTheme="majorHAnsi" w:hAnsiTheme="majorHAnsi" w:cstheme="majorHAnsi"/>
              </w:rPr>
              <w:t>0</w:t>
            </w:r>
          </w:p>
        </w:tc>
      </w:tr>
      <w:tr w:rsidR="00A649CB" w:rsidRPr="00743A41" w:rsidTr="00F16C24">
        <w:trPr>
          <w:trHeight w:val="144"/>
        </w:trPr>
        <w:tc>
          <w:tcPr>
            <w:tcW w:w="412"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rPr>
            </w:pPr>
          </w:p>
        </w:tc>
        <w:tc>
          <w:tcPr>
            <w:tcW w:w="1909" w:type="pct"/>
            <w:shd w:val="clear" w:color="auto" w:fill="auto"/>
          </w:tcPr>
          <w:p w:rsidR="00A649CB" w:rsidRPr="00743A41" w:rsidRDefault="00A649CB" w:rsidP="00A37ED6">
            <w:pPr>
              <w:rPr>
                <w:rFonts w:asciiTheme="majorHAnsi" w:eastAsia="Arial" w:hAnsiTheme="majorHAnsi" w:cstheme="majorHAnsi"/>
              </w:rPr>
            </w:pPr>
            <w:r w:rsidRPr="00743A41">
              <w:rPr>
                <w:rFonts w:asciiTheme="majorHAnsi" w:eastAsia="Arial" w:hAnsiTheme="majorHAnsi" w:cstheme="majorHAnsi"/>
              </w:rPr>
              <w:t># Students graduated</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0</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1</w:t>
            </w:r>
          </w:p>
        </w:tc>
        <w:tc>
          <w:tcPr>
            <w:tcW w:w="447" w:type="pct"/>
            <w:shd w:val="clear" w:color="auto" w:fill="auto"/>
            <w:vAlign w:val="center"/>
          </w:tcPr>
          <w:p w:rsidR="00A649CB" w:rsidRPr="00743A41" w:rsidRDefault="00A649CB" w:rsidP="00A37ED6">
            <w:pPr>
              <w:rPr>
                <w:rFonts w:asciiTheme="majorHAnsi" w:eastAsia="Arial" w:hAnsiTheme="majorHAnsi" w:cstheme="majorHAnsi"/>
              </w:rPr>
            </w:pPr>
            <w:r w:rsidRPr="00743A41">
              <w:rPr>
                <w:rFonts w:asciiTheme="majorHAnsi" w:hAnsiTheme="majorHAnsi" w:cstheme="majorHAnsi"/>
              </w:rPr>
              <w:t>1</w:t>
            </w:r>
          </w:p>
        </w:tc>
        <w:tc>
          <w:tcPr>
            <w:tcW w:w="447" w:type="pct"/>
            <w:shd w:val="clear" w:color="auto" w:fill="auto"/>
            <w:vAlign w:val="center"/>
          </w:tcPr>
          <w:p w:rsidR="00A649CB" w:rsidRPr="00743A41" w:rsidRDefault="00A649CB" w:rsidP="00A37ED6">
            <w:pPr>
              <w:rPr>
                <w:rFonts w:asciiTheme="majorHAnsi" w:eastAsia="Arial" w:hAnsiTheme="majorHAnsi" w:cstheme="majorHAnsi"/>
              </w:rPr>
            </w:pPr>
            <w:r w:rsidRPr="00743A41">
              <w:rPr>
                <w:rFonts w:asciiTheme="majorHAnsi" w:hAnsiTheme="majorHAnsi" w:cstheme="majorHAnsi"/>
              </w:rPr>
              <w:t>5</w:t>
            </w:r>
          </w:p>
        </w:tc>
        <w:tc>
          <w:tcPr>
            <w:tcW w:w="447" w:type="pct"/>
            <w:shd w:val="clear" w:color="auto" w:fill="auto"/>
            <w:vAlign w:val="center"/>
          </w:tcPr>
          <w:p w:rsidR="00A649CB" w:rsidRPr="00743A41" w:rsidRDefault="00A649CB" w:rsidP="00A37ED6">
            <w:pPr>
              <w:rPr>
                <w:rFonts w:asciiTheme="majorHAnsi" w:eastAsia="Arial" w:hAnsiTheme="majorHAnsi" w:cstheme="majorHAnsi"/>
              </w:rPr>
            </w:pPr>
            <w:r w:rsidRPr="00743A41">
              <w:rPr>
                <w:rFonts w:asciiTheme="majorHAnsi" w:hAnsiTheme="majorHAnsi" w:cstheme="majorHAnsi"/>
              </w:rPr>
              <w:t>7</w:t>
            </w:r>
          </w:p>
        </w:tc>
        <w:tc>
          <w:tcPr>
            <w:tcW w:w="445" w:type="pct"/>
            <w:shd w:val="clear" w:color="auto" w:fill="auto"/>
            <w:vAlign w:val="center"/>
          </w:tcPr>
          <w:p w:rsidR="00A649CB" w:rsidRPr="00743A41" w:rsidRDefault="00A649CB" w:rsidP="00A37ED6">
            <w:pPr>
              <w:rPr>
                <w:rFonts w:asciiTheme="majorHAnsi" w:eastAsia="Arial" w:hAnsiTheme="majorHAnsi" w:cstheme="majorHAnsi"/>
              </w:rPr>
            </w:pPr>
            <w:r w:rsidRPr="00743A41">
              <w:rPr>
                <w:rFonts w:asciiTheme="majorHAnsi" w:hAnsiTheme="majorHAnsi" w:cstheme="majorHAnsi"/>
              </w:rPr>
              <w:t>0</w:t>
            </w:r>
          </w:p>
        </w:tc>
      </w:tr>
      <w:tr w:rsidR="00A649CB" w:rsidRPr="00743A41" w:rsidTr="00A649CB">
        <w:trPr>
          <w:trHeight w:val="144"/>
        </w:trPr>
        <w:tc>
          <w:tcPr>
            <w:tcW w:w="412" w:type="pct"/>
            <w:vMerge/>
            <w:shd w:val="clear" w:color="auto" w:fill="auto"/>
          </w:tcPr>
          <w:p w:rsidR="00A649CB" w:rsidRPr="00743A41" w:rsidRDefault="00A649CB" w:rsidP="00A37ED6">
            <w:pPr>
              <w:widowControl w:val="0"/>
              <w:pBdr>
                <w:top w:val="nil"/>
                <w:left w:val="nil"/>
                <w:bottom w:val="nil"/>
                <w:right w:val="nil"/>
                <w:between w:val="nil"/>
              </w:pBdr>
              <w:rPr>
                <w:rFonts w:asciiTheme="majorHAnsi" w:eastAsia="Arial" w:hAnsiTheme="majorHAnsi" w:cstheme="majorHAnsi"/>
              </w:rPr>
            </w:pPr>
          </w:p>
        </w:tc>
        <w:tc>
          <w:tcPr>
            <w:tcW w:w="1909" w:type="pct"/>
            <w:shd w:val="clear" w:color="auto" w:fill="auto"/>
          </w:tcPr>
          <w:p w:rsidR="00A649CB" w:rsidRPr="00743A41" w:rsidRDefault="00A649CB" w:rsidP="00A37ED6">
            <w:pPr>
              <w:rPr>
                <w:rFonts w:asciiTheme="majorHAnsi" w:eastAsia="Arial" w:hAnsiTheme="majorHAnsi" w:cstheme="majorHAnsi"/>
              </w:rPr>
            </w:pPr>
            <w:r w:rsidRPr="00743A41">
              <w:rPr>
                <w:rFonts w:asciiTheme="majorHAnsi" w:eastAsia="Arial" w:hAnsiTheme="majorHAnsi" w:cstheme="majorHAnsi"/>
              </w:rPr>
              <w:t>Cumulative graduation rate</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93%</w:t>
            </w:r>
          </w:p>
        </w:tc>
        <w:tc>
          <w:tcPr>
            <w:tcW w:w="447" w:type="pct"/>
            <w:shd w:val="clear" w:color="auto" w:fill="auto"/>
            <w:vAlign w:val="center"/>
          </w:tcPr>
          <w:p w:rsidR="00A649CB" w:rsidRPr="00743A41" w:rsidRDefault="00A649CB" w:rsidP="00A37ED6">
            <w:pPr>
              <w:jc w:val="center"/>
              <w:rPr>
                <w:rFonts w:asciiTheme="majorHAnsi" w:eastAsia="Arial" w:hAnsiTheme="majorHAnsi" w:cstheme="majorHAnsi"/>
              </w:rPr>
            </w:pPr>
            <w:r w:rsidRPr="00743A41">
              <w:rPr>
                <w:rFonts w:asciiTheme="majorHAnsi" w:hAnsiTheme="majorHAnsi" w:cstheme="majorHAnsi"/>
              </w:rPr>
              <w:t>93%</w:t>
            </w:r>
          </w:p>
        </w:tc>
        <w:tc>
          <w:tcPr>
            <w:tcW w:w="447" w:type="pct"/>
            <w:shd w:val="clear" w:color="auto" w:fill="auto"/>
            <w:vAlign w:val="center"/>
          </w:tcPr>
          <w:p w:rsidR="00A649CB" w:rsidRPr="00743A41" w:rsidRDefault="00A649CB" w:rsidP="00A37ED6">
            <w:pPr>
              <w:rPr>
                <w:rFonts w:asciiTheme="majorHAnsi" w:eastAsia="Arial" w:hAnsiTheme="majorHAnsi" w:cstheme="majorHAnsi"/>
              </w:rPr>
            </w:pPr>
            <w:r w:rsidRPr="00743A41">
              <w:rPr>
                <w:rFonts w:asciiTheme="majorHAnsi" w:hAnsiTheme="majorHAnsi" w:cstheme="majorHAnsi"/>
              </w:rPr>
              <w:t>100%</w:t>
            </w:r>
          </w:p>
        </w:tc>
        <w:tc>
          <w:tcPr>
            <w:tcW w:w="447" w:type="pct"/>
            <w:shd w:val="clear" w:color="auto" w:fill="auto"/>
            <w:vAlign w:val="center"/>
          </w:tcPr>
          <w:p w:rsidR="00A649CB" w:rsidRPr="00743A41" w:rsidRDefault="00A649CB" w:rsidP="00A37ED6">
            <w:pPr>
              <w:rPr>
                <w:rFonts w:asciiTheme="majorHAnsi" w:eastAsia="Arial" w:hAnsiTheme="majorHAnsi" w:cstheme="majorHAnsi"/>
              </w:rPr>
            </w:pPr>
            <w:r w:rsidRPr="00743A41">
              <w:rPr>
                <w:rFonts w:asciiTheme="majorHAnsi" w:hAnsiTheme="majorHAnsi" w:cstheme="majorHAnsi"/>
              </w:rPr>
              <w:t>81%</w:t>
            </w:r>
          </w:p>
        </w:tc>
        <w:tc>
          <w:tcPr>
            <w:tcW w:w="447" w:type="pct"/>
            <w:shd w:val="clear" w:color="auto" w:fill="auto"/>
            <w:vAlign w:val="center"/>
          </w:tcPr>
          <w:p w:rsidR="00A649CB" w:rsidRPr="00743A41" w:rsidRDefault="00A649CB" w:rsidP="00A37ED6">
            <w:pPr>
              <w:rPr>
                <w:rFonts w:asciiTheme="majorHAnsi" w:eastAsia="Arial" w:hAnsiTheme="majorHAnsi" w:cstheme="majorHAnsi"/>
              </w:rPr>
            </w:pPr>
            <w:r w:rsidRPr="00743A41">
              <w:rPr>
                <w:rFonts w:asciiTheme="majorHAnsi" w:hAnsiTheme="majorHAnsi" w:cstheme="majorHAnsi"/>
              </w:rPr>
              <w:t>44%</w:t>
            </w:r>
          </w:p>
        </w:tc>
        <w:tc>
          <w:tcPr>
            <w:tcW w:w="445" w:type="pct"/>
            <w:shd w:val="clear" w:color="auto" w:fill="auto"/>
            <w:vAlign w:val="center"/>
          </w:tcPr>
          <w:p w:rsidR="00A649CB" w:rsidRPr="00743A41" w:rsidRDefault="00A649CB" w:rsidP="00A37ED6">
            <w:pPr>
              <w:rPr>
                <w:rFonts w:asciiTheme="majorHAnsi" w:eastAsia="Arial" w:hAnsiTheme="majorHAnsi" w:cstheme="majorHAnsi"/>
              </w:rPr>
            </w:pPr>
            <w:r w:rsidRPr="00743A41">
              <w:rPr>
                <w:rFonts w:asciiTheme="majorHAnsi" w:hAnsiTheme="majorHAnsi" w:cstheme="majorHAnsi"/>
              </w:rPr>
              <w:t>0%</w:t>
            </w:r>
          </w:p>
        </w:tc>
      </w:tr>
    </w:tbl>
    <w:p w:rsidR="00AC28B6" w:rsidRPr="00743A41" w:rsidRDefault="00AC28B6" w:rsidP="00A37ED6">
      <w:pPr>
        <w:pStyle w:val="Default"/>
        <w:ind w:left="720"/>
        <w:jc w:val="both"/>
        <w:rPr>
          <w:rFonts w:asciiTheme="majorHAnsi" w:hAnsiTheme="majorHAnsi" w:cstheme="majorHAnsi"/>
          <w:color w:val="auto"/>
          <w:szCs w:val="20"/>
        </w:rPr>
      </w:pPr>
    </w:p>
    <w:p w:rsidR="00A81BED" w:rsidRPr="00E20CF3" w:rsidRDefault="00B16ADE" w:rsidP="00A37ED6">
      <w:pPr>
        <w:pBdr>
          <w:top w:val="nil"/>
          <w:left w:val="nil"/>
          <w:bottom w:val="nil"/>
          <w:right w:val="nil"/>
          <w:between w:val="nil"/>
        </w:pBdr>
        <w:ind w:left="720"/>
        <w:rPr>
          <w:rFonts w:asciiTheme="majorHAnsi" w:eastAsia="Arial" w:hAnsiTheme="majorHAnsi" w:cstheme="majorHAnsi"/>
          <w:color w:val="000000"/>
          <w:sz w:val="20"/>
          <w:szCs w:val="20"/>
        </w:rPr>
      </w:pPr>
      <w:r w:rsidRPr="00E20CF3">
        <w:rPr>
          <w:rFonts w:asciiTheme="majorHAnsi" w:hAnsiTheme="majorHAnsi" w:cstheme="majorHAnsi"/>
          <w:sz w:val="20"/>
          <w:szCs w:val="20"/>
        </w:rPr>
        <w:t>Table B.2.1.c. Students in DrPH Degree Program by Cohorts Entering between 2011-12 and 2018-19</w:t>
      </w:r>
    </w:p>
    <w:tbl>
      <w:tblPr>
        <w:tblStyle w:val="18"/>
        <w:tblW w:w="4678" w:type="pct"/>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97"/>
        <w:gridCol w:w="2470"/>
        <w:gridCol w:w="737"/>
        <w:gridCol w:w="696"/>
        <w:gridCol w:w="696"/>
        <w:gridCol w:w="696"/>
        <w:gridCol w:w="696"/>
        <w:gridCol w:w="696"/>
        <w:gridCol w:w="696"/>
        <w:gridCol w:w="668"/>
      </w:tblGrid>
      <w:tr w:rsidR="00A81BED" w:rsidRPr="00743A41" w:rsidTr="00321053">
        <w:trPr>
          <w:trHeight w:val="144"/>
          <w:tblHeader/>
        </w:trPr>
        <w:tc>
          <w:tcPr>
            <w:tcW w:w="5000" w:type="pct"/>
            <w:gridSpan w:val="10"/>
            <w:shd w:val="clear" w:color="auto" w:fill="D9D9D9"/>
          </w:tcPr>
          <w:p w:rsidR="00A81BED" w:rsidRPr="00743A41" w:rsidRDefault="00C91EFA" w:rsidP="00A37ED6">
            <w:pPr>
              <w:jc w:val="center"/>
              <w:rPr>
                <w:rFonts w:asciiTheme="majorHAnsi" w:eastAsia="Arial" w:hAnsiTheme="majorHAnsi" w:cstheme="majorHAnsi"/>
                <w:b/>
                <w:color w:val="000000"/>
              </w:rPr>
            </w:pPr>
            <w:r w:rsidRPr="00743A41">
              <w:rPr>
                <w:rFonts w:asciiTheme="majorHAnsi" w:eastAsia="Arial" w:hAnsiTheme="majorHAnsi" w:cstheme="majorHAnsi"/>
                <w:b/>
                <w:color w:val="000000"/>
              </w:rPr>
              <w:t>Students in DrPH Degree Program by Cohorts Entering between 2011-12 and 2018-19</w:t>
            </w:r>
          </w:p>
        </w:tc>
      </w:tr>
      <w:tr w:rsidR="00A81BED" w:rsidRPr="00743A41" w:rsidTr="00321053">
        <w:trPr>
          <w:trHeight w:val="144"/>
          <w:tblHeader/>
        </w:trPr>
        <w:tc>
          <w:tcPr>
            <w:tcW w:w="398" w:type="pct"/>
            <w:shd w:val="clear" w:color="auto" w:fill="D9D9D9"/>
          </w:tcPr>
          <w:p w:rsidR="00A81BED" w:rsidRPr="00743A41" w:rsidRDefault="00A81BED" w:rsidP="00A37ED6">
            <w:pPr>
              <w:rPr>
                <w:rFonts w:asciiTheme="majorHAnsi" w:eastAsia="Arial" w:hAnsiTheme="majorHAnsi" w:cstheme="majorHAnsi"/>
                <w:color w:val="000000"/>
              </w:rPr>
            </w:pPr>
            <w:r w:rsidRPr="00743A41">
              <w:rPr>
                <w:rFonts w:asciiTheme="majorHAnsi" w:eastAsia="Arial" w:hAnsiTheme="majorHAnsi" w:cstheme="majorHAnsi"/>
                <w:color w:val="000000"/>
              </w:rPr>
              <w:t> </w:t>
            </w:r>
          </w:p>
        </w:tc>
        <w:tc>
          <w:tcPr>
            <w:tcW w:w="1411" w:type="pct"/>
            <w:shd w:val="clear" w:color="auto" w:fill="D9D9D9"/>
          </w:tcPr>
          <w:p w:rsidR="00A81BED" w:rsidRPr="00743A41" w:rsidRDefault="00A81BED" w:rsidP="00A37ED6">
            <w:pPr>
              <w:rPr>
                <w:rFonts w:asciiTheme="majorHAnsi" w:eastAsia="Arial" w:hAnsiTheme="majorHAnsi" w:cstheme="majorHAnsi"/>
                <w:color w:val="000000"/>
              </w:rPr>
            </w:pPr>
            <w:r w:rsidRPr="00743A41">
              <w:rPr>
                <w:rFonts w:asciiTheme="majorHAnsi" w:eastAsia="Arial" w:hAnsiTheme="majorHAnsi" w:cstheme="majorHAnsi"/>
                <w:color w:val="000000"/>
              </w:rPr>
              <w:t>Cohort of Students</w:t>
            </w:r>
          </w:p>
        </w:tc>
        <w:tc>
          <w:tcPr>
            <w:tcW w:w="421" w:type="pct"/>
            <w:shd w:val="clear" w:color="auto" w:fill="D9D9D9"/>
          </w:tcPr>
          <w:p w:rsidR="00A81BED" w:rsidRPr="00743A41" w:rsidRDefault="00A81BED" w:rsidP="00A37ED6">
            <w:pPr>
              <w:rPr>
                <w:rFonts w:asciiTheme="majorHAnsi" w:eastAsia="Arial" w:hAnsiTheme="majorHAnsi" w:cstheme="majorHAnsi"/>
                <w:color w:val="000000"/>
              </w:rPr>
            </w:pPr>
            <w:r w:rsidRPr="00743A41">
              <w:rPr>
                <w:rFonts w:asciiTheme="majorHAnsi" w:eastAsia="Arial" w:hAnsiTheme="majorHAnsi" w:cstheme="majorHAnsi"/>
                <w:color w:val="000000"/>
              </w:rPr>
              <w:t>2011-12</w:t>
            </w:r>
          </w:p>
        </w:tc>
        <w:tc>
          <w:tcPr>
            <w:tcW w:w="398" w:type="pct"/>
            <w:shd w:val="clear" w:color="auto" w:fill="D9D9D9"/>
          </w:tcPr>
          <w:p w:rsidR="00A81BED" w:rsidRPr="00743A41" w:rsidRDefault="00A81BED" w:rsidP="00A37ED6">
            <w:pPr>
              <w:rPr>
                <w:rFonts w:asciiTheme="majorHAnsi" w:eastAsia="Arial" w:hAnsiTheme="majorHAnsi" w:cstheme="majorHAnsi"/>
                <w:color w:val="000000"/>
              </w:rPr>
            </w:pPr>
            <w:r w:rsidRPr="00743A41">
              <w:rPr>
                <w:rFonts w:asciiTheme="majorHAnsi" w:eastAsia="Arial" w:hAnsiTheme="majorHAnsi" w:cstheme="majorHAnsi"/>
                <w:color w:val="000000"/>
              </w:rPr>
              <w:t>2012-13</w:t>
            </w:r>
          </w:p>
        </w:tc>
        <w:tc>
          <w:tcPr>
            <w:tcW w:w="398" w:type="pct"/>
            <w:shd w:val="clear" w:color="auto" w:fill="D9D9D9"/>
          </w:tcPr>
          <w:p w:rsidR="00A81BED" w:rsidRPr="00743A41" w:rsidRDefault="00A81BED" w:rsidP="00A37ED6">
            <w:pPr>
              <w:rPr>
                <w:rFonts w:asciiTheme="majorHAnsi" w:eastAsia="Arial" w:hAnsiTheme="majorHAnsi" w:cstheme="majorHAnsi"/>
                <w:color w:val="000000"/>
              </w:rPr>
            </w:pPr>
            <w:r w:rsidRPr="00743A41">
              <w:rPr>
                <w:rFonts w:asciiTheme="majorHAnsi" w:eastAsia="Arial" w:hAnsiTheme="majorHAnsi" w:cstheme="majorHAnsi"/>
                <w:color w:val="000000"/>
              </w:rPr>
              <w:t>2013-14</w:t>
            </w:r>
          </w:p>
        </w:tc>
        <w:tc>
          <w:tcPr>
            <w:tcW w:w="398" w:type="pct"/>
            <w:shd w:val="clear" w:color="auto" w:fill="D9D9D9"/>
          </w:tcPr>
          <w:p w:rsidR="00A81BED" w:rsidRPr="00743A41" w:rsidRDefault="00A81BED" w:rsidP="00A37ED6">
            <w:pPr>
              <w:rPr>
                <w:rFonts w:asciiTheme="majorHAnsi" w:eastAsia="Arial" w:hAnsiTheme="majorHAnsi" w:cstheme="majorHAnsi"/>
                <w:color w:val="000000"/>
              </w:rPr>
            </w:pPr>
            <w:r w:rsidRPr="00743A41">
              <w:rPr>
                <w:rFonts w:asciiTheme="majorHAnsi" w:eastAsia="Arial" w:hAnsiTheme="majorHAnsi" w:cstheme="majorHAnsi"/>
                <w:color w:val="000000"/>
              </w:rPr>
              <w:t>2014-15</w:t>
            </w:r>
          </w:p>
        </w:tc>
        <w:tc>
          <w:tcPr>
            <w:tcW w:w="398" w:type="pct"/>
            <w:shd w:val="clear" w:color="auto" w:fill="D9D9D9"/>
          </w:tcPr>
          <w:p w:rsidR="00A81BED" w:rsidRPr="00743A41" w:rsidRDefault="00A81BED" w:rsidP="00A37ED6">
            <w:pPr>
              <w:rPr>
                <w:rFonts w:asciiTheme="majorHAnsi" w:eastAsia="Arial" w:hAnsiTheme="majorHAnsi" w:cstheme="majorHAnsi"/>
                <w:color w:val="000000"/>
              </w:rPr>
            </w:pPr>
            <w:r w:rsidRPr="00743A41">
              <w:rPr>
                <w:rFonts w:asciiTheme="majorHAnsi" w:eastAsia="Arial" w:hAnsiTheme="majorHAnsi" w:cstheme="majorHAnsi"/>
                <w:color w:val="000000"/>
              </w:rPr>
              <w:t>2015-16</w:t>
            </w:r>
          </w:p>
        </w:tc>
        <w:tc>
          <w:tcPr>
            <w:tcW w:w="398" w:type="pct"/>
            <w:shd w:val="clear" w:color="auto" w:fill="D9D9D9"/>
          </w:tcPr>
          <w:p w:rsidR="00A81BED" w:rsidRPr="00743A41" w:rsidRDefault="00A81BED" w:rsidP="00A37ED6">
            <w:pPr>
              <w:rPr>
                <w:rFonts w:asciiTheme="majorHAnsi" w:eastAsia="Arial" w:hAnsiTheme="majorHAnsi" w:cstheme="majorHAnsi"/>
                <w:color w:val="000000"/>
              </w:rPr>
            </w:pPr>
            <w:r w:rsidRPr="00743A41">
              <w:rPr>
                <w:rFonts w:asciiTheme="majorHAnsi" w:eastAsia="Arial" w:hAnsiTheme="majorHAnsi" w:cstheme="majorHAnsi"/>
                <w:color w:val="000000"/>
              </w:rPr>
              <w:t>2016-17</w:t>
            </w:r>
          </w:p>
        </w:tc>
        <w:tc>
          <w:tcPr>
            <w:tcW w:w="398" w:type="pct"/>
            <w:shd w:val="clear" w:color="auto" w:fill="D9D9D9"/>
          </w:tcPr>
          <w:p w:rsidR="00A81BED" w:rsidRPr="00743A41" w:rsidRDefault="00A81BED" w:rsidP="00A37ED6">
            <w:pPr>
              <w:rPr>
                <w:rFonts w:asciiTheme="majorHAnsi" w:eastAsia="Arial" w:hAnsiTheme="majorHAnsi" w:cstheme="majorHAnsi"/>
                <w:color w:val="000000"/>
              </w:rPr>
            </w:pPr>
            <w:r w:rsidRPr="00743A41">
              <w:rPr>
                <w:rFonts w:asciiTheme="majorHAnsi" w:eastAsia="Arial" w:hAnsiTheme="majorHAnsi" w:cstheme="majorHAnsi"/>
                <w:color w:val="000000"/>
              </w:rPr>
              <w:t>2017-18</w:t>
            </w:r>
          </w:p>
        </w:tc>
        <w:tc>
          <w:tcPr>
            <w:tcW w:w="380" w:type="pct"/>
            <w:shd w:val="clear" w:color="auto" w:fill="D9D9D9" w:themeFill="background1" w:themeFillShade="D9"/>
          </w:tcPr>
          <w:p w:rsidR="00A81BED" w:rsidRPr="00743A41" w:rsidRDefault="00A81BED" w:rsidP="00A37ED6">
            <w:pPr>
              <w:rPr>
                <w:rFonts w:asciiTheme="majorHAnsi" w:eastAsia="Arial" w:hAnsiTheme="majorHAnsi" w:cstheme="majorHAnsi"/>
              </w:rPr>
            </w:pPr>
            <w:r w:rsidRPr="00743A41">
              <w:rPr>
                <w:rFonts w:asciiTheme="majorHAnsi" w:eastAsia="Arial" w:hAnsiTheme="majorHAnsi" w:cstheme="majorHAnsi"/>
              </w:rPr>
              <w:t>2018-19</w:t>
            </w:r>
          </w:p>
        </w:tc>
      </w:tr>
      <w:tr w:rsidR="00D22EE9" w:rsidRPr="00743A41" w:rsidTr="00321053">
        <w:trPr>
          <w:trHeight w:val="144"/>
        </w:trPr>
        <w:tc>
          <w:tcPr>
            <w:tcW w:w="398" w:type="pct"/>
            <w:vMerge w:val="restar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2011-12</w:t>
            </w:r>
          </w:p>
        </w:tc>
        <w:tc>
          <w:tcPr>
            <w:tcW w:w="1411" w:type="pc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entered</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31</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shd w:val="clear" w:color="auto" w:fill="auto"/>
          </w:tcPr>
          <w:p w:rsidR="00D22EE9" w:rsidRPr="00743A41" w:rsidRDefault="00D22EE9" w:rsidP="00A37ED6">
            <w:pPr>
              <w:widowControl w:val="0"/>
              <w:pBdr>
                <w:top w:val="nil"/>
                <w:left w:val="nil"/>
                <w:bottom w:val="nil"/>
                <w:right w:val="nil"/>
                <w:between w:val="nil"/>
              </w:pBdr>
              <w:rPr>
                <w:rFonts w:asciiTheme="majorHAnsi" w:eastAsia="Arial" w:hAnsiTheme="majorHAnsi" w:cstheme="majorHAnsi"/>
                <w:color w:val="000000"/>
              </w:rPr>
            </w:pPr>
          </w:p>
        </w:tc>
        <w:tc>
          <w:tcPr>
            <w:tcW w:w="1411" w:type="pc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withdrew, dropped, etc.</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1</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shd w:val="clear" w:color="auto" w:fill="auto"/>
          </w:tcPr>
          <w:p w:rsidR="00D22EE9" w:rsidRPr="00743A41" w:rsidRDefault="00D22EE9" w:rsidP="00A37ED6">
            <w:pPr>
              <w:widowControl w:val="0"/>
              <w:pBdr>
                <w:top w:val="nil"/>
                <w:left w:val="nil"/>
                <w:bottom w:val="nil"/>
                <w:right w:val="nil"/>
                <w:between w:val="nil"/>
              </w:pBdr>
              <w:rPr>
                <w:rFonts w:asciiTheme="majorHAnsi" w:eastAsia="Arial" w:hAnsiTheme="majorHAnsi" w:cstheme="majorHAnsi"/>
                <w:color w:val="000000"/>
              </w:rPr>
            </w:pPr>
          </w:p>
        </w:tc>
        <w:tc>
          <w:tcPr>
            <w:tcW w:w="1411" w:type="pc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graduated</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shd w:val="clear" w:color="auto" w:fill="auto"/>
          </w:tcPr>
          <w:p w:rsidR="00D22EE9" w:rsidRPr="00743A41" w:rsidRDefault="00D22EE9" w:rsidP="00A37ED6">
            <w:pPr>
              <w:widowControl w:val="0"/>
              <w:pBdr>
                <w:top w:val="nil"/>
                <w:left w:val="nil"/>
                <w:bottom w:val="nil"/>
                <w:right w:val="nil"/>
                <w:between w:val="nil"/>
              </w:pBdr>
              <w:rPr>
                <w:rFonts w:asciiTheme="majorHAnsi" w:eastAsia="Arial" w:hAnsiTheme="majorHAnsi" w:cstheme="majorHAnsi"/>
                <w:color w:val="000000"/>
              </w:rPr>
            </w:pPr>
          </w:p>
        </w:tc>
        <w:tc>
          <w:tcPr>
            <w:tcW w:w="1411" w:type="pc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Cumulative graduation rate</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val="restar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2012-13</w:t>
            </w:r>
          </w:p>
        </w:tc>
        <w:tc>
          <w:tcPr>
            <w:tcW w:w="1411" w:type="pc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continuing at beginning of this school year (or # entering for newest cohort)</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30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19</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shd w:val="clear" w:color="auto" w:fill="auto"/>
          </w:tcPr>
          <w:p w:rsidR="00D22EE9" w:rsidRPr="00743A41" w:rsidRDefault="00D22EE9" w:rsidP="00A37ED6">
            <w:pPr>
              <w:widowControl w:val="0"/>
              <w:pBdr>
                <w:top w:val="nil"/>
                <w:left w:val="nil"/>
                <w:bottom w:val="nil"/>
                <w:right w:val="nil"/>
                <w:between w:val="nil"/>
              </w:pBdr>
              <w:rPr>
                <w:rFonts w:asciiTheme="majorHAnsi" w:eastAsia="Arial" w:hAnsiTheme="majorHAnsi" w:cstheme="majorHAnsi"/>
                <w:color w:val="000000"/>
              </w:rPr>
            </w:pPr>
          </w:p>
        </w:tc>
        <w:tc>
          <w:tcPr>
            <w:tcW w:w="1411" w:type="pc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withdrew, dropped, etc.</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1</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3</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shd w:val="clear" w:color="auto" w:fill="auto"/>
          </w:tcPr>
          <w:p w:rsidR="00D22EE9" w:rsidRPr="00743A41" w:rsidRDefault="00D22EE9" w:rsidP="00A37ED6">
            <w:pPr>
              <w:widowControl w:val="0"/>
              <w:pBdr>
                <w:top w:val="nil"/>
                <w:left w:val="nil"/>
                <w:bottom w:val="nil"/>
                <w:right w:val="nil"/>
                <w:between w:val="nil"/>
              </w:pBdr>
              <w:rPr>
                <w:rFonts w:asciiTheme="majorHAnsi" w:eastAsia="Arial" w:hAnsiTheme="majorHAnsi" w:cstheme="majorHAnsi"/>
                <w:color w:val="000000"/>
              </w:rPr>
            </w:pPr>
          </w:p>
        </w:tc>
        <w:tc>
          <w:tcPr>
            <w:tcW w:w="1411" w:type="pc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graduated</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shd w:val="clear" w:color="auto" w:fill="auto"/>
          </w:tcPr>
          <w:p w:rsidR="00D22EE9" w:rsidRPr="00743A41" w:rsidRDefault="00D22EE9" w:rsidP="00A37ED6">
            <w:pPr>
              <w:widowControl w:val="0"/>
              <w:pBdr>
                <w:top w:val="nil"/>
                <w:left w:val="nil"/>
                <w:bottom w:val="nil"/>
                <w:right w:val="nil"/>
                <w:between w:val="nil"/>
              </w:pBdr>
              <w:rPr>
                <w:rFonts w:asciiTheme="majorHAnsi" w:eastAsia="Arial" w:hAnsiTheme="majorHAnsi" w:cstheme="majorHAnsi"/>
                <w:color w:val="000000"/>
              </w:rPr>
            </w:pPr>
          </w:p>
        </w:tc>
        <w:tc>
          <w:tcPr>
            <w:tcW w:w="1411" w:type="pc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Cumulative graduation rate</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val="restar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2013-14</w:t>
            </w:r>
          </w:p>
        </w:tc>
        <w:tc>
          <w:tcPr>
            <w:tcW w:w="1411" w:type="pc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continuing at beginning of this school year (or # entering for newest cohort)</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29</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16</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15</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shd w:val="clear" w:color="auto" w:fill="auto"/>
          </w:tcPr>
          <w:p w:rsidR="00D22EE9" w:rsidRPr="00743A41" w:rsidRDefault="00D22EE9" w:rsidP="00A37ED6">
            <w:pPr>
              <w:widowControl w:val="0"/>
              <w:pBdr>
                <w:top w:val="nil"/>
                <w:left w:val="nil"/>
                <w:bottom w:val="nil"/>
                <w:right w:val="nil"/>
                <w:between w:val="nil"/>
              </w:pBdr>
              <w:rPr>
                <w:rFonts w:asciiTheme="majorHAnsi" w:eastAsia="Arial" w:hAnsiTheme="majorHAnsi" w:cstheme="majorHAnsi"/>
                <w:color w:val="000000"/>
              </w:rPr>
            </w:pPr>
          </w:p>
        </w:tc>
        <w:tc>
          <w:tcPr>
            <w:tcW w:w="1411" w:type="pc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withdrew, dropped, etc.</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2</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shd w:val="clear" w:color="auto" w:fill="auto"/>
          </w:tcPr>
          <w:p w:rsidR="00D22EE9" w:rsidRPr="00743A41" w:rsidRDefault="00D22EE9" w:rsidP="00A37ED6">
            <w:pPr>
              <w:widowControl w:val="0"/>
              <w:pBdr>
                <w:top w:val="nil"/>
                <w:left w:val="nil"/>
                <w:bottom w:val="nil"/>
                <w:right w:val="nil"/>
                <w:between w:val="nil"/>
              </w:pBdr>
              <w:rPr>
                <w:rFonts w:asciiTheme="majorHAnsi" w:eastAsia="Arial" w:hAnsiTheme="majorHAnsi" w:cstheme="majorHAnsi"/>
                <w:color w:val="000000"/>
              </w:rPr>
            </w:pPr>
          </w:p>
        </w:tc>
        <w:tc>
          <w:tcPr>
            <w:tcW w:w="1411" w:type="pc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graduated</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2</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shd w:val="clear" w:color="auto" w:fill="auto"/>
          </w:tcPr>
          <w:p w:rsidR="00D22EE9" w:rsidRPr="00743A41" w:rsidRDefault="00D22EE9" w:rsidP="00A37ED6">
            <w:pPr>
              <w:widowControl w:val="0"/>
              <w:pBdr>
                <w:top w:val="nil"/>
                <w:left w:val="nil"/>
                <w:bottom w:val="nil"/>
                <w:right w:val="nil"/>
                <w:between w:val="nil"/>
              </w:pBdr>
              <w:rPr>
                <w:rFonts w:asciiTheme="majorHAnsi" w:eastAsia="Arial" w:hAnsiTheme="majorHAnsi" w:cstheme="majorHAnsi"/>
                <w:color w:val="000000"/>
              </w:rPr>
            </w:pPr>
          </w:p>
        </w:tc>
        <w:tc>
          <w:tcPr>
            <w:tcW w:w="1411" w:type="pc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Cumulative graduation rate</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6%</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val="restar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2014-15</w:t>
            </w:r>
          </w:p>
        </w:tc>
        <w:tc>
          <w:tcPr>
            <w:tcW w:w="1411" w:type="pc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continuing at beginning of this school year (or # entering for newest cohort)</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27</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16</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13</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9</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shd w:val="clear" w:color="auto" w:fill="auto"/>
          </w:tcPr>
          <w:p w:rsidR="00D22EE9" w:rsidRPr="00743A41" w:rsidRDefault="00D22EE9" w:rsidP="00A37ED6">
            <w:pPr>
              <w:widowControl w:val="0"/>
              <w:pBdr>
                <w:top w:val="nil"/>
                <w:left w:val="nil"/>
                <w:bottom w:val="nil"/>
                <w:right w:val="nil"/>
                <w:between w:val="nil"/>
              </w:pBdr>
              <w:rPr>
                <w:rFonts w:asciiTheme="majorHAnsi" w:eastAsia="Arial" w:hAnsiTheme="majorHAnsi" w:cstheme="majorHAnsi"/>
                <w:color w:val="000000"/>
              </w:rPr>
            </w:pPr>
          </w:p>
        </w:tc>
        <w:tc>
          <w:tcPr>
            <w:tcW w:w="1411" w:type="pc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withdrew, dropped, etc.</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2</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shd w:val="clear" w:color="auto" w:fill="auto"/>
          </w:tcPr>
          <w:p w:rsidR="00D22EE9" w:rsidRPr="00743A41" w:rsidRDefault="00D22EE9" w:rsidP="00A37ED6">
            <w:pPr>
              <w:widowControl w:val="0"/>
              <w:pBdr>
                <w:top w:val="nil"/>
                <w:left w:val="nil"/>
                <w:bottom w:val="nil"/>
                <w:right w:val="nil"/>
                <w:between w:val="nil"/>
              </w:pBdr>
              <w:rPr>
                <w:rFonts w:asciiTheme="majorHAnsi" w:eastAsia="Arial" w:hAnsiTheme="majorHAnsi" w:cstheme="majorHAnsi"/>
                <w:color w:val="000000"/>
              </w:rPr>
            </w:pPr>
          </w:p>
        </w:tc>
        <w:tc>
          <w:tcPr>
            <w:tcW w:w="1411" w:type="pc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graduated</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3</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shd w:val="clear" w:color="auto" w:fill="auto"/>
          </w:tcPr>
          <w:p w:rsidR="00D22EE9" w:rsidRPr="00743A41" w:rsidRDefault="00D22EE9" w:rsidP="00A37ED6">
            <w:pPr>
              <w:widowControl w:val="0"/>
              <w:pBdr>
                <w:top w:val="nil"/>
                <w:left w:val="nil"/>
                <w:bottom w:val="nil"/>
                <w:right w:val="nil"/>
                <w:between w:val="nil"/>
              </w:pBdr>
              <w:rPr>
                <w:rFonts w:asciiTheme="majorHAnsi" w:eastAsia="Arial" w:hAnsiTheme="majorHAnsi" w:cstheme="majorHAnsi"/>
                <w:color w:val="000000"/>
              </w:rPr>
            </w:pPr>
          </w:p>
        </w:tc>
        <w:tc>
          <w:tcPr>
            <w:tcW w:w="1411" w:type="pc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Cumulative graduation rate</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16%</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val="restar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2015-16</w:t>
            </w:r>
          </w:p>
        </w:tc>
        <w:tc>
          <w:tcPr>
            <w:tcW w:w="1411" w:type="pc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continuing at beginning of this school year (or # entering for newest cohort)</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22</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16</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13</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9</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17</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shd w:val="clear" w:color="auto" w:fill="auto"/>
          </w:tcPr>
          <w:p w:rsidR="00D22EE9" w:rsidRPr="00743A41" w:rsidRDefault="00D22EE9" w:rsidP="00A37ED6">
            <w:pPr>
              <w:widowControl w:val="0"/>
              <w:pBdr>
                <w:top w:val="nil"/>
                <w:left w:val="nil"/>
                <w:bottom w:val="nil"/>
                <w:right w:val="nil"/>
                <w:between w:val="nil"/>
              </w:pBdr>
              <w:rPr>
                <w:rFonts w:asciiTheme="majorHAnsi" w:eastAsia="Arial" w:hAnsiTheme="majorHAnsi" w:cstheme="majorHAnsi"/>
                <w:color w:val="000000"/>
              </w:rPr>
            </w:pPr>
          </w:p>
        </w:tc>
        <w:tc>
          <w:tcPr>
            <w:tcW w:w="1411" w:type="pc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withdrew, dropped, etc.</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1</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shd w:val="clear" w:color="auto" w:fill="auto"/>
          </w:tcPr>
          <w:p w:rsidR="00D22EE9" w:rsidRPr="00743A41" w:rsidRDefault="00D22EE9" w:rsidP="00A37ED6">
            <w:pPr>
              <w:widowControl w:val="0"/>
              <w:pBdr>
                <w:top w:val="nil"/>
                <w:left w:val="nil"/>
                <w:bottom w:val="nil"/>
                <w:right w:val="nil"/>
                <w:between w:val="nil"/>
              </w:pBdr>
              <w:rPr>
                <w:rFonts w:asciiTheme="majorHAnsi" w:eastAsia="Arial" w:hAnsiTheme="majorHAnsi" w:cstheme="majorHAnsi"/>
                <w:color w:val="000000"/>
              </w:rPr>
            </w:pPr>
          </w:p>
        </w:tc>
        <w:tc>
          <w:tcPr>
            <w:tcW w:w="1411" w:type="pc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graduated</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10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3</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1</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shd w:val="clear" w:color="auto" w:fill="auto"/>
          </w:tcPr>
          <w:p w:rsidR="00D22EE9" w:rsidRPr="00743A41" w:rsidRDefault="00D22EE9" w:rsidP="00A37ED6">
            <w:pPr>
              <w:widowControl w:val="0"/>
              <w:pBdr>
                <w:top w:val="nil"/>
                <w:left w:val="nil"/>
                <w:bottom w:val="nil"/>
                <w:right w:val="nil"/>
                <w:between w:val="nil"/>
              </w:pBdr>
              <w:rPr>
                <w:rFonts w:asciiTheme="majorHAnsi" w:eastAsia="Arial" w:hAnsiTheme="majorHAnsi" w:cstheme="majorHAnsi"/>
                <w:color w:val="000000"/>
              </w:rPr>
            </w:pPr>
          </w:p>
        </w:tc>
        <w:tc>
          <w:tcPr>
            <w:tcW w:w="1411" w:type="pc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Cumulative graduation rate</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48%</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16%</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7%</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val="restar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2016-17</w:t>
            </w:r>
          </w:p>
        </w:tc>
        <w:tc>
          <w:tcPr>
            <w:tcW w:w="1411" w:type="pc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continuing at beginning of this school year (or # entering for newest cohort)</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12</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12</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12</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9</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17</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16</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shd w:val="clear" w:color="auto" w:fill="auto"/>
          </w:tcPr>
          <w:p w:rsidR="00D22EE9" w:rsidRPr="00743A41" w:rsidRDefault="00D22EE9" w:rsidP="00A37ED6">
            <w:pPr>
              <w:widowControl w:val="0"/>
              <w:pBdr>
                <w:top w:val="nil"/>
                <w:left w:val="nil"/>
                <w:bottom w:val="nil"/>
                <w:right w:val="nil"/>
                <w:between w:val="nil"/>
              </w:pBdr>
              <w:rPr>
                <w:rFonts w:asciiTheme="majorHAnsi" w:eastAsia="Arial" w:hAnsiTheme="majorHAnsi" w:cstheme="majorHAnsi"/>
                <w:color w:val="000000"/>
              </w:rPr>
            </w:pPr>
          </w:p>
        </w:tc>
        <w:tc>
          <w:tcPr>
            <w:tcW w:w="1411" w:type="pc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withdrew, dropped, etc.</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1</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shd w:val="clear" w:color="auto" w:fill="auto"/>
          </w:tcPr>
          <w:p w:rsidR="00D22EE9" w:rsidRPr="00743A41" w:rsidRDefault="00D22EE9" w:rsidP="00A37ED6">
            <w:pPr>
              <w:widowControl w:val="0"/>
              <w:pBdr>
                <w:top w:val="nil"/>
                <w:left w:val="nil"/>
                <w:bottom w:val="nil"/>
                <w:right w:val="nil"/>
                <w:between w:val="nil"/>
              </w:pBdr>
              <w:rPr>
                <w:rFonts w:asciiTheme="majorHAnsi" w:eastAsia="Arial" w:hAnsiTheme="majorHAnsi" w:cstheme="majorHAnsi"/>
                <w:color w:val="000000"/>
              </w:rPr>
            </w:pPr>
          </w:p>
        </w:tc>
        <w:tc>
          <w:tcPr>
            <w:tcW w:w="1411" w:type="pc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 Students graduated</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5</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3</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1</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shd w:val="clear" w:color="auto" w:fill="auto"/>
          </w:tcPr>
          <w:p w:rsidR="00D22EE9" w:rsidRPr="00743A41" w:rsidRDefault="00D22EE9" w:rsidP="00A37ED6">
            <w:pPr>
              <w:widowControl w:val="0"/>
              <w:pBdr>
                <w:top w:val="nil"/>
                <w:left w:val="nil"/>
                <w:bottom w:val="nil"/>
                <w:right w:val="nil"/>
                <w:between w:val="nil"/>
              </w:pBdr>
              <w:rPr>
                <w:rFonts w:asciiTheme="majorHAnsi" w:eastAsia="Arial" w:hAnsiTheme="majorHAnsi" w:cstheme="majorHAnsi"/>
                <w:color w:val="000000"/>
              </w:rPr>
            </w:pPr>
          </w:p>
        </w:tc>
        <w:tc>
          <w:tcPr>
            <w:tcW w:w="1411" w:type="pct"/>
            <w:shd w:val="clear" w:color="auto" w:fill="auto"/>
          </w:tcPr>
          <w:p w:rsidR="00D22EE9" w:rsidRPr="00743A41" w:rsidRDefault="00D22EE9" w:rsidP="00A37ED6">
            <w:pPr>
              <w:rPr>
                <w:rFonts w:asciiTheme="majorHAnsi" w:eastAsia="Arial" w:hAnsiTheme="majorHAnsi" w:cstheme="majorHAnsi"/>
                <w:color w:val="000000"/>
              </w:rPr>
            </w:pPr>
            <w:r w:rsidRPr="00743A41">
              <w:rPr>
                <w:rFonts w:asciiTheme="majorHAnsi" w:eastAsia="Arial" w:hAnsiTheme="majorHAnsi" w:cstheme="majorHAnsi"/>
                <w:color w:val="000000"/>
              </w:rPr>
              <w:t>Cumulative graduation rate</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65%</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32%</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7%</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11%</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val="restart"/>
            <w:shd w:val="clear" w:color="auto" w:fill="auto"/>
          </w:tcPr>
          <w:p w:rsidR="00D22EE9" w:rsidRPr="00743A41" w:rsidRDefault="00D22EE9" w:rsidP="00A37ED6">
            <w:pPr>
              <w:rPr>
                <w:rFonts w:asciiTheme="majorHAnsi" w:eastAsia="Arial" w:hAnsiTheme="majorHAnsi" w:cstheme="majorHAnsi"/>
              </w:rPr>
            </w:pPr>
            <w:r w:rsidRPr="00743A41">
              <w:rPr>
                <w:rFonts w:asciiTheme="majorHAnsi" w:eastAsia="Arial" w:hAnsiTheme="majorHAnsi" w:cstheme="majorHAnsi"/>
              </w:rPr>
              <w:t>2017-18</w:t>
            </w:r>
          </w:p>
        </w:tc>
        <w:tc>
          <w:tcPr>
            <w:tcW w:w="1411" w:type="pct"/>
            <w:shd w:val="clear" w:color="auto" w:fill="auto"/>
          </w:tcPr>
          <w:p w:rsidR="00D22EE9" w:rsidRPr="00743A41" w:rsidRDefault="00D22EE9" w:rsidP="00A37ED6">
            <w:pPr>
              <w:rPr>
                <w:rFonts w:asciiTheme="majorHAnsi" w:eastAsia="Arial" w:hAnsiTheme="majorHAnsi" w:cstheme="majorHAnsi"/>
              </w:rPr>
            </w:pPr>
            <w:r w:rsidRPr="00743A41">
              <w:rPr>
                <w:rFonts w:asciiTheme="majorHAnsi" w:eastAsia="Arial" w:hAnsiTheme="majorHAnsi" w:cstheme="majorHAnsi"/>
              </w:rPr>
              <w:t># Students continuing at beginning of this school year (or # entering for newest cohort)</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7</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9</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11</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8</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17</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16</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12</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shd w:val="clear" w:color="auto" w:fill="auto"/>
          </w:tcPr>
          <w:p w:rsidR="00D22EE9" w:rsidRPr="00743A41" w:rsidRDefault="00D22EE9" w:rsidP="00A37ED6">
            <w:pPr>
              <w:widowControl w:val="0"/>
              <w:pBdr>
                <w:top w:val="nil"/>
                <w:left w:val="nil"/>
                <w:bottom w:val="nil"/>
                <w:right w:val="nil"/>
                <w:between w:val="nil"/>
              </w:pBdr>
              <w:rPr>
                <w:rFonts w:asciiTheme="majorHAnsi" w:eastAsia="Arial" w:hAnsiTheme="majorHAnsi" w:cstheme="majorHAnsi"/>
                <w:color w:val="000000"/>
              </w:rPr>
            </w:pPr>
          </w:p>
        </w:tc>
        <w:tc>
          <w:tcPr>
            <w:tcW w:w="1411" w:type="pct"/>
            <w:shd w:val="clear" w:color="auto" w:fill="auto"/>
          </w:tcPr>
          <w:p w:rsidR="00D22EE9" w:rsidRPr="00743A41" w:rsidRDefault="00D22EE9" w:rsidP="00A37ED6">
            <w:pPr>
              <w:rPr>
                <w:rFonts w:asciiTheme="majorHAnsi" w:eastAsia="Arial" w:hAnsiTheme="majorHAnsi" w:cstheme="majorHAnsi"/>
              </w:rPr>
            </w:pPr>
            <w:r w:rsidRPr="00743A41">
              <w:rPr>
                <w:rFonts w:asciiTheme="majorHAnsi" w:eastAsia="Arial" w:hAnsiTheme="majorHAnsi" w:cstheme="majorHAnsi"/>
              </w:rPr>
              <w:t># Students withdrew, dropped, etc.</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1</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shd w:val="clear" w:color="auto" w:fill="auto"/>
          </w:tcPr>
          <w:p w:rsidR="00D22EE9" w:rsidRPr="00743A41" w:rsidRDefault="00D22EE9" w:rsidP="00A37ED6">
            <w:pPr>
              <w:widowControl w:val="0"/>
              <w:pBdr>
                <w:top w:val="nil"/>
                <w:left w:val="nil"/>
                <w:bottom w:val="nil"/>
                <w:right w:val="nil"/>
                <w:between w:val="nil"/>
              </w:pBdr>
              <w:rPr>
                <w:rFonts w:asciiTheme="majorHAnsi" w:eastAsia="Arial" w:hAnsiTheme="majorHAnsi" w:cstheme="majorHAnsi"/>
                <w:color w:val="000000"/>
              </w:rPr>
            </w:pPr>
          </w:p>
        </w:tc>
        <w:tc>
          <w:tcPr>
            <w:tcW w:w="1411" w:type="pct"/>
            <w:shd w:val="clear" w:color="auto" w:fill="auto"/>
          </w:tcPr>
          <w:p w:rsidR="00D22EE9" w:rsidRPr="00743A41" w:rsidRDefault="00D22EE9" w:rsidP="00A37ED6">
            <w:pPr>
              <w:rPr>
                <w:rFonts w:asciiTheme="majorHAnsi" w:eastAsia="Arial" w:hAnsiTheme="majorHAnsi" w:cstheme="majorHAnsi"/>
              </w:rPr>
            </w:pPr>
            <w:r w:rsidRPr="00743A41">
              <w:rPr>
                <w:rFonts w:asciiTheme="majorHAnsi" w:eastAsia="Arial" w:hAnsiTheme="majorHAnsi" w:cstheme="majorHAnsi"/>
              </w:rPr>
              <w:t># Students graduated</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3</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2</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3</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shd w:val="clear" w:color="auto" w:fill="auto"/>
          </w:tcPr>
          <w:p w:rsidR="00D22EE9" w:rsidRPr="00743A41" w:rsidRDefault="00D22EE9" w:rsidP="00A37ED6">
            <w:pPr>
              <w:widowControl w:val="0"/>
              <w:pBdr>
                <w:top w:val="nil"/>
                <w:left w:val="nil"/>
                <w:bottom w:val="nil"/>
                <w:right w:val="nil"/>
                <w:between w:val="nil"/>
              </w:pBdr>
              <w:rPr>
                <w:rFonts w:asciiTheme="majorHAnsi" w:eastAsia="Arial" w:hAnsiTheme="majorHAnsi" w:cstheme="majorHAnsi"/>
                <w:color w:val="000000"/>
              </w:rPr>
            </w:pPr>
          </w:p>
        </w:tc>
        <w:tc>
          <w:tcPr>
            <w:tcW w:w="1411" w:type="pct"/>
            <w:shd w:val="clear" w:color="auto" w:fill="auto"/>
          </w:tcPr>
          <w:p w:rsidR="00D22EE9" w:rsidRPr="00743A41" w:rsidRDefault="00D22EE9" w:rsidP="00A37ED6">
            <w:pPr>
              <w:rPr>
                <w:rFonts w:asciiTheme="majorHAnsi" w:eastAsia="Arial" w:hAnsiTheme="majorHAnsi" w:cstheme="majorHAnsi"/>
              </w:rPr>
            </w:pPr>
            <w:r w:rsidRPr="00743A41">
              <w:rPr>
                <w:rFonts w:asciiTheme="majorHAnsi" w:eastAsia="Arial" w:hAnsiTheme="majorHAnsi" w:cstheme="majorHAnsi"/>
              </w:rPr>
              <w:t>Cumulative graduation rate</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74%</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32%</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20%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44%</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0%</w:t>
            </w:r>
          </w:p>
        </w:tc>
        <w:tc>
          <w:tcPr>
            <w:tcW w:w="380" w:type="pct"/>
            <w:shd w:val="clear" w:color="auto" w:fill="A6A6A6"/>
            <w:vAlign w:val="center"/>
          </w:tcPr>
          <w:p w:rsidR="00D22EE9" w:rsidRPr="00743A41" w:rsidRDefault="00D22EE9" w:rsidP="00A37ED6">
            <w:pPr>
              <w:jc w:val="center"/>
              <w:rPr>
                <w:rFonts w:asciiTheme="majorHAnsi" w:eastAsia="Arial" w:hAnsiTheme="majorHAnsi" w:cstheme="majorHAnsi"/>
                <w:color w:val="000000"/>
              </w:rPr>
            </w:pPr>
            <w:r w:rsidRPr="00743A41">
              <w:rPr>
                <w:rFonts w:asciiTheme="majorHAnsi" w:hAnsiTheme="majorHAnsi" w:cstheme="majorHAnsi"/>
                <w:color w:val="000000"/>
              </w:rPr>
              <w:t> </w:t>
            </w:r>
          </w:p>
        </w:tc>
      </w:tr>
      <w:tr w:rsidR="00D22EE9" w:rsidRPr="00743A41" w:rsidTr="00321053">
        <w:trPr>
          <w:trHeight w:val="144"/>
        </w:trPr>
        <w:tc>
          <w:tcPr>
            <w:tcW w:w="398" w:type="pct"/>
            <w:vMerge w:val="restart"/>
            <w:shd w:val="clear" w:color="auto" w:fill="auto"/>
          </w:tcPr>
          <w:p w:rsidR="00D22EE9" w:rsidRPr="00743A41" w:rsidRDefault="00D22EE9" w:rsidP="00A37ED6">
            <w:pPr>
              <w:rPr>
                <w:rFonts w:asciiTheme="majorHAnsi" w:eastAsia="Arial" w:hAnsiTheme="majorHAnsi" w:cstheme="majorHAnsi"/>
              </w:rPr>
            </w:pPr>
            <w:r w:rsidRPr="00743A41">
              <w:rPr>
                <w:rFonts w:asciiTheme="majorHAnsi" w:eastAsia="Arial" w:hAnsiTheme="majorHAnsi" w:cstheme="majorHAnsi"/>
              </w:rPr>
              <w:t>2018-19</w:t>
            </w:r>
          </w:p>
        </w:tc>
        <w:tc>
          <w:tcPr>
            <w:tcW w:w="1411" w:type="pct"/>
            <w:shd w:val="clear" w:color="auto" w:fill="auto"/>
          </w:tcPr>
          <w:p w:rsidR="00D22EE9" w:rsidRPr="00743A41" w:rsidRDefault="00D22EE9" w:rsidP="00A37ED6">
            <w:pPr>
              <w:rPr>
                <w:rFonts w:asciiTheme="majorHAnsi" w:eastAsia="Arial" w:hAnsiTheme="majorHAnsi" w:cstheme="majorHAnsi"/>
              </w:rPr>
            </w:pPr>
            <w:r w:rsidRPr="00743A41">
              <w:rPr>
                <w:rFonts w:asciiTheme="majorHAnsi" w:eastAsia="Arial" w:hAnsiTheme="majorHAnsi" w:cstheme="majorHAnsi"/>
              </w:rPr>
              <w:t># Students continuing at beginning of this school year (or # entering for newest cohort)</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4</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9</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9</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5</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16</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16</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12</w:t>
            </w:r>
          </w:p>
        </w:tc>
        <w:tc>
          <w:tcPr>
            <w:tcW w:w="380" w:type="pct"/>
            <w:shd w:val="clear" w:color="auto" w:fill="auto"/>
            <w:vAlign w:val="center"/>
          </w:tcPr>
          <w:p w:rsidR="00D22EE9" w:rsidRPr="00743A41" w:rsidRDefault="00BC2DD3" w:rsidP="00A37ED6">
            <w:pPr>
              <w:jc w:val="center"/>
              <w:rPr>
                <w:rFonts w:asciiTheme="majorHAnsi" w:eastAsia="Arial" w:hAnsiTheme="majorHAnsi" w:cstheme="majorHAnsi"/>
              </w:rPr>
            </w:pPr>
            <w:r w:rsidRPr="00743A41">
              <w:rPr>
                <w:rFonts w:asciiTheme="majorHAnsi" w:hAnsiTheme="majorHAnsi" w:cstheme="majorHAnsi"/>
              </w:rPr>
              <w:t>19</w:t>
            </w:r>
          </w:p>
        </w:tc>
      </w:tr>
      <w:tr w:rsidR="00D22EE9" w:rsidRPr="00743A41" w:rsidTr="00321053">
        <w:trPr>
          <w:trHeight w:val="144"/>
        </w:trPr>
        <w:tc>
          <w:tcPr>
            <w:tcW w:w="398" w:type="pct"/>
            <w:vMerge/>
            <w:shd w:val="clear" w:color="auto" w:fill="auto"/>
          </w:tcPr>
          <w:p w:rsidR="00D22EE9" w:rsidRPr="00743A41" w:rsidRDefault="00D22EE9" w:rsidP="00A37ED6">
            <w:pPr>
              <w:widowControl w:val="0"/>
              <w:pBdr>
                <w:top w:val="nil"/>
                <w:left w:val="nil"/>
                <w:bottom w:val="nil"/>
                <w:right w:val="nil"/>
                <w:between w:val="nil"/>
              </w:pBdr>
              <w:rPr>
                <w:rFonts w:asciiTheme="majorHAnsi" w:eastAsia="Arial" w:hAnsiTheme="majorHAnsi" w:cstheme="majorHAnsi"/>
              </w:rPr>
            </w:pPr>
          </w:p>
        </w:tc>
        <w:tc>
          <w:tcPr>
            <w:tcW w:w="1411" w:type="pct"/>
            <w:shd w:val="clear" w:color="auto" w:fill="auto"/>
          </w:tcPr>
          <w:p w:rsidR="00D22EE9" w:rsidRPr="00743A41" w:rsidRDefault="00D22EE9" w:rsidP="00A37ED6">
            <w:pPr>
              <w:rPr>
                <w:rFonts w:asciiTheme="majorHAnsi" w:eastAsia="Arial" w:hAnsiTheme="majorHAnsi" w:cstheme="majorHAnsi"/>
              </w:rPr>
            </w:pPr>
            <w:r w:rsidRPr="00743A41">
              <w:rPr>
                <w:rFonts w:asciiTheme="majorHAnsi" w:eastAsia="Arial" w:hAnsiTheme="majorHAnsi" w:cstheme="majorHAnsi"/>
              </w:rPr>
              <w:t># Students withdrew, dropped, etc.</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1</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0</w:t>
            </w:r>
          </w:p>
        </w:tc>
        <w:tc>
          <w:tcPr>
            <w:tcW w:w="380" w:type="pct"/>
            <w:shd w:val="clear" w:color="auto" w:fill="auto"/>
            <w:vAlign w:val="center"/>
          </w:tcPr>
          <w:p w:rsidR="00D22EE9" w:rsidRPr="00743A41" w:rsidRDefault="00EB772F" w:rsidP="00A37ED6">
            <w:pPr>
              <w:jc w:val="center"/>
              <w:rPr>
                <w:rFonts w:asciiTheme="majorHAnsi" w:eastAsia="Arial" w:hAnsiTheme="majorHAnsi" w:cstheme="majorHAnsi"/>
              </w:rPr>
            </w:pPr>
            <w:r w:rsidRPr="00743A41">
              <w:rPr>
                <w:rFonts w:asciiTheme="majorHAnsi" w:hAnsiTheme="majorHAnsi" w:cstheme="majorHAnsi"/>
              </w:rPr>
              <w:t>0</w:t>
            </w:r>
          </w:p>
        </w:tc>
      </w:tr>
      <w:tr w:rsidR="00D22EE9" w:rsidRPr="00743A41" w:rsidTr="00321053">
        <w:trPr>
          <w:trHeight w:val="144"/>
        </w:trPr>
        <w:tc>
          <w:tcPr>
            <w:tcW w:w="398" w:type="pct"/>
            <w:vMerge/>
            <w:shd w:val="clear" w:color="auto" w:fill="auto"/>
          </w:tcPr>
          <w:p w:rsidR="00D22EE9" w:rsidRPr="00743A41" w:rsidRDefault="00D22EE9" w:rsidP="00A37ED6">
            <w:pPr>
              <w:widowControl w:val="0"/>
              <w:pBdr>
                <w:top w:val="nil"/>
                <w:left w:val="nil"/>
                <w:bottom w:val="nil"/>
                <w:right w:val="nil"/>
                <w:between w:val="nil"/>
              </w:pBdr>
              <w:rPr>
                <w:rFonts w:asciiTheme="majorHAnsi" w:eastAsia="Arial" w:hAnsiTheme="majorHAnsi" w:cstheme="majorHAnsi"/>
              </w:rPr>
            </w:pPr>
          </w:p>
        </w:tc>
        <w:tc>
          <w:tcPr>
            <w:tcW w:w="1411" w:type="pct"/>
            <w:shd w:val="clear" w:color="auto" w:fill="auto"/>
          </w:tcPr>
          <w:p w:rsidR="00D22EE9" w:rsidRPr="00743A41" w:rsidRDefault="00D22EE9" w:rsidP="00A37ED6">
            <w:pPr>
              <w:rPr>
                <w:rFonts w:asciiTheme="majorHAnsi" w:eastAsia="Arial" w:hAnsiTheme="majorHAnsi" w:cstheme="majorHAnsi"/>
              </w:rPr>
            </w:pPr>
            <w:r w:rsidRPr="00743A41">
              <w:rPr>
                <w:rFonts w:asciiTheme="majorHAnsi" w:eastAsia="Arial" w:hAnsiTheme="majorHAnsi" w:cstheme="majorHAnsi"/>
              </w:rPr>
              <w:t># Students graduated</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1</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3</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1</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3</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0</w:t>
            </w:r>
          </w:p>
        </w:tc>
        <w:tc>
          <w:tcPr>
            <w:tcW w:w="380"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0</w:t>
            </w:r>
          </w:p>
        </w:tc>
      </w:tr>
      <w:tr w:rsidR="00D22EE9" w:rsidRPr="00743A41" w:rsidTr="00321053">
        <w:trPr>
          <w:trHeight w:val="144"/>
        </w:trPr>
        <w:tc>
          <w:tcPr>
            <w:tcW w:w="398" w:type="pct"/>
            <w:vMerge/>
            <w:shd w:val="clear" w:color="auto" w:fill="auto"/>
          </w:tcPr>
          <w:p w:rsidR="00D22EE9" w:rsidRPr="00743A41" w:rsidRDefault="00D22EE9" w:rsidP="00A37ED6">
            <w:pPr>
              <w:widowControl w:val="0"/>
              <w:pBdr>
                <w:top w:val="nil"/>
                <w:left w:val="nil"/>
                <w:bottom w:val="nil"/>
                <w:right w:val="nil"/>
                <w:between w:val="nil"/>
              </w:pBdr>
              <w:rPr>
                <w:rFonts w:asciiTheme="majorHAnsi" w:eastAsia="Arial" w:hAnsiTheme="majorHAnsi" w:cstheme="majorHAnsi"/>
              </w:rPr>
            </w:pPr>
          </w:p>
        </w:tc>
        <w:tc>
          <w:tcPr>
            <w:tcW w:w="1411" w:type="pct"/>
            <w:shd w:val="clear" w:color="auto" w:fill="auto"/>
          </w:tcPr>
          <w:p w:rsidR="00D22EE9" w:rsidRPr="00743A41" w:rsidRDefault="00D22EE9" w:rsidP="00A37ED6">
            <w:pPr>
              <w:rPr>
                <w:rFonts w:asciiTheme="majorHAnsi" w:eastAsia="Arial" w:hAnsiTheme="majorHAnsi" w:cstheme="majorHAnsi"/>
              </w:rPr>
            </w:pPr>
            <w:r w:rsidRPr="00743A41">
              <w:rPr>
                <w:rFonts w:asciiTheme="majorHAnsi" w:eastAsia="Arial" w:hAnsiTheme="majorHAnsi" w:cstheme="majorHAnsi"/>
              </w:rPr>
              <w:t>Cumulative graduation rate</w:t>
            </w:r>
          </w:p>
        </w:tc>
        <w:tc>
          <w:tcPr>
            <w:tcW w:w="421"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77%</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47%</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27%</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78%</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0%</w:t>
            </w:r>
          </w:p>
        </w:tc>
        <w:tc>
          <w:tcPr>
            <w:tcW w:w="398"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0%</w:t>
            </w:r>
          </w:p>
        </w:tc>
        <w:tc>
          <w:tcPr>
            <w:tcW w:w="380" w:type="pct"/>
            <w:shd w:val="clear" w:color="auto" w:fill="auto"/>
            <w:vAlign w:val="center"/>
          </w:tcPr>
          <w:p w:rsidR="00D22EE9" w:rsidRPr="00743A41" w:rsidRDefault="00D22EE9" w:rsidP="00A37ED6">
            <w:pPr>
              <w:jc w:val="center"/>
              <w:rPr>
                <w:rFonts w:asciiTheme="majorHAnsi" w:eastAsia="Arial" w:hAnsiTheme="majorHAnsi" w:cstheme="majorHAnsi"/>
              </w:rPr>
            </w:pPr>
            <w:r w:rsidRPr="00743A41">
              <w:rPr>
                <w:rFonts w:asciiTheme="majorHAnsi" w:hAnsiTheme="majorHAnsi" w:cstheme="majorHAnsi"/>
              </w:rPr>
              <w:t>0%</w:t>
            </w:r>
          </w:p>
        </w:tc>
      </w:tr>
    </w:tbl>
    <w:p w:rsidR="00A81BED" w:rsidRPr="00743A41" w:rsidRDefault="00A81BED" w:rsidP="00A37ED6">
      <w:pPr>
        <w:pStyle w:val="Default"/>
        <w:ind w:left="720"/>
        <w:jc w:val="both"/>
        <w:rPr>
          <w:rFonts w:asciiTheme="majorHAnsi" w:hAnsiTheme="majorHAnsi" w:cstheme="majorHAnsi"/>
          <w:color w:val="auto"/>
          <w:szCs w:val="20"/>
        </w:rPr>
      </w:pPr>
    </w:p>
    <w:p w:rsidR="00C91EFA" w:rsidRPr="00E20CF3" w:rsidRDefault="00B16ADE" w:rsidP="00A37ED6">
      <w:pPr>
        <w:pBdr>
          <w:top w:val="nil"/>
          <w:left w:val="nil"/>
          <w:bottom w:val="nil"/>
          <w:right w:val="nil"/>
          <w:between w:val="nil"/>
        </w:pBdr>
        <w:ind w:left="720"/>
        <w:rPr>
          <w:rFonts w:asciiTheme="majorHAnsi" w:eastAsia="Arial" w:hAnsiTheme="majorHAnsi" w:cstheme="majorHAnsi"/>
          <w:color w:val="000000"/>
          <w:sz w:val="20"/>
          <w:szCs w:val="20"/>
        </w:rPr>
      </w:pPr>
      <w:r w:rsidRPr="00E20CF3">
        <w:rPr>
          <w:rFonts w:asciiTheme="majorHAnsi" w:hAnsiTheme="majorHAnsi" w:cstheme="majorHAnsi"/>
          <w:sz w:val="20"/>
          <w:szCs w:val="20"/>
        </w:rPr>
        <w:t>Table B.2.1.d. Students in PhD Degree Program by Cohorts Entering between 2011-12 and 2018-19</w:t>
      </w:r>
    </w:p>
    <w:tbl>
      <w:tblPr>
        <w:tblW w:w="4676"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2306"/>
        <w:gridCol w:w="713"/>
        <w:gridCol w:w="713"/>
        <w:gridCol w:w="714"/>
        <w:gridCol w:w="714"/>
        <w:gridCol w:w="714"/>
        <w:gridCol w:w="714"/>
        <w:gridCol w:w="714"/>
        <w:gridCol w:w="715"/>
      </w:tblGrid>
      <w:tr w:rsidR="00A81BED" w:rsidRPr="00743A41" w:rsidTr="00A81BED">
        <w:trPr>
          <w:cantSplit/>
          <w:trHeight w:val="260"/>
          <w:tblHeader/>
        </w:trPr>
        <w:tc>
          <w:tcPr>
            <w:tcW w:w="5000" w:type="pct"/>
            <w:gridSpan w:val="10"/>
            <w:shd w:val="clear" w:color="000000" w:fill="D9D9D9"/>
            <w:vAlign w:val="center"/>
          </w:tcPr>
          <w:p w:rsidR="00A81BED" w:rsidRPr="00743A41" w:rsidRDefault="00C91EFA" w:rsidP="00A37ED6">
            <w:pPr>
              <w:jc w:val="center"/>
              <w:rPr>
                <w:rFonts w:asciiTheme="majorHAnsi" w:eastAsia="Times New Roman" w:hAnsiTheme="majorHAnsi" w:cstheme="majorHAnsi"/>
                <w:color w:val="9C0006"/>
                <w:sz w:val="20"/>
                <w:szCs w:val="20"/>
              </w:rPr>
            </w:pPr>
            <w:r w:rsidRPr="00743A41">
              <w:rPr>
                <w:rFonts w:asciiTheme="majorHAnsi" w:eastAsia="Times New Roman" w:hAnsiTheme="majorHAnsi" w:cstheme="majorHAnsi"/>
                <w:b/>
                <w:bCs/>
                <w:color w:val="000000"/>
                <w:sz w:val="20"/>
                <w:szCs w:val="20"/>
              </w:rPr>
              <w:t>Students in PhD Degree Program by Cohorts Entering between 2011-12 and 2018-19</w:t>
            </w:r>
          </w:p>
        </w:tc>
      </w:tr>
      <w:tr w:rsidR="00A81BED" w:rsidRPr="00743A41" w:rsidTr="00D22EE9">
        <w:trPr>
          <w:cantSplit/>
          <w:trHeight w:val="611"/>
          <w:tblHeader/>
        </w:trPr>
        <w:tc>
          <w:tcPr>
            <w:tcW w:w="416" w:type="pct"/>
            <w:shd w:val="clear" w:color="000000" w:fill="D9D9D9"/>
            <w:hideMark/>
          </w:tcPr>
          <w:p w:rsidR="00A81BED" w:rsidRPr="00743A41" w:rsidRDefault="00A81BED"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c>
          <w:tcPr>
            <w:tcW w:w="1319" w:type="pct"/>
            <w:shd w:val="clear" w:color="000000" w:fill="D9D9D9"/>
            <w:hideMark/>
          </w:tcPr>
          <w:p w:rsidR="00A81BED" w:rsidRPr="00743A41" w:rsidRDefault="00A81BED"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Cohort of Students</w:t>
            </w:r>
          </w:p>
        </w:tc>
        <w:tc>
          <w:tcPr>
            <w:tcW w:w="408" w:type="pct"/>
            <w:shd w:val="clear" w:color="000000" w:fill="D9D9D9"/>
            <w:hideMark/>
          </w:tcPr>
          <w:p w:rsidR="00A81BED" w:rsidRPr="00743A41" w:rsidRDefault="00A81BED"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2011-12</w:t>
            </w:r>
          </w:p>
        </w:tc>
        <w:tc>
          <w:tcPr>
            <w:tcW w:w="408" w:type="pct"/>
            <w:shd w:val="clear" w:color="000000" w:fill="D9D9D9"/>
            <w:hideMark/>
          </w:tcPr>
          <w:p w:rsidR="00A81BED" w:rsidRPr="00743A41" w:rsidRDefault="00A81BED"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2012-13</w:t>
            </w:r>
          </w:p>
        </w:tc>
        <w:tc>
          <w:tcPr>
            <w:tcW w:w="408" w:type="pct"/>
            <w:shd w:val="clear" w:color="000000" w:fill="D9D9D9"/>
            <w:hideMark/>
          </w:tcPr>
          <w:p w:rsidR="00A81BED" w:rsidRPr="00743A41" w:rsidRDefault="00A81BED"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2013-14</w:t>
            </w:r>
          </w:p>
        </w:tc>
        <w:tc>
          <w:tcPr>
            <w:tcW w:w="408" w:type="pct"/>
            <w:shd w:val="clear" w:color="000000" w:fill="D9D9D9"/>
            <w:hideMark/>
          </w:tcPr>
          <w:p w:rsidR="00A81BED" w:rsidRPr="00743A41" w:rsidRDefault="00A81BED"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2014-15</w:t>
            </w:r>
          </w:p>
        </w:tc>
        <w:tc>
          <w:tcPr>
            <w:tcW w:w="408" w:type="pct"/>
            <w:shd w:val="clear" w:color="000000" w:fill="D9D9D9"/>
            <w:hideMark/>
          </w:tcPr>
          <w:p w:rsidR="00A81BED" w:rsidRPr="00743A41" w:rsidRDefault="00A81BED"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2015-16</w:t>
            </w:r>
          </w:p>
        </w:tc>
        <w:tc>
          <w:tcPr>
            <w:tcW w:w="408" w:type="pct"/>
            <w:shd w:val="clear" w:color="000000" w:fill="D9D9D9"/>
            <w:hideMark/>
          </w:tcPr>
          <w:p w:rsidR="00A81BED" w:rsidRPr="00743A41" w:rsidRDefault="00A81BED"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2016-17</w:t>
            </w:r>
          </w:p>
        </w:tc>
        <w:tc>
          <w:tcPr>
            <w:tcW w:w="408" w:type="pct"/>
            <w:shd w:val="clear" w:color="auto" w:fill="D9D9D9" w:themeFill="background1" w:themeFillShade="D9"/>
            <w:hideMark/>
          </w:tcPr>
          <w:p w:rsidR="00A81BED" w:rsidRPr="00743A41" w:rsidRDefault="00A81BED"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2017-18</w:t>
            </w:r>
          </w:p>
        </w:tc>
        <w:tc>
          <w:tcPr>
            <w:tcW w:w="409" w:type="pct"/>
            <w:shd w:val="clear" w:color="auto" w:fill="D9D9D9" w:themeFill="background1" w:themeFillShade="D9"/>
            <w:hideMark/>
          </w:tcPr>
          <w:p w:rsidR="00A81BED" w:rsidRPr="00743A41" w:rsidRDefault="00A81BED"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2018-19</w:t>
            </w:r>
          </w:p>
        </w:tc>
      </w:tr>
      <w:tr w:rsidR="00D22EE9" w:rsidRPr="00743A41" w:rsidTr="00D22EE9">
        <w:trPr>
          <w:cantSplit/>
          <w:trHeight w:val="144"/>
        </w:trPr>
        <w:tc>
          <w:tcPr>
            <w:tcW w:w="416" w:type="pct"/>
            <w:vMerge w:val="restar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2011-12</w:t>
            </w:r>
          </w:p>
        </w:tc>
        <w:tc>
          <w:tcPr>
            <w:tcW w:w="1319" w:type="pc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Students entered</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48</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ign w:val="center"/>
            <w:hideMark/>
          </w:tcPr>
          <w:p w:rsidR="00D22EE9" w:rsidRPr="00743A41" w:rsidRDefault="00D22EE9" w:rsidP="00A37ED6">
            <w:pPr>
              <w:rPr>
                <w:rFonts w:asciiTheme="majorHAnsi" w:eastAsia="Times New Roman" w:hAnsiTheme="majorHAnsi" w:cstheme="majorHAnsi"/>
                <w:color w:val="000000"/>
                <w:sz w:val="20"/>
                <w:szCs w:val="20"/>
              </w:rPr>
            </w:pPr>
          </w:p>
        </w:tc>
        <w:tc>
          <w:tcPr>
            <w:tcW w:w="1319" w:type="pc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Students withdrew, dropped, etc.</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5</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ign w:val="center"/>
            <w:hideMark/>
          </w:tcPr>
          <w:p w:rsidR="00D22EE9" w:rsidRPr="00743A41" w:rsidRDefault="00D22EE9" w:rsidP="00A37ED6">
            <w:pPr>
              <w:rPr>
                <w:rFonts w:asciiTheme="majorHAnsi" w:eastAsia="Times New Roman" w:hAnsiTheme="majorHAnsi" w:cstheme="majorHAnsi"/>
                <w:color w:val="000000"/>
                <w:sz w:val="20"/>
                <w:szCs w:val="20"/>
              </w:rPr>
            </w:pPr>
          </w:p>
        </w:tc>
        <w:tc>
          <w:tcPr>
            <w:tcW w:w="1319" w:type="pc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Students graduated</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ign w:val="center"/>
            <w:hideMark/>
          </w:tcPr>
          <w:p w:rsidR="00D22EE9" w:rsidRPr="00743A41" w:rsidRDefault="00D22EE9" w:rsidP="00A37ED6">
            <w:pPr>
              <w:rPr>
                <w:rFonts w:asciiTheme="majorHAnsi" w:eastAsia="Times New Roman" w:hAnsiTheme="majorHAnsi" w:cstheme="majorHAnsi"/>
                <w:color w:val="000000"/>
                <w:sz w:val="20"/>
                <w:szCs w:val="20"/>
              </w:rPr>
            </w:pPr>
          </w:p>
        </w:tc>
        <w:tc>
          <w:tcPr>
            <w:tcW w:w="1319" w:type="pc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Cumulative graduation rate</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restar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2012-13</w:t>
            </w:r>
          </w:p>
        </w:tc>
        <w:tc>
          <w:tcPr>
            <w:tcW w:w="1319" w:type="pc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Students continuing at beginning of this school year (or # entering for newest cohort)</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43</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54</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ign w:val="center"/>
            <w:hideMark/>
          </w:tcPr>
          <w:p w:rsidR="00D22EE9" w:rsidRPr="00743A41" w:rsidRDefault="00D22EE9" w:rsidP="00A37ED6">
            <w:pPr>
              <w:rPr>
                <w:rFonts w:asciiTheme="majorHAnsi" w:eastAsia="Times New Roman" w:hAnsiTheme="majorHAnsi" w:cstheme="majorHAnsi"/>
                <w:color w:val="000000"/>
                <w:sz w:val="20"/>
                <w:szCs w:val="20"/>
              </w:rPr>
            </w:pPr>
          </w:p>
        </w:tc>
        <w:tc>
          <w:tcPr>
            <w:tcW w:w="1319" w:type="pc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Students withdrew, dropped, etc.</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2</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1</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ign w:val="center"/>
            <w:hideMark/>
          </w:tcPr>
          <w:p w:rsidR="00D22EE9" w:rsidRPr="00743A41" w:rsidRDefault="00D22EE9" w:rsidP="00A37ED6">
            <w:pPr>
              <w:rPr>
                <w:rFonts w:asciiTheme="majorHAnsi" w:eastAsia="Times New Roman" w:hAnsiTheme="majorHAnsi" w:cstheme="majorHAnsi"/>
                <w:color w:val="000000"/>
                <w:sz w:val="20"/>
                <w:szCs w:val="20"/>
              </w:rPr>
            </w:pPr>
          </w:p>
        </w:tc>
        <w:tc>
          <w:tcPr>
            <w:tcW w:w="1319" w:type="pc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Students graduated</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ign w:val="center"/>
            <w:hideMark/>
          </w:tcPr>
          <w:p w:rsidR="00D22EE9" w:rsidRPr="00743A41" w:rsidRDefault="00D22EE9" w:rsidP="00A37ED6">
            <w:pPr>
              <w:rPr>
                <w:rFonts w:asciiTheme="majorHAnsi" w:eastAsia="Times New Roman" w:hAnsiTheme="majorHAnsi" w:cstheme="majorHAnsi"/>
                <w:color w:val="000000"/>
                <w:sz w:val="20"/>
                <w:szCs w:val="20"/>
              </w:rPr>
            </w:pPr>
          </w:p>
        </w:tc>
        <w:tc>
          <w:tcPr>
            <w:tcW w:w="1319" w:type="pc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Cumulative graduation rate</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restar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2013-14</w:t>
            </w:r>
          </w:p>
        </w:tc>
        <w:tc>
          <w:tcPr>
            <w:tcW w:w="1319" w:type="pc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Students continuing at beginning of this school year (or # entering for newest cohort)</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41</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53</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67</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ign w:val="center"/>
            <w:hideMark/>
          </w:tcPr>
          <w:p w:rsidR="00D22EE9" w:rsidRPr="00743A41" w:rsidRDefault="00D22EE9" w:rsidP="00A37ED6">
            <w:pPr>
              <w:rPr>
                <w:rFonts w:asciiTheme="majorHAnsi" w:eastAsia="Times New Roman" w:hAnsiTheme="majorHAnsi" w:cstheme="majorHAnsi"/>
                <w:color w:val="000000"/>
                <w:sz w:val="20"/>
                <w:szCs w:val="20"/>
              </w:rPr>
            </w:pPr>
          </w:p>
        </w:tc>
        <w:tc>
          <w:tcPr>
            <w:tcW w:w="1319" w:type="pc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Students withdrew, dropped, etc.</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1</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3</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ign w:val="center"/>
            <w:hideMark/>
          </w:tcPr>
          <w:p w:rsidR="00D22EE9" w:rsidRPr="00743A41" w:rsidRDefault="00D22EE9" w:rsidP="00A37ED6">
            <w:pPr>
              <w:rPr>
                <w:rFonts w:asciiTheme="majorHAnsi" w:eastAsia="Times New Roman" w:hAnsiTheme="majorHAnsi" w:cstheme="majorHAnsi"/>
                <w:color w:val="000000"/>
                <w:sz w:val="20"/>
                <w:szCs w:val="20"/>
              </w:rPr>
            </w:pPr>
          </w:p>
        </w:tc>
        <w:tc>
          <w:tcPr>
            <w:tcW w:w="1319" w:type="pc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Students graduated</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6</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1</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ign w:val="center"/>
            <w:hideMark/>
          </w:tcPr>
          <w:p w:rsidR="00D22EE9" w:rsidRPr="00743A41" w:rsidRDefault="00D22EE9" w:rsidP="00A37ED6">
            <w:pPr>
              <w:rPr>
                <w:rFonts w:asciiTheme="majorHAnsi" w:eastAsia="Times New Roman" w:hAnsiTheme="majorHAnsi" w:cstheme="majorHAnsi"/>
                <w:color w:val="000000"/>
                <w:sz w:val="20"/>
                <w:szCs w:val="20"/>
              </w:rPr>
            </w:pPr>
          </w:p>
        </w:tc>
        <w:tc>
          <w:tcPr>
            <w:tcW w:w="1319" w:type="pc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Cumulative graduation rate</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13%</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2%</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restar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2014-15</w:t>
            </w:r>
          </w:p>
        </w:tc>
        <w:tc>
          <w:tcPr>
            <w:tcW w:w="1319" w:type="pc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Students continuing at beginning of this school year (or # entering for newest cohort)</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34</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52</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64</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46</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ign w:val="center"/>
            <w:hideMark/>
          </w:tcPr>
          <w:p w:rsidR="00D22EE9" w:rsidRPr="00743A41" w:rsidRDefault="00D22EE9" w:rsidP="00A37ED6">
            <w:pPr>
              <w:rPr>
                <w:rFonts w:asciiTheme="majorHAnsi" w:eastAsia="Times New Roman" w:hAnsiTheme="majorHAnsi" w:cstheme="majorHAnsi"/>
                <w:color w:val="000000"/>
                <w:sz w:val="20"/>
                <w:szCs w:val="20"/>
              </w:rPr>
            </w:pPr>
          </w:p>
        </w:tc>
        <w:tc>
          <w:tcPr>
            <w:tcW w:w="1319" w:type="pc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Students withdrew, dropped, etc.</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3</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2</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2</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ign w:val="center"/>
            <w:hideMark/>
          </w:tcPr>
          <w:p w:rsidR="00D22EE9" w:rsidRPr="00743A41" w:rsidRDefault="00D22EE9" w:rsidP="00A37ED6">
            <w:pPr>
              <w:rPr>
                <w:rFonts w:asciiTheme="majorHAnsi" w:eastAsia="Times New Roman" w:hAnsiTheme="majorHAnsi" w:cstheme="majorHAnsi"/>
                <w:color w:val="000000"/>
                <w:sz w:val="20"/>
                <w:szCs w:val="20"/>
              </w:rPr>
            </w:pPr>
          </w:p>
        </w:tc>
        <w:tc>
          <w:tcPr>
            <w:tcW w:w="1319" w:type="pc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Students graduated</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7</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4</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1</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ign w:val="center"/>
            <w:hideMark/>
          </w:tcPr>
          <w:p w:rsidR="00D22EE9" w:rsidRPr="00743A41" w:rsidRDefault="00D22EE9" w:rsidP="00A37ED6">
            <w:pPr>
              <w:rPr>
                <w:rFonts w:asciiTheme="majorHAnsi" w:eastAsia="Times New Roman" w:hAnsiTheme="majorHAnsi" w:cstheme="majorHAnsi"/>
                <w:color w:val="000000"/>
                <w:sz w:val="20"/>
                <w:szCs w:val="20"/>
              </w:rPr>
            </w:pPr>
          </w:p>
        </w:tc>
        <w:tc>
          <w:tcPr>
            <w:tcW w:w="1319" w:type="pc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Cumulative graduation rate</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27%</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9%</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1%</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restar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2015-16</w:t>
            </w:r>
          </w:p>
        </w:tc>
        <w:tc>
          <w:tcPr>
            <w:tcW w:w="1319" w:type="pc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Students continuing at beginning of this school year (or # entering for newest cohort)</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27</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45</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61</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44</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45</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ign w:val="center"/>
            <w:hideMark/>
          </w:tcPr>
          <w:p w:rsidR="00D22EE9" w:rsidRPr="00743A41" w:rsidRDefault="00D22EE9" w:rsidP="00A37ED6">
            <w:pPr>
              <w:rPr>
                <w:rFonts w:asciiTheme="majorHAnsi" w:eastAsia="Times New Roman" w:hAnsiTheme="majorHAnsi" w:cstheme="majorHAnsi"/>
                <w:color w:val="000000"/>
                <w:sz w:val="20"/>
                <w:szCs w:val="20"/>
              </w:rPr>
            </w:pPr>
          </w:p>
        </w:tc>
        <w:tc>
          <w:tcPr>
            <w:tcW w:w="1319" w:type="pc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Students withdrew, dropped, etc.</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1</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ign w:val="center"/>
            <w:hideMark/>
          </w:tcPr>
          <w:p w:rsidR="00D22EE9" w:rsidRPr="00743A41" w:rsidRDefault="00D22EE9" w:rsidP="00A37ED6">
            <w:pPr>
              <w:rPr>
                <w:rFonts w:asciiTheme="majorHAnsi" w:eastAsia="Times New Roman" w:hAnsiTheme="majorHAnsi" w:cstheme="majorHAnsi"/>
                <w:color w:val="000000"/>
                <w:sz w:val="20"/>
                <w:szCs w:val="20"/>
              </w:rPr>
            </w:pPr>
          </w:p>
        </w:tc>
        <w:tc>
          <w:tcPr>
            <w:tcW w:w="1319" w:type="pc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Students graduated</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10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6</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4</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1</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ign w:val="center"/>
            <w:hideMark/>
          </w:tcPr>
          <w:p w:rsidR="00D22EE9" w:rsidRPr="00743A41" w:rsidRDefault="00D22EE9" w:rsidP="00A37ED6">
            <w:pPr>
              <w:rPr>
                <w:rFonts w:asciiTheme="majorHAnsi" w:eastAsia="Times New Roman" w:hAnsiTheme="majorHAnsi" w:cstheme="majorHAnsi"/>
                <w:color w:val="000000"/>
                <w:sz w:val="20"/>
                <w:szCs w:val="20"/>
              </w:rPr>
            </w:pPr>
          </w:p>
        </w:tc>
        <w:tc>
          <w:tcPr>
            <w:tcW w:w="1319" w:type="pc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Cumulative graduation rate</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48%</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20%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7%</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2%</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restar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2016-17</w:t>
            </w:r>
          </w:p>
        </w:tc>
        <w:tc>
          <w:tcPr>
            <w:tcW w:w="1319" w:type="pc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Students continuing at beginning of this school year (or # entering for newest cohort)</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17</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39</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57</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43</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44</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70</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ign w:val="center"/>
            <w:hideMark/>
          </w:tcPr>
          <w:p w:rsidR="00D22EE9" w:rsidRPr="00743A41" w:rsidRDefault="00D22EE9" w:rsidP="00A37ED6">
            <w:pPr>
              <w:rPr>
                <w:rFonts w:asciiTheme="majorHAnsi" w:eastAsia="Times New Roman" w:hAnsiTheme="majorHAnsi" w:cstheme="majorHAnsi"/>
                <w:color w:val="000000"/>
                <w:sz w:val="20"/>
                <w:szCs w:val="20"/>
              </w:rPr>
            </w:pPr>
          </w:p>
        </w:tc>
        <w:tc>
          <w:tcPr>
            <w:tcW w:w="1319" w:type="pc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Students withdrew, dropped, etc.</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1</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ign w:val="center"/>
            <w:hideMark/>
          </w:tcPr>
          <w:p w:rsidR="00D22EE9" w:rsidRPr="00743A41" w:rsidRDefault="00D22EE9" w:rsidP="00A37ED6">
            <w:pPr>
              <w:rPr>
                <w:rFonts w:asciiTheme="majorHAnsi" w:eastAsia="Times New Roman" w:hAnsiTheme="majorHAnsi" w:cstheme="majorHAnsi"/>
                <w:color w:val="000000"/>
                <w:sz w:val="20"/>
                <w:szCs w:val="20"/>
              </w:rPr>
            </w:pPr>
          </w:p>
        </w:tc>
        <w:tc>
          <w:tcPr>
            <w:tcW w:w="1319" w:type="pc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Students graduated</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5</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15</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10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4</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ign w:val="center"/>
            <w:hideMark/>
          </w:tcPr>
          <w:p w:rsidR="00D22EE9" w:rsidRPr="00743A41" w:rsidRDefault="00D22EE9" w:rsidP="00A37ED6">
            <w:pPr>
              <w:rPr>
                <w:rFonts w:asciiTheme="majorHAnsi" w:eastAsia="Times New Roman" w:hAnsiTheme="majorHAnsi" w:cstheme="majorHAnsi"/>
                <w:color w:val="000000"/>
                <w:sz w:val="20"/>
                <w:szCs w:val="20"/>
              </w:rPr>
            </w:pPr>
          </w:p>
        </w:tc>
        <w:tc>
          <w:tcPr>
            <w:tcW w:w="1319" w:type="pct"/>
            <w:shd w:val="clear" w:color="auto" w:fill="auto"/>
            <w:hideMark/>
          </w:tcPr>
          <w:p w:rsidR="00D22EE9" w:rsidRPr="00743A41" w:rsidRDefault="00D22EE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Cumulative graduation rate</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58%</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48%</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22%</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11%</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restart"/>
            <w:shd w:val="clear" w:color="auto" w:fill="auto"/>
            <w:hideMark/>
          </w:tcPr>
          <w:p w:rsidR="00D22EE9" w:rsidRPr="00743A41" w:rsidRDefault="00D22EE9"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2017-18</w:t>
            </w:r>
          </w:p>
        </w:tc>
        <w:tc>
          <w:tcPr>
            <w:tcW w:w="1319" w:type="pct"/>
            <w:shd w:val="clear" w:color="auto" w:fill="auto"/>
            <w:hideMark/>
          </w:tcPr>
          <w:p w:rsidR="00D22EE9" w:rsidRPr="00743A41" w:rsidRDefault="00D22EE9"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 Students continuing at beginning of this school year (or # entering for newest cohort)</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12</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24</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47</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39</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43</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70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63</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ign w:val="center"/>
            <w:hideMark/>
          </w:tcPr>
          <w:p w:rsidR="00D22EE9" w:rsidRPr="00743A41" w:rsidRDefault="00D22EE9" w:rsidP="00A37ED6">
            <w:pPr>
              <w:rPr>
                <w:rFonts w:asciiTheme="majorHAnsi" w:eastAsia="Times New Roman" w:hAnsiTheme="majorHAnsi" w:cstheme="majorHAnsi"/>
                <w:sz w:val="20"/>
                <w:szCs w:val="20"/>
              </w:rPr>
            </w:pPr>
          </w:p>
        </w:tc>
        <w:tc>
          <w:tcPr>
            <w:tcW w:w="1319" w:type="pct"/>
            <w:shd w:val="clear" w:color="auto" w:fill="auto"/>
            <w:hideMark/>
          </w:tcPr>
          <w:p w:rsidR="00D22EE9" w:rsidRPr="00743A41" w:rsidRDefault="00D22EE9"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 Students withdrew, dropped, etc.</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1</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1</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1</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ign w:val="center"/>
            <w:hideMark/>
          </w:tcPr>
          <w:p w:rsidR="00D22EE9" w:rsidRPr="00743A41" w:rsidRDefault="00D22EE9" w:rsidP="00A37ED6">
            <w:pPr>
              <w:rPr>
                <w:rFonts w:asciiTheme="majorHAnsi" w:eastAsia="Times New Roman" w:hAnsiTheme="majorHAnsi" w:cstheme="majorHAnsi"/>
                <w:sz w:val="20"/>
                <w:szCs w:val="20"/>
              </w:rPr>
            </w:pPr>
          </w:p>
        </w:tc>
        <w:tc>
          <w:tcPr>
            <w:tcW w:w="1319" w:type="pct"/>
            <w:shd w:val="clear" w:color="auto" w:fill="auto"/>
            <w:hideMark/>
          </w:tcPr>
          <w:p w:rsidR="00D22EE9" w:rsidRPr="00743A41" w:rsidRDefault="00D22EE9"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 Students graduated</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6</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7</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15</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10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1</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ign w:val="center"/>
            <w:hideMark/>
          </w:tcPr>
          <w:p w:rsidR="00D22EE9" w:rsidRPr="00743A41" w:rsidRDefault="00D22EE9" w:rsidP="00A37ED6">
            <w:pPr>
              <w:rPr>
                <w:rFonts w:asciiTheme="majorHAnsi" w:eastAsia="Times New Roman" w:hAnsiTheme="majorHAnsi" w:cstheme="majorHAnsi"/>
                <w:sz w:val="20"/>
                <w:szCs w:val="20"/>
              </w:rPr>
            </w:pPr>
          </w:p>
        </w:tc>
        <w:tc>
          <w:tcPr>
            <w:tcW w:w="1319" w:type="pct"/>
            <w:shd w:val="clear" w:color="auto" w:fill="auto"/>
            <w:hideMark/>
          </w:tcPr>
          <w:p w:rsidR="00D22EE9" w:rsidRPr="00743A41" w:rsidRDefault="00D22EE9"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Cumulative graduation rate</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71%</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61%</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45%</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33%</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1%</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0%</w:t>
            </w:r>
          </w:p>
        </w:tc>
        <w:tc>
          <w:tcPr>
            <w:tcW w:w="409" w:type="pct"/>
            <w:shd w:val="clear" w:color="000000" w:fill="A6A6A6"/>
            <w:vAlign w:val="center"/>
            <w:hideMark/>
          </w:tcPr>
          <w:p w:rsidR="00D22EE9" w:rsidRPr="00743A41" w:rsidRDefault="00D22EE9" w:rsidP="00A37ED6">
            <w:pPr>
              <w:jc w:val="cente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 </w:t>
            </w:r>
          </w:p>
        </w:tc>
      </w:tr>
      <w:tr w:rsidR="00D22EE9" w:rsidRPr="00743A41" w:rsidTr="00D22EE9">
        <w:trPr>
          <w:cantSplit/>
          <w:trHeight w:val="144"/>
        </w:trPr>
        <w:tc>
          <w:tcPr>
            <w:tcW w:w="416" w:type="pct"/>
            <w:vMerge w:val="restart"/>
            <w:shd w:val="clear" w:color="auto" w:fill="auto"/>
            <w:hideMark/>
          </w:tcPr>
          <w:p w:rsidR="00D22EE9" w:rsidRPr="00743A41" w:rsidRDefault="00D22EE9"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2018-19</w:t>
            </w:r>
          </w:p>
        </w:tc>
        <w:tc>
          <w:tcPr>
            <w:tcW w:w="1319" w:type="pct"/>
            <w:shd w:val="clear" w:color="auto" w:fill="auto"/>
            <w:hideMark/>
          </w:tcPr>
          <w:p w:rsidR="00D22EE9" w:rsidRPr="00743A41" w:rsidRDefault="00D22EE9"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 Students continuing at beginning of this school year (or # entering for newest cohort)</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6</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17</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32</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28</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42</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68</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63</w:t>
            </w:r>
          </w:p>
        </w:tc>
        <w:tc>
          <w:tcPr>
            <w:tcW w:w="409" w:type="pct"/>
            <w:shd w:val="clear" w:color="auto" w:fill="auto"/>
            <w:vAlign w:val="center"/>
            <w:hideMark/>
          </w:tcPr>
          <w:p w:rsidR="00D22EE9" w:rsidRPr="00743A41" w:rsidRDefault="00EB772F"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66</w:t>
            </w:r>
          </w:p>
        </w:tc>
      </w:tr>
      <w:tr w:rsidR="00D22EE9" w:rsidRPr="00743A41" w:rsidTr="00D22EE9">
        <w:trPr>
          <w:cantSplit/>
          <w:trHeight w:val="144"/>
        </w:trPr>
        <w:tc>
          <w:tcPr>
            <w:tcW w:w="416" w:type="pct"/>
            <w:vMerge/>
            <w:shd w:val="clear" w:color="auto" w:fill="auto"/>
            <w:vAlign w:val="center"/>
            <w:hideMark/>
          </w:tcPr>
          <w:p w:rsidR="00D22EE9" w:rsidRPr="00743A41" w:rsidRDefault="00D22EE9" w:rsidP="00A37ED6">
            <w:pPr>
              <w:rPr>
                <w:rFonts w:asciiTheme="majorHAnsi" w:eastAsia="Times New Roman" w:hAnsiTheme="majorHAnsi" w:cstheme="majorHAnsi"/>
                <w:sz w:val="20"/>
                <w:szCs w:val="20"/>
              </w:rPr>
            </w:pPr>
          </w:p>
        </w:tc>
        <w:tc>
          <w:tcPr>
            <w:tcW w:w="1319" w:type="pct"/>
            <w:shd w:val="clear" w:color="auto" w:fill="auto"/>
            <w:hideMark/>
          </w:tcPr>
          <w:p w:rsidR="00D22EE9" w:rsidRPr="00743A41" w:rsidRDefault="00D22EE9"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 Students withdrew, dropped, etc.</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0</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1</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2</w:t>
            </w:r>
          </w:p>
        </w:tc>
        <w:tc>
          <w:tcPr>
            <w:tcW w:w="409" w:type="pct"/>
            <w:shd w:val="clear" w:color="auto" w:fill="auto"/>
            <w:vAlign w:val="center"/>
            <w:hideMark/>
          </w:tcPr>
          <w:p w:rsidR="00D22EE9" w:rsidRPr="00743A41" w:rsidRDefault="00EB772F"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0</w:t>
            </w:r>
          </w:p>
        </w:tc>
      </w:tr>
      <w:tr w:rsidR="00D22EE9" w:rsidRPr="00743A41" w:rsidTr="00D22EE9">
        <w:trPr>
          <w:cantSplit/>
          <w:trHeight w:val="144"/>
        </w:trPr>
        <w:tc>
          <w:tcPr>
            <w:tcW w:w="416" w:type="pct"/>
            <w:vMerge/>
            <w:shd w:val="clear" w:color="auto" w:fill="auto"/>
            <w:vAlign w:val="center"/>
            <w:hideMark/>
          </w:tcPr>
          <w:p w:rsidR="00D22EE9" w:rsidRPr="00743A41" w:rsidRDefault="00D22EE9" w:rsidP="00A37ED6">
            <w:pPr>
              <w:rPr>
                <w:rFonts w:asciiTheme="majorHAnsi" w:eastAsia="Times New Roman" w:hAnsiTheme="majorHAnsi" w:cstheme="majorHAnsi"/>
                <w:sz w:val="20"/>
                <w:szCs w:val="20"/>
              </w:rPr>
            </w:pPr>
          </w:p>
        </w:tc>
        <w:tc>
          <w:tcPr>
            <w:tcW w:w="1319" w:type="pct"/>
            <w:shd w:val="clear" w:color="auto" w:fill="auto"/>
            <w:hideMark/>
          </w:tcPr>
          <w:p w:rsidR="00D22EE9" w:rsidRPr="00743A41" w:rsidRDefault="00D22EE9"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 Students graduated</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3</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3</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9</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9</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8</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4</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0</w:t>
            </w:r>
          </w:p>
        </w:tc>
        <w:tc>
          <w:tcPr>
            <w:tcW w:w="409"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0</w:t>
            </w:r>
          </w:p>
        </w:tc>
      </w:tr>
      <w:tr w:rsidR="00D22EE9" w:rsidRPr="00743A41" w:rsidTr="00D22EE9">
        <w:trPr>
          <w:cantSplit/>
          <w:trHeight w:val="144"/>
        </w:trPr>
        <w:tc>
          <w:tcPr>
            <w:tcW w:w="416" w:type="pct"/>
            <w:vMerge/>
            <w:shd w:val="clear" w:color="auto" w:fill="auto"/>
            <w:vAlign w:val="center"/>
            <w:hideMark/>
          </w:tcPr>
          <w:p w:rsidR="00D22EE9" w:rsidRPr="00743A41" w:rsidRDefault="00D22EE9" w:rsidP="00A37ED6">
            <w:pPr>
              <w:rPr>
                <w:rFonts w:asciiTheme="majorHAnsi" w:eastAsia="Times New Roman" w:hAnsiTheme="majorHAnsi" w:cstheme="majorHAnsi"/>
                <w:sz w:val="20"/>
                <w:szCs w:val="20"/>
              </w:rPr>
            </w:pPr>
          </w:p>
        </w:tc>
        <w:tc>
          <w:tcPr>
            <w:tcW w:w="1319" w:type="pct"/>
            <w:shd w:val="clear" w:color="auto" w:fill="auto"/>
            <w:hideMark/>
          </w:tcPr>
          <w:p w:rsidR="00D22EE9" w:rsidRPr="00743A41" w:rsidRDefault="00D22EE9"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Cumulative graduation rate</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77%</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67%</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58%</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52%</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18%</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7%</w:t>
            </w:r>
          </w:p>
        </w:tc>
        <w:tc>
          <w:tcPr>
            <w:tcW w:w="408"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0%</w:t>
            </w:r>
          </w:p>
        </w:tc>
        <w:tc>
          <w:tcPr>
            <w:tcW w:w="409" w:type="pct"/>
            <w:shd w:val="clear" w:color="auto" w:fill="auto"/>
            <w:vAlign w:val="center"/>
            <w:hideMark/>
          </w:tcPr>
          <w:p w:rsidR="00D22EE9" w:rsidRPr="00743A41" w:rsidRDefault="00D22EE9" w:rsidP="00A37ED6">
            <w:pPr>
              <w:jc w:val="center"/>
              <w:rPr>
                <w:rFonts w:asciiTheme="majorHAnsi" w:eastAsia="Times New Roman" w:hAnsiTheme="majorHAnsi" w:cstheme="majorHAnsi"/>
                <w:sz w:val="20"/>
                <w:szCs w:val="20"/>
              </w:rPr>
            </w:pPr>
            <w:r w:rsidRPr="00743A41">
              <w:rPr>
                <w:rFonts w:asciiTheme="majorHAnsi" w:hAnsiTheme="majorHAnsi" w:cstheme="majorHAnsi"/>
                <w:sz w:val="20"/>
                <w:szCs w:val="20"/>
              </w:rPr>
              <w:t>0</w:t>
            </w:r>
          </w:p>
        </w:tc>
      </w:tr>
    </w:tbl>
    <w:p w:rsidR="00A81BED" w:rsidRPr="00743A41" w:rsidRDefault="00A81BED" w:rsidP="00A37ED6">
      <w:pPr>
        <w:pStyle w:val="Default"/>
        <w:ind w:left="720"/>
        <w:jc w:val="both"/>
        <w:rPr>
          <w:rFonts w:asciiTheme="majorHAnsi" w:hAnsiTheme="majorHAnsi" w:cstheme="majorHAnsi"/>
          <w:color w:val="auto"/>
          <w:szCs w:val="20"/>
        </w:rPr>
      </w:pPr>
    </w:p>
    <w:p w:rsidR="0065377C" w:rsidRPr="00743A41" w:rsidRDefault="0065377C" w:rsidP="00A37ED6">
      <w:pPr>
        <w:pStyle w:val="Default"/>
        <w:ind w:left="720"/>
        <w:jc w:val="both"/>
        <w:rPr>
          <w:rFonts w:asciiTheme="majorHAnsi" w:hAnsiTheme="majorHAnsi" w:cstheme="majorHAnsi"/>
          <w:color w:val="auto"/>
          <w:szCs w:val="20"/>
        </w:rPr>
      </w:pPr>
    </w:p>
    <w:p w:rsidR="0065377C" w:rsidRPr="00743A41" w:rsidRDefault="0065377C" w:rsidP="00A37ED6">
      <w:pPr>
        <w:pStyle w:val="Default"/>
        <w:ind w:left="720"/>
        <w:jc w:val="both"/>
        <w:rPr>
          <w:rFonts w:asciiTheme="majorHAnsi" w:hAnsiTheme="majorHAnsi" w:cstheme="majorHAnsi"/>
          <w:color w:val="auto"/>
          <w:szCs w:val="20"/>
        </w:rPr>
      </w:pPr>
    </w:p>
    <w:p w:rsidR="0065377C" w:rsidRPr="00743A41" w:rsidRDefault="0065377C" w:rsidP="00A37ED6">
      <w:pPr>
        <w:pStyle w:val="Default"/>
        <w:ind w:left="720"/>
        <w:jc w:val="both"/>
        <w:rPr>
          <w:rFonts w:asciiTheme="majorHAnsi" w:hAnsiTheme="majorHAnsi" w:cstheme="majorHAnsi"/>
          <w:color w:val="auto"/>
          <w:szCs w:val="20"/>
        </w:rPr>
      </w:pPr>
    </w:p>
    <w:p w:rsidR="0065377C" w:rsidRPr="00743A41" w:rsidRDefault="0065377C" w:rsidP="00A37ED6">
      <w:pPr>
        <w:pStyle w:val="Default"/>
        <w:ind w:left="720"/>
        <w:jc w:val="both"/>
        <w:rPr>
          <w:rFonts w:asciiTheme="majorHAnsi" w:hAnsiTheme="majorHAnsi" w:cstheme="majorHAnsi"/>
          <w:color w:val="auto"/>
          <w:szCs w:val="20"/>
        </w:rPr>
      </w:pPr>
    </w:p>
    <w:p w:rsidR="0065377C" w:rsidRPr="00743A41" w:rsidRDefault="0065377C" w:rsidP="00A37ED6">
      <w:pPr>
        <w:pStyle w:val="Default"/>
        <w:ind w:left="720"/>
        <w:jc w:val="both"/>
        <w:rPr>
          <w:rFonts w:asciiTheme="majorHAnsi" w:hAnsiTheme="majorHAnsi" w:cstheme="majorHAnsi"/>
          <w:color w:val="auto"/>
          <w:szCs w:val="20"/>
        </w:rPr>
      </w:pPr>
    </w:p>
    <w:p w:rsidR="0065377C" w:rsidRPr="00743A41" w:rsidRDefault="0065377C" w:rsidP="00A37ED6">
      <w:pPr>
        <w:pStyle w:val="Default"/>
        <w:ind w:left="720"/>
        <w:jc w:val="both"/>
        <w:rPr>
          <w:rFonts w:asciiTheme="majorHAnsi" w:hAnsiTheme="majorHAnsi" w:cstheme="majorHAnsi"/>
          <w:color w:val="auto"/>
          <w:szCs w:val="20"/>
        </w:rPr>
      </w:pPr>
    </w:p>
    <w:p w:rsidR="0065377C" w:rsidRPr="00743A41" w:rsidRDefault="0065377C" w:rsidP="00A37ED6">
      <w:pPr>
        <w:pStyle w:val="Default"/>
        <w:ind w:left="720"/>
        <w:jc w:val="both"/>
        <w:rPr>
          <w:rFonts w:asciiTheme="majorHAnsi" w:hAnsiTheme="majorHAnsi" w:cstheme="majorHAnsi"/>
          <w:color w:val="auto"/>
          <w:szCs w:val="20"/>
        </w:rPr>
      </w:pPr>
    </w:p>
    <w:p w:rsidR="0065377C" w:rsidRPr="00743A41" w:rsidRDefault="0065377C" w:rsidP="00A37ED6">
      <w:pPr>
        <w:pStyle w:val="Default"/>
        <w:ind w:left="720"/>
        <w:jc w:val="both"/>
        <w:rPr>
          <w:rFonts w:asciiTheme="majorHAnsi" w:hAnsiTheme="majorHAnsi" w:cstheme="majorHAnsi"/>
          <w:color w:val="auto"/>
          <w:szCs w:val="20"/>
        </w:rPr>
      </w:pPr>
    </w:p>
    <w:p w:rsidR="0065377C" w:rsidRPr="00743A41" w:rsidRDefault="0065377C" w:rsidP="00A37ED6">
      <w:pPr>
        <w:pStyle w:val="Default"/>
        <w:ind w:left="720"/>
        <w:jc w:val="both"/>
        <w:rPr>
          <w:rFonts w:asciiTheme="majorHAnsi" w:hAnsiTheme="majorHAnsi" w:cstheme="majorHAnsi"/>
          <w:color w:val="auto"/>
          <w:szCs w:val="20"/>
        </w:rPr>
      </w:pPr>
    </w:p>
    <w:p w:rsidR="0065377C" w:rsidRPr="00743A41" w:rsidRDefault="0065377C" w:rsidP="00A37ED6">
      <w:pPr>
        <w:pStyle w:val="Default"/>
        <w:ind w:left="720"/>
        <w:jc w:val="both"/>
        <w:rPr>
          <w:rFonts w:asciiTheme="majorHAnsi" w:hAnsiTheme="majorHAnsi" w:cstheme="majorHAnsi"/>
          <w:color w:val="auto"/>
          <w:szCs w:val="20"/>
        </w:rPr>
      </w:pPr>
    </w:p>
    <w:p w:rsidR="0065377C" w:rsidRPr="00743A41" w:rsidRDefault="0065377C" w:rsidP="00A37ED6">
      <w:pPr>
        <w:pStyle w:val="Default"/>
        <w:ind w:left="720"/>
        <w:jc w:val="both"/>
        <w:rPr>
          <w:rFonts w:asciiTheme="majorHAnsi" w:hAnsiTheme="majorHAnsi" w:cstheme="majorHAnsi"/>
          <w:color w:val="auto"/>
          <w:szCs w:val="20"/>
        </w:rPr>
      </w:pPr>
    </w:p>
    <w:p w:rsidR="0065377C" w:rsidRPr="00743A41" w:rsidRDefault="0065377C" w:rsidP="00A37ED6">
      <w:pPr>
        <w:pStyle w:val="Default"/>
        <w:ind w:left="720"/>
        <w:jc w:val="both"/>
        <w:rPr>
          <w:rFonts w:asciiTheme="majorHAnsi" w:hAnsiTheme="majorHAnsi" w:cstheme="majorHAnsi"/>
          <w:color w:val="auto"/>
          <w:szCs w:val="20"/>
        </w:rPr>
      </w:pPr>
    </w:p>
    <w:p w:rsidR="0065377C" w:rsidRPr="00743A41" w:rsidRDefault="0065377C" w:rsidP="00A37ED6">
      <w:pPr>
        <w:pStyle w:val="Default"/>
        <w:ind w:left="720"/>
        <w:jc w:val="both"/>
        <w:rPr>
          <w:rFonts w:asciiTheme="majorHAnsi" w:hAnsiTheme="majorHAnsi" w:cstheme="majorHAnsi"/>
          <w:color w:val="auto"/>
          <w:szCs w:val="20"/>
        </w:rPr>
      </w:pPr>
    </w:p>
    <w:p w:rsidR="0065377C" w:rsidRPr="00743A41" w:rsidRDefault="0065377C" w:rsidP="00A37ED6">
      <w:pPr>
        <w:pStyle w:val="Default"/>
        <w:ind w:left="720"/>
        <w:jc w:val="both"/>
        <w:rPr>
          <w:rFonts w:asciiTheme="majorHAnsi" w:hAnsiTheme="majorHAnsi" w:cstheme="majorHAnsi"/>
          <w:color w:val="auto"/>
          <w:szCs w:val="20"/>
        </w:rPr>
      </w:pPr>
    </w:p>
    <w:p w:rsidR="0065377C" w:rsidRPr="00743A41" w:rsidRDefault="0065377C" w:rsidP="00A37ED6">
      <w:pPr>
        <w:pStyle w:val="Default"/>
        <w:ind w:left="720"/>
        <w:jc w:val="both"/>
        <w:rPr>
          <w:rFonts w:asciiTheme="majorHAnsi" w:hAnsiTheme="majorHAnsi" w:cstheme="majorHAnsi"/>
          <w:color w:val="auto"/>
          <w:szCs w:val="20"/>
        </w:rPr>
      </w:pPr>
    </w:p>
    <w:p w:rsidR="00933038" w:rsidRPr="00743A41" w:rsidRDefault="00933038" w:rsidP="00A37ED6">
      <w:pPr>
        <w:pStyle w:val="Default"/>
        <w:numPr>
          <w:ilvl w:val="0"/>
          <w:numId w:val="5"/>
        </w:numPr>
        <w:ind w:left="720"/>
        <w:jc w:val="both"/>
        <w:rPr>
          <w:rFonts w:asciiTheme="majorHAnsi" w:hAnsiTheme="majorHAnsi" w:cstheme="majorHAnsi"/>
          <w:color w:val="auto"/>
          <w:szCs w:val="20"/>
        </w:rPr>
      </w:pPr>
      <w:r w:rsidRPr="00743A41">
        <w:rPr>
          <w:rFonts w:asciiTheme="majorHAnsi" w:hAnsiTheme="majorHAnsi" w:cstheme="majorHAnsi"/>
          <w:color w:val="auto"/>
          <w:szCs w:val="20"/>
        </w:rPr>
        <w:t xml:space="preserve">Data on doctoral student progression in the format of Template B2-2. </w:t>
      </w:r>
    </w:p>
    <w:p w:rsidR="00933038" w:rsidRPr="00743A41" w:rsidRDefault="00933038" w:rsidP="00A37ED6">
      <w:pPr>
        <w:pStyle w:val="Default"/>
        <w:jc w:val="both"/>
        <w:rPr>
          <w:rFonts w:asciiTheme="majorHAnsi" w:hAnsiTheme="majorHAnsi" w:cstheme="majorHAnsi"/>
          <w:color w:val="auto"/>
          <w:szCs w:val="20"/>
        </w:rPr>
      </w:pPr>
    </w:p>
    <w:p w:rsidR="00933038" w:rsidRPr="00743A41" w:rsidRDefault="00A81BED" w:rsidP="00A37ED6">
      <w:pPr>
        <w:pStyle w:val="Default"/>
        <w:ind w:left="720"/>
        <w:rPr>
          <w:rFonts w:asciiTheme="majorHAnsi" w:eastAsia="Arial" w:hAnsiTheme="majorHAnsi" w:cstheme="majorHAnsi"/>
          <w:szCs w:val="20"/>
        </w:rPr>
      </w:pPr>
      <w:r w:rsidRPr="00743A41">
        <w:rPr>
          <w:rFonts w:asciiTheme="majorHAnsi" w:eastAsia="Arial" w:hAnsiTheme="majorHAnsi" w:cstheme="majorHAnsi"/>
          <w:szCs w:val="20"/>
        </w:rPr>
        <w:t>Table B2.2. - Doctoral Student Progression for AY 2019</w:t>
      </w:r>
    </w:p>
    <w:tbl>
      <w:tblPr>
        <w:tblStyle w:val="TableGrid"/>
        <w:tblW w:w="8730" w:type="dxa"/>
        <w:tblInd w:w="715" w:type="dxa"/>
        <w:tblLook w:val="04A0" w:firstRow="1" w:lastRow="0" w:firstColumn="1" w:lastColumn="0" w:noHBand="0" w:noVBand="1"/>
      </w:tblPr>
      <w:tblGrid>
        <w:gridCol w:w="2601"/>
        <w:gridCol w:w="681"/>
        <w:gridCol w:w="681"/>
        <w:gridCol w:w="681"/>
        <w:gridCol w:w="681"/>
        <w:gridCol w:w="681"/>
        <w:gridCol w:w="681"/>
        <w:gridCol w:w="681"/>
        <w:gridCol w:w="681"/>
        <w:gridCol w:w="681"/>
      </w:tblGrid>
      <w:tr w:rsidR="00A81BED" w:rsidRPr="00743A41" w:rsidTr="007F6656">
        <w:trPr>
          <w:cantSplit/>
          <w:trHeight w:val="315"/>
          <w:tblHeader/>
        </w:trPr>
        <w:tc>
          <w:tcPr>
            <w:tcW w:w="0" w:type="auto"/>
            <w:shd w:val="clear" w:color="auto" w:fill="BFBFBF" w:themeFill="background1" w:themeFillShade="BF"/>
            <w:tcMar>
              <w:left w:w="14" w:type="dxa"/>
              <w:right w:w="14" w:type="dxa"/>
            </w:tcMar>
            <w:hideMark/>
          </w:tcPr>
          <w:p w:rsidR="00A81BED" w:rsidRPr="00743A41" w:rsidRDefault="00A81BED"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 </w:t>
            </w:r>
          </w:p>
        </w:tc>
        <w:tc>
          <w:tcPr>
            <w:tcW w:w="681" w:type="dxa"/>
            <w:shd w:val="clear" w:color="auto" w:fill="BFBFBF" w:themeFill="background1" w:themeFillShade="BF"/>
            <w:tcMar>
              <w:left w:w="14" w:type="dxa"/>
              <w:right w:w="14" w:type="dxa"/>
            </w:tcMar>
            <w:hideMark/>
          </w:tcPr>
          <w:p w:rsidR="00A81BED" w:rsidRPr="00743A41" w:rsidRDefault="00A81BED"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DrPH</w:t>
            </w:r>
          </w:p>
        </w:tc>
        <w:tc>
          <w:tcPr>
            <w:tcW w:w="681" w:type="dxa"/>
            <w:shd w:val="clear" w:color="auto" w:fill="BFBFBF" w:themeFill="background1" w:themeFillShade="BF"/>
            <w:tcMar>
              <w:left w:w="14" w:type="dxa"/>
              <w:right w:w="14" w:type="dxa"/>
            </w:tcMar>
            <w:hideMark/>
          </w:tcPr>
          <w:p w:rsidR="00A81BED" w:rsidRPr="00743A41" w:rsidRDefault="00A81BED"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DrPH</w:t>
            </w:r>
          </w:p>
        </w:tc>
        <w:tc>
          <w:tcPr>
            <w:tcW w:w="681" w:type="dxa"/>
            <w:shd w:val="clear" w:color="auto" w:fill="BFBFBF" w:themeFill="background1" w:themeFillShade="BF"/>
            <w:tcMar>
              <w:left w:w="14" w:type="dxa"/>
              <w:right w:w="14" w:type="dxa"/>
            </w:tcMar>
            <w:hideMark/>
          </w:tcPr>
          <w:p w:rsidR="00A81BED" w:rsidRPr="00743A41" w:rsidRDefault="00A81BED"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DrPH</w:t>
            </w:r>
          </w:p>
        </w:tc>
        <w:tc>
          <w:tcPr>
            <w:tcW w:w="681" w:type="dxa"/>
            <w:shd w:val="clear" w:color="auto" w:fill="BFBFBF" w:themeFill="background1" w:themeFillShade="BF"/>
            <w:tcMar>
              <w:left w:w="14" w:type="dxa"/>
              <w:right w:w="14" w:type="dxa"/>
            </w:tcMar>
            <w:hideMark/>
          </w:tcPr>
          <w:p w:rsidR="00A81BED" w:rsidRPr="00743A41" w:rsidRDefault="00A81BED"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DrPH</w:t>
            </w:r>
          </w:p>
        </w:tc>
        <w:tc>
          <w:tcPr>
            <w:tcW w:w="681" w:type="dxa"/>
            <w:shd w:val="clear" w:color="auto" w:fill="BFBFBF" w:themeFill="background1" w:themeFillShade="BF"/>
            <w:tcMar>
              <w:left w:w="14" w:type="dxa"/>
              <w:right w:w="14" w:type="dxa"/>
            </w:tcMar>
            <w:hideMark/>
          </w:tcPr>
          <w:p w:rsidR="00A81BED" w:rsidRPr="00743A41" w:rsidRDefault="00A81BED"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PHD</w:t>
            </w:r>
          </w:p>
        </w:tc>
        <w:tc>
          <w:tcPr>
            <w:tcW w:w="681" w:type="dxa"/>
            <w:shd w:val="clear" w:color="auto" w:fill="BFBFBF" w:themeFill="background1" w:themeFillShade="BF"/>
            <w:tcMar>
              <w:left w:w="14" w:type="dxa"/>
              <w:right w:w="14" w:type="dxa"/>
            </w:tcMar>
            <w:hideMark/>
          </w:tcPr>
          <w:p w:rsidR="00A81BED" w:rsidRPr="00743A41" w:rsidRDefault="00A81BED"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PHD</w:t>
            </w:r>
          </w:p>
        </w:tc>
        <w:tc>
          <w:tcPr>
            <w:tcW w:w="681" w:type="dxa"/>
            <w:shd w:val="clear" w:color="auto" w:fill="BFBFBF" w:themeFill="background1" w:themeFillShade="BF"/>
            <w:tcMar>
              <w:left w:w="14" w:type="dxa"/>
              <w:right w:w="14" w:type="dxa"/>
            </w:tcMar>
            <w:hideMark/>
          </w:tcPr>
          <w:p w:rsidR="00A81BED" w:rsidRPr="00743A41" w:rsidRDefault="00A81BED"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PHD</w:t>
            </w:r>
          </w:p>
        </w:tc>
        <w:tc>
          <w:tcPr>
            <w:tcW w:w="681" w:type="dxa"/>
            <w:shd w:val="clear" w:color="auto" w:fill="BFBFBF" w:themeFill="background1" w:themeFillShade="BF"/>
            <w:tcMar>
              <w:left w:w="14" w:type="dxa"/>
              <w:right w:w="14" w:type="dxa"/>
            </w:tcMar>
            <w:hideMark/>
          </w:tcPr>
          <w:p w:rsidR="00A81BED" w:rsidRPr="00743A41" w:rsidRDefault="00A81BED"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PHD</w:t>
            </w:r>
          </w:p>
        </w:tc>
        <w:tc>
          <w:tcPr>
            <w:tcW w:w="681" w:type="dxa"/>
            <w:shd w:val="clear" w:color="auto" w:fill="BFBFBF" w:themeFill="background1" w:themeFillShade="BF"/>
            <w:tcMar>
              <w:left w:w="14" w:type="dxa"/>
              <w:right w:w="14" w:type="dxa"/>
            </w:tcMar>
            <w:hideMark/>
          </w:tcPr>
          <w:p w:rsidR="00A81BED" w:rsidRPr="00743A41" w:rsidRDefault="00A81BED"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PHD</w:t>
            </w:r>
          </w:p>
        </w:tc>
      </w:tr>
      <w:tr w:rsidR="00A81BED" w:rsidRPr="00743A41" w:rsidTr="007F6656">
        <w:trPr>
          <w:cantSplit/>
          <w:trHeight w:val="2105"/>
          <w:tblHeader/>
        </w:trPr>
        <w:tc>
          <w:tcPr>
            <w:tcW w:w="0" w:type="auto"/>
            <w:shd w:val="clear" w:color="auto" w:fill="D9D9D9" w:themeFill="background1" w:themeFillShade="D9"/>
            <w:tcMar>
              <w:left w:w="14" w:type="dxa"/>
              <w:right w:w="14" w:type="dxa"/>
            </w:tcMar>
            <w:hideMark/>
          </w:tcPr>
          <w:p w:rsidR="00A81BED" w:rsidRPr="00743A41" w:rsidRDefault="00A81BED"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c>
          <w:tcPr>
            <w:tcW w:w="681" w:type="dxa"/>
            <w:shd w:val="clear" w:color="auto" w:fill="D9D9D9" w:themeFill="background1" w:themeFillShade="D9"/>
            <w:tcMar>
              <w:left w:w="14" w:type="dxa"/>
              <w:right w:w="14" w:type="dxa"/>
            </w:tcMar>
            <w:textDirection w:val="btLr"/>
            <w:vAlign w:val="center"/>
            <w:hideMark/>
          </w:tcPr>
          <w:p w:rsidR="00A81BED" w:rsidRPr="00743A41" w:rsidRDefault="00A81BED" w:rsidP="00A37ED6">
            <w:pPr>
              <w:ind w:left="113" w:right="113"/>
              <w:jc w:val="center"/>
              <w:rPr>
                <w:rFonts w:asciiTheme="majorHAnsi" w:eastAsia="Times New Roman" w:hAnsiTheme="majorHAnsi" w:cstheme="majorHAnsi"/>
                <w:i/>
                <w:iCs/>
                <w:color w:val="000000"/>
                <w:sz w:val="20"/>
                <w:szCs w:val="20"/>
              </w:rPr>
            </w:pPr>
            <w:r w:rsidRPr="00743A41">
              <w:rPr>
                <w:rFonts w:asciiTheme="majorHAnsi" w:eastAsia="Times New Roman" w:hAnsiTheme="majorHAnsi" w:cstheme="majorHAnsi"/>
                <w:i/>
                <w:iCs/>
                <w:color w:val="000000"/>
                <w:sz w:val="20"/>
                <w:szCs w:val="20"/>
              </w:rPr>
              <w:t xml:space="preserve">Environmental </w:t>
            </w:r>
            <w:r w:rsidR="001D624F" w:rsidRPr="00743A41">
              <w:rPr>
                <w:rFonts w:asciiTheme="majorHAnsi" w:eastAsia="Times New Roman" w:hAnsiTheme="majorHAnsi" w:cstheme="majorHAnsi"/>
                <w:i/>
                <w:iCs/>
                <w:color w:val="000000"/>
                <w:sz w:val="20"/>
                <w:szCs w:val="20"/>
              </w:rPr>
              <w:t>Health</w:t>
            </w:r>
          </w:p>
        </w:tc>
        <w:tc>
          <w:tcPr>
            <w:tcW w:w="681" w:type="dxa"/>
            <w:shd w:val="clear" w:color="auto" w:fill="D9D9D9" w:themeFill="background1" w:themeFillShade="D9"/>
            <w:tcMar>
              <w:left w:w="14" w:type="dxa"/>
              <w:right w:w="14" w:type="dxa"/>
            </w:tcMar>
            <w:textDirection w:val="btLr"/>
            <w:vAlign w:val="center"/>
            <w:hideMark/>
          </w:tcPr>
          <w:p w:rsidR="00A81BED" w:rsidRPr="00743A41" w:rsidRDefault="00A81BED" w:rsidP="00A37ED6">
            <w:pPr>
              <w:ind w:left="113" w:right="113"/>
              <w:jc w:val="center"/>
              <w:rPr>
                <w:rFonts w:asciiTheme="majorHAnsi" w:eastAsia="Times New Roman" w:hAnsiTheme="majorHAnsi" w:cstheme="majorHAnsi"/>
                <w:i/>
                <w:iCs/>
                <w:color w:val="000000"/>
                <w:sz w:val="20"/>
                <w:szCs w:val="20"/>
              </w:rPr>
            </w:pPr>
            <w:r w:rsidRPr="00743A41">
              <w:rPr>
                <w:rFonts w:asciiTheme="majorHAnsi" w:eastAsia="Times New Roman" w:hAnsiTheme="majorHAnsi" w:cstheme="majorHAnsi"/>
                <w:i/>
                <w:iCs/>
                <w:color w:val="000000"/>
                <w:sz w:val="20"/>
                <w:szCs w:val="20"/>
              </w:rPr>
              <w:t>Epidemiology</w:t>
            </w:r>
          </w:p>
        </w:tc>
        <w:tc>
          <w:tcPr>
            <w:tcW w:w="681" w:type="dxa"/>
            <w:shd w:val="clear" w:color="auto" w:fill="D9D9D9" w:themeFill="background1" w:themeFillShade="D9"/>
            <w:tcMar>
              <w:left w:w="14" w:type="dxa"/>
              <w:right w:w="14" w:type="dxa"/>
            </w:tcMar>
            <w:textDirection w:val="btLr"/>
            <w:vAlign w:val="center"/>
            <w:hideMark/>
          </w:tcPr>
          <w:p w:rsidR="00A81BED" w:rsidRPr="00743A41" w:rsidRDefault="00A81BED" w:rsidP="00A37ED6">
            <w:pPr>
              <w:ind w:left="113" w:right="113"/>
              <w:jc w:val="center"/>
              <w:rPr>
                <w:rFonts w:asciiTheme="majorHAnsi" w:eastAsia="Times New Roman" w:hAnsiTheme="majorHAnsi" w:cstheme="majorHAnsi"/>
                <w:i/>
                <w:iCs/>
                <w:color w:val="000000"/>
                <w:sz w:val="20"/>
                <w:szCs w:val="20"/>
              </w:rPr>
            </w:pPr>
            <w:r w:rsidRPr="00743A41">
              <w:rPr>
                <w:rFonts w:asciiTheme="majorHAnsi" w:eastAsia="Times New Roman" w:hAnsiTheme="majorHAnsi" w:cstheme="majorHAnsi"/>
                <w:i/>
                <w:iCs/>
                <w:color w:val="000000"/>
                <w:sz w:val="20"/>
                <w:szCs w:val="20"/>
              </w:rPr>
              <w:t>Health Promotion/</w:t>
            </w:r>
          </w:p>
          <w:p w:rsidR="00A81BED" w:rsidRPr="00743A41" w:rsidRDefault="00A81BED" w:rsidP="00A37ED6">
            <w:pPr>
              <w:ind w:left="113" w:right="113"/>
              <w:jc w:val="center"/>
              <w:rPr>
                <w:rFonts w:asciiTheme="majorHAnsi" w:eastAsia="Times New Roman" w:hAnsiTheme="majorHAnsi" w:cstheme="majorHAnsi"/>
                <w:i/>
                <w:iCs/>
                <w:color w:val="000000"/>
                <w:sz w:val="20"/>
                <w:szCs w:val="20"/>
              </w:rPr>
            </w:pPr>
            <w:r w:rsidRPr="00743A41">
              <w:rPr>
                <w:rFonts w:asciiTheme="majorHAnsi" w:eastAsia="Times New Roman" w:hAnsiTheme="majorHAnsi" w:cstheme="majorHAnsi"/>
                <w:i/>
                <w:iCs/>
                <w:color w:val="000000"/>
                <w:sz w:val="20"/>
                <w:szCs w:val="20"/>
              </w:rPr>
              <w:t>Health Education</w:t>
            </w:r>
          </w:p>
        </w:tc>
        <w:tc>
          <w:tcPr>
            <w:tcW w:w="681" w:type="dxa"/>
            <w:shd w:val="clear" w:color="auto" w:fill="D9D9D9" w:themeFill="background1" w:themeFillShade="D9"/>
            <w:tcMar>
              <w:left w:w="14" w:type="dxa"/>
              <w:right w:w="14" w:type="dxa"/>
            </w:tcMar>
            <w:textDirection w:val="btLr"/>
            <w:vAlign w:val="center"/>
            <w:hideMark/>
          </w:tcPr>
          <w:p w:rsidR="00A81BED" w:rsidRPr="00743A41" w:rsidRDefault="00A81BED" w:rsidP="00A37ED6">
            <w:pPr>
              <w:ind w:left="113" w:right="113"/>
              <w:jc w:val="center"/>
              <w:rPr>
                <w:rFonts w:asciiTheme="majorHAnsi" w:eastAsia="Times New Roman" w:hAnsiTheme="majorHAnsi" w:cstheme="majorHAnsi"/>
                <w:i/>
                <w:iCs/>
                <w:color w:val="000000"/>
                <w:sz w:val="20"/>
                <w:szCs w:val="20"/>
              </w:rPr>
            </w:pPr>
            <w:r w:rsidRPr="00743A41">
              <w:rPr>
                <w:rFonts w:asciiTheme="majorHAnsi" w:eastAsia="Times New Roman" w:hAnsiTheme="majorHAnsi" w:cstheme="majorHAnsi"/>
                <w:i/>
                <w:iCs/>
                <w:color w:val="000000"/>
                <w:sz w:val="20"/>
                <w:szCs w:val="20"/>
              </w:rPr>
              <w:t>Community Health Practice</w:t>
            </w:r>
          </w:p>
        </w:tc>
        <w:tc>
          <w:tcPr>
            <w:tcW w:w="681" w:type="dxa"/>
            <w:shd w:val="clear" w:color="auto" w:fill="D9D9D9" w:themeFill="background1" w:themeFillShade="D9"/>
            <w:tcMar>
              <w:left w:w="14" w:type="dxa"/>
              <w:right w:w="14" w:type="dxa"/>
            </w:tcMar>
            <w:textDirection w:val="btLr"/>
            <w:vAlign w:val="center"/>
            <w:hideMark/>
          </w:tcPr>
          <w:p w:rsidR="00A81BED" w:rsidRPr="00743A41" w:rsidRDefault="00A81BED" w:rsidP="00A37ED6">
            <w:pPr>
              <w:ind w:left="113" w:right="113"/>
              <w:jc w:val="center"/>
              <w:rPr>
                <w:rFonts w:asciiTheme="majorHAnsi" w:eastAsia="Times New Roman" w:hAnsiTheme="majorHAnsi" w:cstheme="majorHAnsi"/>
                <w:i/>
                <w:iCs/>
                <w:color w:val="000000"/>
                <w:sz w:val="20"/>
                <w:szCs w:val="20"/>
              </w:rPr>
            </w:pPr>
            <w:r w:rsidRPr="00743A41">
              <w:rPr>
                <w:rFonts w:asciiTheme="majorHAnsi" w:eastAsia="Times New Roman" w:hAnsiTheme="majorHAnsi" w:cstheme="majorHAnsi"/>
                <w:i/>
                <w:iCs/>
                <w:color w:val="000000"/>
                <w:sz w:val="20"/>
                <w:szCs w:val="20"/>
              </w:rPr>
              <w:t>Behavioral Sciences and Health Promotion</w:t>
            </w:r>
          </w:p>
        </w:tc>
        <w:tc>
          <w:tcPr>
            <w:tcW w:w="681" w:type="dxa"/>
            <w:shd w:val="clear" w:color="auto" w:fill="D9D9D9" w:themeFill="background1" w:themeFillShade="D9"/>
            <w:tcMar>
              <w:left w:w="14" w:type="dxa"/>
              <w:right w:w="14" w:type="dxa"/>
            </w:tcMar>
            <w:textDirection w:val="btLr"/>
            <w:vAlign w:val="center"/>
            <w:hideMark/>
          </w:tcPr>
          <w:p w:rsidR="00A81BED" w:rsidRPr="00743A41" w:rsidRDefault="00A81BED" w:rsidP="00A37ED6">
            <w:pPr>
              <w:ind w:left="113" w:right="113"/>
              <w:jc w:val="center"/>
              <w:rPr>
                <w:rFonts w:asciiTheme="majorHAnsi" w:eastAsia="Times New Roman" w:hAnsiTheme="majorHAnsi" w:cstheme="majorHAnsi"/>
                <w:i/>
                <w:iCs/>
                <w:color w:val="000000"/>
                <w:sz w:val="20"/>
                <w:szCs w:val="20"/>
              </w:rPr>
            </w:pPr>
            <w:r w:rsidRPr="00743A41">
              <w:rPr>
                <w:rFonts w:asciiTheme="majorHAnsi" w:eastAsia="Times New Roman" w:hAnsiTheme="majorHAnsi" w:cstheme="majorHAnsi"/>
                <w:i/>
                <w:iCs/>
                <w:color w:val="000000"/>
                <w:sz w:val="20"/>
                <w:szCs w:val="20"/>
              </w:rPr>
              <w:t>Biostatistics</w:t>
            </w:r>
          </w:p>
        </w:tc>
        <w:tc>
          <w:tcPr>
            <w:tcW w:w="681" w:type="dxa"/>
            <w:shd w:val="clear" w:color="auto" w:fill="D9D9D9" w:themeFill="background1" w:themeFillShade="D9"/>
            <w:tcMar>
              <w:left w:w="14" w:type="dxa"/>
              <w:right w:w="14" w:type="dxa"/>
            </w:tcMar>
            <w:textDirection w:val="btLr"/>
            <w:vAlign w:val="center"/>
            <w:hideMark/>
          </w:tcPr>
          <w:p w:rsidR="00A81BED" w:rsidRPr="00743A41" w:rsidRDefault="00A81BED" w:rsidP="00A37ED6">
            <w:pPr>
              <w:ind w:left="113" w:right="113"/>
              <w:jc w:val="center"/>
              <w:rPr>
                <w:rFonts w:asciiTheme="majorHAnsi" w:eastAsia="Times New Roman" w:hAnsiTheme="majorHAnsi" w:cstheme="majorHAnsi"/>
                <w:i/>
                <w:iCs/>
                <w:color w:val="000000"/>
                <w:sz w:val="20"/>
                <w:szCs w:val="20"/>
              </w:rPr>
            </w:pPr>
            <w:r w:rsidRPr="00743A41">
              <w:rPr>
                <w:rFonts w:asciiTheme="majorHAnsi" w:eastAsia="Times New Roman" w:hAnsiTheme="majorHAnsi" w:cstheme="majorHAnsi"/>
                <w:i/>
                <w:iCs/>
                <w:color w:val="000000"/>
                <w:sz w:val="20"/>
                <w:szCs w:val="20"/>
              </w:rPr>
              <w:t>Environmental Science</w:t>
            </w:r>
          </w:p>
        </w:tc>
        <w:tc>
          <w:tcPr>
            <w:tcW w:w="681" w:type="dxa"/>
            <w:shd w:val="clear" w:color="auto" w:fill="D9D9D9" w:themeFill="background1" w:themeFillShade="D9"/>
            <w:tcMar>
              <w:left w:w="14" w:type="dxa"/>
              <w:right w:w="14" w:type="dxa"/>
            </w:tcMar>
            <w:textDirection w:val="btLr"/>
            <w:vAlign w:val="center"/>
            <w:hideMark/>
          </w:tcPr>
          <w:p w:rsidR="00A81BED" w:rsidRPr="00743A41" w:rsidRDefault="00A81BED" w:rsidP="00A37ED6">
            <w:pPr>
              <w:ind w:left="113" w:right="113"/>
              <w:jc w:val="center"/>
              <w:rPr>
                <w:rFonts w:asciiTheme="majorHAnsi" w:eastAsia="Times New Roman" w:hAnsiTheme="majorHAnsi" w:cstheme="majorHAnsi"/>
                <w:i/>
                <w:iCs/>
                <w:color w:val="000000"/>
                <w:sz w:val="20"/>
                <w:szCs w:val="20"/>
              </w:rPr>
            </w:pPr>
            <w:r w:rsidRPr="00743A41">
              <w:rPr>
                <w:rFonts w:asciiTheme="majorHAnsi" w:eastAsia="Times New Roman" w:hAnsiTheme="majorHAnsi" w:cstheme="majorHAnsi"/>
                <w:i/>
                <w:iCs/>
                <w:color w:val="000000"/>
                <w:sz w:val="20"/>
                <w:szCs w:val="20"/>
              </w:rPr>
              <w:t>Epidemiology</w:t>
            </w:r>
          </w:p>
        </w:tc>
        <w:tc>
          <w:tcPr>
            <w:tcW w:w="681" w:type="dxa"/>
            <w:shd w:val="clear" w:color="auto" w:fill="D9D9D9" w:themeFill="background1" w:themeFillShade="D9"/>
            <w:tcMar>
              <w:left w:w="14" w:type="dxa"/>
              <w:right w:w="14" w:type="dxa"/>
            </w:tcMar>
            <w:textDirection w:val="btLr"/>
            <w:vAlign w:val="center"/>
            <w:hideMark/>
          </w:tcPr>
          <w:p w:rsidR="00A81BED" w:rsidRPr="00743A41" w:rsidRDefault="00A81BED" w:rsidP="00A37ED6">
            <w:pPr>
              <w:ind w:left="113" w:right="113"/>
              <w:jc w:val="center"/>
              <w:rPr>
                <w:rFonts w:asciiTheme="majorHAnsi" w:eastAsia="Times New Roman" w:hAnsiTheme="majorHAnsi" w:cstheme="majorHAnsi"/>
                <w:i/>
                <w:iCs/>
                <w:color w:val="000000"/>
                <w:sz w:val="20"/>
                <w:szCs w:val="20"/>
              </w:rPr>
            </w:pPr>
            <w:r w:rsidRPr="00743A41">
              <w:rPr>
                <w:rFonts w:asciiTheme="majorHAnsi" w:eastAsia="Times New Roman" w:hAnsiTheme="majorHAnsi" w:cstheme="majorHAnsi"/>
                <w:i/>
                <w:iCs/>
                <w:color w:val="000000"/>
                <w:sz w:val="20"/>
                <w:szCs w:val="20"/>
              </w:rPr>
              <w:t>Management, Policy and Community Health</w:t>
            </w:r>
          </w:p>
        </w:tc>
      </w:tr>
      <w:tr w:rsidR="00A81BED" w:rsidRPr="00743A41" w:rsidTr="007F6656">
        <w:trPr>
          <w:trHeight w:val="315"/>
        </w:trPr>
        <w:tc>
          <w:tcPr>
            <w:tcW w:w="0" w:type="auto"/>
            <w:tcMar>
              <w:left w:w="14" w:type="dxa"/>
              <w:right w:w="14" w:type="dxa"/>
            </w:tcMar>
            <w:hideMark/>
          </w:tcPr>
          <w:p w:rsidR="00A81BED" w:rsidRPr="00743A41" w:rsidRDefault="00A81BED"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newly admitted in AY19</w:t>
            </w:r>
          </w:p>
        </w:tc>
        <w:tc>
          <w:tcPr>
            <w:tcW w:w="681" w:type="dxa"/>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81" w:type="dxa"/>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81" w:type="dxa"/>
            <w:tcMar>
              <w:left w:w="14" w:type="dxa"/>
              <w:right w:w="14" w:type="dxa"/>
            </w:tcMar>
            <w:vAlign w:val="center"/>
            <w:hideMark/>
          </w:tcPr>
          <w:p w:rsidR="00A81BED" w:rsidRPr="00743A41" w:rsidRDefault="00EB772F"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13</w:t>
            </w:r>
          </w:p>
        </w:tc>
        <w:tc>
          <w:tcPr>
            <w:tcW w:w="681" w:type="dxa"/>
            <w:tcMar>
              <w:left w:w="14" w:type="dxa"/>
              <w:right w:w="14" w:type="dxa"/>
            </w:tcMar>
            <w:vAlign w:val="center"/>
            <w:hideMark/>
          </w:tcPr>
          <w:p w:rsidR="00A81BED" w:rsidRPr="00743A41" w:rsidRDefault="00EB772F"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6</w:t>
            </w:r>
          </w:p>
        </w:tc>
        <w:tc>
          <w:tcPr>
            <w:tcW w:w="681" w:type="dxa"/>
            <w:tcMar>
              <w:left w:w="14" w:type="dxa"/>
              <w:right w:w="14" w:type="dxa"/>
            </w:tcMar>
            <w:vAlign w:val="center"/>
            <w:hideMark/>
          </w:tcPr>
          <w:p w:rsidR="00EB772F" w:rsidRPr="00743A41" w:rsidRDefault="00EB772F"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7</w:t>
            </w:r>
          </w:p>
        </w:tc>
        <w:tc>
          <w:tcPr>
            <w:tcW w:w="681" w:type="dxa"/>
            <w:tcMar>
              <w:left w:w="14" w:type="dxa"/>
              <w:right w:w="14" w:type="dxa"/>
            </w:tcMar>
            <w:vAlign w:val="center"/>
            <w:hideMark/>
          </w:tcPr>
          <w:p w:rsidR="00A81BED" w:rsidRPr="00743A41" w:rsidRDefault="00EB772F"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15</w:t>
            </w:r>
          </w:p>
        </w:tc>
        <w:tc>
          <w:tcPr>
            <w:tcW w:w="681" w:type="dxa"/>
            <w:tcMar>
              <w:left w:w="14" w:type="dxa"/>
              <w:right w:w="14" w:type="dxa"/>
            </w:tcMar>
            <w:vAlign w:val="center"/>
            <w:hideMark/>
          </w:tcPr>
          <w:p w:rsidR="00A81BED" w:rsidRPr="00743A41" w:rsidRDefault="00EB772F"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3</w:t>
            </w:r>
          </w:p>
        </w:tc>
        <w:tc>
          <w:tcPr>
            <w:tcW w:w="681" w:type="dxa"/>
            <w:tcMar>
              <w:left w:w="14" w:type="dxa"/>
              <w:right w:w="14" w:type="dxa"/>
            </w:tcMar>
            <w:vAlign w:val="center"/>
            <w:hideMark/>
          </w:tcPr>
          <w:p w:rsidR="00A81BED" w:rsidRPr="00743A41" w:rsidRDefault="00EB772F"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25</w:t>
            </w:r>
          </w:p>
        </w:tc>
        <w:tc>
          <w:tcPr>
            <w:tcW w:w="681" w:type="dxa"/>
            <w:tcMar>
              <w:left w:w="14" w:type="dxa"/>
              <w:right w:w="14" w:type="dxa"/>
            </w:tcMar>
            <w:vAlign w:val="center"/>
            <w:hideMark/>
          </w:tcPr>
          <w:p w:rsidR="00A81BED" w:rsidRPr="00743A41" w:rsidRDefault="00EB772F"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16</w:t>
            </w:r>
          </w:p>
        </w:tc>
      </w:tr>
      <w:tr w:rsidR="00A81BED" w:rsidRPr="00743A41" w:rsidTr="007F6656">
        <w:trPr>
          <w:trHeight w:val="315"/>
        </w:trPr>
        <w:tc>
          <w:tcPr>
            <w:tcW w:w="0" w:type="auto"/>
            <w:shd w:val="clear" w:color="auto" w:fill="F2F2F2" w:themeFill="background1" w:themeFillShade="F2"/>
            <w:tcMar>
              <w:left w:w="14" w:type="dxa"/>
              <w:right w:w="14" w:type="dxa"/>
            </w:tcMar>
            <w:hideMark/>
          </w:tcPr>
          <w:p w:rsidR="00A81BED" w:rsidRPr="00743A41" w:rsidRDefault="00A81BED"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currently enrolled (total) in AY19</w:t>
            </w:r>
          </w:p>
        </w:tc>
        <w:tc>
          <w:tcPr>
            <w:tcW w:w="681" w:type="dxa"/>
            <w:shd w:val="clear" w:color="auto" w:fill="F2F2F2" w:themeFill="background1" w:themeFillShade="F2"/>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12</w:t>
            </w:r>
          </w:p>
        </w:tc>
        <w:tc>
          <w:tcPr>
            <w:tcW w:w="681" w:type="dxa"/>
            <w:shd w:val="clear" w:color="auto" w:fill="F2F2F2" w:themeFill="background1" w:themeFillShade="F2"/>
            <w:tcMar>
              <w:left w:w="14" w:type="dxa"/>
              <w:right w:w="14" w:type="dxa"/>
            </w:tcMar>
            <w:vAlign w:val="center"/>
            <w:hideMark/>
          </w:tcPr>
          <w:p w:rsidR="00A81BED" w:rsidRPr="00743A41" w:rsidRDefault="00E91242"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w:t>
            </w:r>
          </w:p>
        </w:tc>
        <w:tc>
          <w:tcPr>
            <w:tcW w:w="681" w:type="dxa"/>
            <w:shd w:val="clear" w:color="auto" w:fill="F2F2F2" w:themeFill="background1" w:themeFillShade="F2"/>
            <w:tcMar>
              <w:left w:w="14" w:type="dxa"/>
              <w:right w:w="14" w:type="dxa"/>
            </w:tcMar>
            <w:vAlign w:val="center"/>
            <w:hideMark/>
          </w:tcPr>
          <w:p w:rsidR="00A81BED" w:rsidRPr="00743A41" w:rsidRDefault="001D624F"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48</w:t>
            </w:r>
          </w:p>
        </w:tc>
        <w:tc>
          <w:tcPr>
            <w:tcW w:w="681" w:type="dxa"/>
            <w:shd w:val="clear" w:color="auto" w:fill="F2F2F2" w:themeFill="background1" w:themeFillShade="F2"/>
            <w:tcMar>
              <w:left w:w="14" w:type="dxa"/>
              <w:right w:w="14" w:type="dxa"/>
            </w:tcMar>
            <w:vAlign w:val="center"/>
            <w:hideMark/>
          </w:tcPr>
          <w:p w:rsidR="00A81BED" w:rsidRPr="00743A41" w:rsidRDefault="001D624F"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40</w:t>
            </w:r>
          </w:p>
        </w:tc>
        <w:tc>
          <w:tcPr>
            <w:tcW w:w="681" w:type="dxa"/>
            <w:shd w:val="clear" w:color="auto" w:fill="F2F2F2" w:themeFill="background1" w:themeFillShade="F2"/>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46</w:t>
            </w:r>
          </w:p>
        </w:tc>
        <w:tc>
          <w:tcPr>
            <w:tcW w:w="681" w:type="dxa"/>
            <w:shd w:val="clear" w:color="auto" w:fill="F2F2F2" w:themeFill="background1" w:themeFillShade="F2"/>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72</w:t>
            </w:r>
          </w:p>
        </w:tc>
        <w:tc>
          <w:tcPr>
            <w:tcW w:w="681" w:type="dxa"/>
            <w:shd w:val="clear" w:color="auto" w:fill="F2F2F2" w:themeFill="background1" w:themeFillShade="F2"/>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14</w:t>
            </w:r>
          </w:p>
        </w:tc>
        <w:tc>
          <w:tcPr>
            <w:tcW w:w="681" w:type="dxa"/>
            <w:shd w:val="clear" w:color="auto" w:fill="F2F2F2" w:themeFill="background1" w:themeFillShade="F2"/>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104</w:t>
            </w:r>
          </w:p>
        </w:tc>
        <w:tc>
          <w:tcPr>
            <w:tcW w:w="681" w:type="dxa"/>
            <w:shd w:val="clear" w:color="auto" w:fill="F2F2F2" w:themeFill="background1" w:themeFillShade="F2"/>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87</w:t>
            </w:r>
          </w:p>
        </w:tc>
      </w:tr>
      <w:tr w:rsidR="00A81BED" w:rsidRPr="00743A41" w:rsidTr="007F6656">
        <w:trPr>
          <w:trHeight w:val="315"/>
        </w:trPr>
        <w:tc>
          <w:tcPr>
            <w:tcW w:w="0" w:type="auto"/>
            <w:tcMar>
              <w:left w:w="14" w:type="dxa"/>
              <w:right w:w="14" w:type="dxa"/>
            </w:tcMar>
            <w:hideMark/>
          </w:tcPr>
          <w:p w:rsidR="00A81BED" w:rsidRPr="00743A41" w:rsidRDefault="00A81BED"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completed coursework during AY18</w:t>
            </w:r>
          </w:p>
        </w:tc>
        <w:tc>
          <w:tcPr>
            <w:tcW w:w="681" w:type="dxa"/>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w:t>
            </w:r>
          </w:p>
        </w:tc>
        <w:tc>
          <w:tcPr>
            <w:tcW w:w="681" w:type="dxa"/>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81" w:type="dxa"/>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5</w:t>
            </w:r>
          </w:p>
        </w:tc>
        <w:tc>
          <w:tcPr>
            <w:tcW w:w="681" w:type="dxa"/>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6</w:t>
            </w:r>
          </w:p>
        </w:tc>
        <w:tc>
          <w:tcPr>
            <w:tcW w:w="681" w:type="dxa"/>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6</w:t>
            </w:r>
          </w:p>
        </w:tc>
        <w:tc>
          <w:tcPr>
            <w:tcW w:w="681" w:type="dxa"/>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8</w:t>
            </w:r>
          </w:p>
        </w:tc>
        <w:tc>
          <w:tcPr>
            <w:tcW w:w="681" w:type="dxa"/>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w:t>
            </w:r>
          </w:p>
        </w:tc>
        <w:tc>
          <w:tcPr>
            <w:tcW w:w="681" w:type="dxa"/>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17</w:t>
            </w:r>
          </w:p>
        </w:tc>
        <w:tc>
          <w:tcPr>
            <w:tcW w:w="681" w:type="dxa"/>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12</w:t>
            </w:r>
          </w:p>
        </w:tc>
      </w:tr>
      <w:tr w:rsidR="00A81BED" w:rsidRPr="00743A41" w:rsidTr="007F6656">
        <w:trPr>
          <w:trHeight w:val="315"/>
        </w:trPr>
        <w:tc>
          <w:tcPr>
            <w:tcW w:w="0" w:type="auto"/>
            <w:shd w:val="clear" w:color="auto" w:fill="F2F2F2" w:themeFill="background1" w:themeFillShade="F2"/>
            <w:tcMar>
              <w:left w:w="14" w:type="dxa"/>
              <w:right w:w="14" w:type="dxa"/>
            </w:tcMar>
            <w:hideMark/>
          </w:tcPr>
          <w:p w:rsidR="00A81BED" w:rsidRPr="00743A41" w:rsidRDefault="00A81BED"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advanced to candidacy (cumulative) during AY18</w:t>
            </w:r>
          </w:p>
        </w:tc>
        <w:tc>
          <w:tcPr>
            <w:tcW w:w="681" w:type="dxa"/>
            <w:shd w:val="clear" w:color="auto" w:fill="F2F2F2" w:themeFill="background1" w:themeFillShade="F2"/>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w:t>
            </w:r>
          </w:p>
        </w:tc>
        <w:tc>
          <w:tcPr>
            <w:tcW w:w="681" w:type="dxa"/>
            <w:shd w:val="clear" w:color="auto" w:fill="F2F2F2" w:themeFill="background1" w:themeFillShade="F2"/>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81" w:type="dxa"/>
            <w:shd w:val="clear" w:color="auto" w:fill="F2F2F2" w:themeFill="background1" w:themeFillShade="F2"/>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5</w:t>
            </w:r>
          </w:p>
        </w:tc>
        <w:tc>
          <w:tcPr>
            <w:tcW w:w="681" w:type="dxa"/>
            <w:shd w:val="clear" w:color="auto" w:fill="F2F2F2" w:themeFill="background1" w:themeFillShade="F2"/>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6</w:t>
            </w:r>
          </w:p>
        </w:tc>
        <w:tc>
          <w:tcPr>
            <w:tcW w:w="681" w:type="dxa"/>
            <w:shd w:val="clear" w:color="auto" w:fill="F2F2F2" w:themeFill="background1" w:themeFillShade="F2"/>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6</w:t>
            </w:r>
          </w:p>
        </w:tc>
        <w:tc>
          <w:tcPr>
            <w:tcW w:w="681" w:type="dxa"/>
            <w:shd w:val="clear" w:color="auto" w:fill="F2F2F2" w:themeFill="background1" w:themeFillShade="F2"/>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8</w:t>
            </w:r>
          </w:p>
        </w:tc>
        <w:tc>
          <w:tcPr>
            <w:tcW w:w="681" w:type="dxa"/>
            <w:shd w:val="clear" w:color="auto" w:fill="F2F2F2" w:themeFill="background1" w:themeFillShade="F2"/>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w:t>
            </w:r>
          </w:p>
        </w:tc>
        <w:tc>
          <w:tcPr>
            <w:tcW w:w="681" w:type="dxa"/>
            <w:shd w:val="clear" w:color="auto" w:fill="F2F2F2" w:themeFill="background1" w:themeFillShade="F2"/>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17</w:t>
            </w:r>
          </w:p>
        </w:tc>
        <w:tc>
          <w:tcPr>
            <w:tcW w:w="681" w:type="dxa"/>
            <w:shd w:val="clear" w:color="auto" w:fill="F2F2F2" w:themeFill="background1" w:themeFillShade="F2"/>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12</w:t>
            </w:r>
          </w:p>
        </w:tc>
      </w:tr>
      <w:tr w:rsidR="00A81BED" w:rsidRPr="00743A41" w:rsidTr="007F6656">
        <w:trPr>
          <w:trHeight w:val="315"/>
        </w:trPr>
        <w:tc>
          <w:tcPr>
            <w:tcW w:w="0" w:type="auto"/>
            <w:tcMar>
              <w:left w:w="14" w:type="dxa"/>
              <w:right w:w="14" w:type="dxa"/>
            </w:tcMar>
            <w:hideMark/>
          </w:tcPr>
          <w:p w:rsidR="00A81BED" w:rsidRPr="00743A41" w:rsidRDefault="00A81BED"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graduated in AY18</w:t>
            </w:r>
          </w:p>
        </w:tc>
        <w:tc>
          <w:tcPr>
            <w:tcW w:w="681" w:type="dxa"/>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w:t>
            </w:r>
          </w:p>
        </w:tc>
        <w:tc>
          <w:tcPr>
            <w:tcW w:w="681" w:type="dxa"/>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81" w:type="dxa"/>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4</w:t>
            </w:r>
          </w:p>
        </w:tc>
        <w:tc>
          <w:tcPr>
            <w:tcW w:w="681" w:type="dxa"/>
            <w:tcMar>
              <w:left w:w="14" w:type="dxa"/>
              <w:right w:w="14" w:type="dxa"/>
            </w:tcMar>
            <w:vAlign w:val="center"/>
            <w:hideMark/>
          </w:tcPr>
          <w:p w:rsidR="00A81BED" w:rsidRPr="00743A41" w:rsidRDefault="00665EFF"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5</w:t>
            </w:r>
          </w:p>
        </w:tc>
        <w:tc>
          <w:tcPr>
            <w:tcW w:w="681" w:type="dxa"/>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w:t>
            </w:r>
          </w:p>
        </w:tc>
        <w:tc>
          <w:tcPr>
            <w:tcW w:w="681" w:type="dxa"/>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13</w:t>
            </w:r>
          </w:p>
        </w:tc>
        <w:tc>
          <w:tcPr>
            <w:tcW w:w="681" w:type="dxa"/>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3</w:t>
            </w:r>
          </w:p>
        </w:tc>
        <w:tc>
          <w:tcPr>
            <w:tcW w:w="681" w:type="dxa"/>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21</w:t>
            </w:r>
          </w:p>
        </w:tc>
        <w:tc>
          <w:tcPr>
            <w:tcW w:w="681" w:type="dxa"/>
            <w:tcMar>
              <w:left w:w="14" w:type="dxa"/>
              <w:right w:w="14" w:type="dxa"/>
            </w:tcMar>
            <w:vAlign w:val="center"/>
            <w:hideMark/>
          </w:tcPr>
          <w:p w:rsidR="00A81BED" w:rsidRPr="00743A41" w:rsidRDefault="00A81BED"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9</w:t>
            </w:r>
          </w:p>
        </w:tc>
      </w:tr>
    </w:tbl>
    <w:p w:rsidR="00A81BED" w:rsidRPr="00743A41" w:rsidRDefault="00A81BED" w:rsidP="00A37ED6">
      <w:pPr>
        <w:pStyle w:val="Default"/>
        <w:ind w:left="720"/>
        <w:rPr>
          <w:rFonts w:asciiTheme="majorHAnsi" w:hAnsiTheme="majorHAnsi" w:cstheme="majorHAnsi"/>
          <w:color w:val="auto"/>
          <w:szCs w:val="20"/>
        </w:rPr>
      </w:pPr>
    </w:p>
    <w:p w:rsidR="00933038" w:rsidRPr="00743A41" w:rsidRDefault="00933038" w:rsidP="00A37ED6">
      <w:pPr>
        <w:pStyle w:val="Default"/>
        <w:numPr>
          <w:ilvl w:val="0"/>
          <w:numId w:val="5"/>
        </w:numPr>
        <w:ind w:left="720"/>
        <w:jc w:val="both"/>
        <w:rPr>
          <w:rFonts w:asciiTheme="majorHAnsi" w:hAnsiTheme="majorHAnsi" w:cstheme="majorHAnsi"/>
          <w:color w:val="auto"/>
          <w:szCs w:val="20"/>
        </w:rPr>
      </w:pPr>
      <w:r w:rsidRPr="00743A41">
        <w:rPr>
          <w:rFonts w:asciiTheme="majorHAnsi" w:hAnsiTheme="majorHAnsi" w:cstheme="majorHAnsi"/>
          <w:color w:val="auto"/>
          <w:szCs w:val="20"/>
        </w:rPr>
        <w:t xml:space="preserve">Explain the data presented above, including identification of factors contributing to any rates that do not meet this criterion’s expectations and plans to address these factors. </w:t>
      </w:r>
    </w:p>
    <w:p w:rsidR="00933038" w:rsidRPr="00743A41" w:rsidRDefault="00933038" w:rsidP="00A37ED6">
      <w:pPr>
        <w:pStyle w:val="Default"/>
        <w:ind w:left="720"/>
        <w:rPr>
          <w:rFonts w:asciiTheme="majorHAnsi" w:hAnsiTheme="majorHAnsi" w:cstheme="majorHAnsi"/>
          <w:color w:val="auto"/>
          <w:szCs w:val="20"/>
        </w:rPr>
      </w:pPr>
    </w:p>
    <w:p w:rsidR="00C91EFA" w:rsidRPr="003E5035" w:rsidRDefault="00C91EFA" w:rsidP="00A37ED6">
      <w:pPr>
        <w:pBdr>
          <w:top w:val="nil"/>
          <w:left w:val="nil"/>
          <w:bottom w:val="nil"/>
          <w:right w:val="nil"/>
          <w:between w:val="nil"/>
        </w:pBdr>
        <w:ind w:left="72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 xml:space="preserve">At the UTHealth School of Public Health, the timeframe for graduation is five years for master’s students and seven years for doctoral students as </w:t>
      </w:r>
      <w:r w:rsidRPr="003E5035">
        <w:rPr>
          <w:rFonts w:asciiTheme="majorHAnsi" w:eastAsia="Arial" w:hAnsiTheme="majorHAnsi" w:cstheme="majorHAnsi"/>
          <w:color w:val="000000"/>
          <w:sz w:val="20"/>
          <w:szCs w:val="20"/>
        </w:rPr>
        <w:t xml:space="preserve">defined in </w:t>
      </w:r>
      <w:r w:rsidR="00C56550" w:rsidRPr="003E5035">
        <w:rPr>
          <w:rFonts w:asciiTheme="majorHAnsi" w:hAnsiTheme="majorHAnsi" w:cstheme="majorHAnsi"/>
          <w:sz w:val="20"/>
          <w:szCs w:val="20"/>
        </w:rPr>
        <w:t>Policy 402 Enrollment Requirements, Degree Time Limits, and Leaves of Absence</w:t>
      </w:r>
      <w:r w:rsidR="00C56550" w:rsidRPr="003E5035">
        <w:rPr>
          <w:rFonts w:asciiTheme="majorHAnsi" w:eastAsia="Arial" w:hAnsiTheme="majorHAnsi" w:cstheme="majorHAnsi"/>
          <w:color w:val="000000"/>
          <w:sz w:val="20"/>
          <w:szCs w:val="20"/>
        </w:rPr>
        <w:t xml:space="preserve"> (</w:t>
      </w:r>
      <w:r w:rsidR="00C56550" w:rsidRPr="003E5035">
        <w:rPr>
          <w:rFonts w:asciiTheme="majorHAnsi" w:eastAsia="Arial" w:hAnsiTheme="majorHAnsi" w:cstheme="majorHAnsi"/>
          <w:i/>
          <w:color w:val="000000"/>
          <w:sz w:val="20"/>
          <w:szCs w:val="20"/>
        </w:rPr>
        <w:t>ERF, B2. Graduation Rates</w:t>
      </w:r>
      <w:r w:rsidR="00A65D07">
        <w:rPr>
          <w:rFonts w:asciiTheme="majorHAnsi" w:eastAsia="Arial" w:hAnsiTheme="majorHAnsi" w:cstheme="majorHAnsi"/>
          <w:i/>
          <w:color w:val="000000"/>
          <w:sz w:val="20"/>
          <w:szCs w:val="20"/>
        </w:rPr>
        <w:t>, Policy 104</w:t>
      </w:r>
      <w:r w:rsidR="00C56550" w:rsidRPr="003E5035">
        <w:rPr>
          <w:rFonts w:asciiTheme="majorHAnsi" w:eastAsia="Arial" w:hAnsiTheme="majorHAnsi" w:cstheme="majorHAnsi"/>
          <w:color w:val="000000"/>
          <w:sz w:val="20"/>
          <w:szCs w:val="20"/>
        </w:rPr>
        <w:t>)</w:t>
      </w:r>
      <w:r w:rsidRPr="003E5035">
        <w:rPr>
          <w:rFonts w:asciiTheme="majorHAnsi" w:eastAsia="Arial" w:hAnsiTheme="majorHAnsi" w:cstheme="majorHAnsi"/>
          <w:color w:val="000000"/>
          <w:sz w:val="20"/>
          <w:szCs w:val="20"/>
        </w:rPr>
        <w:t xml:space="preserve">. </w:t>
      </w:r>
      <w:r w:rsidR="00F70EB4" w:rsidRPr="003E5035">
        <w:rPr>
          <w:rFonts w:asciiTheme="majorHAnsi" w:eastAsia="Arial" w:hAnsiTheme="majorHAnsi" w:cstheme="majorHAnsi"/>
          <w:color w:val="000000"/>
          <w:sz w:val="20"/>
          <w:szCs w:val="20"/>
        </w:rPr>
        <w:t xml:space="preserve">The data presented </w:t>
      </w:r>
      <w:r w:rsidR="00F70EB4" w:rsidRPr="00AA3737">
        <w:rPr>
          <w:rFonts w:asciiTheme="majorHAnsi" w:eastAsia="Arial" w:hAnsiTheme="majorHAnsi" w:cstheme="majorHAnsi"/>
          <w:color w:val="000000"/>
          <w:sz w:val="20"/>
          <w:szCs w:val="20"/>
        </w:rPr>
        <w:t xml:space="preserve">in </w:t>
      </w:r>
      <w:hyperlink w:anchor="_B2._Graduation_Rates" w:history="1">
        <w:r w:rsidR="00127BC4" w:rsidRPr="003E5035">
          <w:rPr>
            <w:rStyle w:val="Hyperlink"/>
            <w:rFonts w:asciiTheme="majorHAnsi" w:hAnsiTheme="majorHAnsi" w:cstheme="majorHAnsi"/>
            <w:i/>
            <w:sz w:val="20"/>
            <w:szCs w:val="20"/>
          </w:rPr>
          <w:t>Criterion B2. Graduation Rates</w:t>
        </w:r>
      </w:hyperlink>
      <w:r w:rsidR="00F70EB4" w:rsidRPr="003E5035">
        <w:rPr>
          <w:rFonts w:asciiTheme="majorHAnsi" w:eastAsia="Arial" w:hAnsiTheme="majorHAnsi" w:cstheme="majorHAnsi"/>
          <w:color w:val="000000"/>
          <w:sz w:val="20"/>
          <w:szCs w:val="20"/>
        </w:rPr>
        <w:t xml:space="preserve"> exceeds the criterion’s expectations for all degree programs. </w:t>
      </w:r>
    </w:p>
    <w:p w:rsidR="000E6503" w:rsidRPr="00743A41" w:rsidRDefault="000E6503" w:rsidP="00A37ED6">
      <w:pPr>
        <w:pBdr>
          <w:top w:val="nil"/>
          <w:left w:val="nil"/>
          <w:bottom w:val="nil"/>
          <w:right w:val="nil"/>
          <w:between w:val="nil"/>
        </w:pBdr>
        <w:ind w:left="720"/>
        <w:jc w:val="both"/>
        <w:rPr>
          <w:rFonts w:asciiTheme="majorHAnsi" w:eastAsia="Arial" w:hAnsiTheme="majorHAnsi" w:cstheme="majorHAnsi"/>
          <w:color w:val="000000"/>
          <w:sz w:val="20"/>
          <w:szCs w:val="20"/>
        </w:rPr>
      </w:pPr>
    </w:p>
    <w:p w:rsidR="000E6503" w:rsidRPr="00743A41" w:rsidRDefault="000E6503" w:rsidP="00A37ED6">
      <w:pPr>
        <w:pBdr>
          <w:top w:val="nil"/>
          <w:left w:val="nil"/>
          <w:bottom w:val="nil"/>
          <w:right w:val="nil"/>
          <w:between w:val="nil"/>
        </w:pBdr>
        <w:ind w:left="720"/>
        <w:jc w:val="both"/>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Associated documents in the electronic resource file:</w:t>
      </w:r>
    </w:p>
    <w:p w:rsidR="000E6503" w:rsidRPr="00DE25B3" w:rsidRDefault="00127BC4" w:rsidP="00A37ED6">
      <w:pPr>
        <w:pStyle w:val="ListParagraph"/>
        <w:numPr>
          <w:ilvl w:val="0"/>
          <w:numId w:val="63"/>
        </w:numPr>
        <w:pBdr>
          <w:top w:val="nil"/>
          <w:left w:val="nil"/>
          <w:bottom w:val="nil"/>
          <w:right w:val="nil"/>
          <w:between w:val="nil"/>
        </w:pBdr>
        <w:jc w:val="both"/>
        <w:rPr>
          <w:rFonts w:asciiTheme="majorHAnsi" w:eastAsia="Arial" w:hAnsiTheme="majorHAnsi" w:cstheme="majorHAnsi"/>
          <w:i/>
          <w:color w:val="000000"/>
          <w:szCs w:val="20"/>
        </w:rPr>
      </w:pPr>
      <w:r w:rsidRPr="00DE25B3">
        <w:rPr>
          <w:rFonts w:asciiTheme="majorHAnsi" w:eastAsia="Arial" w:hAnsiTheme="majorHAnsi" w:cstheme="majorHAnsi"/>
          <w:i/>
        </w:rPr>
        <w:t>B2. Graduation Rates</w:t>
      </w:r>
    </w:p>
    <w:p w:rsidR="00127BC4" w:rsidRPr="00DE25B3" w:rsidRDefault="00127BC4" w:rsidP="00FC4AEF">
      <w:pPr>
        <w:pStyle w:val="ListParagraph"/>
        <w:numPr>
          <w:ilvl w:val="1"/>
          <w:numId w:val="63"/>
        </w:numPr>
        <w:pBdr>
          <w:top w:val="nil"/>
          <w:left w:val="nil"/>
          <w:bottom w:val="nil"/>
          <w:right w:val="nil"/>
          <w:between w:val="nil"/>
        </w:pBdr>
        <w:jc w:val="both"/>
        <w:rPr>
          <w:rFonts w:asciiTheme="majorHAnsi" w:eastAsia="Arial" w:hAnsiTheme="majorHAnsi" w:cstheme="majorHAnsi"/>
          <w:i/>
        </w:rPr>
      </w:pPr>
      <w:r w:rsidRPr="00DE25B3">
        <w:rPr>
          <w:rFonts w:asciiTheme="majorHAnsi" w:eastAsia="Arial" w:hAnsiTheme="majorHAnsi" w:cstheme="majorHAnsi"/>
          <w:i/>
        </w:rPr>
        <w:t>MPH Graduation Rates, Raw Data</w:t>
      </w:r>
    </w:p>
    <w:p w:rsidR="00127BC4" w:rsidRPr="00DE25B3" w:rsidRDefault="00127BC4" w:rsidP="00FC4AEF">
      <w:pPr>
        <w:pStyle w:val="ListParagraph"/>
        <w:numPr>
          <w:ilvl w:val="1"/>
          <w:numId w:val="63"/>
        </w:numPr>
        <w:pBdr>
          <w:top w:val="nil"/>
          <w:left w:val="nil"/>
          <w:bottom w:val="nil"/>
          <w:right w:val="nil"/>
          <w:between w:val="nil"/>
        </w:pBdr>
        <w:jc w:val="both"/>
        <w:rPr>
          <w:rFonts w:asciiTheme="majorHAnsi" w:eastAsia="Arial" w:hAnsiTheme="majorHAnsi" w:cstheme="majorHAnsi"/>
          <w:i/>
        </w:rPr>
      </w:pPr>
      <w:r w:rsidRPr="00DE25B3">
        <w:rPr>
          <w:rFonts w:asciiTheme="majorHAnsi" w:eastAsia="Arial" w:hAnsiTheme="majorHAnsi" w:cstheme="majorHAnsi"/>
          <w:i/>
        </w:rPr>
        <w:t>MS Graduation Rates, Raw Data</w:t>
      </w:r>
    </w:p>
    <w:p w:rsidR="00127BC4" w:rsidRPr="00DE25B3" w:rsidRDefault="00127BC4" w:rsidP="00FC4AEF">
      <w:pPr>
        <w:pStyle w:val="ListParagraph"/>
        <w:numPr>
          <w:ilvl w:val="1"/>
          <w:numId w:val="63"/>
        </w:numPr>
        <w:pBdr>
          <w:top w:val="nil"/>
          <w:left w:val="nil"/>
          <w:bottom w:val="nil"/>
          <w:right w:val="nil"/>
          <w:between w:val="nil"/>
        </w:pBdr>
        <w:jc w:val="both"/>
        <w:rPr>
          <w:rFonts w:asciiTheme="majorHAnsi" w:eastAsia="Arial" w:hAnsiTheme="majorHAnsi" w:cstheme="majorHAnsi"/>
          <w:i/>
        </w:rPr>
      </w:pPr>
      <w:r w:rsidRPr="00DE25B3">
        <w:rPr>
          <w:rFonts w:asciiTheme="majorHAnsi" w:eastAsia="Arial" w:hAnsiTheme="majorHAnsi" w:cstheme="majorHAnsi"/>
          <w:i/>
        </w:rPr>
        <w:t>DrPH Graduation Rates, Raw Data</w:t>
      </w:r>
    </w:p>
    <w:p w:rsidR="00127BC4" w:rsidRPr="00DE25B3" w:rsidRDefault="00127BC4" w:rsidP="00FC4AEF">
      <w:pPr>
        <w:pStyle w:val="ListParagraph"/>
        <w:numPr>
          <w:ilvl w:val="1"/>
          <w:numId w:val="63"/>
        </w:numPr>
        <w:pBdr>
          <w:top w:val="nil"/>
          <w:left w:val="nil"/>
          <w:bottom w:val="nil"/>
          <w:right w:val="nil"/>
          <w:between w:val="nil"/>
        </w:pBdr>
        <w:jc w:val="both"/>
        <w:rPr>
          <w:rFonts w:asciiTheme="majorHAnsi" w:eastAsia="Arial" w:hAnsiTheme="majorHAnsi" w:cstheme="majorHAnsi"/>
          <w:i/>
          <w:szCs w:val="20"/>
        </w:rPr>
      </w:pPr>
      <w:r w:rsidRPr="00DE25B3">
        <w:rPr>
          <w:rFonts w:asciiTheme="majorHAnsi" w:eastAsia="Arial" w:hAnsiTheme="majorHAnsi" w:cstheme="majorHAnsi"/>
          <w:i/>
        </w:rPr>
        <w:t>PhD Graduation Rates, Raw Data</w:t>
      </w:r>
    </w:p>
    <w:p w:rsidR="00127BC4" w:rsidRPr="00DE25B3" w:rsidRDefault="00127BC4" w:rsidP="00FC4AEF">
      <w:pPr>
        <w:pStyle w:val="ListParagraph"/>
        <w:numPr>
          <w:ilvl w:val="1"/>
          <w:numId w:val="63"/>
        </w:numPr>
        <w:pBdr>
          <w:top w:val="nil"/>
          <w:left w:val="nil"/>
          <w:bottom w:val="nil"/>
          <w:right w:val="nil"/>
          <w:between w:val="nil"/>
        </w:pBdr>
        <w:jc w:val="both"/>
        <w:rPr>
          <w:rFonts w:asciiTheme="majorHAnsi" w:eastAsia="Arial" w:hAnsiTheme="majorHAnsi" w:cstheme="majorHAnsi"/>
          <w:i/>
        </w:rPr>
      </w:pPr>
      <w:r w:rsidRPr="00DE25B3">
        <w:rPr>
          <w:rFonts w:asciiTheme="majorHAnsi" w:eastAsia="Arial" w:hAnsiTheme="majorHAnsi" w:cstheme="majorHAnsi"/>
          <w:i/>
          <w:szCs w:val="20"/>
        </w:rPr>
        <w:t xml:space="preserve">Policy </w:t>
      </w:r>
      <w:r w:rsidRPr="00DE25B3">
        <w:rPr>
          <w:rFonts w:asciiTheme="majorHAnsi" w:hAnsiTheme="majorHAnsi" w:cstheme="majorHAnsi"/>
          <w:i/>
          <w:szCs w:val="20"/>
        </w:rPr>
        <w:t>402 Enrollment Requirements, Degree Time Limits, and Leaves of Absence</w:t>
      </w:r>
    </w:p>
    <w:p w:rsidR="00933038" w:rsidRPr="00DE25B3" w:rsidRDefault="00933038" w:rsidP="00A37ED6">
      <w:pPr>
        <w:pStyle w:val="Default"/>
        <w:ind w:left="720"/>
        <w:jc w:val="both"/>
        <w:rPr>
          <w:rFonts w:asciiTheme="majorHAnsi" w:hAnsiTheme="majorHAnsi" w:cstheme="majorHAnsi"/>
          <w:i/>
          <w:color w:val="auto"/>
          <w:szCs w:val="20"/>
        </w:rPr>
      </w:pPr>
    </w:p>
    <w:p w:rsidR="00933038" w:rsidRPr="00743A41" w:rsidRDefault="00933038" w:rsidP="00A37ED6">
      <w:pPr>
        <w:pStyle w:val="Default"/>
        <w:numPr>
          <w:ilvl w:val="0"/>
          <w:numId w:val="5"/>
        </w:numPr>
        <w:ind w:left="720"/>
        <w:jc w:val="both"/>
        <w:rPr>
          <w:rFonts w:asciiTheme="majorHAnsi" w:hAnsiTheme="majorHAnsi" w:cstheme="majorHAnsi"/>
          <w:color w:val="auto"/>
          <w:szCs w:val="20"/>
        </w:rPr>
      </w:pPr>
      <w:r w:rsidRPr="00743A41">
        <w:rPr>
          <w:rFonts w:asciiTheme="majorHAnsi" w:hAnsiTheme="majorHAnsi" w:cstheme="majorHAnsi"/>
          <w:color w:val="auto"/>
          <w:szCs w:val="20"/>
        </w:rPr>
        <w:t xml:space="preserve">If applicable, assess strengths and weaknesses related to this criterion and plans for improvement in this area. </w:t>
      </w:r>
    </w:p>
    <w:p w:rsidR="00933038" w:rsidRPr="00743A41" w:rsidRDefault="00933038" w:rsidP="00A37ED6">
      <w:pPr>
        <w:pStyle w:val="Default"/>
        <w:jc w:val="both"/>
        <w:rPr>
          <w:rFonts w:asciiTheme="majorHAnsi" w:hAnsiTheme="majorHAnsi" w:cstheme="majorHAnsi"/>
          <w:color w:val="auto"/>
          <w:szCs w:val="20"/>
        </w:rPr>
      </w:pPr>
    </w:p>
    <w:p w:rsidR="00BF7C0A" w:rsidRPr="00743A41" w:rsidRDefault="00BF7C0A" w:rsidP="00A37ED6">
      <w:pPr>
        <w:ind w:firstLine="720"/>
        <w:rPr>
          <w:rStyle w:val="Heading1Char"/>
          <w:color w:val="000000"/>
        </w:rPr>
      </w:pPr>
      <w:r w:rsidRPr="00743A41">
        <w:rPr>
          <w:rStyle w:val="Heading1Char"/>
        </w:rPr>
        <w:t>Strengths</w:t>
      </w:r>
    </w:p>
    <w:p w:rsidR="00BF7C0A" w:rsidRPr="00743A41" w:rsidRDefault="00BF7C0A" w:rsidP="00A37ED6">
      <w:pPr>
        <w:pStyle w:val="ListParagraph"/>
        <w:numPr>
          <w:ilvl w:val="0"/>
          <w:numId w:val="177"/>
        </w:numPr>
        <w:spacing w:after="160"/>
        <w:contextualSpacing/>
        <w:rPr>
          <w:rStyle w:val="Heading1Char"/>
        </w:rPr>
      </w:pPr>
      <w:r w:rsidRPr="00743A41">
        <w:rPr>
          <w:rStyle w:val="Heading1Char"/>
          <w:b w:val="0"/>
        </w:rPr>
        <w:t>The UTHealth School of Public Health maintains high graduation rates: 87% for MPH students, 93% for MS students, and 77% for both DrPH and PhD students.</w:t>
      </w:r>
    </w:p>
    <w:p w:rsidR="00BF7C0A" w:rsidRPr="00743A41" w:rsidRDefault="00BF7C0A" w:rsidP="00A37ED6">
      <w:pPr>
        <w:ind w:firstLine="720"/>
        <w:rPr>
          <w:rStyle w:val="Heading1Char"/>
        </w:rPr>
      </w:pPr>
      <w:r w:rsidRPr="00743A41">
        <w:rPr>
          <w:rStyle w:val="Heading1Char"/>
        </w:rPr>
        <w:t>Weaknesses</w:t>
      </w:r>
    </w:p>
    <w:p w:rsidR="00C745E5" w:rsidRPr="00743A41" w:rsidRDefault="00BF7C0A" w:rsidP="00A37ED6">
      <w:pPr>
        <w:pStyle w:val="ListParagraph"/>
        <w:numPr>
          <w:ilvl w:val="0"/>
          <w:numId w:val="179"/>
        </w:numPr>
        <w:spacing w:after="160"/>
        <w:ind w:left="1440"/>
        <w:contextualSpacing/>
        <w:rPr>
          <w:rStyle w:val="Heading1Char"/>
          <w:bCs w:val="0"/>
        </w:rPr>
      </w:pPr>
      <w:r w:rsidRPr="00743A41">
        <w:rPr>
          <w:rStyle w:val="Heading1Char"/>
          <w:b w:val="0"/>
        </w:rPr>
        <w:t xml:space="preserve">The UTHealth School of Public Health aspires to a graduation rate of 90% or greater for all its degree programs. Recently, it has been more proactive in flagging students who may be having academic challenges, so that interventions can be implemented earlier in these students’ academic trajectories. It is also examining how faculty and staff can better help students cope with stress and mental health issues. </w:t>
      </w:r>
      <w:bookmarkStart w:id="33" w:name="_B3._Post-Graduation_Outcomes"/>
      <w:bookmarkStart w:id="34" w:name="_Toc464487858"/>
      <w:bookmarkStart w:id="35" w:name="_Toc7118191"/>
      <w:bookmarkEnd w:id="33"/>
    </w:p>
    <w:p w:rsidR="00933038" w:rsidRPr="00743A41" w:rsidRDefault="00933038" w:rsidP="007A68BE">
      <w:pPr>
        <w:pStyle w:val="Heading1"/>
      </w:pPr>
      <w:bookmarkStart w:id="36" w:name="_B3._Post-Graduation_Outcomes_1"/>
      <w:bookmarkEnd w:id="36"/>
      <w:r w:rsidRPr="00743A41">
        <w:rPr>
          <w:rStyle w:val="Heading1Char"/>
          <w:b/>
        </w:rPr>
        <w:t>B3. Post-Graduation Outcomes</w:t>
      </w:r>
      <w:bookmarkEnd w:id="34"/>
      <w:bookmarkEnd w:id="35"/>
      <w:r w:rsidRPr="00743A41">
        <w:t xml:space="preserve"> </w:t>
      </w:r>
    </w:p>
    <w:p w:rsidR="00933038" w:rsidRPr="00743A41" w:rsidRDefault="00933038" w:rsidP="00A37ED6">
      <w:pPr>
        <w:pStyle w:val="Default"/>
        <w:ind w:left="720"/>
        <w:rPr>
          <w:rFonts w:asciiTheme="majorHAnsi" w:hAnsiTheme="majorHAnsi" w:cstheme="majorHAnsi"/>
          <w:b/>
          <w:color w:val="auto"/>
          <w:szCs w:val="20"/>
        </w:rPr>
      </w:pPr>
    </w:p>
    <w:p w:rsidR="00933038" w:rsidRPr="00743A41" w:rsidRDefault="00933038" w:rsidP="00A37ED6">
      <w:pPr>
        <w:pStyle w:val="Default"/>
        <w:jc w:val="both"/>
        <w:rPr>
          <w:rFonts w:asciiTheme="majorHAnsi" w:hAnsiTheme="majorHAnsi" w:cstheme="majorHAnsi"/>
          <w:b/>
          <w:color w:val="auto"/>
          <w:szCs w:val="20"/>
        </w:rPr>
      </w:pPr>
      <w:r w:rsidRPr="00743A41">
        <w:rPr>
          <w:rFonts w:asciiTheme="majorHAnsi" w:hAnsiTheme="majorHAnsi" w:cstheme="majorHAnsi"/>
          <w:b/>
          <w:color w:val="auto"/>
          <w:szCs w:val="20"/>
        </w:rPr>
        <w:t xml:space="preserve">The school collects and analyzes data on graduates’ employment or enrollment in further education post-graduation, for each </w:t>
      </w:r>
      <w:r w:rsidR="00180295" w:rsidRPr="00743A41">
        <w:rPr>
          <w:rFonts w:asciiTheme="majorHAnsi" w:hAnsiTheme="majorHAnsi" w:cstheme="majorHAnsi"/>
          <w:b/>
          <w:color w:val="auto"/>
          <w:szCs w:val="20"/>
        </w:rPr>
        <w:t xml:space="preserve">public health </w:t>
      </w:r>
      <w:r w:rsidRPr="00743A41">
        <w:rPr>
          <w:rFonts w:asciiTheme="majorHAnsi" w:hAnsiTheme="majorHAnsi" w:cstheme="majorHAnsi"/>
          <w:b/>
          <w:color w:val="auto"/>
          <w:szCs w:val="20"/>
        </w:rPr>
        <w:t>degree offered (eg, BS, MPH, MS, PhD, DrPH).</w:t>
      </w:r>
    </w:p>
    <w:p w:rsidR="00933038" w:rsidRPr="00743A41" w:rsidRDefault="00933038" w:rsidP="00A37ED6">
      <w:pPr>
        <w:pStyle w:val="Default"/>
        <w:jc w:val="both"/>
        <w:rPr>
          <w:rFonts w:asciiTheme="majorHAnsi" w:hAnsiTheme="majorHAnsi" w:cstheme="majorHAnsi"/>
          <w:b/>
          <w:color w:val="auto"/>
          <w:szCs w:val="20"/>
        </w:rPr>
      </w:pPr>
    </w:p>
    <w:p w:rsidR="00933038" w:rsidRPr="00743A41" w:rsidRDefault="00933038" w:rsidP="00A37ED6">
      <w:pPr>
        <w:pStyle w:val="Default"/>
        <w:jc w:val="both"/>
        <w:rPr>
          <w:rFonts w:asciiTheme="majorHAnsi" w:hAnsiTheme="majorHAnsi" w:cstheme="majorHAnsi"/>
          <w:b/>
          <w:color w:val="auto"/>
          <w:szCs w:val="20"/>
        </w:rPr>
      </w:pPr>
      <w:r w:rsidRPr="00743A41">
        <w:rPr>
          <w:rFonts w:asciiTheme="majorHAnsi" w:hAnsiTheme="majorHAnsi" w:cstheme="majorHAnsi"/>
          <w:b/>
          <w:color w:val="auto"/>
          <w:szCs w:val="20"/>
        </w:rPr>
        <w:t>The school achieves rates of 80% or greater employment or enrollment in further education within the defined time period for each degree.</w:t>
      </w:r>
    </w:p>
    <w:p w:rsidR="00933038" w:rsidRPr="00743A41" w:rsidRDefault="00933038" w:rsidP="00A37ED6">
      <w:pPr>
        <w:pStyle w:val="Default"/>
        <w:jc w:val="both"/>
        <w:rPr>
          <w:rFonts w:asciiTheme="majorHAnsi" w:hAnsiTheme="majorHAnsi" w:cstheme="majorHAnsi"/>
          <w:color w:val="auto"/>
          <w:szCs w:val="20"/>
        </w:rPr>
      </w:pPr>
    </w:p>
    <w:p w:rsidR="00933038" w:rsidRPr="00743A41" w:rsidRDefault="00933038" w:rsidP="00A37ED6">
      <w:pPr>
        <w:pStyle w:val="Default"/>
        <w:numPr>
          <w:ilvl w:val="0"/>
          <w:numId w:val="6"/>
        </w:numPr>
        <w:jc w:val="both"/>
        <w:rPr>
          <w:rFonts w:asciiTheme="majorHAnsi" w:hAnsiTheme="majorHAnsi" w:cstheme="majorHAnsi"/>
          <w:color w:val="auto"/>
          <w:szCs w:val="20"/>
        </w:rPr>
      </w:pPr>
      <w:r w:rsidRPr="00743A41">
        <w:rPr>
          <w:rFonts w:asciiTheme="majorHAnsi" w:hAnsiTheme="majorHAnsi" w:cstheme="majorHAnsi"/>
          <w:color w:val="auto"/>
          <w:szCs w:val="20"/>
        </w:rPr>
        <w:t xml:space="preserve">Data on post-graduation outcomes (employment or enrollment in further education) for each degree. See Template B3-1. </w:t>
      </w:r>
    </w:p>
    <w:p w:rsidR="00933038" w:rsidRPr="00743A41" w:rsidRDefault="00933038" w:rsidP="00A37ED6">
      <w:pPr>
        <w:pStyle w:val="Default"/>
        <w:jc w:val="both"/>
        <w:rPr>
          <w:rFonts w:asciiTheme="majorHAnsi" w:hAnsiTheme="majorHAnsi" w:cstheme="majorHAnsi"/>
          <w:color w:val="auto"/>
          <w:szCs w:val="20"/>
        </w:rPr>
      </w:pPr>
    </w:p>
    <w:p w:rsidR="00BE4D1A" w:rsidRPr="00FE2D60" w:rsidRDefault="00BE4D1A" w:rsidP="00A37ED6">
      <w:pPr>
        <w:pStyle w:val="Default"/>
        <w:ind w:left="720"/>
        <w:rPr>
          <w:rFonts w:asciiTheme="majorHAnsi" w:hAnsiTheme="majorHAnsi" w:cstheme="majorHAnsi"/>
          <w:color w:val="auto"/>
          <w:szCs w:val="20"/>
        </w:rPr>
      </w:pPr>
      <w:r w:rsidRPr="00743A41">
        <w:rPr>
          <w:rFonts w:asciiTheme="majorHAnsi" w:hAnsiTheme="majorHAnsi" w:cstheme="majorHAnsi"/>
          <w:color w:val="auto"/>
          <w:szCs w:val="20"/>
        </w:rPr>
        <w:t xml:space="preserve">Post-graduation outcomes data </w:t>
      </w:r>
      <w:r w:rsidR="00CE5676">
        <w:rPr>
          <w:rFonts w:asciiTheme="majorHAnsi" w:hAnsiTheme="majorHAnsi" w:cstheme="majorHAnsi"/>
          <w:color w:val="auto"/>
          <w:szCs w:val="20"/>
        </w:rPr>
        <w:t>is available in the electronic resource file</w:t>
      </w:r>
      <w:r w:rsidRPr="00743A41">
        <w:rPr>
          <w:rFonts w:asciiTheme="majorHAnsi" w:hAnsiTheme="majorHAnsi" w:cstheme="majorHAnsi"/>
          <w:color w:val="auto"/>
          <w:szCs w:val="20"/>
        </w:rPr>
        <w:t xml:space="preserve"> </w:t>
      </w:r>
      <w:r w:rsidR="000D3F3B" w:rsidRPr="00743A41">
        <w:rPr>
          <w:rFonts w:asciiTheme="majorHAnsi" w:hAnsiTheme="majorHAnsi" w:cstheme="majorHAnsi"/>
          <w:color w:val="auto"/>
          <w:szCs w:val="20"/>
        </w:rPr>
        <w:t>(</w:t>
      </w:r>
      <w:r w:rsidR="000D3F3B" w:rsidRPr="00FE2D60">
        <w:rPr>
          <w:rFonts w:asciiTheme="majorHAnsi" w:hAnsiTheme="majorHAnsi" w:cstheme="majorHAnsi"/>
          <w:i/>
          <w:color w:val="auto"/>
          <w:szCs w:val="20"/>
        </w:rPr>
        <w:t xml:space="preserve">ERF, </w:t>
      </w:r>
      <w:r w:rsidR="000D3F3B" w:rsidRPr="00FE2D60">
        <w:rPr>
          <w:rFonts w:asciiTheme="majorHAnsi" w:hAnsiTheme="majorHAnsi" w:cstheme="majorHAnsi"/>
          <w:i/>
        </w:rPr>
        <w:t>B3. Post-Graduation Outcomes</w:t>
      </w:r>
      <w:r w:rsidR="000D3F3B" w:rsidRPr="00FE2D60">
        <w:rPr>
          <w:rFonts w:asciiTheme="majorHAnsi" w:hAnsiTheme="majorHAnsi" w:cstheme="majorHAnsi"/>
          <w:color w:val="auto"/>
          <w:szCs w:val="20"/>
        </w:rPr>
        <w:t xml:space="preserve">). </w:t>
      </w:r>
    </w:p>
    <w:p w:rsidR="000F6818" w:rsidRPr="00743A41" w:rsidRDefault="000F6818" w:rsidP="00A37ED6">
      <w:pPr>
        <w:pStyle w:val="Default"/>
        <w:ind w:left="720"/>
        <w:jc w:val="both"/>
        <w:rPr>
          <w:rFonts w:asciiTheme="majorHAnsi" w:hAnsiTheme="majorHAnsi" w:cstheme="majorHAnsi"/>
          <w:color w:val="auto"/>
          <w:szCs w:val="20"/>
        </w:rPr>
      </w:pPr>
    </w:p>
    <w:p w:rsidR="00C91EFA" w:rsidRPr="00743A41" w:rsidRDefault="00C91EFA" w:rsidP="00A37ED6">
      <w:pPr>
        <w:pStyle w:val="Default"/>
        <w:ind w:left="720"/>
        <w:rPr>
          <w:rFonts w:asciiTheme="majorHAnsi" w:hAnsiTheme="majorHAnsi" w:cstheme="majorHAnsi"/>
          <w:color w:val="auto"/>
          <w:szCs w:val="20"/>
        </w:rPr>
      </w:pPr>
      <w:r w:rsidRPr="00743A41">
        <w:rPr>
          <w:rFonts w:asciiTheme="majorHAnsi" w:hAnsiTheme="majorHAnsi" w:cstheme="majorHAnsi"/>
          <w:color w:val="auto"/>
          <w:szCs w:val="20"/>
        </w:rPr>
        <w:t xml:space="preserve">The following categories for primary graduate outcome are utilized in the below templates to align with </w:t>
      </w:r>
      <w:r w:rsidR="0068162D">
        <w:rPr>
          <w:rFonts w:asciiTheme="majorHAnsi" w:hAnsiTheme="majorHAnsi" w:cstheme="majorHAnsi"/>
          <w:color w:val="auto"/>
          <w:szCs w:val="20"/>
        </w:rPr>
        <w:t xml:space="preserve">the </w:t>
      </w:r>
      <w:r w:rsidRPr="00743A41">
        <w:rPr>
          <w:rFonts w:asciiTheme="majorHAnsi" w:hAnsiTheme="majorHAnsi" w:cstheme="majorHAnsi"/>
          <w:color w:val="auto"/>
          <w:szCs w:val="20"/>
        </w:rPr>
        <w:t xml:space="preserve">ASPPH </w:t>
      </w:r>
      <w:r w:rsidR="00B224AD">
        <w:rPr>
          <w:rFonts w:asciiTheme="majorHAnsi" w:hAnsiTheme="majorHAnsi" w:cstheme="majorHAnsi"/>
          <w:color w:val="auto"/>
          <w:szCs w:val="20"/>
        </w:rPr>
        <w:t xml:space="preserve">annual </w:t>
      </w:r>
      <w:r w:rsidRPr="00743A41">
        <w:rPr>
          <w:rFonts w:asciiTheme="majorHAnsi" w:hAnsiTheme="majorHAnsi" w:cstheme="majorHAnsi"/>
          <w:color w:val="auto"/>
          <w:szCs w:val="20"/>
        </w:rPr>
        <w:t xml:space="preserve">reporting criteria: </w:t>
      </w:r>
    </w:p>
    <w:p w:rsidR="00C91EFA" w:rsidRPr="00743A41" w:rsidRDefault="00C91EFA" w:rsidP="00A37ED6">
      <w:pPr>
        <w:pStyle w:val="Default"/>
        <w:numPr>
          <w:ilvl w:val="0"/>
          <w:numId w:val="165"/>
        </w:numPr>
        <w:rPr>
          <w:rFonts w:asciiTheme="majorHAnsi" w:hAnsiTheme="majorHAnsi" w:cstheme="majorHAnsi"/>
          <w:color w:val="auto"/>
          <w:szCs w:val="20"/>
        </w:rPr>
      </w:pPr>
      <w:r w:rsidRPr="00743A41">
        <w:rPr>
          <w:rFonts w:asciiTheme="majorHAnsi" w:hAnsiTheme="majorHAnsi" w:cstheme="majorHAnsi"/>
          <w:color w:val="auto"/>
          <w:szCs w:val="20"/>
        </w:rPr>
        <w:t>EMPL: Graduates who are employed in a full-time or part-time position.</w:t>
      </w:r>
    </w:p>
    <w:p w:rsidR="00C91EFA" w:rsidRPr="00743A41" w:rsidRDefault="00C91EFA" w:rsidP="00A37ED6">
      <w:pPr>
        <w:pStyle w:val="Default"/>
        <w:numPr>
          <w:ilvl w:val="0"/>
          <w:numId w:val="165"/>
        </w:numPr>
        <w:rPr>
          <w:rFonts w:asciiTheme="majorHAnsi" w:hAnsiTheme="majorHAnsi" w:cstheme="majorHAnsi"/>
          <w:color w:val="auto"/>
          <w:szCs w:val="20"/>
        </w:rPr>
      </w:pPr>
      <w:r w:rsidRPr="00743A41">
        <w:rPr>
          <w:rFonts w:asciiTheme="majorHAnsi" w:hAnsiTheme="majorHAnsi" w:cstheme="majorHAnsi"/>
          <w:color w:val="auto"/>
          <w:szCs w:val="20"/>
        </w:rPr>
        <w:t xml:space="preserve">CONT ED: Graduates who are not employed and have been accepted and plan to matriculate into a program of further study or training. </w:t>
      </w:r>
    </w:p>
    <w:p w:rsidR="00C91EFA" w:rsidRPr="00743A41" w:rsidRDefault="00C91EFA" w:rsidP="00A37ED6">
      <w:pPr>
        <w:pStyle w:val="Default"/>
        <w:numPr>
          <w:ilvl w:val="0"/>
          <w:numId w:val="165"/>
        </w:numPr>
        <w:rPr>
          <w:rFonts w:asciiTheme="majorHAnsi" w:hAnsiTheme="majorHAnsi" w:cstheme="majorHAnsi"/>
          <w:color w:val="auto"/>
          <w:szCs w:val="20"/>
        </w:rPr>
      </w:pPr>
      <w:r w:rsidRPr="00743A41">
        <w:rPr>
          <w:rFonts w:asciiTheme="majorHAnsi" w:hAnsiTheme="majorHAnsi" w:cstheme="majorHAnsi"/>
          <w:color w:val="auto"/>
          <w:szCs w:val="20"/>
        </w:rPr>
        <w:t>FELLOW: Graduates who are participating in a fellowship, postdoctoral fellowship, internship, or residency (including medical residency).</w:t>
      </w:r>
    </w:p>
    <w:p w:rsidR="00C91EFA" w:rsidRPr="00743A41" w:rsidRDefault="00C91EFA" w:rsidP="00A37ED6">
      <w:pPr>
        <w:pStyle w:val="Default"/>
        <w:numPr>
          <w:ilvl w:val="0"/>
          <w:numId w:val="165"/>
        </w:numPr>
        <w:rPr>
          <w:rFonts w:asciiTheme="majorHAnsi" w:hAnsiTheme="majorHAnsi" w:cstheme="majorHAnsi"/>
          <w:color w:val="auto"/>
          <w:szCs w:val="20"/>
        </w:rPr>
      </w:pPr>
      <w:r w:rsidRPr="00743A41">
        <w:rPr>
          <w:rFonts w:asciiTheme="majorHAnsi" w:hAnsiTheme="majorHAnsi" w:cstheme="majorHAnsi"/>
          <w:color w:val="auto"/>
          <w:szCs w:val="20"/>
        </w:rPr>
        <w:t>NOT SEEK: Graduates who are not employed and have indicated that they choose not to pursue either employment or continuing education at this time.</w:t>
      </w:r>
    </w:p>
    <w:p w:rsidR="00C91EFA" w:rsidRPr="00743A41" w:rsidRDefault="00C91EFA" w:rsidP="00A37ED6">
      <w:pPr>
        <w:pStyle w:val="Default"/>
        <w:numPr>
          <w:ilvl w:val="0"/>
          <w:numId w:val="165"/>
        </w:numPr>
        <w:rPr>
          <w:rFonts w:asciiTheme="majorHAnsi" w:hAnsiTheme="majorHAnsi" w:cstheme="majorHAnsi"/>
          <w:color w:val="auto"/>
          <w:szCs w:val="20"/>
        </w:rPr>
      </w:pPr>
      <w:r w:rsidRPr="00743A41">
        <w:rPr>
          <w:rFonts w:asciiTheme="majorHAnsi" w:hAnsiTheme="majorHAnsi" w:cstheme="majorHAnsi"/>
          <w:color w:val="auto"/>
          <w:szCs w:val="20"/>
        </w:rPr>
        <w:t>SEEK: Graduates who are not employed and have indicated that they are seeking employment or engaged in the job search process, or they are seeking and have not enrolled in a program of continuing education/training.</w:t>
      </w:r>
    </w:p>
    <w:p w:rsidR="00C91EFA" w:rsidRPr="00743A41" w:rsidRDefault="00C91EFA" w:rsidP="00A37ED6">
      <w:pPr>
        <w:pStyle w:val="Default"/>
        <w:numPr>
          <w:ilvl w:val="0"/>
          <w:numId w:val="165"/>
        </w:numPr>
        <w:rPr>
          <w:rFonts w:asciiTheme="majorHAnsi" w:hAnsiTheme="majorHAnsi" w:cstheme="majorHAnsi"/>
          <w:color w:val="auto"/>
          <w:szCs w:val="20"/>
        </w:rPr>
      </w:pPr>
      <w:r w:rsidRPr="00743A41">
        <w:rPr>
          <w:rFonts w:asciiTheme="majorHAnsi" w:hAnsiTheme="majorHAnsi" w:cstheme="majorHAnsi"/>
          <w:color w:val="auto"/>
          <w:szCs w:val="20"/>
        </w:rPr>
        <w:t>VOLUN: Graduates who are participating in a volunteer or service program (e.g., Peace Corps, mission work).</w:t>
      </w:r>
    </w:p>
    <w:p w:rsidR="00C91EFA" w:rsidRPr="00743A41" w:rsidRDefault="00C91EFA" w:rsidP="00A37ED6">
      <w:pPr>
        <w:pStyle w:val="Default"/>
        <w:numPr>
          <w:ilvl w:val="0"/>
          <w:numId w:val="165"/>
        </w:numPr>
        <w:rPr>
          <w:rFonts w:asciiTheme="majorHAnsi" w:hAnsiTheme="majorHAnsi" w:cstheme="majorHAnsi"/>
          <w:color w:val="auto"/>
          <w:szCs w:val="20"/>
        </w:rPr>
      </w:pPr>
      <w:r w:rsidRPr="00743A41">
        <w:rPr>
          <w:rFonts w:asciiTheme="majorHAnsi" w:hAnsiTheme="majorHAnsi" w:cstheme="majorHAnsi"/>
          <w:color w:val="auto"/>
          <w:szCs w:val="20"/>
        </w:rPr>
        <w:t>UNKNOWN: Graduates who, despite reasonable efforts on the part of the institution, have not responded to efforts to obtain information about their post-graduation career plans.</w:t>
      </w:r>
    </w:p>
    <w:p w:rsidR="00F10301" w:rsidRPr="00743A41" w:rsidRDefault="00F10301" w:rsidP="00A37ED6">
      <w:pPr>
        <w:pStyle w:val="Default"/>
        <w:ind w:left="720"/>
        <w:jc w:val="both"/>
        <w:rPr>
          <w:rFonts w:asciiTheme="majorHAnsi" w:hAnsiTheme="majorHAnsi" w:cstheme="majorHAnsi"/>
          <w:color w:val="auto"/>
          <w:szCs w:val="20"/>
        </w:rPr>
      </w:pPr>
    </w:p>
    <w:p w:rsidR="00C91EFA" w:rsidRPr="00743A41" w:rsidRDefault="00C91EFA" w:rsidP="00A37ED6">
      <w:pPr>
        <w:pBdr>
          <w:top w:val="nil"/>
          <w:left w:val="nil"/>
          <w:bottom w:val="nil"/>
          <w:right w:val="nil"/>
          <w:between w:val="nil"/>
        </w:pBdr>
        <w:ind w:left="720"/>
        <w:jc w:val="both"/>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Table B.3.1.</w:t>
      </w:r>
      <w:r w:rsidR="00EE6F35" w:rsidRPr="00743A41">
        <w:rPr>
          <w:rFonts w:asciiTheme="majorHAnsi" w:eastAsia="Arial" w:hAnsiTheme="majorHAnsi" w:cstheme="majorHAnsi"/>
          <w:color w:val="000000"/>
          <w:sz w:val="20"/>
          <w:szCs w:val="20"/>
        </w:rPr>
        <w:t>a.</w:t>
      </w:r>
      <w:r w:rsidRPr="00743A41">
        <w:rPr>
          <w:rFonts w:asciiTheme="majorHAnsi" w:eastAsia="Arial" w:hAnsiTheme="majorHAnsi" w:cstheme="majorHAnsi"/>
          <w:color w:val="000000"/>
          <w:sz w:val="20"/>
          <w:szCs w:val="20"/>
        </w:rPr>
        <w:t xml:space="preserve"> Post-Graduation Outcomes for MPH Graduates </w:t>
      </w:r>
    </w:p>
    <w:tbl>
      <w:tblPr>
        <w:tblStyle w:val="15"/>
        <w:tblW w:w="863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9"/>
        <w:gridCol w:w="962"/>
        <w:gridCol w:w="962"/>
        <w:gridCol w:w="962"/>
        <w:gridCol w:w="962"/>
        <w:gridCol w:w="934"/>
        <w:gridCol w:w="934"/>
      </w:tblGrid>
      <w:tr w:rsidR="00E60AF7" w:rsidRPr="00743A41" w:rsidTr="00073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Borders>
              <w:top w:val="none" w:sz="0" w:space="0" w:color="auto"/>
              <w:bottom w:val="none" w:sz="0" w:space="0" w:color="auto"/>
              <w:right w:val="none" w:sz="0" w:space="0" w:color="auto"/>
            </w:tcBorders>
          </w:tcPr>
          <w:p w:rsidR="00E60AF7" w:rsidRPr="00743A41" w:rsidRDefault="00E60AF7" w:rsidP="00A37ED6">
            <w:pPr>
              <w:ind w:right="360"/>
              <w:rPr>
                <w:rFonts w:asciiTheme="majorHAnsi" w:eastAsia="Arial" w:hAnsiTheme="majorHAnsi" w:cstheme="majorHAnsi"/>
                <w:sz w:val="20"/>
                <w:szCs w:val="20"/>
              </w:rPr>
            </w:pPr>
            <w:r w:rsidRPr="00743A41">
              <w:rPr>
                <w:rFonts w:asciiTheme="majorHAnsi" w:eastAsia="Arial" w:hAnsiTheme="majorHAnsi" w:cstheme="majorHAnsi"/>
                <w:sz w:val="20"/>
                <w:szCs w:val="20"/>
              </w:rPr>
              <w:t>Post-Graduation Outcomes</w:t>
            </w:r>
          </w:p>
        </w:tc>
        <w:tc>
          <w:tcPr>
            <w:tcW w:w="1924" w:type="dxa"/>
            <w:gridSpan w:val="2"/>
            <w:tcBorders>
              <w:top w:val="none" w:sz="0" w:space="0" w:color="auto"/>
              <w:left w:val="none" w:sz="0" w:space="0" w:color="auto"/>
              <w:bottom w:val="none" w:sz="0" w:space="0" w:color="auto"/>
              <w:right w:val="none" w:sz="0" w:space="0" w:color="auto"/>
            </w:tcBorders>
          </w:tcPr>
          <w:p w:rsidR="00E60AF7" w:rsidRPr="00743A41" w:rsidRDefault="00E60AF7" w:rsidP="00A37ED6">
            <w:pPr>
              <w:ind w:right="-120" w:hanging="105"/>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AY 2016 </w:t>
            </w:r>
          </w:p>
          <w:p w:rsidR="00E60AF7" w:rsidRPr="00743A41" w:rsidRDefault="00E60AF7" w:rsidP="00A37ED6">
            <w:pPr>
              <w:ind w:right="-120" w:hanging="105"/>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Number &amp; Percentage</w:t>
            </w:r>
          </w:p>
        </w:tc>
        <w:tc>
          <w:tcPr>
            <w:tcW w:w="1924" w:type="dxa"/>
            <w:gridSpan w:val="2"/>
            <w:tcBorders>
              <w:top w:val="none" w:sz="0" w:space="0" w:color="auto"/>
              <w:left w:val="none" w:sz="0" w:space="0" w:color="auto"/>
              <w:bottom w:val="none" w:sz="0" w:space="0" w:color="auto"/>
              <w:right w:val="none" w:sz="0" w:space="0" w:color="auto"/>
            </w:tcBorders>
          </w:tcPr>
          <w:p w:rsidR="00E60AF7" w:rsidRPr="00743A41" w:rsidRDefault="00E60AF7" w:rsidP="00A37ED6">
            <w:pPr>
              <w:tabs>
                <w:tab w:val="left" w:pos="1515"/>
              </w:tabs>
              <w:ind w:right="-105" w:hanging="105"/>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AY 2017 </w:t>
            </w:r>
          </w:p>
          <w:p w:rsidR="00E60AF7" w:rsidRPr="00743A41" w:rsidRDefault="00E60AF7" w:rsidP="00A37ED6">
            <w:pPr>
              <w:tabs>
                <w:tab w:val="left" w:pos="1515"/>
              </w:tabs>
              <w:ind w:right="-105" w:hanging="105"/>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Number &amp; Percentage</w:t>
            </w:r>
          </w:p>
        </w:tc>
        <w:tc>
          <w:tcPr>
            <w:tcW w:w="1868" w:type="dxa"/>
            <w:gridSpan w:val="2"/>
            <w:tcBorders>
              <w:top w:val="none" w:sz="0" w:space="0" w:color="auto"/>
              <w:left w:val="none" w:sz="0" w:space="0" w:color="auto"/>
              <w:bottom w:val="none" w:sz="0" w:space="0" w:color="auto"/>
            </w:tcBorders>
          </w:tcPr>
          <w:p w:rsidR="00E60AF7" w:rsidRPr="00743A41" w:rsidRDefault="00AE5BBA" w:rsidP="00A37ED6">
            <w:pPr>
              <w:tabs>
                <w:tab w:val="left" w:pos="1515"/>
              </w:tabs>
              <w:ind w:right="-105" w:hanging="105"/>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AY </w:t>
            </w:r>
            <w:r w:rsidR="00E60AF7" w:rsidRPr="00743A41">
              <w:rPr>
                <w:rFonts w:asciiTheme="majorHAnsi" w:eastAsia="Arial" w:hAnsiTheme="majorHAnsi" w:cstheme="majorHAnsi"/>
                <w:sz w:val="20"/>
                <w:szCs w:val="20"/>
              </w:rPr>
              <w:t>2018</w:t>
            </w:r>
          </w:p>
          <w:p w:rsidR="00E60AF7" w:rsidRPr="00743A41" w:rsidRDefault="00E60AF7" w:rsidP="00A37ED6">
            <w:pPr>
              <w:tabs>
                <w:tab w:val="left" w:pos="1515"/>
              </w:tabs>
              <w:ind w:right="-105" w:hanging="105"/>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Number &amp; Percentage</w:t>
            </w:r>
          </w:p>
        </w:tc>
      </w:tr>
      <w:tr w:rsidR="004D2AEA" w:rsidRPr="00743A41" w:rsidTr="00321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rsidR="00770135" w:rsidRPr="003A3BCE" w:rsidRDefault="00770135" w:rsidP="00A37ED6">
            <w:pPr>
              <w:ind w:right="360"/>
              <w:rPr>
                <w:rFonts w:asciiTheme="majorHAnsi" w:eastAsia="Arial" w:hAnsiTheme="majorHAnsi" w:cstheme="majorHAnsi"/>
                <w:b w:val="0"/>
                <w:sz w:val="20"/>
                <w:szCs w:val="20"/>
              </w:rPr>
            </w:pPr>
            <w:r w:rsidRPr="003A3BCE">
              <w:rPr>
                <w:rFonts w:asciiTheme="majorHAnsi" w:eastAsia="Arial" w:hAnsiTheme="majorHAnsi" w:cstheme="majorHAnsi"/>
                <w:b w:val="0"/>
                <w:sz w:val="20"/>
                <w:szCs w:val="20"/>
              </w:rPr>
              <w:t>EMPL</w:t>
            </w:r>
          </w:p>
        </w:tc>
        <w:tc>
          <w:tcPr>
            <w:tcW w:w="962" w:type="dxa"/>
          </w:tcPr>
          <w:p w:rsidR="00770135" w:rsidRPr="00743A41" w:rsidRDefault="00770135" w:rsidP="00A37ED6">
            <w:pPr>
              <w:ind w:left="-59"/>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165</w:t>
            </w:r>
          </w:p>
        </w:tc>
        <w:tc>
          <w:tcPr>
            <w:tcW w:w="962" w:type="dxa"/>
          </w:tcPr>
          <w:p w:rsidR="00770135" w:rsidRPr="00743A41" w:rsidRDefault="00770135" w:rsidP="00A37ED6">
            <w:pPr>
              <w:tabs>
                <w:tab w:val="left" w:pos="-29"/>
              </w:tabs>
              <w:ind w:hanging="29"/>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sz w:val="20"/>
                <w:szCs w:val="20"/>
              </w:rPr>
              <w:t>55%</w:t>
            </w:r>
          </w:p>
        </w:tc>
        <w:tc>
          <w:tcPr>
            <w:tcW w:w="962" w:type="dxa"/>
          </w:tcPr>
          <w:p w:rsidR="00770135" w:rsidRPr="00743A41" w:rsidRDefault="00770135" w:rsidP="00A37ED6">
            <w:pPr>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169</w:t>
            </w:r>
          </w:p>
        </w:tc>
        <w:tc>
          <w:tcPr>
            <w:tcW w:w="962" w:type="dxa"/>
          </w:tcPr>
          <w:p w:rsidR="00770135" w:rsidRPr="00743A41" w:rsidRDefault="00770135" w:rsidP="00A37ED6">
            <w:pPr>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56%</w:t>
            </w:r>
          </w:p>
        </w:tc>
        <w:tc>
          <w:tcPr>
            <w:tcW w:w="934" w:type="dxa"/>
          </w:tcPr>
          <w:p w:rsidR="00770135" w:rsidRPr="00743A41" w:rsidRDefault="00770135" w:rsidP="00A37ED6">
            <w:pPr>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180</w:t>
            </w:r>
          </w:p>
        </w:tc>
        <w:tc>
          <w:tcPr>
            <w:tcW w:w="934" w:type="dxa"/>
          </w:tcPr>
          <w:p w:rsidR="00770135" w:rsidRPr="00743A41" w:rsidRDefault="00770135" w:rsidP="00A37ED6">
            <w:pPr>
              <w:tabs>
                <w:tab w:val="left" w:pos="391"/>
              </w:tabs>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56%</w:t>
            </w:r>
          </w:p>
        </w:tc>
      </w:tr>
      <w:tr w:rsidR="004D2AEA" w:rsidRPr="00743A41" w:rsidTr="00321053">
        <w:tc>
          <w:tcPr>
            <w:cnfStyle w:val="001000000000" w:firstRow="0" w:lastRow="0" w:firstColumn="1" w:lastColumn="0" w:oddVBand="0" w:evenVBand="0" w:oddHBand="0" w:evenHBand="0" w:firstRowFirstColumn="0" w:firstRowLastColumn="0" w:lastRowFirstColumn="0" w:lastRowLastColumn="0"/>
            <w:tcW w:w="2919" w:type="dxa"/>
          </w:tcPr>
          <w:p w:rsidR="00770135" w:rsidRPr="003A3BCE" w:rsidRDefault="00770135" w:rsidP="00A37ED6">
            <w:pPr>
              <w:ind w:right="360"/>
              <w:rPr>
                <w:rFonts w:asciiTheme="majorHAnsi" w:eastAsia="Arial" w:hAnsiTheme="majorHAnsi" w:cstheme="majorHAnsi"/>
                <w:b w:val="0"/>
                <w:sz w:val="20"/>
                <w:szCs w:val="20"/>
              </w:rPr>
            </w:pPr>
            <w:r w:rsidRPr="003A3BCE">
              <w:rPr>
                <w:rFonts w:asciiTheme="majorHAnsi" w:eastAsia="Arial" w:hAnsiTheme="majorHAnsi" w:cstheme="majorHAnsi"/>
                <w:b w:val="0"/>
                <w:sz w:val="20"/>
                <w:szCs w:val="20"/>
              </w:rPr>
              <w:t>CONT ED</w:t>
            </w:r>
          </w:p>
        </w:tc>
        <w:tc>
          <w:tcPr>
            <w:tcW w:w="962" w:type="dxa"/>
          </w:tcPr>
          <w:p w:rsidR="00770135" w:rsidRPr="00743A41" w:rsidRDefault="00770135" w:rsidP="00A37ED6">
            <w:pPr>
              <w:ind w:left="-59"/>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26</w:t>
            </w:r>
          </w:p>
        </w:tc>
        <w:tc>
          <w:tcPr>
            <w:tcW w:w="962" w:type="dxa"/>
          </w:tcPr>
          <w:p w:rsidR="00770135" w:rsidRPr="00743A41" w:rsidRDefault="00770135" w:rsidP="00A37ED6">
            <w:pPr>
              <w:tabs>
                <w:tab w:val="left" w:pos="-29"/>
              </w:tabs>
              <w:ind w:hanging="29"/>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sz w:val="20"/>
                <w:szCs w:val="20"/>
              </w:rPr>
              <w:t>9%</w:t>
            </w:r>
          </w:p>
        </w:tc>
        <w:tc>
          <w:tcPr>
            <w:tcW w:w="962" w:type="dxa"/>
          </w:tcPr>
          <w:p w:rsidR="00770135" w:rsidRPr="00743A41" w:rsidRDefault="00770135" w:rsidP="00A37ED6">
            <w:pPr>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30</w:t>
            </w:r>
          </w:p>
        </w:tc>
        <w:tc>
          <w:tcPr>
            <w:tcW w:w="962" w:type="dxa"/>
          </w:tcPr>
          <w:p w:rsidR="00770135" w:rsidRPr="00743A41" w:rsidRDefault="00770135" w:rsidP="00A37ED6">
            <w:pPr>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10%</w:t>
            </w:r>
          </w:p>
        </w:tc>
        <w:tc>
          <w:tcPr>
            <w:tcW w:w="934" w:type="dxa"/>
          </w:tcPr>
          <w:p w:rsidR="00770135" w:rsidRPr="00743A41" w:rsidRDefault="00770135" w:rsidP="00A37ED6">
            <w:pPr>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38</w:t>
            </w:r>
          </w:p>
        </w:tc>
        <w:tc>
          <w:tcPr>
            <w:tcW w:w="934" w:type="dxa"/>
          </w:tcPr>
          <w:p w:rsidR="00770135" w:rsidRPr="00743A41" w:rsidRDefault="00770135" w:rsidP="00A37ED6">
            <w:pPr>
              <w:tabs>
                <w:tab w:val="left" w:pos="391"/>
              </w:tabs>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12%</w:t>
            </w:r>
          </w:p>
        </w:tc>
      </w:tr>
      <w:tr w:rsidR="004D2AEA" w:rsidRPr="00743A41" w:rsidTr="00321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rsidR="00770135" w:rsidRPr="003A3BCE" w:rsidRDefault="00770135" w:rsidP="00A37ED6">
            <w:pPr>
              <w:ind w:right="360"/>
              <w:rPr>
                <w:rFonts w:asciiTheme="majorHAnsi" w:eastAsia="Arial" w:hAnsiTheme="majorHAnsi" w:cstheme="majorHAnsi"/>
                <w:b w:val="0"/>
                <w:sz w:val="20"/>
                <w:szCs w:val="20"/>
              </w:rPr>
            </w:pPr>
            <w:r w:rsidRPr="003A3BCE">
              <w:rPr>
                <w:rFonts w:asciiTheme="majorHAnsi" w:eastAsia="Arial" w:hAnsiTheme="majorHAnsi" w:cstheme="majorHAnsi"/>
                <w:b w:val="0"/>
                <w:sz w:val="20"/>
                <w:szCs w:val="20"/>
              </w:rPr>
              <w:t>FELLOW</w:t>
            </w:r>
          </w:p>
        </w:tc>
        <w:tc>
          <w:tcPr>
            <w:tcW w:w="962" w:type="dxa"/>
          </w:tcPr>
          <w:p w:rsidR="00770135" w:rsidRPr="00743A41" w:rsidRDefault="00770135" w:rsidP="00A37ED6">
            <w:pPr>
              <w:ind w:left="-59"/>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46</w:t>
            </w:r>
          </w:p>
        </w:tc>
        <w:tc>
          <w:tcPr>
            <w:tcW w:w="962" w:type="dxa"/>
          </w:tcPr>
          <w:p w:rsidR="00770135" w:rsidRPr="00743A41" w:rsidRDefault="00770135" w:rsidP="00A37ED6">
            <w:pPr>
              <w:tabs>
                <w:tab w:val="left" w:pos="-29"/>
              </w:tabs>
              <w:ind w:hanging="29"/>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sz w:val="20"/>
                <w:szCs w:val="20"/>
              </w:rPr>
              <w:t>15%</w:t>
            </w:r>
          </w:p>
        </w:tc>
        <w:tc>
          <w:tcPr>
            <w:tcW w:w="962" w:type="dxa"/>
          </w:tcPr>
          <w:p w:rsidR="00770135" w:rsidRPr="00743A41" w:rsidRDefault="00770135" w:rsidP="00A37ED6">
            <w:pPr>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58</w:t>
            </w:r>
          </w:p>
        </w:tc>
        <w:tc>
          <w:tcPr>
            <w:tcW w:w="962" w:type="dxa"/>
          </w:tcPr>
          <w:p w:rsidR="00770135" w:rsidRPr="00743A41" w:rsidRDefault="00770135" w:rsidP="00A37ED6">
            <w:pPr>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19%</w:t>
            </w:r>
          </w:p>
        </w:tc>
        <w:tc>
          <w:tcPr>
            <w:tcW w:w="934" w:type="dxa"/>
          </w:tcPr>
          <w:p w:rsidR="00770135" w:rsidRPr="00743A41" w:rsidRDefault="00770135" w:rsidP="00A37ED6">
            <w:pPr>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70</w:t>
            </w:r>
          </w:p>
        </w:tc>
        <w:tc>
          <w:tcPr>
            <w:tcW w:w="934" w:type="dxa"/>
          </w:tcPr>
          <w:p w:rsidR="00770135" w:rsidRPr="00743A41" w:rsidRDefault="00770135" w:rsidP="00A37ED6">
            <w:pPr>
              <w:tabs>
                <w:tab w:val="left" w:pos="391"/>
              </w:tabs>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22%</w:t>
            </w:r>
          </w:p>
        </w:tc>
      </w:tr>
      <w:tr w:rsidR="004D2AEA" w:rsidRPr="00743A41" w:rsidTr="004D2AEA">
        <w:tc>
          <w:tcPr>
            <w:cnfStyle w:val="001000000000" w:firstRow="0" w:lastRow="0" w:firstColumn="1" w:lastColumn="0" w:oddVBand="0" w:evenVBand="0" w:oddHBand="0" w:evenHBand="0" w:firstRowFirstColumn="0" w:firstRowLastColumn="0" w:lastRowFirstColumn="0" w:lastRowLastColumn="0"/>
            <w:tcW w:w="2919" w:type="dxa"/>
          </w:tcPr>
          <w:p w:rsidR="00770135" w:rsidRPr="003A3BCE" w:rsidRDefault="00770135" w:rsidP="00A37ED6">
            <w:pPr>
              <w:ind w:right="360"/>
              <w:rPr>
                <w:rFonts w:asciiTheme="majorHAnsi" w:eastAsia="Arial" w:hAnsiTheme="majorHAnsi" w:cstheme="majorHAnsi"/>
                <w:b w:val="0"/>
                <w:sz w:val="20"/>
                <w:szCs w:val="20"/>
              </w:rPr>
            </w:pPr>
            <w:r w:rsidRPr="003A3BCE">
              <w:rPr>
                <w:rFonts w:asciiTheme="majorHAnsi" w:eastAsia="Arial" w:hAnsiTheme="majorHAnsi" w:cstheme="majorHAnsi"/>
                <w:b w:val="0"/>
                <w:sz w:val="20"/>
                <w:szCs w:val="20"/>
              </w:rPr>
              <w:t>NOT SEEK</w:t>
            </w:r>
          </w:p>
        </w:tc>
        <w:tc>
          <w:tcPr>
            <w:tcW w:w="962" w:type="dxa"/>
          </w:tcPr>
          <w:p w:rsidR="00770135" w:rsidRPr="00743A41" w:rsidRDefault="00770135" w:rsidP="00A37ED6">
            <w:pPr>
              <w:ind w:left="-59"/>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0</w:t>
            </w:r>
          </w:p>
        </w:tc>
        <w:tc>
          <w:tcPr>
            <w:tcW w:w="962" w:type="dxa"/>
          </w:tcPr>
          <w:p w:rsidR="00770135" w:rsidRPr="00743A41" w:rsidRDefault="00770135" w:rsidP="00A37ED6">
            <w:pPr>
              <w:tabs>
                <w:tab w:val="left" w:pos="-29"/>
              </w:tabs>
              <w:ind w:hanging="29"/>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sz w:val="20"/>
                <w:szCs w:val="20"/>
              </w:rPr>
              <w:t>0%</w:t>
            </w:r>
          </w:p>
        </w:tc>
        <w:tc>
          <w:tcPr>
            <w:tcW w:w="962" w:type="dxa"/>
          </w:tcPr>
          <w:p w:rsidR="00770135" w:rsidRPr="00743A41" w:rsidRDefault="00770135" w:rsidP="00A37ED6">
            <w:pPr>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3</w:t>
            </w:r>
          </w:p>
        </w:tc>
        <w:tc>
          <w:tcPr>
            <w:tcW w:w="962" w:type="dxa"/>
          </w:tcPr>
          <w:p w:rsidR="00770135" w:rsidRPr="00743A41" w:rsidRDefault="00770135" w:rsidP="00A37ED6">
            <w:pPr>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1%</w:t>
            </w:r>
          </w:p>
        </w:tc>
        <w:tc>
          <w:tcPr>
            <w:tcW w:w="934" w:type="dxa"/>
          </w:tcPr>
          <w:p w:rsidR="00770135" w:rsidRPr="00743A41" w:rsidRDefault="00770135" w:rsidP="00A37ED6">
            <w:pPr>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3</w:t>
            </w:r>
          </w:p>
        </w:tc>
        <w:tc>
          <w:tcPr>
            <w:tcW w:w="934" w:type="dxa"/>
          </w:tcPr>
          <w:p w:rsidR="00770135" w:rsidRPr="00743A41" w:rsidRDefault="00770135" w:rsidP="00A37ED6">
            <w:pPr>
              <w:tabs>
                <w:tab w:val="left" w:pos="391"/>
              </w:tabs>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1%</w:t>
            </w:r>
          </w:p>
        </w:tc>
      </w:tr>
      <w:tr w:rsidR="004D2AEA" w:rsidRPr="00743A41" w:rsidTr="00321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rsidR="00770135" w:rsidRPr="003A3BCE" w:rsidRDefault="00770135" w:rsidP="00A37ED6">
            <w:pPr>
              <w:ind w:right="360"/>
              <w:rPr>
                <w:rFonts w:asciiTheme="majorHAnsi" w:eastAsia="Arial" w:hAnsiTheme="majorHAnsi" w:cstheme="majorHAnsi"/>
                <w:b w:val="0"/>
                <w:sz w:val="20"/>
                <w:szCs w:val="20"/>
              </w:rPr>
            </w:pPr>
            <w:r w:rsidRPr="003A3BCE">
              <w:rPr>
                <w:rFonts w:asciiTheme="majorHAnsi" w:eastAsia="Arial" w:hAnsiTheme="majorHAnsi" w:cstheme="majorHAnsi"/>
                <w:b w:val="0"/>
                <w:sz w:val="20"/>
                <w:szCs w:val="20"/>
              </w:rPr>
              <w:t>SEEK</w:t>
            </w:r>
          </w:p>
        </w:tc>
        <w:tc>
          <w:tcPr>
            <w:tcW w:w="962" w:type="dxa"/>
          </w:tcPr>
          <w:p w:rsidR="00770135" w:rsidRPr="00743A41" w:rsidRDefault="00770135" w:rsidP="00A37ED6">
            <w:pPr>
              <w:ind w:left="-59"/>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0</w:t>
            </w:r>
          </w:p>
        </w:tc>
        <w:tc>
          <w:tcPr>
            <w:tcW w:w="962" w:type="dxa"/>
          </w:tcPr>
          <w:p w:rsidR="00770135" w:rsidRPr="00743A41" w:rsidRDefault="00770135" w:rsidP="00A37ED6">
            <w:pPr>
              <w:tabs>
                <w:tab w:val="left" w:pos="-29"/>
              </w:tabs>
              <w:ind w:hanging="29"/>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sz w:val="20"/>
                <w:szCs w:val="20"/>
              </w:rPr>
              <w:t>0%</w:t>
            </w:r>
          </w:p>
        </w:tc>
        <w:tc>
          <w:tcPr>
            <w:tcW w:w="962" w:type="dxa"/>
          </w:tcPr>
          <w:p w:rsidR="00770135" w:rsidRPr="00743A41" w:rsidRDefault="00770135" w:rsidP="00A37ED6">
            <w:pPr>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2</w:t>
            </w:r>
          </w:p>
        </w:tc>
        <w:tc>
          <w:tcPr>
            <w:tcW w:w="962" w:type="dxa"/>
          </w:tcPr>
          <w:p w:rsidR="00770135" w:rsidRPr="00743A41" w:rsidRDefault="00770135" w:rsidP="00A37ED6">
            <w:pPr>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1%</w:t>
            </w:r>
          </w:p>
        </w:tc>
        <w:tc>
          <w:tcPr>
            <w:tcW w:w="934" w:type="dxa"/>
          </w:tcPr>
          <w:p w:rsidR="00770135" w:rsidRPr="00743A41" w:rsidRDefault="00770135" w:rsidP="00A37ED6">
            <w:pPr>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7</w:t>
            </w:r>
          </w:p>
        </w:tc>
        <w:tc>
          <w:tcPr>
            <w:tcW w:w="934" w:type="dxa"/>
          </w:tcPr>
          <w:p w:rsidR="00770135" w:rsidRPr="00743A41" w:rsidRDefault="00770135" w:rsidP="00A37ED6">
            <w:pPr>
              <w:tabs>
                <w:tab w:val="left" w:pos="391"/>
              </w:tabs>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2%</w:t>
            </w:r>
          </w:p>
        </w:tc>
      </w:tr>
      <w:tr w:rsidR="00814C9D" w:rsidRPr="00743A41" w:rsidTr="00321053">
        <w:tc>
          <w:tcPr>
            <w:cnfStyle w:val="001000000000" w:firstRow="0" w:lastRow="0" w:firstColumn="1" w:lastColumn="0" w:oddVBand="0" w:evenVBand="0" w:oddHBand="0" w:evenHBand="0" w:firstRowFirstColumn="0" w:firstRowLastColumn="0" w:lastRowFirstColumn="0" w:lastRowLastColumn="0"/>
            <w:tcW w:w="2919" w:type="dxa"/>
          </w:tcPr>
          <w:p w:rsidR="00814C9D" w:rsidRPr="003A3BCE" w:rsidRDefault="00814C9D" w:rsidP="00A37ED6">
            <w:pPr>
              <w:ind w:right="360"/>
              <w:rPr>
                <w:rFonts w:asciiTheme="majorHAnsi" w:eastAsia="Arial" w:hAnsiTheme="majorHAnsi" w:cstheme="majorHAnsi"/>
                <w:b w:val="0"/>
                <w:sz w:val="20"/>
                <w:szCs w:val="20"/>
              </w:rPr>
            </w:pPr>
            <w:r w:rsidRPr="003A3BCE">
              <w:rPr>
                <w:rFonts w:asciiTheme="majorHAnsi" w:eastAsia="Arial" w:hAnsiTheme="majorHAnsi" w:cstheme="majorHAnsi"/>
                <w:b w:val="0"/>
                <w:sz w:val="20"/>
                <w:szCs w:val="20"/>
              </w:rPr>
              <w:t>VOLUN</w:t>
            </w:r>
          </w:p>
        </w:tc>
        <w:tc>
          <w:tcPr>
            <w:tcW w:w="962" w:type="dxa"/>
          </w:tcPr>
          <w:p w:rsidR="00814C9D" w:rsidRPr="00743A41" w:rsidRDefault="00814C9D" w:rsidP="00A37ED6">
            <w:pPr>
              <w:ind w:left="-59"/>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2</w:t>
            </w:r>
          </w:p>
        </w:tc>
        <w:tc>
          <w:tcPr>
            <w:tcW w:w="962" w:type="dxa"/>
          </w:tcPr>
          <w:p w:rsidR="00814C9D" w:rsidRPr="00743A41" w:rsidRDefault="00814C9D" w:rsidP="00A37ED6">
            <w:pPr>
              <w:tabs>
                <w:tab w:val="left" w:pos="-29"/>
              </w:tabs>
              <w:ind w:hanging="29"/>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sz w:val="20"/>
                <w:szCs w:val="20"/>
              </w:rPr>
              <w:t>1%</w:t>
            </w:r>
          </w:p>
        </w:tc>
        <w:tc>
          <w:tcPr>
            <w:tcW w:w="962" w:type="dxa"/>
          </w:tcPr>
          <w:p w:rsidR="00814C9D" w:rsidRPr="00743A41" w:rsidRDefault="00814C9D" w:rsidP="00A37ED6">
            <w:pPr>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c>
          <w:tcPr>
            <w:tcW w:w="962" w:type="dxa"/>
          </w:tcPr>
          <w:p w:rsidR="00814C9D" w:rsidRPr="00743A41" w:rsidRDefault="00814C9D" w:rsidP="00A37ED6">
            <w:pPr>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c>
          <w:tcPr>
            <w:tcW w:w="934" w:type="dxa"/>
          </w:tcPr>
          <w:p w:rsidR="00814C9D" w:rsidRPr="00743A41" w:rsidRDefault="00814C9D" w:rsidP="00A37ED6">
            <w:pPr>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1</w:t>
            </w:r>
          </w:p>
        </w:tc>
        <w:tc>
          <w:tcPr>
            <w:tcW w:w="934" w:type="dxa"/>
          </w:tcPr>
          <w:p w:rsidR="00814C9D" w:rsidRPr="00743A41" w:rsidRDefault="00814C9D" w:rsidP="00A37ED6">
            <w:pPr>
              <w:tabs>
                <w:tab w:val="left" w:pos="391"/>
              </w:tabs>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r>
      <w:tr w:rsidR="004D2AEA" w:rsidRPr="00743A41" w:rsidTr="00321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rsidR="00814C9D" w:rsidRPr="003A3BCE" w:rsidRDefault="00814C9D" w:rsidP="00A37ED6">
            <w:pPr>
              <w:ind w:right="360"/>
              <w:rPr>
                <w:rFonts w:asciiTheme="majorHAnsi" w:eastAsia="Arial" w:hAnsiTheme="majorHAnsi" w:cstheme="majorHAnsi"/>
                <w:b w:val="0"/>
                <w:sz w:val="20"/>
                <w:szCs w:val="20"/>
              </w:rPr>
            </w:pPr>
            <w:r w:rsidRPr="003A3BCE">
              <w:rPr>
                <w:rFonts w:asciiTheme="majorHAnsi" w:eastAsia="Arial" w:hAnsiTheme="majorHAnsi" w:cstheme="majorHAnsi"/>
                <w:b w:val="0"/>
                <w:sz w:val="20"/>
                <w:szCs w:val="20"/>
              </w:rPr>
              <w:t>UNKNOWN</w:t>
            </w:r>
          </w:p>
        </w:tc>
        <w:tc>
          <w:tcPr>
            <w:tcW w:w="962" w:type="dxa"/>
          </w:tcPr>
          <w:p w:rsidR="00814C9D" w:rsidRPr="00743A41" w:rsidRDefault="00814C9D" w:rsidP="00A37ED6">
            <w:pPr>
              <w:ind w:left="-59"/>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61</w:t>
            </w:r>
          </w:p>
        </w:tc>
        <w:tc>
          <w:tcPr>
            <w:tcW w:w="962" w:type="dxa"/>
          </w:tcPr>
          <w:p w:rsidR="00814C9D" w:rsidRPr="00743A41" w:rsidRDefault="00814C9D" w:rsidP="00A37ED6">
            <w:pPr>
              <w:tabs>
                <w:tab w:val="left" w:pos="-29"/>
              </w:tabs>
              <w:ind w:hanging="29"/>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sz w:val="20"/>
                <w:szCs w:val="20"/>
              </w:rPr>
              <w:t>20%</w:t>
            </w:r>
          </w:p>
        </w:tc>
        <w:tc>
          <w:tcPr>
            <w:tcW w:w="962" w:type="dxa"/>
          </w:tcPr>
          <w:p w:rsidR="00814C9D" w:rsidRPr="00743A41" w:rsidRDefault="00814C9D" w:rsidP="00A37ED6">
            <w:pPr>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37</w:t>
            </w:r>
          </w:p>
        </w:tc>
        <w:tc>
          <w:tcPr>
            <w:tcW w:w="962" w:type="dxa"/>
          </w:tcPr>
          <w:p w:rsidR="00814C9D" w:rsidRPr="00743A41" w:rsidRDefault="00814C9D" w:rsidP="00A37ED6">
            <w:pPr>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12%</w:t>
            </w:r>
          </w:p>
        </w:tc>
        <w:tc>
          <w:tcPr>
            <w:tcW w:w="934" w:type="dxa"/>
          </w:tcPr>
          <w:p w:rsidR="00814C9D" w:rsidRPr="00743A41" w:rsidRDefault="00814C9D" w:rsidP="00A37ED6">
            <w:pPr>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22</w:t>
            </w:r>
          </w:p>
        </w:tc>
        <w:tc>
          <w:tcPr>
            <w:tcW w:w="934" w:type="dxa"/>
          </w:tcPr>
          <w:p w:rsidR="00814C9D" w:rsidRPr="00743A41" w:rsidRDefault="00814C9D" w:rsidP="00A37ED6">
            <w:pPr>
              <w:tabs>
                <w:tab w:val="left" w:pos="391"/>
              </w:tabs>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7%</w:t>
            </w:r>
          </w:p>
        </w:tc>
      </w:tr>
      <w:tr w:rsidR="004D2AEA" w:rsidRPr="00743A41" w:rsidTr="00321053">
        <w:trPr>
          <w:trHeight w:val="215"/>
        </w:trPr>
        <w:tc>
          <w:tcPr>
            <w:cnfStyle w:val="001000000000" w:firstRow="0" w:lastRow="0" w:firstColumn="1" w:lastColumn="0" w:oddVBand="0" w:evenVBand="0" w:oddHBand="0" w:evenHBand="0" w:firstRowFirstColumn="0" w:firstRowLastColumn="0" w:lastRowFirstColumn="0" w:lastRowLastColumn="0"/>
            <w:tcW w:w="2919" w:type="dxa"/>
          </w:tcPr>
          <w:p w:rsidR="00770135" w:rsidRPr="00743A41" w:rsidRDefault="00770135" w:rsidP="00A37ED6">
            <w:pPr>
              <w:ind w:right="360"/>
              <w:rPr>
                <w:rFonts w:asciiTheme="majorHAnsi" w:eastAsia="Arial" w:hAnsiTheme="majorHAnsi" w:cstheme="majorHAnsi"/>
                <w:sz w:val="20"/>
                <w:szCs w:val="20"/>
              </w:rPr>
            </w:pPr>
            <w:r w:rsidRPr="00743A41">
              <w:rPr>
                <w:rFonts w:asciiTheme="majorHAnsi" w:eastAsia="Arial" w:hAnsiTheme="majorHAnsi" w:cstheme="majorHAnsi"/>
                <w:sz w:val="20"/>
                <w:szCs w:val="20"/>
              </w:rPr>
              <w:t>TOTAL</w:t>
            </w:r>
          </w:p>
        </w:tc>
        <w:tc>
          <w:tcPr>
            <w:tcW w:w="962" w:type="dxa"/>
          </w:tcPr>
          <w:p w:rsidR="00770135" w:rsidRPr="00743A41" w:rsidRDefault="00770135" w:rsidP="00A37ED6">
            <w:pPr>
              <w:ind w:left="-59"/>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sz w:val="20"/>
                <w:szCs w:val="20"/>
              </w:rPr>
            </w:pPr>
            <w:r w:rsidRPr="00743A41">
              <w:rPr>
                <w:rFonts w:asciiTheme="majorHAnsi" w:eastAsia="Arial" w:hAnsiTheme="majorHAnsi" w:cstheme="majorHAnsi"/>
                <w:b/>
                <w:sz w:val="20"/>
                <w:szCs w:val="20"/>
              </w:rPr>
              <w:t>300</w:t>
            </w:r>
          </w:p>
        </w:tc>
        <w:tc>
          <w:tcPr>
            <w:tcW w:w="962" w:type="dxa"/>
          </w:tcPr>
          <w:p w:rsidR="00770135" w:rsidRPr="00743A41" w:rsidRDefault="00770135" w:rsidP="00A37ED6">
            <w:pPr>
              <w:tabs>
                <w:tab w:val="left" w:pos="-29"/>
              </w:tabs>
              <w:ind w:hanging="29"/>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sz w:val="20"/>
                <w:szCs w:val="20"/>
              </w:rPr>
            </w:pPr>
            <w:r w:rsidRPr="00743A41">
              <w:rPr>
                <w:rFonts w:asciiTheme="majorHAnsi" w:hAnsiTheme="majorHAnsi" w:cstheme="majorHAnsi"/>
                <w:b/>
                <w:sz w:val="20"/>
                <w:szCs w:val="20"/>
              </w:rPr>
              <w:t>100%</w:t>
            </w:r>
          </w:p>
        </w:tc>
        <w:tc>
          <w:tcPr>
            <w:tcW w:w="962" w:type="dxa"/>
          </w:tcPr>
          <w:p w:rsidR="00770135" w:rsidRPr="00743A41" w:rsidRDefault="00770135" w:rsidP="00A37ED6">
            <w:pPr>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sz w:val="20"/>
                <w:szCs w:val="20"/>
              </w:rPr>
            </w:pPr>
            <w:r w:rsidRPr="00743A41">
              <w:rPr>
                <w:rFonts w:asciiTheme="majorHAnsi" w:hAnsiTheme="majorHAnsi" w:cstheme="majorHAnsi"/>
                <w:b/>
                <w:bCs/>
                <w:color w:val="000000"/>
                <w:sz w:val="20"/>
                <w:szCs w:val="20"/>
              </w:rPr>
              <w:t>299</w:t>
            </w:r>
          </w:p>
        </w:tc>
        <w:tc>
          <w:tcPr>
            <w:tcW w:w="962" w:type="dxa"/>
          </w:tcPr>
          <w:p w:rsidR="00770135" w:rsidRPr="00743A41" w:rsidRDefault="00770135" w:rsidP="00A37ED6">
            <w:pPr>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sz w:val="20"/>
                <w:szCs w:val="20"/>
              </w:rPr>
            </w:pPr>
            <w:r w:rsidRPr="00743A41">
              <w:rPr>
                <w:rFonts w:asciiTheme="majorHAnsi" w:hAnsiTheme="majorHAnsi" w:cstheme="majorHAnsi"/>
                <w:b/>
                <w:bCs/>
                <w:color w:val="000000"/>
                <w:sz w:val="20"/>
                <w:szCs w:val="20"/>
              </w:rPr>
              <w:t>100%</w:t>
            </w:r>
          </w:p>
        </w:tc>
        <w:tc>
          <w:tcPr>
            <w:tcW w:w="934" w:type="dxa"/>
          </w:tcPr>
          <w:p w:rsidR="00770135" w:rsidRPr="00743A41" w:rsidRDefault="00770135" w:rsidP="00A37ED6">
            <w:pPr>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sz w:val="20"/>
                <w:szCs w:val="20"/>
              </w:rPr>
            </w:pPr>
            <w:r w:rsidRPr="00743A41">
              <w:rPr>
                <w:rFonts w:asciiTheme="majorHAnsi" w:eastAsia="Arial" w:hAnsiTheme="majorHAnsi" w:cstheme="majorHAnsi"/>
                <w:b/>
                <w:sz w:val="20"/>
                <w:szCs w:val="20"/>
              </w:rPr>
              <w:t>321</w:t>
            </w:r>
          </w:p>
        </w:tc>
        <w:tc>
          <w:tcPr>
            <w:tcW w:w="934" w:type="dxa"/>
          </w:tcPr>
          <w:p w:rsidR="00770135" w:rsidRPr="00743A41" w:rsidRDefault="00770135" w:rsidP="00A37ED6">
            <w:pPr>
              <w:tabs>
                <w:tab w:val="left" w:pos="391"/>
              </w:tabs>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sz w:val="20"/>
                <w:szCs w:val="20"/>
              </w:rPr>
            </w:pPr>
            <w:r w:rsidRPr="00743A41">
              <w:rPr>
                <w:rFonts w:asciiTheme="majorHAnsi" w:eastAsia="Arial" w:hAnsiTheme="majorHAnsi" w:cstheme="majorHAnsi"/>
                <w:b/>
                <w:sz w:val="20"/>
                <w:szCs w:val="20"/>
              </w:rPr>
              <w:t>100%</w:t>
            </w:r>
          </w:p>
        </w:tc>
      </w:tr>
    </w:tbl>
    <w:p w:rsidR="00933038" w:rsidRPr="00743A41" w:rsidRDefault="00933038" w:rsidP="00A37ED6">
      <w:pPr>
        <w:pStyle w:val="Default"/>
        <w:ind w:left="720"/>
        <w:rPr>
          <w:rFonts w:asciiTheme="majorHAnsi" w:hAnsiTheme="majorHAnsi" w:cstheme="majorHAnsi"/>
          <w:color w:val="auto"/>
          <w:szCs w:val="20"/>
        </w:rPr>
      </w:pPr>
    </w:p>
    <w:p w:rsidR="004E168C" w:rsidRPr="00743A41" w:rsidRDefault="004E168C" w:rsidP="00A37ED6">
      <w:pPr>
        <w:pStyle w:val="Default"/>
        <w:ind w:left="720"/>
        <w:rPr>
          <w:rFonts w:asciiTheme="majorHAnsi" w:hAnsiTheme="majorHAnsi" w:cstheme="majorHAnsi"/>
          <w:color w:val="auto"/>
          <w:szCs w:val="20"/>
        </w:rPr>
      </w:pPr>
    </w:p>
    <w:p w:rsidR="004E168C" w:rsidRPr="00743A41" w:rsidRDefault="004E168C" w:rsidP="00A37ED6">
      <w:pPr>
        <w:pStyle w:val="Default"/>
        <w:ind w:left="720"/>
        <w:rPr>
          <w:rFonts w:asciiTheme="majorHAnsi" w:hAnsiTheme="majorHAnsi" w:cstheme="majorHAnsi"/>
          <w:color w:val="auto"/>
          <w:szCs w:val="20"/>
        </w:rPr>
      </w:pPr>
    </w:p>
    <w:p w:rsidR="004E168C" w:rsidRPr="00743A41" w:rsidRDefault="004E168C" w:rsidP="00A37ED6">
      <w:pPr>
        <w:pStyle w:val="Default"/>
        <w:ind w:left="720"/>
        <w:rPr>
          <w:rFonts w:asciiTheme="majorHAnsi" w:hAnsiTheme="majorHAnsi" w:cstheme="majorHAnsi"/>
          <w:color w:val="auto"/>
          <w:szCs w:val="20"/>
        </w:rPr>
      </w:pPr>
    </w:p>
    <w:p w:rsidR="004E168C" w:rsidRPr="00743A41" w:rsidRDefault="004E168C" w:rsidP="00A37ED6">
      <w:pPr>
        <w:pStyle w:val="Default"/>
        <w:ind w:left="720"/>
        <w:rPr>
          <w:rFonts w:asciiTheme="majorHAnsi" w:hAnsiTheme="majorHAnsi" w:cstheme="majorHAnsi"/>
          <w:color w:val="auto"/>
          <w:szCs w:val="20"/>
        </w:rPr>
      </w:pPr>
    </w:p>
    <w:p w:rsidR="004E168C" w:rsidRPr="00743A41" w:rsidRDefault="004E168C" w:rsidP="00A37ED6">
      <w:pPr>
        <w:pStyle w:val="Default"/>
        <w:ind w:left="720"/>
        <w:rPr>
          <w:rFonts w:asciiTheme="majorHAnsi" w:hAnsiTheme="majorHAnsi" w:cstheme="majorHAnsi"/>
          <w:color w:val="auto"/>
          <w:szCs w:val="20"/>
        </w:rPr>
      </w:pPr>
    </w:p>
    <w:p w:rsidR="004E168C" w:rsidRPr="00743A41" w:rsidRDefault="004E168C" w:rsidP="00A37ED6">
      <w:pPr>
        <w:pStyle w:val="Default"/>
        <w:ind w:left="720"/>
        <w:rPr>
          <w:rFonts w:asciiTheme="majorHAnsi" w:hAnsiTheme="majorHAnsi" w:cstheme="majorHAnsi"/>
          <w:color w:val="auto"/>
          <w:szCs w:val="20"/>
        </w:rPr>
      </w:pPr>
    </w:p>
    <w:p w:rsidR="004E168C" w:rsidRPr="00743A41" w:rsidRDefault="004E168C" w:rsidP="00A37ED6">
      <w:pPr>
        <w:pStyle w:val="Default"/>
        <w:ind w:left="720"/>
        <w:rPr>
          <w:rFonts w:asciiTheme="majorHAnsi" w:hAnsiTheme="majorHAnsi" w:cstheme="majorHAnsi"/>
          <w:color w:val="auto"/>
          <w:szCs w:val="20"/>
        </w:rPr>
      </w:pPr>
    </w:p>
    <w:p w:rsidR="004E168C" w:rsidRPr="00743A41" w:rsidRDefault="004E168C" w:rsidP="00A37ED6">
      <w:pPr>
        <w:pStyle w:val="Default"/>
        <w:ind w:left="720"/>
        <w:rPr>
          <w:rFonts w:asciiTheme="majorHAnsi" w:hAnsiTheme="majorHAnsi" w:cstheme="majorHAnsi"/>
          <w:color w:val="auto"/>
          <w:szCs w:val="20"/>
        </w:rPr>
      </w:pPr>
    </w:p>
    <w:p w:rsidR="004E168C" w:rsidRPr="00743A41" w:rsidRDefault="004E168C" w:rsidP="00A37ED6">
      <w:pPr>
        <w:pStyle w:val="Default"/>
        <w:ind w:left="720"/>
        <w:rPr>
          <w:rFonts w:asciiTheme="majorHAnsi" w:hAnsiTheme="majorHAnsi" w:cstheme="majorHAnsi"/>
          <w:color w:val="auto"/>
          <w:szCs w:val="20"/>
        </w:rPr>
      </w:pPr>
    </w:p>
    <w:p w:rsidR="00C91EFA" w:rsidRPr="00743A41" w:rsidRDefault="00C91EFA" w:rsidP="00A37ED6">
      <w:pPr>
        <w:pBdr>
          <w:top w:val="nil"/>
          <w:left w:val="nil"/>
          <w:bottom w:val="nil"/>
          <w:right w:val="nil"/>
          <w:between w:val="nil"/>
        </w:pBdr>
        <w:ind w:left="720"/>
        <w:jc w:val="both"/>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Table B.3.1.</w:t>
      </w:r>
      <w:r w:rsidR="00EE6F35" w:rsidRPr="00743A41">
        <w:rPr>
          <w:rFonts w:asciiTheme="majorHAnsi" w:eastAsia="Arial" w:hAnsiTheme="majorHAnsi" w:cstheme="majorHAnsi"/>
          <w:color w:val="000000"/>
          <w:sz w:val="20"/>
          <w:szCs w:val="20"/>
        </w:rPr>
        <w:t>b.</w:t>
      </w:r>
      <w:r w:rsidRPr="00743A41">
        <w:rPr>
          <w:rFonts w:asciiTheme="majorHAnsi" w:eastAsia="Arial" w:hAnsiTheme="majorHAnsi" w:cstheme="majorHAnsi"/>
          <w:color w:val="000000"/>
          <w:sz w:val="20"/>
          <w:szCs w:val="20"/>
        </w:rPr>
        <w:t xml:space="preserve"> Post-Graduation Outcomes for MS Graduates </w:t>
      </w:r>
    </w:p>
    <w:tbl>
      <w:tblPr>
        <w:tblStyle w:val="15"/>
        <w:tblW w:w="86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7"/>
        <w:gridCol w:w="961"/>
        <w:gridCol w:w="962"/>
        <w:gridCol w:w="962"/>
        <w:gridCol w:w="962"/>
        <w:gridCol w:w="933"/>
        <w:gridCol w:w="933"/>
      </w:tblGrid>
      <w:tr w:rsidR="00E60AF7" w:rsidRPr="00743A41" w:rsidTr="00073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Borders>
              <w:top w:val="none" w:sz="0" w:space="0" w:color="auto"/>
              <w:bottom w:val="none" w:sz="0" w:space="0" w:color="auto"/>
              <w:right w:val="none" w:sz="0" w:space="0" w:color="auto"/>
            </w:tcBorders>
          </w:tcPr>
          <w:p w:rsidR="00E60AF7" w:rsidRPr="00743A41" w:rsidRDefault="00E60AF7" w:rsidP="00A37ED6">
            <w:pPr>
              <w:ind w:right="360"/>
              <w:jc w:val="center"/>
              <w:rPr>
                <w:rFonts w:asciiTheme="majorHAnsi" w:eastAsia="Arial" w:hAnsiTheme="majorHAnsi" w:cstheme="majorHAnsi"/>
                <w:sz w:val="20"/>
                <w:szCs w:val="20"/>
              </w:rPr>
            </w:pPr>
            <w:r w:rsidRPr="00743A41">
              <w:rPr>
                <w:rFonts w:asciiTheme="majorHAnsi" w:eastAsia="Arial" w:hAnsiTheme="majorHAnsi" w:cstheme="majorHAnsi"/>
                <w:sz w:val="20"/>
                <w:szCs w:val="20"/>
              </w:rPr>
              <w:t>Post-Graduation Outcomes</w:t>
            </w:r>
          </w:p>
        </w:tc>
        <w:tc>
          <w:tcPr>
            <w:tcW w:w="1923" w:type="dxa"/>
            <w:gridSpan w:val="2"/>
            <w:tcBorders>
              <w:top w:val="none" w:sz="0" w:space="0" w:color="auto"/>
              <w:left w:val="none" w:sz="0" w:space="0" w:color="auto"/>
              <w:bottom w:val="none" w:sz="0" w:space="0" w:color="auto"/>
              <w:right w:val="none" w:sz="0" w:space="0" w:color="auto"/>
            </w:tcBorders>
          </w:tcPr>
          <w:p w:rsidR="00E60AF7" w:rsidRPr="00743A41" w:rsidRDefault="00E60AF7" w:rsidP="00A37ED6">
            <w:pPr>
              <w:ind w:right="-120" w:hanging="105"/>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AY 2016</w:t>
            </w:r>
          </w:p>
          <w:p w:rsidR="00E60AF7" w:rsidRPr="00743A41" w:rsidRDefault="00E60AF7" w:rsidP="00A37ED6">
            <w:pPr>
              <w:ind w:right="-120" w:hanging="105"/>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Number &amp; Percentage</w:t>
            </w:r>
          </w:p>
        </w:tc>
        <w:tc>
          <w:tcPr>
            <w:tcW w:w="1924" w:type="dxa"/>
            <w:gridSpan w:val="2"/>
            <w:tcBorders>
              <w:top w:val="none" w:sz="0" w:space="0" w:color="auto"/>
              <w:left w:val="none" w:sz="0" w:space="0" w:color="auto"/>
              <w:bottom w:val="none" w:sz="0" w:space="0" w:color="auto"/>
              <w:right w:val="none" w:sz="0" w:space="0" w:color="auto"/>
            </w:tcBorders>
          </w:tcPr>
          <w:p w:rsidR="00E60AF7" w:rsidRPr="00743A41" w:rsidRDefault="00AE5BBA" w:rsidP="00A37ED6">
            <w:pPr>
              <w:tabs>
                <w:tab w:val="left" w:pos="1515"/>
              </w:tabs>
              <w:ind w:right="-105" w:hanging="105"/>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AY</w:t>
            </w:r>
            <w:r w:rsidR="00E60AF7" w:rsidRPr="00743A41">
              <w:rPr>
                <w:rFonts w:asciiTheme="majorHAnsi" w:eastAsia="Arial" w:hAnsiTheme="majorHAnsi" w:cstheme="majorHAnsi"/>
                <w:sz w:val="20"/>
                <w:szCs w:val="20"/>
              </w:rPr>
              <w:t xml:space="preserve"> 2017</w:t>
            </w:r>
          </w:p>
          <w:p w:rsidR="00E60AF7" w:rsidRPr="00743A41" w:rsidRDefault="00E60AF7" w:rsidP="00A37ED6">
            <w:pPr>
              <w:tabs>
                <w:tab w:val="left" w:pos="1515"/>
              </w:tabs>
              <w:ind w:right="-105" w:hanging="105"/>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Number &amp; Percentage</w:t>
            </w:r>
          </w:p>
        </w:tc>
        <w:tc>
          <w:tcPr>
            <w:tcW w:w="1866" w:type="dxa"/>
            <w:gridSpan w:val="2"/>
            <w:tcBorders>
              <w:top w:val="none" w:sz="0" w:space="0" w:color="auto"/>
              <w:left w:val="none" w:sz="0" w:space="0" w:color="auto"/>
              <w:bottom w:val="none" w:sz="0" w:space="0" w:color="auto"/>
            </w:tcBorders>
          </w:tcPr>
          <w:p w:rsidR="00E60AF7" w:rsidRPr="00743A41" w:rsidRDefault="00AE5BBA" w:rsidP="00A37ED6">
            <w:pPr>
              <w:tabs>
                <w:tab w:val="left" w:pos="1515"/>
              </w:tabs>
              <w:ind w:right="-105" w:hanging="105"/>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AY </w:t>
            </w:r>
            <w:r w:rsidR="00E60AF7" w:rsidRPr="00743A41">
              <w:rPr>
                <w:rFonts w:asciiTheme="majorHAnsi" w:eastAsia="Arial" w:hAnsiTheme="majorHAnsi" w:cstheme="majorHAnsi"/>
                <w:sz w:val="20"/>
                <w:szCs w:val="20"/>
              </w:rPr>
              <w:t>2018</w:t>
            </w:r>
          </w:p>
          <w:p w:rsidR="00E60AF7" w:rsidRPr="00743A41" w:rsidRDefault="00E60AF7" w:rsidP="00A37ED6">
            <w:pPr>
              <w:tabs>
                <w:tab w:val="left" w:pos="1515"/>
              </w:tabs>
              <w:ind w:right="-105" w:hanging="105"/>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Number &amp; Percentage</w:t>
            </w:r>
          </w:p>
        </w:tc>
      </w:tr>
      <w:tr w:rsidR="00F10301" w:rsidRPr="00743A41" w:rsidTr="00321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rsidR="00F10301" w:rsidRPr="003A3BCE" w:rsidRDefault="00F10301" w:rsidP="00A37ED6">
            <w:pPr>
              <w:ind w:right="360"/>
              <w:rPr>
                <w:rFonts w:asciiTheme="majorHAnsi" w:eastAsia="Arial" w:hAnsiTheme="majorHAnsi" w:cstheme="majorHAnsi"/>
                <w:b w:val="0"/>
                <w:sz w:val="20"/>
                <w:szCs w:val="20"/>
              </w:rPr>
            </w:pPr>
            <w:r w:rsidRPr="003A3BCE">
              <w:rPr>
                <w:rFonts w:asciiTheme="majorHAnsi" w:eastAsia="Arial" w:hAnsiTheme="majorHAnsi" w:cstheme="majorHAnsi"/>
                <w:b w:val="0"/>
                <w:sz w:val="20"/>
                <w:szCs w:val="20"/>
              </w:rPr>
              <w:t>EMPL</w:t>
            </w:r>
          </w:p>
        </w:tc>
        <w:tc>
          <w:tcPr>
            <w:tcW w:w="961" w:type="dxa"/>
          </w:tcPr>
          <w:p w:rsidR="00F10301" w:rsidRPr="00743A41" w:rsidRDefault="00F10301"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12</w:t>
            </w:r>
          </w:p>
        </w:tc>
        <w:tc>
          <w:tcPr>
            <w:tcW w:w="962" w:type="dxa"/>
          </w:tcPr>
          <w:p w:rsidR="00F10301" w:rsidRPr="00743A41" w:rsidRDefault="00F10301" w:rsidP="00A37ED6">
            <w:pPr>
              <w:ind w:left="-119" w:right="-12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60%</w:t>
            </w:r>
          </w:p>
        </w:tc>
        <w:tc>
          <w:tcPr>
            <w:tcW w:w="962" w:type="dxa"/>
          </w:tcPr>
          <w:p w:rsidR="00F10301" w:rsidRPr="00743A41" w:rsidRDefault="00F10301" w:rsidP="00A37ED6">
            <w:pPr>
              <w:ind w:left="-89" w:right="-15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9</w:t>
            </w:r>
          </w:p>
        </w:tc>
        <w:tc>
          <w:tcPr>
            <w:tcW w:w="962" w:type="dxa"/>
          </w:tcPr>
          <w:p w:rsidR="00F10301" w:rsidRPr="00743A41" w:rsidRDefault="00F10301" w:rsidP="00A37ED6">
            <w:pPr>
              <w:ind w:left="-149" w:right="-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69%</w:t>
            </w:r>
          </w:p>
        </w:tc>
        <w:tc>
          <w:tcPr>
            <w:tcW w:w="933" w:type="dxa"/>
          </w:tcPr>
          <w:p w:rsidR="00F10301" w:rsidRPr="00743A41" w:rsidRDefault="00F10301" w:rsidP="00A37ED6">
            <w:pPr>
              <w:ind w:left="-119" w:right="-15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10</w:t>
            </w:r>
          </w:p>
        </w:tc>
        <w:tc>
          <w:tcPr>
            <w:tcW w:w="933" w:type="dxa"/>
          </w:tcPr>
          <w:p w:rsidR="00F10301" w:rsidRPr="00743A41" w:rsidRDefault="00F10301" w:rsidP="00A37ED6">
            <w:pPr>
              <w:ind w:left="-164" w:right="-119"/>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77%</w:t>
            </w:r>
          </w:p>
        </w:tc>
      </w:tr>
      <w:tr w:rsidR="00F10301" w:rsidRPr="00743A41" w:rsidTr="00321053">
        <w:tc>
          <w:tcPr>
            <w:cnfStyle w:val="001000000000" w:firstRow="0" w:lastRow="0" w:firstColumn="1" w:lastColumn="0" w:oddVBand="0" w:evenVBand="0" w:oddHBand="0" w:evenHBand="0" w:firstRowFirstColumn="0" w:firstRowLastColumn="0" w:lastRowFirstColumn="0" w:lastRowLastColumn="0"/>
            <w:tcW w:w="2917" w:type="dxa"/>
          </w:tcPr>
          <w:p w:rsidR="00F10301" w:rsidRPr="003A3BCE" w:rsidRDefault="00F10301" w:rsidP="00A37ED6">
            <w:pPr>
              <w:ind w:right="360"/>
              <w:rPr>
                <w:rFonts w:asciiTheme="majorHAnsi" w:eastAsia="Arial" w:hAnsiTheme="majorHAnsi" w:cstheme="majorHAnsi"/>
                <w:b w:val="0"/>
                <w:sz w:val="20"/>
                <w:szCs w:val="20"/>
              </w:rPr>
            </w:pPr>
            <w:r w:rsidRPr="003A3BCE">
              <w:rPr>
                <w:rFonts w:asciiTheme="majorHAnsi" w:eastAsia="Arial" w:hAnsiTheme="majorHAnsi" w:cstheme="majorHAnsi"/>
                <w:b w:val="0"/>
                <w:sz w:val="20"/>
                <w:szCs w:val="20"/>
              </w:rPr>
              <w:t>CONT ED</w:t>
            </w:r>
          </w:p>
        </w:tc>
        <w:tc>
          <w:tcPr>
            <w:tcW w:w="961" w:type="dxa"/>
          </w:tcPr>
          <w:p w:rsidR="00F10301" w:rsidRPr="00743A41" w:rsidRDefault="00F10301"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3</w:t>
            </w:r>
          </w:p>
        </w:tc>
        <w:tc>
          <w:tcPr>
            <w:tcW w:w="962" w:type="dxa"/>
          </w:tcPr>
          <w:p w:rsidR="00F10301" w:rsidRPr="00743A41" w:rsidRDefault="00F10301" w:rsidP="00A37ED6">
            <w:pPr>
              <w:ind w:left="-119" w:right="-12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15%</w:t>
            </w:r>
          </w:p>
        </w:tc>
        <w:tc>
          <w:tcPr>
            <w:tcW w:w="962" w:type="dxa"/>
          </w:tcPr>
          <w:p w:rsidR="00F10301" w:rsidRPr="00743A41" w:rsidRDefault="00F10301" w:rsidP="00A37ED6">
            <w:pPr>
              <w:ind w:left="-89" w:right="-15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2</w:t>
            </w:r>
          </w:p>
        </w:tc>
        <w:tc>
          <w:tcPr>
            <w:tcW w:w="962" w:type="dxa"/>
          </w:tcPr>
          <w:p w:rsidR="00F10301" w:rsidRPr="00743A41" w:rsidRDefault="00F10301" w:rsidP="00A37ED6">
            <w:pPr>
              <w:ind w:left="-149" w:right="-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15%</w:t>
            </w:r>
          </w:p>
        </w:tc>
        <w:tc>
          <w:tcPr>
            <w:tcW w:w="933" w:type="dxa"/>
          </w:tcPr>
          <w:p w:rsidR="00F10301" w:rsidRPr="00743A41" w:rsidRDefault="00F10301" w:rsidP="00A37ED6">
            <w:pPr>
              <w:ind w:left="-119" w:right="-15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2</w:t>
            </w:r>
          </w:p>
        </w:tc>
        <w:tc>
          <w:tcPr>
            <w:tcW w:w="933" w:type="dxa"/>
          </w:tcPr>
          <w:p w:rsidR="00F10301" w:rsidRPr="00743A41" w:rsidRDefault="00F10301" w:rsidP="00A37ED6">
            <w:pPr>
              <w:ind w:left="-164" w:right="-119"/>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15%</w:t>
            </w:r>
          </w:p>
        </w:tc>
      </w:tr>
      <w:tr w:rsidR="00F10301" w:rsidRPr="00743A41" w:rsidTr="00321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rsidR="00F10301" w:rsidRPr="003A3BCE" w:rsidRDefault="00F10301" w:rsidP="00A37ED6">
            <w:pPr>
              <w:ind w:right="360"/>
              <w:rPr>
                <w:rFonts w:asciiTheme="majorHAnsi" w:eastAsia="Arial" w:hAnsiTheme="majorHAnsi" w:cstheme="majorHAnsi"/>
                <w:b w:val="0"/>
                <w:sz w:val="20"/>
                <w:szCs w:val="20"/>
              </w:rPr>
            </w:pPr>
            <w:r w:rsidRPr="003A3BCE">
              <w:rPr>
                <w:rFonts w:asciiTheme="majorHAnsi" w:eastAsia="Arial" w:hAnsiTheme="majorHAnsi" w:cstheme="majorHAnsi"/>
                <w:b w:val="0"/>
                <w:sz w:val="20"/>
                <w:szCs w:val="20"/>
              </w:rPr>
              <w:t>FELLOW</w:t>
            </w:r>
          </w:p>
        </w:tc>
        <w:tc>
          <w:tcPr>
            <w:tcW w:w="961" w:type="dxa"/>
          </w:tcPr>
          <w:p w:rsidR="00F10301" w:rsidRPr="00743A41" w:rsidRDefault="00F10301"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0</w:t>
            </w:r>
          </w:p>
        </w:tc>
        <w:tc>
          <w:tcPr>
            <w:tcW w:w="962" w:type="dxa"/>
          </w:tcPr>
          <w:p w:rsidR="00F10301" w:rsidRPr="00743A41" w:rsidRDefault="00F10301" w:rsidP="00A37ED6">
            <w:pPr>
              <w:ind w:left="-119" w:right="-12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c>
          <w:tcPr>
            <w:tcW w:w="962" w:type="dxa"/>
          </w:tcPr>
          <w:p w:rsidR="00F10301" w:rsidRPr="00743A41" w:rsidRDefault="00F10301" w:rsidP="00A37ED6">
            <w:pPr>
              <w:ind w:left="-89" w:right="-15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1</w:t>
            </w:r>
          </w:p>
        </w:tc>
        <w:tc>
          <w:tcPr>
            <w:tcW w:w="962" w:type="dxa"/>
          </w:tcPr>
          <w:p w:rsidR="00F10301" w:rsidRPr="00743A41" w:rsidRDefault="00F10301" w:rsidP="00A37ED6">
            <w:pPr>
              <w:ind w:left="-149" w:right="-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8%</w:t>
            </w:r>
          </w:p>
        </w:tc>
        <w:tc>
          <w:tcPr>
            <w:tcW w:w="933" w:type="dxa"/>
          </w:tcPr>
          <w:p w:rsidR="00F10301" w:rsidRPr="00743A41" w:rsidRDefault="00F10301" w:rsidP="00A37ED6">
            <w:pPr>
              <w:ind w:left="-119" w:right="-15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0</w:t>
            </w:r>
          </w:p>
        </w:tc>
        <w:tc>
          <w:tcPr>
            <w:tcW w:w="933" w:type="dxa"/>
          </w:tcPr>
          <w:p w:rsidR="00F10301" w:rsidRPr="00743A41" w:rsidRDefault="00F10301" w:rsidP="00A37ED6">
            <w:pPr>
              <w:ind w:left="-164" w:right="-119"/>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r>
      <w:tr w:rsidR="00F10301" w:rsidRPr="00743A41" w:rsidTr="00321053">
        <w:tc>
          <w:tcPr>
            <w:cnfStyle w:val="001000000000" w:firstRow="0" w:lastRow="0" w:firstColumn="1" w:lastColumn="0" w:oddVBand="0" w:evenVBand="0" w:oddHBand="0" w:evenHBand="0" w:firstRowFirstColumn="0" w:firstRowLastColumn="0" w:lastRowFirstColumn="0" w:lastRowLastColumn="0"/>
            <w:tcW w:w="2917" w:type="dxa"/>
          </w:tcPr>
          <w:p w:rsidR="00F10301" w:rsidRPr="003A3BCE" w:rsidRDefault="00F10301" w:rsidP="00A37ED6">
            <w:pPr>
              <w:ind w:right="360"/>
              <w:rPr>
                <w:rFonts w:asciiTheme="majorHAnsi" w:eastAsia="Arial" w:hAnsiTheme="majorHAnsi" w:cstheme="majorHAnsi"/>
                <w:b w:val="0"/>
                <w:sz w:val="20"/>
                <w:szCs w:val="20"/>
              </w:rPr>
            </w:pPr>
            <w:r w:rsidRPr="003A3BCE">
              <w:rPr>
                <w:rFonts w:asciiTheme="majorHAnsi" w:eastAsia="Arial" w:hAnsiTheme="majorHAnsi" w:cstheme="majorHAnsi"/>
                <w:b w:val="0"/>
                <w:sz w:val="20"/>
                <w:szCs w:val="20"/>
              </w:rPr>
              <w:t>NOT SEEK</w:t>
            </w:r>
          </w:p>
        </w:tc>
        <w:tc>
          <w:tcPr>
            <w:tcW w:w="961" w:type="dxa"/>
          </w:tcPr>
          <w:p w:rsidR="00F10301" w:rsidRPr="00743A41" w:rsidRDefault="00F10301"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0</w:t>
            </w:r>
          </w:p>
        </w:tc>
        <w:tc>
          <w:tcPr>
            <w:tcW w:w="962" w:type="dxa"/>
          </w:tcPr>
          <w:p w:rsidR="00F10301" w:rsidRPr="00743A41" w:rsidRDefault="00F10301" w:rsidP="00A37ED6">
            <w:pPr>
              <w:ind w:left="-119" w:right="-12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0%</w:t>
            </w:r>
          </w:p>
        </w:tc>
        <w:tc>
          <w:tcPr>
            <w:tcW w:w="962" w:type="dxa"/>
          </w:tcPr>
          <w:p w:rsidR="00F10301" w:rsidRPr="00743A41" w:rsidRDefault="00F10301" w:rsidP="00A37ED6">
            <w:pPr>
              <w:ind w:left="-89" w:right="-15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c>
          <w:tcPr>
            <w:tcW w:w="962" w:type="dxa"/>
          </w:tcPr>
          <w:p w:rsidR="00F10301" w:rsidRPr="00743A41" w:rsidRDefault="00F10301" w:rsidP="00A37ED6">
            <w:pPr>
              <w:ind w:left="-149" w:right="-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c>
          <w:tcPr>
            <w:tcW w:w="933" w:type="dxa"/>
          </w:tcPr>
          <w:p w:rsidR="00F10301" w:rsidRPr="00743A41" w:rsidRDefault="00F10301" w:rsidP="00A37ED6">
            <w:pPr>
              <w:ind w:left="-119" w:right="-15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0</w:t>
            </w:r>
          </w:p>
        </w:tc>
        <w:tc>
          <w:tcPr>
            <w:tcW w:w="933" w:type="dxa"/>
          </w:tcPr>
          <w:p w:rsidR="00F10301" w:rsidRPr="00743A41" w:rsidRDefault="00F10301" w:rsidP="00A37ED6">
            <w:pPr>
              <w:ind w:left="-164" w:right="-119"/>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r>
      <w:tr w:rsidR="00F10301" w:rsidRPr="00743A41" w:rsidTr="00321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rsidR="00F10301" w:rsidRPr="003A3BCE" w:rsidRDefault="00F10301" w:rsidP="00A37ED6">
            <w:pPr>
              <w:ind w:right="360"/>
              <w:rPr>
                <w:rFonts w:asciiTheme="majorHAnsi" w:eastAsia="Arial" w:hAnsiTheme="majorHAnsi" w:cstheme="majorHAnsi"/>
                <w:b w:val="0"/>
                <w:sz w:val="20"/>
                <w:szCs w:val="20"/>
              </w:rPr>
            </w:pPr>
            <w:r w:rsidRPr="003A3BCE">
              <w:rPr>
                <w:rFonts w:asciiTheme="majorHAnsi" w:eastAsia="Arial" w:hAnsiTheme="majorHAnsi" w:cstheme="majorHAnsi"/>
                <w:b w:val="0"/>
                <w:sz w:val="20"/>
                <w:szCs w:val="20"/>
              </w:rPr>
              <w:t>SEEK</w:t>
            </w:r>
          </w:p>
        </w:tc>
        <w:tc>
          <w:tcPr>
            <w:tcW w:w="961" w:type="dxa"/>
          </w:tcPr>
          <w:p w:rsidR="00F10301" w:rsidRPr="00743A41" w:rsidRDefault="00F10301"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1</w:t>
            </w:r>
          </w:p>
        </w:tc>
        <w:tc>
          <w:tcPr>
            <w:tcW w:w="962" w:type="dxa"/>
          </w:tcPr>
          <w:p w:rsidR="00F10301" w:rsidRPr="00743A41" w:rsidRDefault="00F10301" w:rsidP="00A37ED6">
            <w:pPr>
              <w:ind w:left="-119" w:right="-12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5%</w:t>
            </w:r>
          </w:p>
        </w:tc>
        <w:tc>
          <w:tcPr>
            <w:tcW w:w="962" w:type="dxa"/>
          </w:tcPr>
          <w:p w:rsidR="00F10301" w:rsidRPr="00743A41" w:rsidRDefault="00F10301" w:rsidP="00A37ED6">
            <w:pPr>
              <w:ind w:left="-89" w:right="-15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c>
          <w:tcPr>
            <w:tcW w:w="962" w:type="dxa"/>
          </w:tcPr>
          <w:p w:rsidR="00F10301" w:rsidRPr="00743A41" w:rsidRDefault="00F10301" w:rsidP="00A37ED6">
            <w:pPr>
              <w:ind w:left="-149" w:right="-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c>
          <w:tcPr>
            <w:tcW w:w="933" w:type="dxa"/>
          </w:tcPr>
          <w:p w:rsidR="00F10301" w:rsidRPr="00743A41" w:rsidRDefault="00F10301" w:rsidP="00A37ED6">
            <w:pPr>
              <w:ind w:left="-119" w:right="-15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0</w:t>
            </w:r>
          </w:p>
        </w:tc>
        <w:tc>
          <w:tcPr>
            <w:tcW w:w="933" w:type="dxa"/>
          </w:tcPr>
          <w:p w:rsidR="00F10301" w:rsidRPr="00743A41" w:rsidRDefault="00F10301" w:rsidP="00A37ED6">
            <w:pPr>
              <w:ind w:left="-164" w:right="-119"/>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r>
      <w:tr w:rsidR="00F10301" w:rsidRPr="00743A41" w:rsidTr="00321053">
        <w:tc>
          <w:tcPr>
            <w:cnfStyle w:val="001000000000" w:firstRow="0" w:lastRow="0" w:firstColumn="1" w:lastColumn="0" w:oddVBand="0" w:evenVBand="0" w:oddHBand="0" w:evenHBand="0" w:firstRowFirstColumn="0" w:firstRowLastColumn="0" w:lastRowFirstColumn="0" w:lastRowLastColumn="0"/>
            <w:tcW w:w="2917" w:type="dxa"/>
          </w:tcPr>
          <w:p w:rsidR="00F10301" w:rsidRPr="003A3BCE" w:rsidRDefault="00F10301" w:rsidP="00A37ED6">
            <w:pPr>
              <w:ind w:right="360"/>
              <w:rPr>
                <w:rFonts w:asciiTheme="majorHAnsi" w:eastAsia="Arial" w:hAnsiTheme="majorHAnsi" w:cstheme="majorHAnsi"/>
                <w:b w:val="0"/>
                <w:sz w:val="20"/>
                <w:szCs w:val="20"/>
              </w:rPr>
            </w:pPr>
            <w:r w:rsidRPr="003A3BCE">
              <w:rPr>
                <w:rFonts w:asciiTheme="majorHAnsi" w:eastAsia="Arial" w:hAnsiTheme="majorHAnsi" w:cstheme="majorHAnsi"/>
                <w:b w:val="0"/>
                <w:sz w:val="20"/>
                <w:szCs w:val="20"/>
              </w:rPr>
              <w:t>VOLUN</w:t>
            </w:r>
          </w:p>
        </w:tc>
        <w:tc>
          <w:tcPr>
            <w:tcW w:w="961" w:type="dxa"/>
          </w:tcPr>
          <w:p w:rsidR="00F10301" w:rsidRPr="00743A41" w:rsidRDefault="00F10301"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0</w:t>
            </w:r>
          </w:p>
        </w:tc>
        <w:tc>
          <w:tcPr>
            <w:tcW w:w="962" w:type="dxa"/>
          </w:tcPr>
          <w:p w:rsidR="00F10301" w:rsidRPr="00743A41" w:rsidRDefault="00F10301" w:rsidP="00A37ED6">
            <w:pPr>
              <w:ind w:left="-119" w:right="-12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c>
          <w:tcPr>
            <w:tcW w:w="962" w:type="dxa"/>
          </w:tcPr>
          <w:p w:rsidR="00F10301" w:rsidRPr="00743A41" w:rsidRDefault="00F10301" w:rsidP="00A37ED6">
            <w:pPr>
              <w:ind w:left="-89" w:right="-15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c>
          <w:tcPr>
            <w:tcW w:w="962" w:type="dxa"/>
          </w:tcPr>
          <w:p w:rsidR="00F10301" w:rsidRPr="00743A41" w:rsidRDefault="00F10301" w:rsidP="00A37ED6">
            <w:pPr>
              <w:ind w:left="-149" w:right="-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c>
          <w:tcPr>
            <w:tcW w:w="933" w:type="dxa"/>
          </w:tcPr>
          <w:p w:rsidR="00F10301" w:rsidRPr="00743A41" w:rsidRDefault="00F10301" w:rsidP="00A37ED6">
            <w:pPr>
              <w:ind w:left="-119" w:right="-15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0</w:t>
            </w:r>
          </w:p>
        </w:tc>
        <w:tc>
          <w:tcPr>
            <w:tcW w:w="933" w:type="dxa"/>
          </w:tcPr>
          <w:p w:rsidR="00F10301" w:rsidRPr="00743A41" w:rsidRDefault="00F10301" w:rsidP="00A37ED6">
            <w:pPr>
              <w:ind w:left="-164" w:right="-119"/>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r>
      <w:tr w:rsidR="00F10301" w:rsidRPr="00743A41" w:rsidTr="00321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rsidR="00F10301" w:rsidRPr="003A3BCE" w:rsidRDefault="00F10301" w:rsidP="00A37ED6">
            <w:pPr>
              <w:ind w:right="360"/>
              <w:rPr>
                <w:rFonts w:asciiTheme="majorHAnsi" w:eastAsia="Arial" w:hAnsiTheme="majorHAnsi" w:cstheme="majorHAnsi"/>
                <w:b w:val="0"/>
                <w:sz w:val="20"/>
                <w:szCs w:val="20"/>
              </w:rPr>
            </w:pPr>
            <w:r w:rsidRPr="003A3BCE">
              <w:rPr>
                <w:rFonts w:asciiTheme="majorHAnsi" w:eastAsia="Arial" w:hAnsiTheme="majorHAnsi" w:cstheme="majorHAnsi"/>
                <w:b w:val="0"/>
                <w:sz w:val="20"/>
                <w:szCs w:val="20"/>
              </w:rPr>
              <w:t>UNKNOWN</w:t>
            </w:r>
          </w:p>
        </w:tc>
        <w:tc>
          <w:tcPr>
            <w:tcW w:w="961" w:type="dxa"/>
          </w:tcPr>
          <w:p w:rsidR="00F10301" w:rsidRPr="00743A41" w:rsidRDefault="00F10301"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4</w:t>
            </w:r>
          </w:p>
        </w:tc>
        <w:tc>
          <w:tcPr>
            <w:tcW w:w="962" w:type="dxa"/>
          </w:tcPr>
          <w:p w:rsidR="00F10301" w:rsidRPr="00743A41" w:rsidRDefault="00F10301" w:rsidP="00A37ED6">
            <w:pPr>
              <w:ind w:left="-119" w:right="-12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20%</w:t>
            </w:r>
          </w:p>
        </w:tc>
        <w:tc>
          <w:tcPr>
            <w:tcW w:w="962" w:type="dxa"/>
          </w:tcPr>
          <w:p w:rsidR="00F10301" w:rsidRPr="00743A41" w:rsidRDefault="00F10301" w:rsidP="00A37ED6">
            <w:pPr>
              <w:ind w:left="-89" w:right="-15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1</w:t>
            </w:r>
          </w:p>
        </w:tc>
        <w:tc>
          <w:tcPr>
            <w:tcW w:w="962" w:type="dxa"/>
          </w:tcPr>
          <w:p w:rsidR="00F10301" w:rsidRPr="00743A41" w:rsidRDefault="00F10301" w:rsidP="00A37ED6">
            <w:pPr>
              <w:ind w:left="-149" w:right="-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8%</w:t>
            </w:r>
          </w:p>
        </w:tc>
        <w:tc>
          <w:tcPr>
            <w:tcW w:w="933" w:type="dxa"/>
          </w:tcPr>
          <w:p w:rsidR="00F10301" w:rsidRPr="00743A41" w:rsidRDefault="00F10301" w:rsidP="00A37ED6">
            <w:pPr>
              <w:ind w:left="-119" w:right="-15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1</w:t>
            </w:r>
          </w:p>
        </w:tc>
        <w:tc>
          <w:tcPr>
            <w:tcW w:w="933" w:type="dxa"/>
          </w:tcPr>
          <w:p w:rsidR="00F10301" w:rsidRPr="00743A41" w:rsidRDefault="00F10301" w:rsidP="00A37ED6">
            <w:pPr>
              <w:ind w:left="-164" w:right="-119"/>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8%</w:t>
            </w:r>
          </w:p>
        </w:tc>
      </w:tr>
      <w:tr w:rsidR="00C51DF0" w:rsidRPr="00743A41" w:rsidTr="00321053">
        <w:tc>
          <w:tcPr>
            <w:cnfStyle w:val="001000000000" w:firstRow="0" w:lastRow="0" w:firstColumn="1" w:lastColumn="0" w:oddVBand="0" w:evenVBand="0" w:oddHBand="0" w:evenHBand="0" w:firstRowFirstColumn="0" w:firstRowLastColumn="0" w:lastRowFirstColumn="0" w:lastRowLastColumn="0"/>
            <w:tcW w:w="2917" w:type="dxa"/>
          </w:tcPr>
          <w:p w:rsidR="00C51DF0" w:rsidRPr="00743A41" w:rsidRDefault="00C51DF0" w:rsidP="00A37ED6">
            <w:pPr>
              <w:ind w:right="360"/>
              <w:rPr>
                <w:rFonts w:asciiTheme="majorHAnsi" w:eastAsia="Arial" w:hAnsiTheme="majorHAnsi" w:cstheme="majorHAnsi"/>
                <w:sz w:val="20"/>
                <w:szCs w:val="20"/>
              </w:rPr>
            </w:pPr>
            <w:r w:rsidRPr="00743A41">
              <w:rPr>
                <w:rFonts w:asciiTheme="majorHAnsi" w:eastAsia="Arial" w:hAnsiTheme="majorHAnsi" w:cstheme="majorHAnsi"/>
                <w:sz w:val="20"/>
                <w:szCs w:val="20"/>
              </w:rPr>
              <w:t>TOTAL</w:t>
            </w:r>
          </w:p>
        </w:tc>
        <w:tc>
          <w:tcPr>
            <w:tcW w:w="961" w:type="dxa"/>
          </w:tcPr>
          <w:p w:rsidR="00C51DF0" w:rsidRPr="00A54EDA" w:rsidRDefault="00C51DF0"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sz w:val="20"/>
                <w:szCs w:val="20"/>
              </w:rPr>
            </w:pPr>
            <w:r w:rsidRPr="00A54EDA">
              <w:rPr>
                <w:rFonts w:asciiTheme="majorHAnsi" w:eastAsia="Arial" w:hAnsiTheme="majorHAnsi" w:cstheme="majorHAnsi"/>
                <w:b/>
                <w:sz w:val="20"/>
                <w:szCs w:val="20"/>
              </w:rPr>
              <w:t>20</w:t>
            </w:r>
          </w:p>
        </w:tc>
        <w:tc>
          <w:tcPr>
            <w:tcW w:w="962" w:type="dxa"/>
          </w:tcPr>
          <w:p w:rsidR="00C51DF0" w:rsidRPr="00A54EDA" w:rsidRDefault="00C51DF0" w:rsidP="00A37ED6">
            <w:pPr>
              <w:ind w:left="-119" w:right="-12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sz w:val="20"/>
                <w:szCs w:val="20"/>
              </w:rPr>
            </w:pPr>
            <w:r w:rsidRPr="00A54EDA">
              <w:rPr>
                <w:rFonts w:asciiTheme="majorHAnsi" w:eastAsia="Arial" w:hAnsiTheme="majorHAnsi" w:cstheme="majorHAnsi"/>
                <w:b/>
                <w:sz w:val="20"/>
                <w:szCs w:val="20"/>
              </w:rPr>
              <w:t>100%</w:t>
            </w:r>
          </w:p>
        </w:tc>
        <w:tc>
          <w:tcPr>
            <w:tcW w:w="962" w:type="dxa"/>
          </w:tcPr>
          <w:p w:rsidR="00C51DF0" w:rsidRPr="00A54EDA" w:rsidRDefault="00C51DF0" w:rsidP="00A37ED6">
            <w:pPr>
              <w:ind w:left="-89" w:right="-15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sz w:val="20"/>
                <w:szCs w:val="20"/>
              </w:rPr>
            </w:pPr>
            <w:r w:rsidRPr="00A54EDA">
              <w:rPr>
                <w:rFonts w:asciiTheme="majorHAnsi" w:hAnsiTheme="majorHAnsi" w:cstheme="majorHAnsi"/>
                <w:b/>
                <w:bCs/>
                <w:color w:val="000000"/>
                <w:sz w:val="20"/>
                <w:szCs w:val="20"/>
              </w:rPr>
              <w:t>13</w:t>
            </w:r>
          </w:p>
        </w:tc>
        <w:tc>
          <w:tcPr>
            <w:tcW w:w="962" w:type="dxa"/>
          </w:tcPr>
          <w:p w:rsidR="00C51DF0" w:rsidRPr="00A54EDA" w:rsidRDefault="00C51DF0" w:rsidP="00A37ED6">
            <w:pPr>
              <w:ind w:left="-149" w:right="-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sz w:val="20"/>
                <w:szCs w:val="20"/>
              </w:rPr>
            </w:pPr>
            <w:r w:rsidRPr="00A54EDA">
              <w:rPr>
                <w:rFonts w:asciiTheme="majorHAnsi" w:hAnsiTheme="majorHAnsi" w:cstheme="majorHAnsi"/>
                <w:b/>
                <w:color w:val="000000"/>
                <w:sz w:val="20"/>
                <w:szCs w:val="20"/>
              </w:rPr>
              <w:t>100%</w:t>
            </w:r>
          </w:p>
        </w:tc>
        <w:tc>
          <w:tcPr>
            <w:tcW w:w="933" w:type="dxa"/>
          </w:tcPr>
          <w:p w:rsidR="00C51DF0" w:rsidRPr="00A54EDA" w:rsidRDefault="00C51DF0" w:rsidP="00A37ED6">
            <w:pPr>
              <w:ind w:left="-119" w:right="-15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sz w:val="20"/>
                <w:szCs w:val="20"/>
              </w:rPr>
            </w:pPr>
            <w:r w:rsidRPr="00A54EDA">
              <w:rPr>
                <w:rFonts w:asciiTheme="majorHAnsi" w:eastAsia="Arial" w:hAnsiTheme="majorHAnsi" w:cstheme="majorHAnsi"/>
                <w:b/>
                <w:sz w:val="20"/>
                <w:szCs w:val="20"/>
              </w:rPr>
              <w:t>13</w:t>
            </w:r>
          </w:p>
        </w:tc>
        <w:tc>
          <w:tcPr>
            <w:tcW w:w="933" w:type="dxa"/>
          </w:tcPr>
          <w:p w:rsidR="00C51DF0" w:rsidRPr="00A54EDA" w:rsidRDefault="00C51DF0" w:rsidP="00A37ED6">
            <w:pPr>
              <w:ind w:left="-164" w:right="-119"/>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sz w:val="20"/>
                <w:szCs w:val="20"/>
              </w:rPr>
            </w:pPr>
            <w:r w:rsidRPr="00A54EDA">
              <w:rPr>
                <w:rFonts w:asciiTheme="majorHAnsi" w:eastAsia="Arial" w:hAnsiTheme="majorHAnsi" w:cstheme="majorHAnsi"/>
                <w:b/>
                <w:sz w:val="20"/>
                <w:szCs w:val="20"/>
              </w:rPr>
              <w:t>100%</w:t>
            </w:r>
          </w:p>
        </w:tc>
      </w:tr>
    </w:tbl>
    <w:p w:rsidR="00E60AF7" w:rsidRPr="00743A41" w:rsidRDefault="00E60AF7" w:rsidP="00A37ED6">
      <w:pPr>
        <w:pBdr>
          <w:top w:val="nil"/>
          <w:left w:val="nil"/>
          <w:bottom w:val="nil"/>
          <w:right w:val="nil"/>
          <w:between w:val="nil"/>
        </w:pBdr>
        <w:ind w:left="720"/>
        <w:jc w:val="both"/>
        <w:rPr>
          <w:rFonts w:asciiTheme="majorHAnsi" w:eastAsia="Arial" w:hAnsiTheme="majorHAnsi" w:cstheme="majorHAnsi"/>
          <w:color w:val="000000"/>
          <w:sz w:val="20"/>
          <w:szCs w:val="20"/>
        </w:rPr>
      </w:pPr>
    </w:p>
    <w:p w:rsidR="00C91EFA" w:rsidRPr="00743A41" w:rsidRDefault="00C91EFA" w:rsidP="00A37ED6">
      <w:pPr>
        <w:pBdr>
          <w:top w:val="nil"/>
          <w:left w:val="nil"/>
          <w:bottom w:val="nil"/>
          <w:right w:val="nil"/>
          <w:between w:val="nil"/>
        </w:pBdr>
        <w:ind w:left="720"/>
        <w:jc w:val="both"/>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Table B.3.1.</w:t>
      </w:r>
      <w:r w:rsidR="00EE6F35" w:rsidRPr="00743A41">
        <w:rPr>
          <w:rFonts w:asciiTheme="majorHAnsi" w:eastAsia="Arial" w:hAnsiTheme="majorHAnsi" w:cstheme="majorHAnsi"/>
          <w:color w:val="000000"/>
          <w:sz w:val="20"/>
          <w:szCs w:val="20"/>
        </w:rPr>
        <w:t>c.</w:t>
      </w:r>
      <w:r w:rsidRPr="00743A41">
        <w:rPr>
          <w:rFonts w:asciiTheme="majorHAnsi" w:eastAsia="Arial" w:hAnsiTheme="majorHAnsi" w:cstheme="majorHAnsi"/>
          <w:color w:val="000000"/>
          <w:sz w:val="20"/>
          <w:szCs w:val="20"/>
        </w:rPr>
        <w:t xml:space="preserve"> Post-Graduation Outcomes for DrPH Graduates </w:t>
      </w:r>
    </w:p>
    <w:tbl>
      <w:tblPr>
        <w:tblStyle w:val="15"/>
        <w:tblW w:w="86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7"/>
        <w:gridCol w:w="961"/>
        <w:gridCol w:w="962"/>
        <w:gridCol w:w="962"/>
        <w:gridCol w:w="962"/>
        <w:gridCol w:w="933"/>
        <w:gridCol w:w="933"/>
      </w:tblGrid>
      <w:tr w:rsidR="00E60AF7" w:rsidRPr="00743A41" w:rsidTr="00073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Borders>
              <w:top w:val="none" w:sz="0" w:space="0" w:color="auto"/>
              <w:bottom w:val="none" w:sz="0" w:space="0" w:color="auto"/>
              <w:right w:val="none" w:sz="0" w:space="0" w:color="auto"/>
            </w:tcBorders>
          </w:tcPr>
          <w:p w:rsidR="00E60AF7" w:rsidRPr="00743A41" w:rsidRDefault="00E60AF7" w:rsidP="00A37ED6">
            <w:pPr>
              <w:ind w:right="360"/>
              <w:rPr>
                <w:rFonts w:asciiTheme="majorHAnsi" w:eastAsia="Arial" w:hAnsiTheme="majorHAnsi" w:cstheme="majorHAnsi"/>
                <w:sz w:val="20"/>
                <w:szCs w:val="20"/>
              </w:rPr>
            </w:pPr>
            <w:r w:rsidRPr="00743A41">
              <w:rPr>
                <w:rFonts w:asciiTheme="majorHAnsi" w:eastAsia="Arial" w:hAnsiTheme="majorHAnsi" w:cstheme="majorHAnsi"/>
                <w:sz w:val="20"/>
                <w:szCs w:val="20"/>
              </w:rPr>
              <w:t>Post-Graduation Outcomes</w:t>
            </w:r>
          </w:p>
        </w:tc>
        <w:tc>
          <w:tcPr>
            <w:tcW w:w="1923" w:type="dxa"/>
            <w:gridSpan w:val="2"/>
            <w:tcBorders>
              <w:top w:val="none" w:sz="0" w:space="0" w:color="auto"/>
              <w:left w:val="none" w:sz="0" w:space="0" w:color="auto"/>
              <w:bottom w:val="none" w:sz="0" w:space="0" w:color="auto"/>
              <w:right w:val="none" w:sz="0" w:space="0" w:color="auto"/>
            </w:tcBorders>
          </w:tcPr>
          <w:p w:rsidR="00E60AF7" w:rsidRPr="00743A41" w:rsidRDefault="00E60AF7" w:rsidP="00A37ED6">
            <w:pPr>
              <w:ind w:right="-120" w:hanging="105"/>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 w:val="0"/>
                <w:sz w:val="20"/>
                <w:szCs w:val="20"/>
              </w:rPr>
            </w:pPr>
            <w:r w:rsidRPr="00743A41">
              <w:rPr>
                <w:rFonts w:asciiTheme="majorHAnsi" w:eastAsia="Arial" w:hAnsiTheme="majorHAnsi" w:cstheme="majorHAnsi"/>
                <w:sz w:val="20"/>
                <w:szCs w:val="20"/>
              </w:rPr>
              <w:t xml:space="preserve">AY 2016 </w:t>
            </w:r>
          </w:p>
          <w:p w:rsidR="00E60AF7" w:rsidRPr="00743A41" w:rsidRDefault="00E60AF7" w:rsidP="00A37ED6">
            <w:pPr>
              <w:ind w:right="-120" w:hanging="105"/>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 w:val="0"/>
                <w:sz w:val="20"/>
                <w:szCs w:val="20"/>
              </w:rPr>
            </w:pPr>
            <w:r w:rsidRPr="00743A41">
              <w:rPr>
                <w:rFonts w:asciiTheme="majorHAnsi" w:eastAsia="Arial" w:hAnsiTheme="majorHAnsi" w:cstheme="majorHAnsi"/>
                <w:sz w:val="20"/>
                <w:szCs w:val="20"/>
              </w:rPr>
              <w:t>Number &amp; Percentage</w:t>
            </w:r>
          </w:p>
        </w:tc>
        <w:tc>
          <w:tcPr>
            <w:tcW w:w="1924" w:type="dxa"/>
            <w:gridSpan w:val="2"/>
            <w:tcBorders>
              <w:top w:val="none" w:sz="0" w:space="0" w:color="auto"/>
              <w:left w:val="none" w:sz="0" w:space="0" w:color="auto"/>
              <w:bottom w:val="none" w:sz="0" w:space="0" w:color="auto"/>
              <w:right w:val="none" w:sz="0" w:space="0" w:color="auto"/>
            </w:tcBorders>
          </w:tcPr>
          <w:p w:rsidR="00E60AF7" w:rsidRPr="00743A41" w:rsidRDefault="00E60AF7" w:rsidP="00A37ED6">
            <w:pPr>
              <w:tabs>
                <w:tab w:val="left" w:pos="1515"/>
              </w:tabs>
              <w:ind w:right="-105" w:hanging="105"/>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 w:val="0"/>
                <w:sz w:val="20"/>
                <w:szCs w:val="20"/>
              </w:rPr>
            </w:pPr>
            <w:r w:rsidRPr="00743A41">
              <w:rPr>
                <w:rFonts w:asciiTheme="majorHAnsi" w:eastAsia="Arial" w:hAnsiTheme="majorHAnsi" w:cstheme="majorHAnsi"/>
                <w:sz w:val="20"/>
                <w:szCs w:val="20"/>
              </w:rPr>
              <w:t>A</w:t>
            </w:r>
            <w:r w:rsidR="00AE5BBA" w:rsidRPr="00743A41">
              <w:rPr>
                <w:rFonts w:asciiTheme="majorHAnsi" w:eastAsia="Arial" w:hAnsiTheme="majorHAnsi" w:cstheme="majorHAnsi"/>
                <w:sz w:val="20"/>
                <w:szCs w:val="20"/>
              </w:rPr>
              <w:t>Y</w:t>
            </w:r>
            <w:r w:rsidRPr="00743A41">
              <w:rPr>
                <w:rFonts w:asciiTheme="majorHAnsi" w:eastAsia="Arial" w:hAnsiTheme="majorHAnsi" w:cstheme="majorHAnsi"/>
                <w:sz w:val="20"/>
                <w:szCs w:val="20"/>
              </w:rPr>
              <w:t xml:space="preserve"> 2017 </w:t>
            </w:r>
          </w:p>
          <w:p w:rsidR="00E60AF7" w:rsidRPr="00743A41" w:rsidRDefault="00E60AF7" w:rsidP="00A37ED6">
            <w:pPr>
              <w:tabs>
                <w:tab w:val="left" w:pos="1515"/>
              </w:tabs>
              <w:ind w:right="-105" w:hanging="105"/>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 w:val="0"/>
                <w:sz w:val="20"/>
                <w:szCs w:val="20"/>
              </w:rPr>
            </w:pPr>
            <w:r w:rsidRPr="00743A41">
              <w:rPr>
                <w:rFonts w:asciiTheme="majorHAnsi" w:eastAsia="Arial" w:hAnsiTheme="majorHAnsi" w:cstheme="majorHAnsi"/>
                <w:sz w:val="20"/>
                <w:szCs w:val="20"/>
              </w:rPr>
              <w:t>Number &amp; Percentage</w:t>
            </w:r>
          </w:p>
        </w:tc>
        <w:tc>
          <w:tcPr>
            <w:tcW w:w="1866" w:type="dxa"/>
            <w:gridSpan w:val="2"/>
            <w:tcBorders>
              <w:top w:val="none" w:sz="0" w:space="0" w:color="auto"/>
              <w:left w:val="none" w:sz="0" w:space="0" w:color="auto"/>
              <w:bottom w:val="none" w:sz="0" w:space="0" w:color="auto"/>
            </w:tcBorders>
          </w:tcPr>
          <w:p w:rsidR="00E60AF7" w:rsidRPr="00743A41" w:rsidRDefault="00AE5BBA" w:rsidP="00A37ED6">
            <w:pPr>
              <w:tabs>
                <w:tab w:val="left" w:pos="1515"/>
              </w:tabs>
              <w:ind w:right="-105" w:hanging="105"/>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 w:val="0"/>
                <w:sz w:val="20"/>
                <w:szCs w:val="20"/>
              </w:rPr>
            </w:pPr>
            <w:r w:rsidRPr="00743A41">
              <w:rPr>
                <w:rFonts w:asciiTheme="majorHAnsi" w:eastAsia="Arial" w:hAnsiTheme="majorHAnsi" w:cstheme="majorHAnsi"/>
                <w:sz w:val="20"/>
                <w:szCs w:val="20"/>
              </w:rPr>
              <w:t xml:space="preserve">AY </w:t>
            </w:r>
            <w:r w:rsidR="00E60AF7" w:rsidRPr="00743A41">
              <w:rPr>
                <w:rFonts w:asciiTheme="majorHAnsi" w:eastAsia="Arial" w:hAnsiTheme="majorHAnsi" w:cstheme="majorHAnsi"/>
                <w:sz w:val="20"/>
                <w:szCs w:val="20"/>
              </w:rPr>
              <w:t>2018</w:t>
            </w:r>
          </w:p>
          <w:p w:rsidR="00E60AF7" w:rsidRPr="00743A41" w:rsidRDefault="00E60AF7" w:rsidP="00A37ED6">
            <w:pPr>
              <w:tabs>
                <w:tab w:val="left" w:pos="1515"/>
              </w:tabs>
              <w:ind w:right="-105" w:hanging="105"/>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Number &amp; Percentage</w:t>
            </w:r>
          </w:p>
        </w:tc>
      </w:tr>
      <w:tr w:rsidR="00FA0415" w:rsidRPr="00743A41" w:rsidTr="00321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rsidR="003A4D62" w:rsidRPr="003A3BCE" w:rsidRDefault="003A4D62" w:rsidP="00A37ED6">
            <w:pPr>
              <w:ind w:right="360"/>
              <w:rPr>
                <w:rFonts w:asciiTheme="majorHAnsi" w:eastAsia="Arial" w:hAnsiTheme="majorHAnsi" w:cstheme="majorHAnsi"/>
                <w:b w:val="0"/>
                <w:sz w:val="20"/>
                <w:szCs w:val="20"/>
              </w:rPr>
            </w:pPr>
            <w:r w:rsidRPr="003A3BCE">
              <w:rPr>
                <w:rFonts w:asciiTheme="majorHAnsi" w:eastAsia="Arial" w:hAnsiTheme="majorHAnsi" w:cstheme="majorHAnsi"/>
                <w:b w:val="0"/>
                <w:sz w:val="20"/>
                <w:szCs w:val="20"/>
              </w:rPr>
              <w:t>EMPL</w:t>
            </w:r>
          </w:p>
        </w:tc>
        <w:tc>
          <w:tcPr>
            <w:tcW w:w="961" w:type="dxa"/>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14</w:t>
            </w:r>
          </w:p>
        </w:tc>
        <w:tc>
          <w:tcPr>
            <w:tcW w:w="962" w:type="dxa"/>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58%</w:t>
            </w:r>
          </w:p>
        </w:tc>
        <w:tc>
          <w:tcPr>
            <w:tcW w:w="962" w:type="dxa"/>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12</w:t>
            </w:r>
          </w:p>
        </w:tc>
        <w:tc>
          <w:tcPr>
            <w:tcW w:w="962" w:type="dxa"/>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80%</w:t>
            </w:r>
          </w:p>
        </w:tc>
        <w:tc>
          <w:tcPr>
            <w:tcW w:w="933" w:type="dxa"/>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9</w:t>
            </w:r>
          </w:p>
        </w:tc>
        <w:tc>
          <w:tcPr>
            <w:tcW w:w="933" w:type="dxa"/>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69%</w:t>
            </w:r>
          </w:p>
        </w:tc>
      </w:tr>
      <w:tr w:rsidR="00FA0415" w:rsidRPr="00743A41" w:rsidTr="00321053">
        <w:tc>
          <w:tcPr>
            <w:cnfStyle w:val="001000000000" w:firstRow="0" w:lastRow="0" w:firstColumn="1" w:lastColumn="0" w:oddVBand="0" w:evenVBand="0" w:oddHBand="0" w:evenHBand="0" w:firstRowFirstColumn="0" w:firstRowLastColumn="0" w:lastRowFirstColumn="0" w:lastRowLastColumn="0"/>
            <w:tcW w:w="2917" w:type="dxa"/>
          </w:tcPr>
          <w:p w:rsidR="003A4D62" w:rsidRPr="003A3BCE" w:rsidRDefault="003A4D62" w:rsidP="00A37ED6">
            <w:pPr>
              <w:ind w:right="360"/>
              <w:rPr>
                <w:rFonts w:asciiTheme="majorHAnsi" w:eastAsia="Arial" w:hAnsiTheme="majorHAnsi" w:cstheme="majorHAnsi"/>
                <w:b w:val="0"/>
                <w:sz w:val="20"/>
                <w:szCs w:val="20"/>
              </w:rPr>
            </w:pPr>
            <w:r w:rsidRPr="003A3BCE">
              <w:rPr>
                <w:rFonts w:asciiTheme="majorHAnsi" w:eastAsia="Arial" w:hAnsiTheme="majorHAnsi" w:cstheme="majorHAnsi"/>
                <w:b w:val="0"/>
                <w:sz w:val="20"/>
                <w:szCs w:val="20"/>
              </w:rPr>
              <w:t>CONT ED</w:t>
            </w:r>
          </w:p>
        </w:tc>
        <w:tc>
          <w:tcPr>
            <w:tcW w:w="961" w:type="dxa"/>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0</w:t>
            </w:r>
          </w:p>
        </w:tc>
        <w:tc>
          <w:tcPr>
            <w:tcW w:w="962" w:type="dxa"/>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c>
          <w:tcPr>
            <w:tcW w:w="962" w:type="dxa"/>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1</w:t>
            </w:r>
          </w:p>
        </w:tc>
        <w:tc>
          <w:tcPr>
            <w:tcW w:w="962" w:type="dxa"/>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7%</w:t>
            </w:r>
          </w:p>
        </w:tc>
        <w:tc>
          <w:tcPr>
            <w:tcW w:w="933" w:type="dxa"/>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0</w:t>
            </w:r>
          </w:p>
        </w:tc>
        <w:tc>
          <w:tcPr>
            <w:tcW w:w="933" w:type="dxa"/>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r>
      <w:tr w:rsidR="00FA0415" w:rsidRPr="00743A41" w:rsidTr="00321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rsidR="003A4D62" w:rsidRPr="003A3BCE" w:rsidRDefault="003A4D62" w:rsidP="00A37ED6">
            <w:pPr>
              <w:ind w:right="360"/>
              <w:rPr>
                <w:rFonts w:asciiTheme="majorHAnsi" w:eastAsia="Arial" w:hAnsiTheme="majorHAnsi" w:cstheme="majorHAnsi"/>
                <w:b w:val="0"/>
                <w:sz w:val="20"/>
                <w:szCs w:val="20"/>
              </w:rPr>
            </w:pPr>
            <w:r w:rsidRPr="003A3BCE">
              <w:rPr>
                <w:rFonts w:asciiTheme="majorHAnsi" w:eastAsia="Arial" w:hAnsiTheme="majorHAnsi" w:cstheme="majorHAnsi"/>
                <w:b w:val="0"/>
                <w:sz w:val="20"/>
                <w:szCs w:val="20"/>
              </w:rPr>
              <w:t>FELLOW</w:t>
            </w:r>
          </w:p>
        </w:tc>
        <w:tc>
          <w:tcPr>
            <w:tcW w:w="961" w:type="dxa"/>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7</w:t>
            </w:r>
          </w:p>
        </w:tc>
        <w:tc>
          <w:tcPr>
            <w:tcW w:w="962" w:type="dxa"/>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29%</w:t>
            </w:r>
          </w:p>
        </w:tc>
        <w:tc>
          <w:tcPr>
            <w:tcW w:w="962" w:type="dxa"/>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2</w:t>
            </w:r>
          </w:p>
        </w:tc>
        <w:tc>
          <w:tcPr>
            <w:tcW w:w="962" w:type="dxa"/>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13%</w:t>
            </w:r>
          </w:p>
        </w:tc>
        <w:tc>
          <w:tcPr>
            <w:tcW w:w="933" w:type="dxa"/>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2</w:t>
            </w:r>
          </w:p>
        </w:tc>
        <w:tc>
          <w:tcPr>
            <w:tcW w:w="933" w:type="dxa"/>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15%</w:t>
            </w:r>
          </w:p>
        </w:tc>
      </w:tr>
      <w:tr w:rsidR="00FA0415" w:rsidRPr="00743A41" w:rsidTr="00FA0415">
        <w:tc>
          <w:tcPr>
            <w:cnfStyle w:val="001000000000" w:firstRow="0" w:lastRow="0" w:firstColumn="1" w:lastColumn="0" w:oddVBand="0" w:evenVBand="0" w:oddHBand="0" w:evenHBand="0" w:firstRowFirstColumn="0" w:firstRowLastColumn="0" w:lastRowFirstColumn="0" w:lastRowLastColumn="0"/>
            <w:tcW w:w="2917" w:type="dxa"/>
          </w:tcPr>
          <w:p w:rsidR="003A4D62" w:rsidRPr="003A3BCE" w:rsidRDefault="003A4D62" w:rsidP="00A37ED6">
            <w:pPr>
              <w:ind w:right="360"/>
              <w:rPr>
                <w:rFonts w:asciiTheme="majorHAnsi" w:eastAsia="Arial" w:hAnsiTheme="majorHAnsi" w:cstheme="majorHAnsi"/>
                <w:b w:val="0"/>
                <w:sz w:val="20"/>
                <w:szCs w:val="20"/>
              </w:rPr>
            </w:pPr>
            <w:r w:rsidRPr="003A3BCE">
              <w:rPr>
                <w:rFonts w:asciiTheme="majorHAnsi" w:eastAsia="Arial" w:hAnsiTheme="majorHAnsi" w:cstheme="majorHAnsi"/>
                <w:b w:val="0"/>
                <w:sz w:val="20"/>
                <w:szCs w:val="20"/>
              </w:rPr>
              <w:t>NOT SEEK</w:t>
            </w:r>
          </w:p>
        </w:tc>
        <w:tc>
          <w:tcPr>
            <w:tcW w:w="961" w:type="dxa"/>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0</w:t>
            </w:r>
          </w:p>
        </w:tc>
        <w:tc>
          <w:tcPr>
            <w:tcW w:w="962" w:type="dxa"/>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c>
          <w:tcPr>
            <w:tcW w:w="962" w:type="dxa"/>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c>
          <w:tcPr>
            <w:tcW w:w="962" w:type="dxa"/>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c>
          <w:tcPr>
            <w:tcW w:w="933" w:type="dxa"/>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1</w:t>
            </w:r>
          </w:p>
        </w:tc>
        <w:tc>
          <w:tcPr>
            <w:tcW w:w="933" w:type="dxa"/>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8%</w:t>
            </w:r>
          </w:p>
        </w:tc>
      </w:tr>
      <w:tr w:rsidR="00FA0415" w:rsidRPr="00743A41" w:rsidTr="00321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rsidR="003A4D62" w:rsidRPr="003A3BCE" w:rsidRDefault="003A4D62" w:rsidP="00A37ED6">
            <w:pPr>
              <w:ind w:right="360"/>
              <w:rPr>
                <w:rFonts w:asciiTheme="majorHAnsi" w:eastAsia="Arial" w:hAnsiTheme="majorHAnsi" w:cstheme="majorHAnsi"/>
                <w:b w:val="0"/>
                <w:sz w:val="20"/>
                <w:szCs w:val="20"/>
              </w:rPr>
            </w:pPr>
            <w:r w:rsidRPr="003A3BCE">
              <w:rPr>
                <w:rFonts w:asciiTheme="majorHAnsi" w:eastAsia="Arial" w:hAnsiTheme="majorHAnsi" w:cstheme="majorHAnsi"/>
                <w:b w:val="0"/>
                <w:sz w:val="20"/>
                <w:szCs w:val="20"/>
              </w:rPr>
              <w:t>SEEK</w:t>
            </w:r>
          </w:p>
        </w:tc>
        <w:tc>
          <w:tcPr>
            <w:tcW w:w="961" w:type="dxa"/>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0</w:t>
            </w:r>
          </w:p>
        </w:tc>
        <w:tc>
          <w:tcPr>
            <w:tcW w:w="962" w:type="dxa"/>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c>
          <w:tcPr>
            <w:tcW w:w="962" w:type="dxa"/>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c>
          <w:tcPr>
            <w:tcW w:w="962" w:type="dxa"/>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c>
          <w:tcPr>
            <w:tcW w:w="933" w:type="dxa"/>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0</w:t>
            </w:r>
          </w:p>
        </w:tc>
        <w:tc>
          <w:tcPr>
            <w:tcW w:w="933" w:type="dxa"/>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r>
      <w:tr w:rsidR="00FA0415" w:rsidRPr="00743A41" w:rsidTr="00321053">
        <w:tc>
          <w:tcPr>
            <w:cnfStyle w:val="001000000000" w:firstRow="0" w:lastRow="0" w:firstColumn="1" w:lastColumn="0" w:oddVBand="0" w:evenVBand="0" w:oddHBand="0" w:evenHBand="0" w:firstRowFirstColumn="0" w:firstRowLastColumn="0" w:lastRowFirstColumn="0" w:lastRowLastColumn="0"/>
            <w:tcW w:w="2917" w:type="dxa"/>
          </w:tcPr>
          <w:p w:rsidR="000A0BA5" w:rsidRPr="003A3BCE" w:rsidRDefault="000A0BA5" w:rsidP="00A37ED6">
            <w:pPr>
              <w:ind w:right="360"/>
              <w:rPr>
                <w:rFonts w:asciiTheme="majorHAnsi" w:eastAsia="Arial" w:hAnsiTheme="majorHAnsi" w:cstheme="majorHAnsi"/>
                <w:b w:val="0"/>
                <w:sz w:val="20"/>
                <w:szCs w:val="20"/>
              </w:rPr>
            </w:pPr>
            <w:r w:rsidRPr="003A3BCE">
              <w:rPr>
                <w:rFonts w:asciiTheme="majorHAnsi" w:eastAsia="Arial" w:hAnsiTheme="majorHAnsi" w:cstheme="majorHAnsi"/>
                <w:b w:val="0"/>
                <w:sz w:val="20"/>
                <w:szCs w:val="20"/>
              </w:rPr>
              <w:t>VOLUN</w:t>
            </w:r>
          </w:p>
        </w:tc>
        <w:tc>
          <w:tcPr>
            <w:tcW w:w="961" w:type="dxa"/>
          </w:tcPr>
          <w:p w:rsidR="000A0BA5" w:rsidRPr="00743A41" w:rsidRDefault="000A0BA5"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0</w:t>
            </w:r>
          </w:p>
        </w:tc>
        <w:tc>
          <w:tcPr>
            <w:tcW w:w="962" w:type="dxa"/>
          </w:tcPr>
          <w:p w:rsidR="000A0BA5" w:rsidRPr="00743A41" w:rsidRDefault="000A0BA5"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c>
          <w:tcPr>
            <w:tcW w:w="962" w:type="dxa"/>
          </w:tcPr>
          <w:p w:rsidR="000A0BA5" w:rsidRPr="00743A41" w:rsidRDefault="000A0BA5"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c>
          <w:tcPr>
            <w:tcW w:w="962" w:type="dxa"/>
          </w:tcPr>
          <w:p w:rsidR="000A0BA5" w:rsidRPr="00743A41" w:rsidRDefault="000A0BA5"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c>
          <w:tcPr>
            <w:tcW w:w="933" w:type="dxa"/>
          </w:tcPr>
          <w:p w:rsidR="000A0BA5" w:rsidRPr="00743A41" w:rsidRDefault="000A0BA5"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0</w:t>
            </w:r>
          </w:p>
        </w:tc>
        <w:tc>
          <w:tcPr>
            <w:tcW w:w="933" w:type="dxa"/>
          </w:tcPr>
          <w:p w:rsidR="000A0BA5" w:rsidRPr="00743A41" w:rsidRDefault="000A0BA5"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r>
      <w:tr w:rsidR="00FA0415" w:rsidRPr="00743A41" w:rsidTr="00321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rsidR="000A0BA5" w:rsidRPr="003A3BCE" w:rsidRDefault="000A0BA5" w:rsidP="00A37ED6">
            <w:pPr>
              <w:ind w:right="360"/>
              <w:rPr>
                <w:rFonts w:asciiTheme="majorHAnsi" w:eastAsia="Arial" w:hAnsiTheme="majorHAnsi" w:cstheme="majorHAnsi"/>
                <w:b w:val="0"/>
                <w:sz w:val="20"/>
                <w:szCs w:val="20"/>
              </w:rPr>
            </w:pPr>
            <w:r w:rsidRPr="003A3BCE">
              <w:rPr>
                <w:rFonts w:asciiTheme="majorHAnsi" w:eastAsia="Arial" w:hAnsiTheme="majorHAnsi" w:cstheme="majorHAnsi"/>
                <w:b w:val="0"/>
                <w:sz w:val="20"/>
                <w:szCs w:val="20"/>
              </w:rPr>
              <w:t>UNKNOWN</w:t>
            </w:r>
          </w:p>
        </w:tc>
        <w:tc>
          <w:tcPr>
            <w:tcW w:w="961" w:type="dxa"/>
          </w:tcPr>
          <w:p w:rsidR="000A0BA5" w:rsidRPr="00743A41" w:rsidRDefault="000A0BA5"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eastAsia="Arial" w:hAnsiTheme="majorHAnsi" w:cstheme="majorHAnsi"/>
                <w:sz w:val="20"/>
                <w:szCs w:val="20"/>
              </w:rPr>
              <w:t>3</w:t>
            </w:r>
          </w:p>
        </w:tc>
        <w:tc>
          <w:tcPr>
            <w:tcW w:w="962" w:type="dxa"/>
          </w:tcPr>
          <w:p w:rsidR="000A0BA5" w:rsidRPr="00743A41" w:rsidRDefault="000A0BA5"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13%</w:t>
            </w:r>
          </w:p>
        </w:tc>
        <w:tc>
          <w:tcPr>
            <w:tcW w:w="962" w:type="dxa"/>
          </w:tcPr>
          <w:p w:rsidR="000A0BA5" w:rsidRPr="00743A41" w:rsidRDefault="000A0BA5"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c>
          <w:tcPr>
            <w:tcW w:w="962" w:type="dxa"/>
          </w:tcPr>
          <w:p w:rsidR="000A0BA5" w:rsidRPr="00743A41" w:rsidRDefault="000A0BA5"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0%</w:t>
            </w:r>
          </w:p>
        </w:tc>
        <w:tc>
          <w:tcPr>
            <w:tcW w:w="933" w:type="dxa"/>
          </w:tcPr>
          <w:p w:rsidR="000A0BA5" w:rsidRPr="00743A41" w:rsidRDefault="000A0BA5"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1</w:t>
            </w:r>
          </w:p>
        </w:tc>
        <w:tc>
          <w:tcPr>
            <w:tcW w:w="933" w:type="dxa"/>
          </w:tcPr>
          <w:p w:rsidR="000A0BA5" w:rsidRPr="00743A41" w:rsidRDefault="000A0BA5"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sz w:val="20"/>
                <w:szCs w:val="20"/>
              </w:rPr>
            </w:pPr>
            <w:r w:rsidRPr="00743A41">
              <w:rPr>
                <w:rFonts w:asciiTheme="majorHAnsi" w:hAnsiTheme="majorHAnsi" w:cstheme="majorHAnsi"/>
                <w:color w:val="000000"/>
                <w:sz w:val="20"/>
                <w:szCs w:val="20"/>
              </w:rPr>
              <w:t>8%</w:t>
            </w:r>
          </w:p>
        </w:tc>
      </w:tr>
      <w:tr w:rsidR="00FA0415" w:rsidRPr="00743A41" w:rsidTr="00321053">
        <w:tc>
          <w:tcPr>
            <w:cnfStyle w:val="001000000000" w:firstRow="0" w:lastRow="0" w:firstColumn="1" w:lastColumn="0" w:oddVBand="0" w:evenVBand="0" w:oddHBand="0" w:evenHBand="0" w:firstRowFirstColumn="0" w:firstRowLastColumn="0" w:lastRowFirstColumn="0" w:lastRowLastColumn="0"/>
            <w:tcW w:w="2917" w:type="dxa"/>
          </w:tcPr>
          <w:p w:rsidR="003A4D62" w:rsidRPr="00743A41" w:rsidRDefault="003A4D62" w:rsidP="00A37ED6">
            <w:pPr>
              <w:ind w:right="360"/>
              <w:rPr>
                <w:rFonts w:asciiTheme="majorHAnsi" w:eastAsia="Arial" w:hAnsiTheme="majorHAnsi" w:cstheme="majorHAnsi"/>
                <w:sz w:val="20"/>
                <w:szCs w:val="20"/>
              </w:rPr>
            </w:pPr>
            <w:r w:rsidRPr="00743A41">
              <w:rPr>
                <w:rFonts w:asciiTheme="majorHAnsi" w:eastAsia="Arial" w:hAnsiTheme="majorHAnsi" w:cstheme="majorHAnsi"/>
                <w:sz w:val="20"/>
                <w:szCs w:val="20"/>
              </w:rPr>
              <w:t>TOTAL</w:t>
            </w:r>
          </w:p>
        </w:tc>
        <w:tc>
          <w:tcPr>
            <w:tcW w:w="961" w:type="dxa"/>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sz w:val="20"/>
                <w:szCs w:val="20"/>
              </w:rPr>
            </w:pPr>
            <w:r w:rsidRPr="00743A41">
              <w:rPr>
                <w:rFonts w:asciiTheme="majorHAnsi" w:eastAsia="Arial" w:hAnsiTheme="majorHAnsi" w:cstheme="majorHAnsi"/>
                <w:b/>
                <w:sz w:val="20"/>
                <w:szCs w:val="20"/>
              </w:rPr>
              <w:t>24</w:t>
            </w:r>
          </w:p>
        </w:tc>
        <w:tc>
          <w:tcPr>
            <w:tcW w:w="962" w:type="dxa"/>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sz w:val="20"/>
                <w:szCs w:val="20"/>
              </w:rPr>
            </w:pPr>
            <w:r w:rsidRPr="00743A41">
              <w:rPr>
                <w:rFonts w:asciiTheme="majorHAnsi" w:hAnsiTheme="majorHAnsi" w:cstheme="majorHAnsi"/>
                <w:b/>
                <w:color w:val="000000"/>
                <w:sz w:val="20"/>
                <w:szCs w:val="20"/>
              </w:rPr>
              <w:t>100%</w:t>
            </w:r>
          </w:p>
        </w:tc>
        <w:tc>
          <w:tcPr>
            <w:tcW w:w="962" w:type="dxa"/>
          </w:tcPr>
          <w:p w:rsidR="003A4D62" w:rsidRPr="00743A41" w:rsidRDefault="003A4D62" w:rsidP="00A37ED6">
            <w:pPr>
              <w:ind w:right="-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sz w:val="20"/>
                <w:szCs w:val="20"/>
              </w:rPr>
            </w:pPr>
            <w:r w:rsidRPr="00743A41">
              <w:rPr>
                <w:rFonts w:asciiTheme="majorHAnsi" w:hAnsiTheme="majorHAnsi" w:cstheme="majorHAnsi"/>
                <w:b/>
                <w:bCs/>
                <w:color w:val="000000"/>
                <w:sz w:val="20"/>
                <w:szCs w:val="20"/>
              </w:rPr>
              <w:t>15</w:t>
            </w:r>
          </w:p>
        </w:tc>
        <w:tc>
          <w:tcPr>
            <w:tcW w:w="962" w:type="dxa"/>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sz w:val="20"/>
                <w:szCs w:val="20"/>
              </w:rPr>
            </w:pPr>
            <w:r w:rsidRPr="00743A41">
              <w:rPr>
                <w:rFonts w:asciiTheme="majorHAnsi" w:hAnsiTheme="majorHAnsi" w:cstheme="majorHAnsi"/>
                <w:b/>
                <w:color w:val="000000"/>
                <w:sz w:val="20"/>
                <w:szCs w:val="20"/>
              </w:rPr>
              <w:t>100%</w:t>
            </w:r>
          </w:p>
        </w:tc>
        <w:tc>
          <w:tcPr>
            <w:tcW w:w="933" w:type="dxa"/>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sz w:val="20"/>
                <w:szCs w:val="20"/>
              </w:rPr>
            </w:pPr>
            <w:r w:rsidRPr="00743A41">
              <w:rPr>
                <w:rFonts w:asciiTheme="majorHAnsi" w:eastAsia="Arial" w:hAnsiTheme="majorHAnsi" w:cstheme="majorHAnsi"/>
                <w:b/>
                <w:sz w:val="20"/>
                <w:szCs w:val="20"/>
              </w:rPr>
              <w:t>13</w:t>
            </w:r>
          </w:p>
        </w:tc>
        <w:tc>
          <w:tcPr>
            <w:tcW w:w="933" w:type="dxa"/>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sz w:val="20"/>
                <w:szCs w:val="20"/>
              </w:rPr>
            </w:pPr>
            <w:r w:rsidRPr="00743A41">
              <w:rPr>
                <w:rFonts w:asciiTheme="majorHAnsi" w:hAnsiTheme="majorHAnsi" w:cstheme="majorHAnsi"/>
                <w:b/>
                <w:color w:val="000000"/>
                <w:sz w:val="20"/>
                <w:szCs w:val="20"/>
              </w:rPr>
              <w:t>100%</w:t>
            </w:r>
          </w:p>
        </w:tc>
      </w:tr>
    </w:tbl>
    <w:p w:rsidR="00E60AF7" w:rsidRPr="00743A41" w:rsidRDefault="00E60AF7" w:rsidP="00A37ED6">
      <w:pPr>
        <w:pBdr>
          <w:top w:val="nil"/>
          <w:left w:val="nil"/>
          <w:bottom w:val="nil"/>
          <w:right w:val="nil"/>
          <w:between w:val="nil"/>
        </w:pBdr>
        <w:ind w:left="720"/>
        <w:jc w:val="both"/>
        <w:rPr>
          <w:rFonts w:asciiTheme="majorHAnsi" w:eastAsia="Arial" w:hAnsiTheme="majorHAnsi" w:cstheme="majorHAnsi"/>
          <w:color w:val="000000"/>
          <w:sz w:val="20"/>
          <w:szCs w:val="20"/>
        </w:rPr>
      </w:pPr>
    </w:p>
    <w:p w:rsidR="00C91EFA" w:rsidRPr="00743A41" w:rsidRDefault="00C91EFA" w:rsidP="00A37ED6">
      <w:pPr>
        <w:ind w:left="72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Table B.3.1.</w:t>
      </w:r>
      <w:r w:rsidR="00EE6F35" w:rsidRPr="00743A41">
        <w:rPr>
          <w:rFonts w:asciiTheme="majorHAnsi" w:eastAsia="Arial" w:hAnsiTheme="majorHAnsi" w:cstheme="majorHAnsi"/>
          <w:color w:val="000000"/>
          <w:sz w:val="20"/>
          <w:szCs w:val="20"/>
        </w:rPr>
        <w:t>d.</w:t>
      </w:r>
      <w:r w:rsidRPr="00743A41">
        <w:rPr>
          <w:rFonts w:asciiTheme="majorHAnsi" w:eastAsia="Arial" w:hAnsiTheme="majorHAnsi" w:cstheme="majorHAnsi"/>
          <w:color w:val="000000"/>
          <w:sz w:val="20"/>
          <w:szCs w:val="20"/>
        </w:rPr>
        <w:t xml:space="preserve"> Post-Graduation Outcomes for PhD Graduates </w:t>
      </w:r>
    </w:p>
    <w:tbl>
      <w:tblPr>
        <w:tblStyle w:val="ListTable2"/>
        <w:tblW w:w="86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7"/>
        <w:gridCol w:w="961"/>
        <w:gridCol w:w="962"/>
        <w:gridCol w:w="962"/>
        <w:gridCol w:w="962"/>
        <w:gridCol w:w="933"/>
        <w:gridCol w:w="933"/>
      </w:tblGrid>
      <w:tr w:rsidR="00E60AF7" w:rsidRPr="00743A41" w:rsidTr="00AE5BB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17" w:type="dxa"/>
            <w:shd w:val="clear" w:color="auto" w:fill="BFBFBF" w:themeFill="background1" w:themeFillShade="BF"/>
          </w:tcPr>
          <w:p w:rsidR="00E60AF7" w:rsidRPr="00743A41" w:rsidRDefault="00E60AF7" w:rsidP="00A37ED6">
            <w:pPr>
              <w:ind w:right="360"/>
              <w:rPr>
                <w:rFonts w:asciiTheme="majorHAnsi" w:eastAsia="Arial" w:hAnsiTheme="majorHAnsi" w:cstheme="majorHAnsi"/>
              </w:rPr>
            </w:pPr>
            <w:r w:rsidRPr="00743A41">
              <w:rPr>
                <w:rFonts w:asciiTheme="majorHAnsi" w:eastAsia="Arial" w:hAnsiTheme="majorHAnsi" w:cstheme="majorHAnsi"/>
              </w:rPr>
              <w:t>Post-Graduation Outcomes</w:t>
            </w:r>
          </w:p>
        </w:tc>
        <w:tc>
          <w:tcPr>
            <w:tcW w:w="1923" w:type="dxa"/>
            <w:gridSpan w:val="2"/>
            <w:shd w:val="clear" w:color="auto" w:fill="BFBFBF" w:themeFill="background1" w:themeFillShade="BF"/>
          </w:tcPr>
          <w:p w:rsidR="00E60AF7" w:rsidRPr="00743A41" w:rsidRDefault="00E60AF7" w:rsidP="00A37ED6">
            <w:pPr>
              <w:ind w:right="-120" w:hanging="105"/>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 w:val="0"/>
              </w:rPr>
            </w:pPr>
            <w:r w:rsidRPr="00743A41">
              <w:rPr>
                <w:rFonts w:asciiTheme="majorHAnsi" w:eastAsia="Arial" w:hAnsiTheme="majorHAnsi" w:cstheme="majorHAnsi"/>
              </w:rPr>
              <w:t xml:space="preserve">AY 2016 </w:t>
            </w:r>
          </w:p>
          <w:p w:rsidR="00E60AF7" w:rsidRPr="00743A41" w:rsidRDefault="00E60AF7" w:rsidP="00A37ED6">
            <w:pPr>
              <w:ind w:right="-120" w:hanging="105"/>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 w:val="0"/>
              </w:rPr>
            </w:pPr>
            <w:r w:rsidRPr="00743A41">
              <w:rPr>
                <w:rFonts w:asciiTheme="majorHAnsi" w:eastAsia="Arial" w:hAnsiTheme="majorHAnsi" w:cstheme="majorHAnsi"/>
              </w:rPr>
              <w:t>Number &amp; Percentage</w:t>
            </w:r>
          </w:p>
        </w:tc>
        <w:tc>
          <w:tcPr>
            <w:tcW w:w="1924" w:type="dxa"/>
            <w:gridSpan w:val="2"/>
            <w:shd w:val="clear" w:color="auto" w:fill="BFBFBF" w:themeFill="background1" w:themeFillShade="BF"/>
          </w:tcPr>
          <w:p w:rsidR="00E60AF7" w:rsidRPr="00743A41" w:rsidRDefault="00AE5BBA" w:rsidP="00A37ED6">
            <w:pPr>
              <w:tabs>
                <w:tab w:val="left" w:pos="1515"/>
              </w:tabs>
              <w:ind w:right="-105" w:hanging="105"/>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 w:val="0"/>
              </w:rPr>
            </w:pPr>
            <w:r w:rsidRPr="00743A41">
              <w:rPr>
                <w:rFonts w:asciiTheme="majorHAnsi" w:eastAsia="Arial" w:hAnsiTheme="majorHAnsi" w:cstheme="majorHAnsi"/>
              </w:rPr>
              <w:t>AY</w:t>
            </w:r>
            <w:r w:rsidR="00E60AF7" w:rsidRPr="00743A41">
              <w:rPr>
                <w:rFonts w:asciiTheme="majorHAnsi" w:eastAsia="Arial" w:hAnsiTheme="majorHAnsi" w:cstheme="majorHAnsi"/>
              </w:rPr>
              <w:t xml:space="preserve"> 2017 </w:t>
            </w:r>
          </w:p>
          <w:p w:rsidR="00E60AF7" w:rsidRPr="00743A41" w:rsidRDefault="00E60AF7" w:rsidP="00A37ED6">
            <w:pPr>
              <w:tabs>
                <w:tab w:val="left" w:pos="1515"/>
              </w:tabs>
              <w:ind w:right="-105" w:hanging="105"/>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 w:val="0"/>
              </w:rPr>
            </w:pPr>
            <w:r w:rsidRPr="00743A41">
              <w:rPr>
                <w:rFonts w:asciiTheme="majorHAnsi" w:eastAsia="Arial" w:hAnsiTheme="majorHAnsi" w:cstheme="majorHAnsi"/>
              </w:rPr>
              <w:t>Number &amp; Percentage</w:t>
            </w:r>
          </w:p>
        </w:tc>
        <w:tc>
          <w:tcPr>
            <w:tcW w:w="1866" w:type="dxa"/>
            <w:gridSpan w:val="2"/>
            <w:shd w:val="clear" w:color="auto" w:fill="BFBFBF" w:themeFill="background1" w:themeFillShade="BF"/>
          </w:tcPr>
          <w:p w:rsidR="00E60AF7" w:rsidRPr="00743A41" w:rsidRDefault="00AE5BBA" w:rsidP="00A37ED6">
            <w:pPr>
              <w:tabs>
                <w:tab w:val="left" w:pos="1515"/>
              </w:tabs>
              <w:ind w:right="-105" w:hanging="105"/>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 w:val="0"/>
              </w:rPr>
            </w:pPr>
            <w:r w:rsidRPr="00743A41">
              <w:rPr>
                <w:rFonts w:asciiTheme="majorHAnsi" w:eastAsia="Arial" w:hAnsiTheme="majorHAnsi" w:cstheme="majorHAnsi"/>
              </w:rPr>
              <w:t xml:space="preserve">AY </w:t>
            </w:r>
            <w:r w:rsidR="00E60AF7" w:rsidRPr="00743A41">
              <w:rPr>
                <w:rFonts w:asciiTheme="majorHAnsi" w:eastAsia="Arial" w:hAnsiTheme="majorHAnsi" w:cstheme="majorHAnsi"/>
              </w:rPr>
              <w:t>2018</w:t>
            </w:r>
          </w:p>
          <w:p w:rsidR="00E60AF7" w:rsidRPr="00743A41" w:rsidRDefault="00E60AF7" w:rsidP="00A37ED6">
            <w:pPr>
              <w:tabs>
                <w:tab w:val="left" w:pos="1515"/>
              </w:tabs>
              <w:ind w:right="-105" w:hanging="105"/>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743A41">
              <w:rPr>
                <w:rFonts w:asciiTheme="majorHAnsi" w:eastAsia="Arial" w:hAnsiTheme="majorHAnsi" w:cstheme="majorHAnsi"/>
              </w:rPr>
              <w:t>Number &amp; Percentage</w:t>
            </w:r>
          </w:p>
        </w:tc>
      </w:tr>
      <w:tr w:rsidR="003A4D62" w:rsidRPr="00743A41" w:rsidTr="00C66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shd w:val="clear" w:color="auto" w:fill="auto"/>
          </w:tcPr>
          <w:p w:rsidR="003A4D62" w:rsidRPr="003A3BCE" w:rsidRDefault="003A4D62" w:rsidP="00A37ED6">
            <w:pPr>
              <w:ind w:right="360"/>
              <w:rPr>
                <w:rFonts w:asciiTheme="majorHAnsi" w:eastAsia="Arial" w:hAnsiTheme="majorHAnsi" w:cstheme="majorHAnsi"/>
                <w:b w:val="0"/>
              </w:rPr>
            </w:pPr>
            <w:r w:rsidRPr="003A3BCE">
              <w:rPr>
                <w:rFonts w:asciiTheme="majorHAnsi" w:eastAsia="Arial" w:hAnsiTheme="majorHAnsi" w:cstheme="majorHAnsi"/>
                <w:b w:val="0"/>
              </w:rPr>
              <w:t>EMPL</w:t>
            </w:r>
          </w:p>
        </w:tc>
        <w:tc>
          <w:tcPr>
            <w:tcW w:w="961" w:type="dxa"/>
            <w:shd w:val="clear" w:color="auto" w:fill="auto"/>
            <w:vAlign w:val="center"/>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rPr>
            </w:pPr>
            <w:r w:rsidRPr="00743A41">
              <w:rPr>
                <w:rFonts w:asciiTheme="majorHAnsi" w:eastAsia="Arial" w:hAnsiTheme="majorHAnsi" w:cstheme="majorHAnsi"/>
              </w:rPr>
              <w:t>23</w:t>
            </w:r>
          </w:p>
        </w:tc>
        <w:tc>
          <w:tcPr>
            <w:tcW w:w="962" w:type="dxa"/>
            <w:shd w:val="clear" w:color="auto" w:fill="auto"/>
            <w:vAlign w:val="bottom"/>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59%</w:t>
            </w:r>
          </w:p>
        </w:tc>
        <w:tc>
          <w:tcPr>
            <w:tcW w:w="962" w:type="dxa"/>
            <w:shd w:val="clear" w:color="auto" w:fill="auto"/>
            <w:vAlign w:val="center"/>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35</w:t>
            </w:r>
          </w:p>
        </w:tc>
        <w:tc>
          <w:tcPr>
            <w:tcW w:w="962" w:type="dxa"/>
            <w:shd w:val="clear" w:color="auto" w:fill="auto"/>
            <w:vAlign w:val="center"/>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67%</w:t>
            </w:r>
          </w:p>
        </w:tc>
        <w:tc>
          <w:tcPr>
            <w:tcW w:w="933" w:type="dxa"/>
            <w:shd w:val="clear" w:color="auto" w:fill="auto"/>
            <w:vAlign w:val="center"/>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36</w:t>
            </w:r>
          </w:p>
        </w:tc>
        <w:tc>
          <w:tcPr>
            <w:tcW w:w="933" w:type="dxa"/>
            <w:shd w:val="clear" w:color="auto" w:fill="auto"/>
            <w:vAlign w:val="center"/>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77%</w:t>
            </w:r>
          </w:p>
        </w:tc>
      </w:tr>
      <w:tr w:rsidR="003A4D62" w:rsidRPr="00743A41" w:rsidTr="00C66AB2">
        <w:tc>
          <w:tcPr>
            <w:cnfStyle w:val="001000000000" w:firstRow="0" w:lastRow="0" w:firstColumn="1" w:lastColumn="0" w:oddVBand="0" w:evenVBand="0" w:oddHBand="0" w:evenHBand="0" w:firstRowFirstColumn="0" w:firstRowLastColumn="0" w:lastRowFirstColumn="0" w:lastRowLastColumn="0"/>
            <w:tcW w:w="2917" w:type="dxa"/>
            <w:shd w:val="clear" w:color="auto" w:fill="D9D9D9" w:themeFill="background1" w:themeFillShade="D9"/>
          </w:tcPr>
          <w:p w:rsidR="003A4D62" w:rsidRPr="003A3BCE" w:rsidRDefault="003A4D62" w:rsidP="00A37ED6">
            <w:pPr>
              <w:ind w:right="360"/>
              <w:rPr>
                <w:rFonts w:asciiTheme="majorHAnsi" w:eastAsia="Arial" w:hAnsiTheme="majorHAnsi" w:cstheme="majorHAnsi"/>
                <w:b w:val="0"/>
              </w:rPr>
            </w:pPr>
            <w:r w:rsidRPr="003A3BCE">
              <w:rPr>
                <w:rFonts w:asciiTheme="majorHAnsi" w:eastAsia="Arial" w:hAnsiTheme="majorHAnsi" w:cstheme="majorHAnsi"/>
                <w:b w:val="0"/>
              </w:rPr>
              <w:t>CONT ED</w:t>
            </w:r>
          </w:p>
        </w:tc>
        <w:tc>
          <w:tcPr>
            <w:tcW w:w="961" w:type="dxa"/>
            <w:shd w:val="clear" w:color="auto" w:fill="D9D9D9" w:themeFill="background1" w:themeFillShade="D9"/>
            <w:vAlign w:val="center"/>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743A41">
              <w:rPr>
                <w:rFonts w:asciiTheme="majorHAnsi" w:eastAsia="Arial" w:hAnsiTheme="majorHAnsi" w:cstheme="majorHAnsi"/>
              </w:rPr>
              <w:t>0</w:t>
            </w:r>
          </w:p>
        </w:tc>
        <w:tc>
          <w:tcPr>
            <w:tcW w:w="962" w:type="dxa"/>
            <w:shd w:val="clear" w:color="auto" w:fill="D9D9D9" w:themeFill="background1" w:themeFillShade="D9"/>
            <w:vAlign w:val="bottom"/>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0%</w:t>
            </w:r>
          </w:p>
        </w:tc>
        <w:tc>
          <w:tcPr>
            <w:tcW w:w="962" w:type="dxa"/>
            <w:shd w:val="clear" w:color="auto" w:fill="D9D9D9" w:themeFill="background1" w:themeFillShade="D9"/>
            <w:vAlign w:val="center"/>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0</w:t>
            </w:r>
          </w:p>
        </w:tc>
        <w:tc>
          <w:tcPr>
            <w:tcW w:w="962" w:type="dxa"/>
            <w:shd w:val="clear" w:color="auto" w:fill="D9D9D9" w:themeFill="background1" w:themeFillShade="D9"/>
            <w:vAlign w:val="center"/>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0%</w:t>
            </w:r>
          </w:p>
        </w:tc>
        <w:tc>
          <w:tcPr>
            <w:tcW w:w="933" w:type="dxa"/>
            <w:shd w:val="clear" w:color="auto" w:fill="D9D9D9" w:themeFill="background1" w:themeFillShade="D9"/>
            <w:vAlign w:val="center"/>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743A41">
              <w:rPr>
                <w:rFonts w:asciiTheme="majorHAnsi" w:eastAsia="Arial" w:hAnsiTheme="majorHAnsi" w:cstheme="majorHAnsi"/>
              </w:rPr>
              <w:t>0</w:t>
            </w:r>
          </w:p>
        </w:tc>
        <w:tc>
          <w:tcPr>
            <w:tcW w:w="933" w:type="dxa"/>
            <w:shd w:val="clear" w:color="auto" w:fill="D9D9D9" w:themeFill="background1" w:themeFillShade="D9"/>
            <w:vAlign w:val="center"/>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0%</w:t>
            </w:r>
          </w:p>
        </w:tc>
      </w:tr>
      <w:tr w:rsidR="003A4D62" w:rsidRPr="00743A41" w:rsidTr="00C66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shd w:val="clear" w:color="auto" w:fill="D9D9D9" w:themeFill="background1" w:themeFillShade="D9"/>
          </w:tcPr>
          <w:p w:rsidR="003A4D62" w:rsidRPr="003A3BCE" w:rsidRDefault="003A4D62" w:rsidP="00A37ED6">
            <w:pPr>
              <w:ind w:right="360"/>
              <w:rPr>
                <w:rFonts w:asciiTheme="majorHAnsi" w:eastAsia="Arial" w:hAnsiTheme="majorHAnsi" w:cstheme="majorHAnsi"/>
                <w:b w:val="0"/>
              </w:rPr>
            </w:pPr>
            <w:r w:rsidRPr="003A3BCE">
              <w:rPr>
                <w:rFonts w:asciiTheme="majorHAnsi" w:eastAsia="Arial" w:hAnsiTheme="majorHAnsi" w:cstheme="majorHAnsi"/>
                <w:b w:val="0"/>
              </w:rPr>
              <w:t>FELLOW</w:t>
            </w:r>
          </w:p>
        </w:tc>
        <w:tc>
          <w:tcPr>
            <w:tcW w:w="961" w:type="dxa"/>
            <w:shd w:val="clear" w:color="auto" w:fill="D9D9D9" w:themeFill="background1" w:themeFillShade="D9"/>
            <w:vAlign w:val="center"/>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rPr>
            </w:pPr>
            <w:r w:rsidRPr="00743A41">
              <w:rPr>
                <w:rFonts w:asciiTheme="majorHAnsi" w:eastAsia="Arial" w:hAnsiTheme="majorHAnsi" w:cstheme="majorHAnsi"/>
              </w:rPr>
              <w:t>10</w:t>
            </w:r>
          </w:p>
        </w:tc>
        <w:tc>
          <w:tcPr>
            <w:tcW w:w="962" w:type="dxa"/>
            <w:shd w:val="clear" w:color="auto" w:fill="D9D9D9" w:themeFill="background1" w:themeFillShade="D9"/>
            <w:vAlign w:val="bottom"/>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26%</w:t>
            </w:r>
          </w:p>
        </w:tc>
        <w:tc>
          <w:tcPr>
            <w:tcW w:w="962" w:type="dxa"/>
            <w:shd w:val="clear" w:color="auto" w:fill="D9D9D9" w:themeFill="background1" w:themeFillShade="D9"/>
            <w:vAlign w:val="center"/>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12</w:t>
            </w:r>
          </w:p>
        </w:tc>
        <w:tc>
          <w:tcPr>
            <w:tcW w:w="962" w:type="dxa"/>
            <w:shd w:val="clear" w:color="auto" w:fill="D9D9D9" w:themeFill="background1" w:themeFillShade="D9"/>
            <w:vAlign w:val="center"/>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23%</w:t>
            </w:r>
          </w:p>
        </w:tc>
        <w:tc>
          <w:tcPr>
            <w:tcW w:w="933" w:type="dxa"/>
            <w:shd w:val="clear" w:color="auto" w:fill="D9D9D9" w:themeFill="background1" w:themeFillShade="D9"/>
            <w:vAlign w:val="center"/>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10</w:t>
            </w:r>
          </w:p>
        </w:tc>
        <w:tc>
          <w:tcPr>
            <w:tcW w:w="933" w:type="dxa"/>
            <w:shd w:val="clear" w:color="auto" w:fill="D9D9D9" w:themeFill="background1" w:themeFillShade="D9"/>
            <w:vAlign w:val="center"/>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21%</w:t>
            </w:r>
          </w:p>
        </w:tc>
      </w:tr>
      <w:tr w:rsidR="003A4D62" w:rsidRPr="00743A41" w:rsidTr="00C66AB2">
        <w:tc>
          <w:tcPr>
            <w:cnfStyle w:val="001000000000" w:firstRow="0" w:lastRow="0" w:firstColumn="1" w:lastColumn="0" w:oddVBand="0" w:evenVBand="0" w:oddHBand="0" w:evenHBand="0" w:firstRowFirstColumn="0" w:firstRowLastColumn="0" w:lastRowFirstColumn="0" w:lastRowLastColumn="0"/>
            <w:tcW w:w="2917" w:type="dxa"/>
            <w:shd w:val="clear" w:color="auto" w:fill="auto"/>
          </w:tcPr>
          <w:p w:rsidR="003A4D62" w:rsidRPr="003A3BCE" w:rsidRDefault="003A4D62" w:rsidP="00A37ED6">
            <w:pPr>
              <w:ind w:right="360"/>
              <w:rPr>
                <w:rFonts w:asciiTheme="majorHAnsi" w:eastAsia="Arial" w:hAnsiTheme="majorHAnsi" w:cstheme="majorHAnsi"/>
                <w:b w:val="0"/>
              </w:rPr>
            </w:pPr>
            <w:r w:rsidRPr="003A3BCE">
              <w:rPr>
                <w:rFonts w:asciiTheme="majorHAnsi" w:eastAsia="Arial" w:hAnsiTheme="majorHAnsi" w:cstheme="majorHAnsi"/>
                <w:b w:val="0"/>
              </w:rPr>
              <w:t>NOT SEEK</w:t>
            </w:r>
          </w:p>
        </w:tc>
        <w:tc>
          <w:tcPr>
            <w:tcW w:w="961" w:type="dxa"/>
            <w:shd w:val="clear" w:color="auto" w:fill="auto"/>
            <w:vAlign w:val="center"/>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743A41">
              <w:rPr>
                <w:rFonts w:asciiTheme="majorHAnsi" w:eastAsia="Arial" w:hAnsiTheme="majorHAnsi" w:cstheme="majorHAnsi"/>
              </w:rPr>
              <w:t>0</w:t>
            </w:r>
          </w:p>
        </w:tc>
        <w:tc>
          <w:tcPr>
            <w:tcW w:w="962" w:type="dxa"/>
            <w:shd w:val="clear" w:color="auto" w:fill="auto"/>
            <w:vAlign w:val="bottom"/>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0%</w:t>
            </w:r>
          </w:p>
        </w:tc>
        <w:tc>
          <w:tcPr>
            <w:tcW w:w="962" w:type="dxa"/>
            <w:shd w:val="clear" w:color="auto" w:fill="auto"/>
            <w:vAlign w:val="center"/>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0</w:t>
            </w:r>
          </w:p>
        </w:tc>
        <w:tc>
          <w:tcPr>
            <w:tcW w:w="962" w:type="dxa"/>
            <w:shd w:val="clear" w:color="auto" w:fill="auto"/>
            <w:vAlign w:val="center"/>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0%</w:t>
            </w:r>
          </w:p>
        </w:tc>
        <w:tc>
          <w:tcPr>
            <w:tcW w:w="933" w:type="dxa"/>
            <w:shd w:val="clear" w:color="auto" w:fill="auto"/>
            <w:vAlign w:val="center"/>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743A41">
              <w:rPr>
                <w:rFonts w:asciiTheme="majorHAnsi" w:eastAsia="Arial" w:hAnsiTheme="majorHAnsi" w:cstheme="majorHAnsi"/>
              </w:rPr>
              <w:t>0</w:t>
            </w:r>
          </w:p>
        </w:tc>
        <w:tc>
          <w:tcPr>
            <w:tcW w:w="933" w:type="dxa"/>
            <w:shd w:val="clear" w:color="auto" w:fill="auto"/>
            <w:vAlign w:val="center"/>
          </w:tcPr>
          <w:p w:rsidR="003A4D62" w:rsidRPr="00743A41"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0%</w:t>
            </w:r>
          </w:p>
        </w:tc>
      </w:tr>
      <w:tr w:rsidR="003A4D62" w:rsidRPr="00743A41" w:rsidTr="00C66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shd w:val="clear" w:color="auto" w:fill="D9D9D9" w:themeFill="background1" w:themeFillShade="D9"/>
          </w:tcPr>
          <w:p w:rsidR="003A4D62" w:rsidRPr="003A3BCE" w:rsidRDefault="003A4D62" w:rsidP="00A37ED6">
            <w:pPr>
              <w:ind w:right="360"/>
              <w:rPr>
                <w:rFonts w:asciiTheme="majorHAnsi" w:eastAsia="Arial" w:hAnsiTheme="majorHAnsi" w:cstheme="majorHAnsi"/>
                <w:b w:val="0"/>
              </w:rPr>
            </w:pPr>
            <w:r w:rsidRPr="003A3BCE">
              <w:rPr>
                <w:rFonts w:asciiTheme="majorHAnsi" w:eastAsia="Arial" w:hAnsiTheme="majorHAnsi" w:cstheme="majorHAnsi"/>
                <w:b w:val="0"/>
              </w:rPr>
              <w:t>SEEK</w:t>
            </w:r>
          </w:p>
        </w:tc>
        <w:tc>
          <w:tcPr>
            <w:tcW w:w="961" w:type="dxa"/>
            <w:shd w:val="clear" w:color="auto" w:fill="D9D9D9" w:themeFill="background1" w:themeFillShade="D9"/>
            <w:vAlign w:val="center"/>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rPr>
            </w:pPr>
            <w:r w:rsidRPr="00743A41">
              <w:rPr>
                <w:rFonts w:asciiTheme="majorHAnsi" w:eastAsia="Arial" w:hAnsiTheme="majorHAnsi" w:cstheme="majorHAnsi"/>
              </w:rPr>
              <w:t>0</w:t>
            </w:r>
          </w:p>
        </w:tc>
        <w:tc>
          <w:tcPr>
            <w:tcW w:w="962" w:type="dxa"/>
            <w:shd w:val="clear" w:color="auto" w:fill="D9D9D9" w:themeFill="background1" w:themeFillShade="D9"/>
            <w:vAlign w:val="bottom"/>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0%</w:t>
            </w:r>
          </w:p>
        </w:tc>
        <w:tc>
          <w:tcPr>
            <w:tcW w:w="962" w:type="dxa"/>
            <w:shd w:val="clear" w:color="auto" w:fill="D9D9D9" w:themeFill="background1" w:themeFillShade="D9"/>
            <w:vAlign w:val="center"/>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0</w:t>
            </w:r>
          </w:p>
        </w:tc>
        <w:tc>
          <w:tcPr>
            <w:tcW w:w="962" w:type="dxa"/>
            <w:shd w:val="clear" w:color="auto" w:fill="D9D9D9" w:themeFill="background1" w:themeFillShade="D9"/>
            <w:vAlign w:val="center"/>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0%</w:t>
            </w:r>
          </w:p>
        </w:tc>
        <w:tc>
          <w:tcPr>
            <w:tcW w:w="933" w:type="dxa"/>
            <w:shd w:val="clear" w:color="auto" w:fill="D9D9D9" w:themeFill="background1" w:themeFillShade="D9"/>
            <w:vAlign w:val="center"/>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rPr>
            </w:pPr>
            <w:r w:rsidRPr="00743A41">
              <w:rPr>
                <w:rFonts w:asciiTheme="majorHAnsi" w:eastAsia="Arial" w:hAnsiTheme="majorHAnsi" w:cstheme="majorHAnsi"/>
              </w:rPr>
              <w:t>0</w:t>
            </w:r>
          </w:p>
        </w:tc>
        <w:tc>
          <w:tcPr>
            <w:tcW w:w="933" w:type="dxa"/>
            <w:shd w:val="clear" w:color="auto" w:fill="D9D9D9" w:themeFill="background1" w:themeFillShade="D9"/>
            <w:vAlign w:val="center"/>
          </w:tcPr>
          <w:p w:rsidR="003A4D62" w:rsidRPr="00743A41" w:rsidRDefault="003A4D62"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0%</w:t>
            </w:r>
          </w:p>
        </w:tc>
      </w:tr>
      <w:tr w:rsidR="00192546" w:rsidRPr="00743A41" w:rsidTr="00C66AB2">
        <w:tc>
          <w:tcPr>
            <w:cnfStyle w:val="001000000000" w:firstRow="0" w:lastRow="0" w:firstColumn="1" w:lastColumn="0" w:oddVBand="0" w:evenVBand="0" w:oddHBand="0" w:evenHBand="0" w:firstRowFirstColumn="0" w:firstRowLastColumn="0" w:lastRowFirstColumn="0" w:lastRowLastColumn="0"/>
            <w:tcW w:w="2917" w:type="dxa"/>
            <w:shd w:val="clear" w:color="auto" w:fill="D9D9D9" w:themeFill="background1" w:themeFillShade="D9"/>
          </w:tcPr>
          <w:p w:rsidR="00192546" w:rsidRPr="003A3BCE" w:rsidRDefault="00192546" w:rsidP="00A37ED6">
            <w:pPr>
              <w:ind w:right="360"/>
              <w:rPr>
                <w:rFonts w:asciiTheme="majorHAnsi" w:eastAsia="Arial" w:hAnsiTheme="majorHAnsi" w:cstheme="majorHAnsi"/>
                <w:b w:val="0"/>
              </w:rPr>
            </w:pPr>
            <w:r w:rsidRPr="003A3BCE">
              <w:rPr>
                <w:rFonts w:asciiTheme="majorHAnsi" w:eastAsia="Arial" w:hAnsiTheme="majorHAnsi" w:cstheme="majorHAnsi"/>
                <w:b w:val="0"/>
              </w:rPr>
              <w:t>VOLUN</w:t>
            </w:r>
          </w:p>
        </w:tc>
        <w:tc>
          <w:tcPr>
            <w:tcW w:w="961" w:type="dxa"/>
            <w:shd w:val="clear" w:color="auto" w:fill="D9D9D9" w:themeFill="background1" w:themeFillShade="D9"/>
            <w:vAlign w:val="center"/>
          </w:tcPr>
          <w:p w:rsidR="00192546" w:rsidRPr="00743A41" w:rsidRDefault="00192546"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743A41">
              <w:rPr>
                <w:rFonts w:asciiTheme="majorHAnsi" w:eastAsia="Arial" w:hAnsiTheme="majorHAnsi" w:cstheme="majorHAnsi"/>
              </w:rPr>
              <w:t>0</w:t>
            </w:r>
          </w:p>
        </w:tc>
        <w:tc>
          <w:tcPr>
            <w:tcW w:w="962" w:type="dxa"/>
            <w:shd w:val="clear" w:color="auto" w:fill="D9D9D9" w:themeFill="background1" w:themeFillShade="D9"/>
            <w:vAlign w:val="bottom"/>
          </w:tcPr>
          <w:p w:rsidR="00192546" w:rsidRPr="00743A41" w:rsidRDefault="00192546"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0%</w:t>
            </w:r>
          </w:p>
        </w:tc>
        <w:tc>
          <w:tcPr>
            <w:tcW w:w="962" w:type="dxa"/>
            <w:shd w:val="clear" w:color="auto" w:fill="D9D9D9" w:themeFill="background1" w:themeFillShade="D9"/>
            <w:vAlign w:val="center"/>
          </w:tcPr>
          <w:p w:rsidR="00192546" w:rsidRPr="00743A41" w:rsidRDefault="00192546"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0</w:t>
            </w:r>
          </w:p>
        </w:tc>
        <w:tc>
          <w:tcPr>
            <w:tcW w:w="962" w:type="dxa"/>
            <w:shd w:val="clear" w:color="auto" w:fill="D9D9D9" w:themeFill="background1" w:themeFillShade="D9"/>
            <w:vAlign w:val="center"/>
          </w:tcPr>
          <w:p w:rsidR="00192546" w:rsidRPr="00743A41" w:rsidRDefault="00192546"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0%</w:t>
            </w:r>
          </w:p>
        </w:tc>
        <w:tc>
          <w:tcPr>
            <w:tcW w:w="933" w:type="dxa"/>
            <w:shd w:val="clear" w:color="auto" w:fill="D9D9D9" w:themeFill="background1" w:themeFillShade="D9"/>
            <w:vAlign w:val="center"/>
          </w:tcPr>
          <w:p w:rsidR="00192546" w:rsidRPr="00743A41" w:rsidRDefault="00192546"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743A41">
              <w:rPr>
                <w:rFonts w:asciiTheme="majorHAnsi" w:eastAsia="Arial" w:hAnsiTheme="majorHAnsi" w:cstheme="majorHAnsi"/>
              </w:rPr>
              <w:t>0</w:t>
            </w:r>
          </w:p>
        </w:tc>
        <w:tc>
          <w:tcPr>
            <w:tcW w:w="933" w:type="dxa"/>
            <w:shd w:val="clear" w:color="auto" w:fill="D9D9D9" w:themeFill="background1" w:themeFillShade="D9"/>
            <w:vAlign w:val="center"/>
          </w:tcPr>
          <w:p w:rsidR="00192546" w:rsidRPr="00743A41" w:rsidRDefault="00192546"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0%</w:t>
            </w:r>
          </w:p>
        </w:tc>
      </w:tr>
      <w:tr w:rsidR="00192546" w:rsidRPr="00743A41" w:rsidTr="00C66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shd w:val="clear" w:color="auto" w:fill="auto"/>
          </w:tcPr>
          <w:p w:rsidR="00192546" w:rsidRPr="003A3BCE" w:rsidRDefault="00192546" w:rsidP="00A37ED6">
            <w:pPr>
              <w:ind w:right="360"/>
              <w:rPr>
                <w:rFonts w:asciiTheme="majorHAnsi" w:eastAsia="Arial" w:hAnsiTheme="majorHAnsi" w:cstheme="majorHAnsi"/>
                <w:b w:val="0"/>
              </w:rPr>
            </w:pPr>
            <w:r w:rsidRPr="003A3BCE">
              <w:rPr>
                <w:rFonts w:asciiTheme="majorHAnsi" w:eastAsia="Arial" w:hAnsiTheme="majorHAnsi" w:cstheme="majorHAnsi"/>
                <w:b w:val="0"/>
              </w:rPr>
              <w:t>UNKNOWN</w:t>
            </w:r>
          </w:p>
        </w:tc>
        <w:tc>
          <w:tcPr>
            <w:tcW w:w="961" w:type="dxa"/>
            <w:shd w:val="clear" w:color="auto" w:fill="auto"/>
            <w:vAlign w:val="center"/>
          </w:tcPr>
          <w:p w:rsidR="00192546" w:rsidRPr="00743A41" w:rsidRDefault="00192546"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rPr>
            </w:pPr>
            <w:r w:rsidRPr="00743A41">
              <w:rPr>
                <w:rFonts w:asciiTheme="majorHAnsi" w:eastAsia="Arial" w:hAnsiTheme="majorHAnsi" w:cstheme="majorHAnsi"/>
              </w:rPr>
              <w:t>6</w:t>
            </w:r>
          </w:p>
        </w:tc>
        <w:tc>
          <w:tcPr>
            <w:tcW w:w="962" w:type="dxa"/>
            <w:shd w:val="clear" w:color="auto" w:fill="auto"/>
            <w:vAlign w:val="bottom"/>
          </w:tcPr>
          <w:p w:rsidR="00192546" w:rsidRPr="00743A41" w:rsidRDefault="00192546"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15%</w:t>
            </w:r>
          </w:p>
        </w:tc>
        <w:tc>
          <w:tcPr>
            <w:tcW w:w="962" w:type="dxa"/>
            <w:shd w:val="clear" w:color="auto" w:fill="auto"/>
            <w:vAlign w:val="center"/>
          </w:tcPr>
          <w:p w:rsidR="00192546" w:rsidRPr="00743A41" w:rsidRDefault="00192546"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5</w:t>
            </w:r>
          </w:p>
        </w:tc>
        <w:tc>
          <w:tcPr>
            <w:tcW w:w="962" w:type="dxa"/>
            <w:shd w:val="clear" w:color="auto" w:fill="auto"/>
            <w:vAlign w:val="center"/>
          </w:tcPr>
          <w:p w:rsidR="00192546" w:rsidRPr="00743A41" w:rsidRDefault="00192546"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10%</w:t>
            </w:r>
          </w:p>
        </w:tc>
        <w:tc>
          <w:tcPr>
            <w:tcW w:w="933" w:type="dxa"/>
            <w:shd w:val="clear" w:color="auto" w:fill="auto"/>
            <w:vAlign w:val="center"/>
          </w:tcPr>
          <w:p w:rsidR="00192546" w:rsidRPr="00743A41" w:rsidRDefault="00192546"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1</w:t>
            </w:r>
          </w:p>
        </w:tc>
        <w:tc>
          <w:tcPr>
            <w:tcW w:w="933" w:type="dxa"/>
            <w:shd w:val="clear" w:color="auto" w:fill="auto"/>
            <w:vAlign w:val="center"/>
          </w:tcPr>
          <w:p w:rsidR="00192546" w:rsidRPr="00743A41" w:rsidRDefault="00192546" w:rsidP="00A37ED6">
            <w:pPr>
              <w:ind w:left="-149" w:right="-90" w:firstLine="90"/>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rPr>
            </w:pPr>
            <w:r w:rsidRPr="00743A41">
              <w:rPr>
                <w:rFonts w:asciiTheme="majorHAnsi" w:hAnsiTheme="majorHAnsi" w:cstheme="majorHAnsi"/>
                <w:color w:val="000000"/>
              </w:rPr>
              <w:t>2%</w:t>
            </w:r>
          </w:p>
        </w:tc>
      </w:tr>
      <w:tr w:rsidR="003A4D62" w:rsidRPr="00743A41" w:rsidTr="00C66AB2">
        <w:tc>
          <w:tcPr>
            <w:cnfStyle w:val="001000000000" w:firstRow="0" w:lastRow="0" w:firstColumn="1" w:lastColumn="0" w:oddVBand="0" w:evenVBand="0" w:oddHBand="0" w:evenHBand="0" w:firstRowFirstColumn="0" w:firstRowLastColumn="0" w:lastRowFirstColumn="0" w:lastRowLastColumn="0"/>
            <w:tcW w:w="2917" w:type="dxa"/>
            <w:shd w:val="clear" w:color="auto" w:fill="D9D9D9" w:themeFill="background1" w:themeFillShade="D9"/>
          </w:tcPr>
          <w:p w:rsidR="003A4D62" w:rsidRPr="00743A41" w:rsidRDefault="003A4D62" w:rsidP="00A37ED6">
            <w:pPr>
              <w:ind w:right="360"/>
              <w:rPr>
                <w:rFonts w:asciiTheme="majorHAnsi" w:eastAsia="Arial" w:hAnsiTheme="majorHAnsi" w:cstheme="majorHAnsi"/>
              </w:rPr>
            </w:pPr>
            <w:r w:rsidRPr="00743A41">
              <w:rPr>
                <w:rFonts w:asciiTheme="majorHAnsi" w:eastAsia="Arial" w:hAnsiTheme="majorHAnsi" w:cstheme="majorHAnsi"/>
              </w:rPr>
              <w:t>TOTAL</w:t>
            </w:r>
          </w:p>
        </w:tc>
        <w:tc>
          <w:tcPr>
            <w:tcW w:w="961" w:type="dxa"/>
            <w:shd w:val="clear" w:color="auto" w:fill="D9D9D9" w:themeFill="background1" w:themeFillShade="D9"/>
            <w:vAlign w:val="center"/>
          </w:tcPr>
          <w:p w:rsidR="003A4D62" w:rsidRPr="00A54EDA"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rPr>
            </w:pPr>
            <w:r w:rsidRPr="00A54EDA">
              <w:rPr>
                <w:rFonts w:asciiTheme="majorHAnsi" w:eastAsia="Arial" w:hAnsiTheme="majorHAnsi" w:cstheme="majorHAnsi"/>
                <w:b/>
              </w:rPr>
              <w:t>39</w:t>
            </w:r>
          </w:p>
        </w:tc>
        <w:tc>
          <w:tcPr>
            <w:tcW w:w="962" w:type="dxa"/>
            <w:shd w:val="clear" w:color="auto" w:fill="D9D9D9" w:themeFill="background1" w:themeFillShade="D9"/>
            <w:vAlign w:val="bottom"/>
          </w:tcPr>
          <w:p w:rsidR="003A4D62" w:rsidRPr="00A54EDA"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rPr>
            </w:pPr>
            <w:r w:rsidRPr="00A54EDA">
              <w:rPr>
                <w:rFonts w:asciiTheme="majorHAnsi" w:hAnsiTheme="majorHAnsi" w:cstheme="majorHAnsi"/>
                <w:b/>
                <w:color w:val="000000"/>
              </w:rPr>
              <w:t>100%</w:t>
            </w:r>
          </w:p>
        </w:tc>
        <w:tc>
          <w:tcPr>
            <w:tcW w:w="962" w:type="dxa"/>
            <w:shd w:val="clear" w:color="auto" w:fill="D9D9D9" w:themeFill="background1" w:themeFillShade="D9"/>
            <w:vAlign w:val="center"/>
          </w:tcPr>
          <w:p w:rsidR="003A4D62" w:rsidRPr="00A54EDA" w:rsidRDefault="003A4D62" w:rsidP="00A37ED6">
            <w:pPr>
              <w:ind w:right="-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rPr>
            </w:pPr>
            <w:r w:rsidRPr="00A54EDA">
              <w:rPr>
                <w:rFonts w:asciiTheme="majorHAnsi" w:hAnsiTheme="majorHAnsi" w:cstheme="majorHAnsi"/>
                <w:b/>
                <w:bCs/>
                <w:color w:val="000000"/>
              </w:rPr>
              <w:t>52</w:t>
            </w:r>
          </w:p>
        </w:tc>
        <w:tc>
          <w:tcPr>
            <w:tcW w:w="962" w:type="dxa"/>
            <w:shd w:val="clear" w:color="auto" w:fill="D9D9D9" w:themeFill="background1" w:themeFillShade="D9"/>
            <w:vAlign w:val="center"/>
          </w:tcPr>
          <w:p w:rsidR="003A4D62" w:rsidRPr="00A54EDA"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rPr>
            </w:pPr>
            <w:r w:rsidRPr="00A54EDA">
              <w:rPr>
                <w:rFonts w:asciiTheme="majorHAnsi" w:hAnsiTheme="majorHAnsi" w:cstheme="majorHAnsi"/>
                <w:b/>
                <w:color w:val="000000"/>
              </w:rPr>
              <w:t>100%</w:t>
            </w:r>
          </w:p>
        </w:tc>
        <w:tc>
          <w:tcPr>
            <w:tcW w:w="933" w:type="dxa"/>
            <w:shd w:val="clear" w:color="auto" w:fill="D9D9D9" w:themeFill="background1" w:themeFillShade="D9"/>
            <w:vAlign w:val="center"/>
          </w:tcPr>
          <w:p w:rsidR="003A4D62" w:rsidRPr="00A54EDA"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rPr>
            </w:pPr>
            <w:r w:rsidRPr="00A54EDA">
              <w:rPr>
                <w:rFonts w:asciiTheme="majorHAnsi" w:eastAsia="Arial" w:hAnsiTheme="majorHAnsi" w:cstheme="majorHAnsi"/>
                <w:b/>
              </w:rPr>
              <w:t>47</w:t>
            </w:r>
          </w:p>
        </w:tc>
        <w:tc>
          <w:tcPr>
            <w:tcW w:w="933" w:type="dxa"/>
            <w:shd w:val="clear" w:color="auto" w:fill="D9D9D9" w:themeFill="background1" w:themeFillShade="D9"/>
            <w:vAlign w:val="center"/>
          </w:tcPr>
          <w:p w:rsidR="003A4D62" w:rsidRPr="00A54EDA" w:rsidRDefault="003A4D62" w:rsidP="00A37ED6">
            <w:pPr>
              <w:ind w:left="-149" w:right="-90" w:firstLine="90"/>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rPr>
            </w:pPr>
            <w:r w:rsidRPr="00A54EDA">
              <w:rPr>
                <w:rFonts w:asciiTheme="majorHAnsi" w:hAnsiTheme="majorHAnsi" w:cstheme="majorHAnsi"/>
                <w:b/>
                <w:color w:val="000000"/>
              </w:rPr>
              <w:t>100%</w:t>
            </w:r>
          </w:p>
        </w:tc>
      </w:tr>
    </w:tbl>
    <w:p w:rsidR="00933038" w:rsidRPr="00743A41" w:rsidRDefault="00933038" w:rsidP="00A37ED6">
      <w:pPr>
        <w:pStyle w:val="Default"/>
        <w:ind w:left="720"/>
        <w:jc w:val="both"/>
        <w:rPr>
          <w:rFonts w:asciiTheme="majorHAnsi" w:hAnsiTheme="majorHAnsi" w:cstheme="majorHAnsi"/>
          <w:color w:val="auto"/>
          <w:szCs w:val="20"/>
        </w:rPr>
      </w:pPr>
    </w:p>
    <w:p w:rsidR="00443377" w:rsidRPr="00743A41" w:rsidRDefault="00443377" w:rsidP="00A37ED6">
      <w:pPr>
        <w:pBdr>
          <w:top w:val="nil"/>
          <w:left w:val="nil"/>
          <w:bottom w:val="nil"/>
          <w:right w:val="nil"/>
          <w:between w:val="nil"/>
        </w:pBdr>
        <w:ind w:left="720"/>
        <w:jc w:val="both"/>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Associated documents in the electronic resource file:</w:t>
      </w:r>
    </w:p>
    <w:p w:rsidR="00443377" w:rsidRPr="00DE25B3" w:rsidRDefault="00DB163C" w:rsidP="00A37ED6">
      <w:pPr>
        <w:pStyle w:val="ListParagraph"/>
        <w:numPr>
          <w:ilvl w:val="0"/>
          <w:numId w:val="63"/>
        </w:numPr>
        <w:pBdr>
          <w:top w:val="nil"/>
          <w:left w:val="nil"/>
          <w:bottom w:val="nil"/>
          <w:right w:val="nil"/>
          <w:between w:val="nil"/>
        </w:pBdr>
        <w:jc w:val="both"/>
        <w:rPr>
          <w:rFonts w:asciiTheme="majorHAnsi" w:eastAsia="Arial" w:hAnsiTheme="majorHAnsi" w:cstheme="majorHAnsi"/>
          <w:i/>
          <w:color w:val="000000"/>
          <w:szCs w:val="20"/>
        </w:rPr>
      </w:pPr>
      <w:r w:rsidRPr="00DE25B3">
        <w:rPr>
          <w:rFonts w:asciiTheme="majorHAnsi" w:eastAsia="Arial" w:hAnsiTheme="majorHAnsi" w:cstheme="majorHAnsi"/>
          <w:i/>
        </w:rPr>
        <w:t>B3. Post-Graduation Outcomes</w:t>
      </w:r>
      <w:r w:rsidR="00443377" w:rsidRPr="00DE25B3">
        <w:rPr>
          <w:rFonts w:asciiTheme="majorHAnsi" w:eastAsia="Arial" w:hAnsiTheme="majorHAnsi" w:cstheme="majorHAnsi"/>
          <w:i/>
          <w:szCs w:val="20"/>
        </w:rPr>
        <w:t xml:space="preserve"> </w:t>
      </w:r>
    </w:p>
    <w:p w:rsidR="00443377" w:rsidRPr="00DE25B3" w:rsidRDefault="00DB163C" w:rsidP="00A37ED6">
      <w:pPr>
        <w:pStyle w:val="ListParagraph"/>
        <w:numPr>
          <w:ilvl w:val="1"/>
          <w:numId w:val="63"/>
        </w:numPr>
        <w:pBdr>
          <w:top w:val="nil"/>
          <w:left w:val="nil"/>
          <w:bottom w:val="nil"/>
          <w:right w:val="nil"/>
          <w:between w:val="nil"/>
        </w:pBdr>
        <w:jc w:val="both"/>
        <w:rPr>
          <w:rFonts w:asciiTheme="majorHAnsi" w:eastAsia="Arial" w:hAnsiTheme="majorHAnsi" w:cstheme="majorHAnsi"/>
          <w:i/>
          <w:szCs w:val="20"/>
        </w:rPr>
      </w:pPr>
      <w:r w:rsidRPr="00DE25B3">
        <w:rPr>
          <w:rFonts w:asciiTheme="majorHAnsi" w:eastAsia="Arial" w:hAnsiTheme="majorHAnsi" w:cstheme="majorHAnsi"/>
          <w:i/>
        </w:rPr>
        <w:t>AY18 Graduate Outcomes Data (Fall 2017, Spring 2018, Summer 2018 Graduates)</w:t>
      </w:r>
    </w:p>
    <w:p w:rsidR="00FB2FEB" w:rsidRPr="00DE25B3" w:rsidRDefault="00DB163C" w:rsidP="00A37ED6">
      <w:pPr>
        <w:pStyle w:val="ListParagraph"/>
        <w:numPr>
          <w:ilvl w:val="1"/>
          <w:numId w:val="63"/>
        </w:numPr>
        <w:pBdr>
          <w:top w:val="nil"/>
          <w:left w:val="nil"/>
          <w:bottom w:val="nil"/>
          <w:right w:val="nil"/>
          <w:between w:val="nil"/>
        </w:pBdr>
        <w:jc w:val="both"/>
        <w:rPr>
          <w:rFonts w:asciiTheme="majorHAnsi" w:eastAsia="Arial" w:hAnsiTheme="majorHAnsi" w:cstheme="majorHAnsi"/>
          <w:i/>
          <w:szCs w:val="20"/>
        </w:rPr>
      </w:pPr>
      <w:r w:rsidRPr="00DE25B3">
        <w:rPr>
          <w:rFonts w:asciiTheme="majorHAnsi" w:eastAsia="Arial" w:hAnsiTheme="majorHAnsi" w:cstheme="majorHAnsi"/>
          <w:i/>
        </w:rPr>
        <w:t>AY17 Graduate Outcomes Data (Fall 2016, Spring 2017, Summer 2017 Graduates)</w:t>
      </w:r>
    </w:p>
    <w:p w:rsidR="00DB163C" w:rsidRPr="00DE25B3" w:rsidRDefault="00DB163C" w:rsidP="00FC4AEF">
      <w:pPr>
        <w:pStyle w:val="ListParagraph"/>
        <w:numPr>
          <w:ilvl w:val="1"/>
          <w:numId w:val="63"/>
        </w:numPr>
        <w:pBdr>
          <w:top w:val="nil"/>
          <w:left w:val="nil"/>
          <w:bottom w:val="nil"/>
          <w:right w:val="nil"/>
          <w:between w:val="nil"/>
        </w:pBdr>
        <w:jc w:val="both"/>
        <w:rPr>
          <w:rFonts w:asciiTheme="majorHAnsi" w:eastAsia="Arial" w:hAnsiTheme="majorHAnsi" w:cstheme="majorHAnsi"/>
          <w:i/>
        </w:rPr>
      </w:pPr>
      <w:r w:rsidRPr="00DE25B3">
        <w:rPr>
          <w:rFonts w:asciiTheme="majorHAnsi" w:eastAsia="Arial" w:hAnsiTheme="majorHAnsi" w:cstheme="majorHAnsi"/>
          <w:i/>
        </w:rPr>
        <w:t>AY 16 Graduate Outcomes Data (Fall 2015, Spring 2016, Summer 2016 Graduates)</w:t>
      </w:r>
    </w:p>
    <w:p w:rsidR="00443377" w:rsidRPr="00743A41" w:rsidRDefault="00443377" w:rsidP="00A37ED6">
      <w:pPr>
        <w:pStyle w:val="Default"/>
        <w:ind w:left="720"/>
        <w:jc w:val="both"/>
        <w:rPr>
          <w:rFonts w:asciiTheme="majorHAnsi" w:hAnsiTheme="majorHAnsi" w:cstheme="majorHAnsi"/>
          <w:color w:val="auto"/>
          <w:szCs w:val="20"/>
        </w:rPr>
      </w:pPr>
    </w:p>
    <w:p w:rsidR="00933038" w:rsidRPr="00743A41" w:rsidRDefault="00933038" w:rsidP="00A37ED6">
      <w:pPr>
        <w:pStyle w:val="Default"/>
        <w:numPr>
          <w:ilvl w:val="0"/>
          <w:numId w:val="6"/>
        </w:numPr>
        <w:jc w:val="both"/>
        <w:rPr>
          <w:rFonts w:asciiTheme="majorHAnsi" w:hAnsiTheme="majorHAnsi" w:cstheme="majorHAnsi"/>
          <w:color w:val="auto"/>
          <w:szCs w:val="20"/>
        </w:rPr>
      </w:pPr>
      <w:r w:rsidRPr="00743A41">
        <w:rPr>
          <w:rFonts w:asciiTheme="majorHAnsi" w:hAnsiTheme="majorHAnsi" w:cstheme="majorHAnsi"/>
          <w:color w:val="auto"/>
          <w:szCs w:val="20"/>
        </w:rPr>
        <w:t xml:space="preserve">Explain the data presented above, including identification of factors contributing to any rates that do not meet this criterion’s expectations and plans to address these factors. </w:t>
      </w:r>
    </w:p>
    <w:p w:rsidR="00933038" w:rsidRPr="00743A41" w:rsidRDefault="00933038" w:rsidP="00A37ED6">
      <w:pPr>
        <w:pStyle w:val="Default"/>
        <w:rPr>
          <w:rFonts w:asciiTheme="majorHAnsi" w:hAnsiTheme="majorHAnsi" w:cstheme="majorHAnsi"/>
          <w:color w:val="auto"/>
          <w:szCs w:val="20"/>
        </w:rPr>
      </w:pPr>
    </w:p>
    <w:p w:rsidR="00752425" w:rsidRPr="00743A41" w:rsidRDefault="00566E6A" w:rsidP="00A37ED6">
      <w:pPr>
        <w:autoSpaceDE w:val="0"/>
        <w:autoSpaceDN w:val="0"/>
        <w:ind w:left="720"/>
        <w:rPr>
          <w:rFonts w:asciiTheme="majorHAnsi" w:hAnsiTheme="majorHAnsi" w:cstheme="majorHAnsi"/>
          <w:color w:val="000000"/>
          <w:sz w:val="20"/>
          <w:szCs w:val="20"/>
        </w:rPr>
      </w:pPr>
      <w:r>
        <w:rPr>
          <w:rFonts w:asciiTheme="majorHAnsi" w:hAnsiTheme="majorHAnsi" w:cstheme="majorHAnsi"/>
          <w:color w:val="000000"/>
          <w:sz w:val="20"/>
          <w:szCs w:val="20"/>
        </w:rPr>
        <w:t>The</w:t>
      </w:r>
      <w:r w:rsidR="00202182" w:rsidRPr="00743A41">
        <w:rPr>
          <w:rFonts w:asciiTheme="majorHAnsi" w:hAnsiTheme="majorHAnsi" w:cstheme="majorHAnsi"/>
          <w:color w:val="000000"/>
          <w:sz w:val="20"/>
          <w:szCs w:val="20"/>
        </w:rPr>
        <w:t xml:space="preserve"> </w:t>
      </w:r>
      <w:r w:rsidR="00752425" w:rsidRPr="00743A41">
        <w:rPr>
          <w:rFonts w:asciiTheme="majorHAnsi" w:hAnsiTheme="majorHAnsi" w:cstheme="majorHAnsi"/>
          <w:color w:val="000000"/>
          <w:sz w:val="20"/>
          <w:szCs w:val="20"/>
        </w:rPr>
        <w:t xml:space="preserve">data presented in </w:t>
      </w:r>
      <w:hyperlink w:anchor="_B3._Post-Graduation_Outcomes_1" w:history="1">
        <w:r w:rsidR="00156DA6" w:rsidRPr="006E28EE">
          <w:rPr>
            <w:rStyle w:val="Hyperlink"/>
            <w:rFonts w:asciiTheme="majorHAnsi" w:hAnsiTheme="majorHAnsi" w:cstheme="majorHAnsi"/>
            <w:i/>
            <w:sz w:val="20"/>
            <w:szCs w:val="20"/>
          </w:rPr>
          <w:t>Criterion B3. Post-Graduation Outcomes</w:t>
        </w:r>
      </w:hyperlink>
      <w:r w:rsidR="00156DA6" w:rsidRPr="00743A41">
        <w:rPr>
          <w:rFonts w:asciiTheme="majorHAnsi" w:hAnsiTheme="majorHAnsi" w:cstheme="majorHAnsi"/>
          <w:color w:val="000000"/>
          <w:sz w:val="20"/>
          <w:szCs w:val="20"/>
        </w:rPr>
        <w:t xml:space="preserve"> </w:t>
      </w:r>
      <w:r w:rsidR="00752425" w:rsidRPr="00743A41">
        <w:rPr>
          <w:rFonts w:asciiTheme="majorHAnsi" w:hAnsiTheme="majorHAnsi" w:cstheme="majorHAnsi"/>
          <w:color w:val="000000"/>
          <w:sz w:val="20"/>
          <w:szCs w:val="20"/>
        </w:rPr>
        <w:t xml:space="preserve">exceeds the criterion’s expectations of 80% placement for all degree programs. </w:t>
      </w:r>
    </w:p>
    <w:p w:rsidR="00933038" w:rsidRPr="00743A41" w:rsidRDefault="00933038" w:rsidP="00A37ED6">
      <w:pPr>
        <w:pStyle w:val="Default"/>
        <w:ind w:left="720"/>
        <w:jc w:val="both"/>
        <w:rPr>
          <w:rFonts w:asciiTheme="majorHAnsi" w:hAnsiTheme="majorHAnsi" w:cstheme="majorHAnsi"/>
          <w:color w:val="auto"/>
          <w:szCs w:val="20"/>
          <w:highlight w:val="yellow"/>
        </w:rPr>
      </w:pPr>
    </w:p>
    <w:p w:rsidR="00E84324" w:rsidRPr="00743A41" w:rsidRDefault="00E84324" w:rsidP="00A37ED6">
      <w:pPr>
        <w:pStyle w:val="Default"/>
        <w:ind w:left="720"/>
        <w:jc w:val="both"/>
        <w:rPr>
          <w:rFonts w:asciiTheme="majorHAnsi" w:hAnsiTheme="majorHAnsi" w:cstheme="majorHAnsi"/>
          <w:color w:val="auto"/>
          <w:szCs w:val="20"/>
          <w:highlight w:val="yellow"/>
        </w:rPr>
      </w:pPr>
    </w:p>
    <w:p w:rsidR="00E84324" w:rsidRPr="00743A41" w:rsidRDefault="00E84324" w:rsidP="00A37ED6">
      <w:pPr>
        <w:pStyle w:val="Default"/>
        <w:ind w:left="720"/>
        <w:jc w:val="both"/>
        <w:rPr>
          <w:rFonts w:asciiTheme="majorHAnsi" w:hAnsiTheme="majorHAnsi" w:cstheme="majorHAnsi"/>
          <w:color w:val="auto"/>
          <w:szCs w:val="20"/>
          <w:highlight w:val="yellow"/>
        </w:rPr>
      </w:pPr>
    </w:p>
    <w:p w:rsidR="00933038" w:rsidRPr="00743A41" w:rsidRDefault="00933038" w:rsidP="00A37ED6">
      <w:pPr>
        <w:pStyle w:val="Default"/>
        <w:numPr>
          <w:ilvl w:val="0"/>
          <w:numId w:val="6"/>
        </w:numPr>
        <w:jc w:val="both"/>
        <w:rPr>
          <w:rFonts w:asciiTheme="majorHAnsi" w:hAnsiTheme="majorHAnsi" w:cstheme="majorHAnsi"/>
          <w:color w:val="auto"/>
          <w:szCs w:val="20"/>
        </w:rPr>
      </w:pPr>
      <w:r w:rsidRPr="00743A41">
        <w:rPr>
          <w:rFonts w:asciiTheme="majorHAnsi" w:hAnsiTheme="majorHAnsi" w:cstheme="majorHAnsi"/>
          <w:color w:val="auto"/>
          <w:szCs w:val="20"/>
        </w:rPr>
        <w:t xml:space="preserve">If applicable, assess strengths and weaknesses related to this criterion and plans for improvement in this area. </w:t>
      </w:r>
    </w:p>
    <w:p w:rsidR="00933038" w:rsidRPr="00743A41" w:rsidRDefault="00933038" w:rsidP="00A37ED6">
      <w:pPr>
        <w:pStyle w:val="Default"/>
        <w:jc w:val="both"/>
        <w:rPr>
          <w:rFonts w:asciiTheme="majorHAnsi" w:hAnsiTheme="majorHAnsi" w:cstheme="majorHAnsi"/>
          <w:color w:val="auto"/>
          <w:szCs w:val="20"/>
          <w:highlight w:val="yellow"/>
        </w:rPr>
      </w:pPr>
    </w:p>
    <w:p w:rsidR="0043525D" w:rsidRPr="00743A41" w:rsidRDefault="0043525D" w:rsidP="00A37ED6">
      <w:pPr>
        <w:ind w:left="720"/>
        <w:rPr>
          <w:rFonts w:asciiTheme="majorHAnsi" w:hAnsiTheme="majorHAnsi" w:cstheme="majorHAnsi"/>
          <w:b/>
          <w:sz w:val="20"/>
          <w:szCs w:val="20"/>
        </w:rPr>
      </w:pPr>
      <w:r w:rsidRPr="00743A41">
        <w:rPr>
          <w:rFonts w:asciiTheme="majorHAnsi" w:hAnsiTheme="majorHAnsi" w:cstheme="majorHAnsi"/>
          <w:b/>
          <w:sz w:val="20"/>
          <w:szCs w:val="20"/>
        </w:rPr>
        <w:t xml:space="preserve">Strengths: </w:t>
      </w:r>
    </w:p>
    <w:p w:rsidR="0043525D" w:rsidRPr="00743A41" w:rsidRDefault="0043525D" w:rsidP="00A37ED6">
      <w:pPr>
        <w:pStyle w:val="ListParagraph"/>
        <w:numPr>
          <w:ilvl w:val="0"/>
          <w:numId w:val="183"/>
        </w:numPr>
        <w:spacing w:after="160"/>
        <w:ind w:left="1440"/>
        <w:contextualSpacing/>
        <w:rPr>
          <w:rFonts w:asciiTheme="majorHAnsi" w:hAnsiTheme="majorHAnsi" w:cstheme="majorHAnsi"/>
          <w:szCs w:val="20"/>
        </w:rPr>
      </w:pPr>
      <w:r w:rsidRPr="00743A41">
        <w:rPr>
          <w:rFonts w:asciiTheme="majorHAnsi" w:hAnsiTheme="majorHAnsi" w:cstheme="majorHAnsi"/>
          <w:szCs w:val="20"/>
        </w:rPr>
        <w:t xml:space="preserve">The UTHealth School of Public Health collects data on postgraduate outcomes using a variety of methods to minimize the number of graduates lost to follow-up. Methods include conducting alumni surveys and searching on LinkedIn and other social media platforms. The school has greatly improved its tracking rate over the past three years, and maintains high rates of employment or enrollment in further education for each public health degree. </w:t>
      </w:r>
    </w:p>
    <w:p w:rsidR="0043525D" w:rsidRPr="00743A41" w:rsidRDefault="0043525D" w:rsidP="00A37ED6">
      <w:pPr>
        <w:ind w:left="720"/>
        <w:rPr>
          <w:rFonts w:asciiTheme="majorHAnsi" w:hAnsiTheme="majorHAnsi" w:cstheme="majorHAnsi"/>
          <w:b/>
          <w:sz w:val="20"/>
          <w:szCs w:val="20"/>
        </w:rPr>
      </w:pPr>
      <w:r w:rsidRPr="00743A41">
        <w:rPr>
          <w:rFonts w:asciiTheme="majorHAnsi" w:hAnsiTheme="majorHAnsi" w:cstheme="majorHAnsi"/>
          <w:b/>
          <w:sz w:val="20"/>
          <w:szCs w:val="20"/>
        </w:rPr>
        <w:t>Weaknesses:</w:t>
      </w:r>
    </w:p>
    <w:p w:rsidR="00933038" w:rsidRPr="00743A41" w:rsidRDefault="0043525D" w:rsidP="00A37ED6">
      <w:pPr>
        <w:pStyle w:val="ListParagraph"/>
        <w:numPr>
          <w:ilvl w:val="0"/>
          <w:numId w:val="183"/>
        </w:numPr>
        <w:spacing w:after="160"/>
        <w:ind w:left="1440"/>
        <w:contextualSpacing/>
        <w:rPr>
          <w:rStyle w:val="Heading1Char"/>
          <w:rFonts w:eastAsia="Times New Roman"/>
          <w:b w:val="0"/>
          <w:bCs w:val="0"/>
          <w:kern w:val="0"/>
          <w:lang w:eastAsia="en-US"/>
        </w:rPr>
      </w:pPr>
      <w:r w:rsidRPr="00743A41">
        <w:rPr>
          <w:rFonts w:asciiTheme="majorHAnsi" w:hAnsiTheme="majorHAnsi" w:cstheme="majorHAnsi"/>
          <w:szCs w:val="20"/>
        </w:rPr>
        <w:t>Tracking graduates is a challenging and time-intensive activity. The UTHealth School of Public Health is examining better ways to keep graduates connected with the school to improve follow-up.</w:t>
      </w:r>
      <w:bookmarkStart w:id="37" w:name="_Toc464487859"/>
    </w:p>
    <w:p w:rsidR="00052EC9" w:rsidRPr="00743A41" w:rsidRDefault="00052EC9" w:rsidP="00A37ED6">
      <w:pPr>
        <w:rPr>
          <w:rStyle w:val="Heading1Char"/>
          <w:bCs w:val="0"/>
        </w:rPr>
      </w:pPr>
      <w:bookmarkStart w:id="38" w:name="_B4_._Alumni"/>
      <w:bookmarkStart w:id="39" w:name="_Toc7118192"/>
      <w:bookmarkEnd w:id="38"/>
      <w:r w:rsidRPr="00743A41">
        <w:rPr>
          <w:rStyle w:val="Heading1Char"/>
          <w:b w:val="0"/>
        </w:rPr>
        <w:br w:type="page"/>
      </w:r>
    </w:p>
    <w:p w:rsidR="00933038" w:rsidRPr="00743A41" w:rsidRDefault="00933038" w:rsidP="007A68BE">
      <w:pPr>
        <w:pStyle w:val="Heading1"/>
      </w:pPr>
      <w:r w:rsidRPr="00743A41">
        <w:rPr>
          <w:rStyle w:val="Heading1Char"/>
          <w:b/>
        </w:rPr>
        <w:t>B4. Alumni Perceptions of Curricular Effectiveness</w:t>
      </w:r>
      <w:bookmarkEnd w:id="37"/>
      <w:bookmarkEnd w:id="39"/>
    </w:p>
    <w:p w:rsidR="00933038" w:rsidRPr="00743A41" w:rsidRDefault="00933038" w:rsidP="00A37ED6">
      <w:pPr>
        <w:pStyle w:val="Default"/>
        <w:ind w:left="720"/>
        <w:rPr>
          <w:rFonts w:asciiTheme="majorHAnsi" w:hAnsiTheme="majorHAnsi" w:cstheme="majorHAnsi"/>
          <w:b/>
          <w:color w:val="auto"/>
          <w:szCs w:val="20"/>
        </w:rPr>
      </w:pPr>
    </w:p>
    <w:p w:rsidR="00933038" w:rsidRPr="00743A41" w:rsidRDefault="00933038" w:rsidP="00A37ED6">
      <w:pPr>
        <w:pStyle w:val="Default"/>
        <w:jc w:val="both"/>
        <w:rPr>
          <w:rFonts w:asciiTheme="majorHAnsi" w:hAnsiTheme="majorHAnsi" w:cstheme="majorHAnsi"/>
          <w:b/>
          <w:color w:val="auto"/>
          <w:szCs w:val="20"/>
        </w:rPr>
      </w:pPr>
      <w:r w:rsidRPr="00743A41">
        <w:rPr>
          <w:rFonts w:asciiTheme="majorHAnsi" w:hAnsiTheme="majorHAnsi" w:cstheme="majorHAnsi"/>
          <w:b/>
          <w:color w:val="auto"/>
          <w:szCs w:val="20"/>
        </w:rPr>
        <w:t xml:space="preserve">For each </w:t>
      </w:r>
      <w:r w:rsidR="00E0606E" w:rsidRPr="00743A41">
        <w:rPr>
          <w:rFonts w:asciiTheme="majorHAnsi" w:hAnsiTheme="majorHAnsi" w:cstheme="majorHAnsi"/>
          <w:b/>
          <w:color w:val="auto"/>
          <w:szCs w:val="20"/>
        </w:rPr>
        <w:t xml:space="preserve">public health </w:t>
      </w:r>
      <w:r w:rsidRPr="00743A41">
        <w:rPr>
          <w:rFonts w:asciiTheme="majorHAnsi" w:hAnsiTheme="majorHAnsi" w:cstheme="majorHAnsi"/>
          <w:b/>
          <w:color w:val="auto"/>
          <w:szCs w:val="20"/>
        </w:rPr>
        <w:t>degree offered, the school collects information on alumni perceptions of their own success in achieving defined competencies and of their ability to apply these competencies in their post-graduation placements.</w:t>
      </w:r>
    </w:p>
    <w:p w:rsidR="00933038" w:rsidRPr="00743A41" w:rsidRDefault="00933038" w:rsidP="00A37ED6">
      <w:pPr>
        <w:pStyle w:val="Default"/>
        <w:ind w:left="720"/>
        <w:jc w:val="both"/>
        <w:rPr>
          <w:rFonts w:asciiTheme="majorHAnsi" w:hAnsiTheme="majorHAnsi" w:cstheme="majorHAnsi"/>
          <w:b/>
          <w:color w:val="auto"/>
          <w:szCs w:val="20"/>
        </w:rPr>
      </w:pPr>
    </w:p>
    <w:p w:rsidR="00933038" w:rsidRPr="00743A41" w:rsidRDefault="00933038" w:rsidP="00A37ED6">
      <w:pPr>
        <w:pStyle w:val="Default"/>
        <w:jc w:val="both"/>
        <w:rPr>
          <w:rFonts w:asciiTheme="majorHAnsi" w:hAnsiTheme="majorHAnsi" w:cstheme="majorHAnsi"/>
          <w:b/>
          <w:color w:val="auto"/>
          <w:szCs w:val="20"/>
        </w:rPr>
      </w:pPr>
      <w:r w:rsidRPr="00743A41">
        <w:rPr>
          <w:rFonts w:asciiTheme="majorHAnsi" w:hAnsiTheme="majorHAnsi" w:cstheme="majorHAnsi"/>
          <w:b/>
          <w:color w:val="auto"/>
          <w:szCs w:val="20"/>
        </w:rPr>
        <w:t>The school defines qualitative and/or quantitative methods designed to maximize response rates and provide useful information. Data from recent graduates within the last five years are typically most useful, as distal graduates may not have completed the curriculum that is currently offered.</w:t>
      </w:r>
    </w:p>
    <w:p w:rsidR="00933038" w:rsidRPr="00743A41" w:rsidRDefault="00933038" w:rsidP="00A37ED6">
      <w:pPr>
        <w:pStyle w:val="Default"/>
        <w:jc w:val="both"/>
        <w:rPr>
          <w:rFonts w:asciiTheme="majorHAnsi" w:hAnsiTheme="majorHAnsi" w:cstheme="majorHAnsi"/>
          <w:color w:val="auto"/>
          <w:szCs w:val="20"/>
        </w:rPr>
      </w:pPr>
    </w:p>
    <w:p w:rsidR="00933038" w:rsidRPr="00743A41" w:rsidRDefault="00933038" w:rsidP="00A37ED6">
      <w:pPr>
        <w:pStyle w:val="Default"/>
        <w:numPr>
          <w:ilvl w:val="0"/>
          <w:numId w:val="7"/>
        </w:numPr>
        <w:ind w:left="720"/>
        <w:jc w:val="both"/>
        <w:rPr>
          <w:rFonts w:asciiTheme="majorHAnsi" w:hAnsiTheme="majorHAnsi" w:cstheme="majorHAnsi"/>
          <w:color w:val="auto"/>
          <w:szCs w:val="20"/>
        </w:rPr>
      </w:pPr>
      <w:r w:rsidRPr="00743A41">
        <w:rPr>
          <w:rFonts w:asciiTheme="majorHAnsi" w:hAnsiTheme="majorHAnsi" w:cstheme="majorHAnsi"/>
          <w:color w:val="auto"/>
          <w:szCs w:val="20"/>
        </w:rPr>
        <w:t xml:space="preserve">Summarize the findings of alumni self-assessment of success in achieving competencies and ability to apply competencies after graduation. </w:t>
      </w:r>
    </w:p>
    <w:p w:rsidR="00933038" w:rsidRPr="00743A41" w:rsidRDefault="00933038" w:rsidP="00A37ED6">
      <w:pPr>
        <w:pStyle w:val="Default"/>
        <w:ind w:left="720"/>
        <w:jc w:val="both"/>
        <w:rPr>
          <w:rFonts w:asciiTheme="majorHAnsi" w:hAnsiTheme="majorHAnsi" w:cstheme="majorHAnsi"/>
          <w:color w:val="auto"/>
          <w:szCs w:val="20"/>
        </w:rPr>
      </w:pPr>
    </w:p>
    <w:p w:rsidR="006B797F" w:rsidRPr="00743A41" w:rsidRDefault="006E3D5E" w:rsidP="00A37ED6">
      <w:pPr>
        <w:pBdr>
          <w:top w:val="nil"/>
          <w:left w:val="nil"/>
          <w:bottom w:val="nil"/>
          <w:right w:val="nil"/>
          <w:between w:val="nil"/>
        </w:pBdr>
        <w:ind w:left="720"/>
        <w:rPr>
          <w:rFonts w:asciiTheme="majorHAnsi" w:eastAsia="Arial" w:hAnsiTheme="majorHAnsi" w:cstheme="majorHAnsi"/>
          <w:color w:val="000000"/>
          <w:sz w:val="20"/>
          <w:szCs w:val="20"/>
        </w:rPr>
      </w:pPr>
      <w:hyperlink w:anchor="Table_B41" w:history="1">
        <w:r w:rsidR="006B797F" w:rsidRPr="00743A41">
          <w:rPr>
            <w:rStyle w:val="Hyperlink"/>
            <w:rFonts w:asciiTheme="majorHAnsi" w:hAnsiTheme="majorHAnsi" w:cstheme="majorHAnsi"/>
            <w:sz w:val="20"/>
            <w:szCs w:val="20"/>
          </w:rPr>
          <w:t>Table B.4.1.</w:t>
        </w:r>
      </w:hyperlink>
      <w:r w:rsidR="006B797F" w:rsidRPr="00743A41">
        <w:rPr>
          <w:rFonts w:asciiTheme="majorHAnsi" w:hAnsiTheme="majorHAnsi" w:cstheme="majorHAnsi"/>
          <w:sz w:val="20"/>
          <w:szCs w:val="20"/>
        </w:rPr>
        <w:t xml:space="preserve"> displays results from alumni self-assessment in achieving competencies and their ability in applying competencies. The UTHealth School of Public Health has increased slightly the response rate to the alumni survey, and will continue to work on increasing the response rate. Over the past three years, the number of alumni who responded that they acquired competencies to advance the field of public health increased (84% to 93%), as did the number of alumni who responded that the school prepared them for the demands of their job (72% to 91%).  Alumni also indicated improvements in the following competencies: speaking clearly and effectively (65% to 76%); working on a team (78% to 85%); problem solving (85% to 91%);  making evidence-based decisions (83% to 91%); selecting, analyzing, and interpreting data (73% to 85%); making ethnical decisions (83% to 91%); and in leadership (65% to 75%).</w:t>
      </w:r>
    </w:p>
    <w:p w:rsidR="00DF683B" w:rsidRPr="00743A41" w:rsidRDefault="00DF683B" w:rsidP="00A37ED6">
      <w:pPr>
        <w:pStyle w:val="Default"/>
        <w:ind w:left="720"/>
        <w:jc w:val="both"/>
        <w:rPr>
          <w:rFonts w:asciiTheme="majorHAnsi" w:hAnsiTheme="majorHAnsi" w:cstheme="majorHAnsi"/>
          <w:color w:val="auto"/>
          <w:szCs w:val="20"/>
        </w:rPr>
      </w:pPr>
    </w:p>
    <w:p w:rsidR="00DF683B" w:rsidRPr="00DE25B3" w:rsidRDefault="005C5BA6" w:rsidP="008C523A">
      <w:pPr>
        <w:pStyle w:val="Default"/>
        <w:ind w:left="720"/>
        <w:rPr>
          <w:rFonts w:asciiTheme="majorHAnsi" w:hAnsiTheme="majorHAnsi" w:cstheme="majorHAnsi"/>
          <w:color w:val="auto"/>
          <w:szCs w:val="20"/>
        </w:rPr>
      </w:pPr>
      <w:bookmarkStart w:id="40" w:name="Table_B41"/>
      <w:r w:rsidRPr="00DE25B3">
        <w:rPr>
          <w:rFonts w:asciiTheme="majorHAnsi" w:hAnsiTheme="majorHAnsi" w:cstheme="majorHAnsi"/>
          <w:color w:val="auto"/>
        </w:rPr>
        <w:t>Table B.4.1. Alumni Perceptions of Curricular Effectiveness</w:t>
      </w:r>
      <w:r w:rsidR="006B797F" w:rsidRPr="00DE25B3">
        <w:rPr>
          <w:rFonts w:asciiTheme="majorHAnsi" w:hAnsiTheme="majorHAnsi" w:cstheme="majorHAnsi"/>
          <w:color w:val="auto"/>
          <w:szCs w:val="20"/>
        </w:rPr>
        <w:t xml:space="preserve"> </w:t>
      </w:r>
      <w:r w:rsidR="008C523A">
        <w:rPr>
          <w:rFonts w:asciiTheme="majorHAnsi" w:hAnsiTheme="majorHAnsi" w:cstheme="majorHAnsi"/>
          <w:color w:val="auto"/>
          <w:szCs w:val="20"/>
        </w:rPr>
        <w:t>(</w:t>
      </w:r>
      <w:r w:rsidR="008C523A" w:rsidRPr="008C523A">
        <w:rPr>
          <w:rFonts w:asciiTheme="majorHAnsi" w:hAnsiTheme="majorHAnsi" w:cstheme="majorHAnsi"/>
          <w:i/>
          <w:color w:val="auto"/>
          <w:szCs w:val="20"/>
        </w:rPr>
        <w:t>ERF, B4. Alumni Perceptions of Curricular Effectiveness</w:t>
      </w:r>
      <w:r w:rsidR="008C523A">
        <w:rPr>
          <w:rFonts w:asciiTheme="majorHAnsi" w:hAnsiTheme="majorHAnsi" w:cstheme="majorHAnsi"/>
          <w:color w:val="auto"/>
          <w:szCs w:val="20"/>
        </w:rPr>
        <w:t>)</w:t>
      </w:r>
    </w:p>
    <w:tbl>
      <w:tblPr>
        <w:tblStyle w:val="15"/>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1535"/>
        <w:gridCol w:w="1620"/>
        <w:gridCol w:w="1620"/>
      </w:tblGrid>
      <w:tr w:rsidR="00DF683B" w:rsidRPr="00743A41" w:rsidTr="00C66AB2">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4045" w:type="dxa"/>
            <w:tcBorders>
              <w:top w:val="none" w:sz="0" w:space="0" w:color="auto"/>
              <w:bottom w:val="none" w:sz="0" w:space="0" w:color="auto"/>
              <w:right w:val="none" w:sz="0" w:space="0" w:color="auto"/>
            </w:tcBorders>
            <w:hideMark/>
          </w:tcPr>
          <w:bookmarkEnd w:id="40"/>
          <w:p w:rsidR="00DF683B" w:rsidRPr="00743A41" w:rsidRDefault="00DF683B" w:rsidP="00A37ED6">
            <w:pPr>
              <w:pBdr>
                <w:top w:val="nil"/>
                <w:left w:val="nil"/>
                <w:bottom w:val="nil"/>
                <w:right w:val="nil"/>
                <w:between w:val="nil"/>
              </w:pBdr>
              <w:ind w:left="720"/>
              <w:jc w:val="both"/>
              <w:rPr>
                <w:rFonts w:asciiTheme="majorHAnsi" w:eastAsia="Arial" w:hAnsiTheme="majorHAnsi" w:cstheme="majorHAnsi"/>
                <w:b w:val="0"/>
                <w:color w:val="000000"/>
                <w:sz w:val="20"/>
                <w:szCs w:val="20"/>
              </w:rPr>
            </w:pPr>
            <w:r w:rsidRPr="00743A41">
              <w:rPr>
                <w:rFonts w:asciiTheme="majorHAnsi" w:eastAsia="Arial" w:hAnsiTheme="majorHAnsi" w:cstheme="majorHAnsi"/>
                <w:color w:val="000000"/>
                <w:sz w:val="20"/>
                <w:szCs w:val="20"/>
              </w:rPr>
              <w:t> </w:t>
            </w:r>
          </w:p>
        </w:tc>
        <w:tc>
          <w:tcPr>
            <w:tcW w:w="1535" w:type="dxa"/>
            <w:tcBorders>
              <w:top w:val="none" w:sz="0" w:space="0" w:color="auto"/>
              <w:left w:val="none" w:sz="0" w:space="0" w:color="auto"/>
              <w:bottom w:val="none" w:sz="0" w:space="0" w:color="auto"/>
              <w:right w:val="none" w:sz="0" w:space="0" w:color="auto"/>
            </w:tcBorders>
            <w:hideMark/>
          </w:tcPr>
          <w:p w:rsidR="00DF683B" w:rsidRPr="00743A41" w:rsidRDefault="00DF683B" w:rsidP="00A37ED6">
            <w:pPr>
              <w:pBdr>
                <w:top w:val="nil"/>
                <w:left w:val="nil"/>
                <w:bottom w:val="nil"/>
                <w:right w:val="nil"/>
                <w:between w:val="nil"/>
              </w:pBdr>
              <w:ind w:left="70" w:right="-105" w:hanging="174"/>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 w:val="0"/>
                <w:color w:val="000000"/>
                <w:sz w:val="20"/>
                <w:szCs w:val="20"/>
              </w:rPr>
            </w:pPr>
            <w:r w:rsidRPr="00743A41">
              <w:rPr>
                <w:rFonts w:asciiTheme="majorHAnsi" w:eastAsia="Arial" w:hAnsiTheme="majorHAnsi" w:cstheme="majorHAnsi"/>
                <w:color w:val="000000"/>
                <w:sz w:val="20"/>
                <w:szCs w:val="20"/>
              </w:rPr>
              <w:t>FY 2016 Graduates</w:t>
            </w:r>
          </w:p>
          <w:p w:rsidR="00DF683B" w:rsidRPr="00743A41" w:rsidRDefault="00DF683B" w:rsidP="00A37ED6">
            <w:pPr>
              <w:pBdr>
                <w:top w:val="nil"/>
                <w:left w:val="nil"/>
                <w:bottom w:val="nil"/>
                <w:right w:val="nil"/>
                <w:between w:val="nil"/>
              </w:pBdr>
              <w:ind w:left="160" w:right="-105" w:hanging="174"/>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i/>
                <w:color w:val="000000"/>
                <w:sz w:val="20"/>
                <w:szCs w:val="20"/>
              </w:rPr>
            </w:pPr>
            <w:r w:rsidRPr="00743A41">
              <w:rPr>
                <w:rFonts w:asciiTheme="majorHAnsi" w:eastAsia="Arial" w:hAnsiTheme="majorHAnsi" w:cstheme="majorHAnsi"/>
                <w:i/>
                <w:color w:val="000000"/>
                <w:sz w:val="20"/>
                <w:szCs w:val="20"/>
              </w:rPr>
              <w:t>N=70</w:t>
            </w:r>
          </w:p>
        </w:tc>
        <w:tc>
          <w:tcPr>
            <w:tcW w:w="1620" w:type="dxa"/>
            <w:tcBorders>
              <w:top w:val="none" w:sz="0" w:space="0" w:color="auto"/>
              <w:left w:val="none" w:sz="0" w:space="0" w:color="auto"/>
              <w:bottom w:val="none" w:sz="0" w:space="0" w:color="auto"/>
              <w:right w:val="none" w:sz="0" w:space="0" w:color="auto"/>
            </w:tcBorders>
            <w:hideMark/>
          </w:tcPr>
          <w:p w:rsidR="00DF683B" w:rsidRPr="00743A41" w:rsidRDefault="00DF683B" w:rsidP="00A37ED6">
            <w:pPr>
              <w:pBdr>
                <w:top w:val="nil"/>
                <w:left w:val="nil"/>
                <w:bottom w:val="nil"/>
                <w:right w:val="nil"/>
                <w:between w:val="nil"/>
              </w:pBdr>
              <w:ind w:left="70" w:right="-105" w:hanging="174"/>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 w:val="0"/>
                <w:color w:val="000000"/>
                <w:sz w:val="20"/>
                <w:szCs w:val="20"/>
              </w:rPr>
            </w:pPr>
            <w:r w:rsidRPr="00743A41">
              <w:rPr>
                <w:rFonts w:asciiTheme="majorHAnsi" w:eastAsia="Arial" w:hAnsiTheme="majorHAnsi" w:cstheme="majorHAnsi"/>
                <w:color w:val="000000"/>
                <w:sz w:val="20"/>
                <w:szCs w:val="20"/>
              </w:rPr>
              <w:t>FY 2017 Graduates</w:t>
            </w:r>
          </w:p>
          <w:p w:rsidR="00DF683B" w:rsidRPr="00743A41" w:rsidRDefault="00DF683B" w:rsidP="00A37ED6">
            <w:pPr>
              <w:pBdr>
                <w:top w:val="nil"/>
                <w:left w:val="nil"/>
                <w:bottom w:val="nil"/>
                <w:right w:val="nil"/>
                <w:between w:val="nil"/>
              </w:pBdr>
              <w:ind w:left="160" w:right="-105" w:hanging="174"/>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i/>
                <w:color w:val="000000"/>
                <w:sz w:val="20"/>
                <w:szCs w:val="20"/>
              </w:rPr>
            </w:pPr>
            <w:r w:rsidRPr="00743A41">
              <w:rPr>
                <w:rFonts w:asciiTheme="majorHAnsi" w:eastAsia="Arial" w:hAnsiTheme="majorHAnsi" w:cstheme="majorHAnsi"/>
                <w:i/>
                <w:color w:val="000000"/>
                <w:sz w:val="20"/>
                <w:szCs w:val="20"/>
              </w:rPr>
              <w:t>N=82</w:t>
            </w:r>
          </w:p>
        </w:tc>
        <w:tc>
          <w:tcPr>
            <w:tcW w:w="1620" w:type="dxa"/>
            <w:tcBorders>
              <w:top w:val="none" w:sz="0" w:space="0" w:color="auto"/>
              <w:left w:val="none" w:sz="0" w:space="0" w:color="auto"/>
              <w:bottom w:val="none" w:sz="0" w:space="0" w:color="auto"/>
            </w:tcBorders>
            <w:hideMark/>
          </w:tcPr>
          <w:p w:rsidR="00DF683B" w:rsidRPr="00743A41" w:rsidRDefault="00DF683B" w:rsidP="00A37ED6">
            <w:pPr>
              <w:pBdr>
                <w:top w:val="nil"/>
                <w:left w:val="nil"/>
                <w:bottom w:val="nil"/>
                <w:right w:val="nil"/>
                <w:between w:val="nil"/>
              </w:pBdr>
              <w:ind w:left="30" w:right="-105" w:hanging="174"/>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 w:val="0"/>
                <w:color w:val="000000"/>
                <w:sz w:val="20"/>
                <w:szCs w:val="20"/>
              </w:rPr>
            </w:pPr>
            <w:r w:rsidRPr="00743A41">
              <w:rPr>
                <w:rFonts w:asciiTheme="majorHAnsi" w:eastAsia="Arial" w:hAnsiTheme="majorHAnsi" w:cstheme="majorHAnsi"/>
                <w:color w:val="000000"/>
                <w:sz w:val="20"/>
                <w:szCs w:val="20"/>
              </w:rPr>
              <w:t>FY 2018 Graduates</w:t>
            </w:r>
          </w:p>
          <w:p w:rsidR="00DF683B" w:rsidRPr="00743A41" w:rsidRDefault="00DF683B" w:rsidP="00A37ED6">
            <w:pPr>
              <w:pBdr>
                <w:top w:val="nil"/>
                <w:left w:val="nil"/>
                <w:bottom w:val="nil"/>
                <w:right w:val="nil"/>
                <w:between w:val="nil"/>
              </w:pBdr>
              <w:ind w:left="160" w:right="-105" w:hanging="174"/>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i/>
                <w:color w:val="000000"/>
                <w:sz w:val="20"/>
                <w:szCs w:val="20"/>
              </w:rPr>
            </w:pPr>
            <w:r w:rsidRPr="00743A41">
              <w:rPr>
                <w:rFonts w:asciiTheme="majorHAnsi" w:eastAsia="Arial" w:hAnsiTheme="majorHAnsi" w:cstheme="majorHAnsi"/>
                <w:i/>
                <w:color w:val="000000"/>
                <w:sz w:val="20"/>
                <w:szCs w:val="20"/>
              </w:rPr>
              <w:t>N=106</w:t>
            </w:r>
          </w:p>
        </w:tc>
      </w:tr>
      <w:tr w:rsidR="00DF683B" w:rsidRPr="00743A41" w:rsidTr="00C66A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45" w:type="dxa"/>
          </w:tcPr>
          <w:p w:rsidR="00DF683B" w:rsidRPr="00743A41" w:rsidRDefault="00DF683B" w:rsidP="00A37ED6">
            <w:pPr>
              <w:pBdr>
                <w:top w:val="nil"/>
                <w:left w:val="nil"/>
                <w:bottom w:val="nil"/>
                <w:right w:val="nil"/>
                <w:between w:val="nil"/>
              </w:pBdr>
              <w:ind w:left="160"/>
              <w:jc w:val="both"/>
              <w:rPr>
                <w:rFonts w:asciiTheme="majorHAnsi" w:eastAsia="Arial" w:hAnsiTheme="majorHAnsi" w:cstheme="majorHAnsi"/>
                <w:b w:val="0"/>
                <w:i/>
                <w:color w:val="000000"/>
                <w:sz w:val="20"/>
                <w:szCs w:val="20"/>
              </w:rPr>
            </w:pPr>
            <w:r w:rsidRPr="00743A41">
              <w:rPr>
                <w:rFonts w:asciiTheme="majorHAnsi" w:eastAsia="Arial" w:hAnsiTheme="majorHAnsi" w:cstheme="majorHAnsi"/>
                <w:i/>
                <w:color w:val="000000"/>
                <w:sz w:val="20"/>
                <w:szCs w:val="20"/>
              </w:rPr>
              <w:t>Response Rate</w:t>
            </w:r>
          </w:p>
        </w:tc>
        <w:tc>
          <w:tcPr>
            <w:tcW w:w="1535" w:type="dxa"/>
          </w:tcPr>
          <w:p w:rsidR="00DF683B" w:rsidRPr="00743A41" w:rsidRDefault="00DF683B" w:rsidP="00A37ED6">
            <w:pPr>
              <w:pBdr>
                <w:top w:val="nil"/>
                <w:left w:val="nil"/>
                <w:bottom w:val="nil"/>
                <w:right w:val="nil"/>
                <w:between w:val="nil"/>
              </w:pBdr>
              <w:ind w:left="160" w:right="-105" w:hanging="174"/>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i/>
                <w:color w:val="000000"/>
                <w:sz w:val="20"/>
                <w:szCs w:val="20"/>
              </w:rPr>
            </w:pPr>
            <w:r w:rsidRPr="00743A41">
              <w:rPr>
                <w:rFonts w:asciiTheme="majorHAnsi" w:eastAsia="Arial" w:hAnsiTheme="majorHAnsi" w:cstheme="majorHAnsi"/>
                <w:i/>
                <w:color w:val="000000"/>
                <w:sz w:val="20"/>
                <w:szCs w:val="20"/>
              </w:rPr>
              <w:t>18%</w:t>
            </w:r>
          </w:p>
        </w:tc>
        <w:tc>
          <w:tcPr>
            <w:tcW w:w="1620" w:type="dxa"/>
          </w:tcPr>
          <w:p w:rsidR="00DF683B" w:rsidRPr="00743A41" w:rsidRDefault="00DF683B" w:rsidP="00A37ED6">
            <w:pPr>
              <w:pBdr>
                <w:top w:val="nil"/>
                <w:left w:val="nil"/>
                <w:bottom w:val="nil"/>
                <w:right w:val="nil"/>
                <w:between w:val="nil"/>
              </w:pBdr>
              <w:ind w:left="160" w:right="-105" w:hanging="174"/>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i/>
                <w:color w:val="000000"/>
                <w:sz w:val="20"/>
                <w:szCs w:val="20"/>
              </w:rPr>
            </w:pPr>
            <w:r w:rsidRPr="00743A41">
              <w:rPr>
                <w:rFonts w:asciiTheme="majorHAnsi" w:eastAsia="Arial" w:hAnsiTheme="majorHAnsi" w:cstheme="majorHAnsi"/>
                <w:i/>
                <w:color w:val="000000"/>
                <w:sz w:val="20"/>
                <w:szCs w:val="20"/>
              </w:rPr>
              <w:t>21%</w:t>
            </w:r>
          </w:p>
        </w:tc>
        <w:tc>
          <w:tcPr>
            <w:tcW w:w="1620" w:type="dxa"/>
            <w:noWrap/>
          </w:tcPr>
          <w:p w:rsidR="00DF683B" w:rsidRPr="00743A41" w:rsidRDefault="00DF683B" w:rsidP="00A37ED6">
            <w:pPr>
              <w:pBdr>
                <w:top w:val="nil"/>
                <w:left w:val="nil"/>
                <w:bottom w:val="nil"/>
                <w:right w:val="nil"/>
                <w:between w:val="nil"/>
              </w:pBdr>
              <w:ind w:left="160" w:right="-105" w:hanging="174"/>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i/>
                <w:color w:val="000000"/>
                <w:sz w:val="20"/>
                <w:szCs w:val="20"/>
              </w:rPr>
            </w:pPr>
            <w:r w:rsidRPr="00743A41">
              <w:rPr>
                <w:rFonts w:asciiTheme="majorHAnsi" w:eastAsia="Arial" w:hAnsiTheme="majorHAnsi" w:cstheme="majorHAnsi"/>
                <w:i/>
                <w:color w:val="000000"/>
                <w:sz w:val="20"/>
                <w:szCs w:val="20"/>
              </w:rPr>
              <w:t>26%</w:t>
            </w:r>
          </w:p>
        </w:tc>
      </w:tr>
      <w:tr w:rsidR="00DF683B" w:rsidRPr="00743A41" w:rsidTr="00C66AB2">
        <w:trPr>
          <w:trHeight w:val="730"/>
        </w:trPr>
        <w:tc>
          <w:tcPr>
            <w:cnfStyle w:val="001000000000" w:firstRow="0" w:lastRow="0" w:firstColumn="1" w:lastColumn="0" w:oddVBand="0" w:evenVBand="0" w:oddHBand="0" w:evenHBand="0" w:firstRowFirstColumn="0" w:firstRowLastColumn="0" w:lastRowFirstColumn="0" w:lastRowLastColumn="0"/>
            <w:tcW w:w="4045" w:type="dxa"/>
            <w:hideMark/>
          </w:tcPr>
          <w:p w:rsidR="00DF683B" w:rsidRPr="00743A41" w:rsidRDefault="00DF683B" w:rsidP="00A37ED6">
            <w:pPr>
              <w:pBdr>
                <w:top w:val="nil"/>
                <w:left w:val="nil"/>
                <w:bottom w:val="nil"/>
                <w:right w:val="nil"/>
                <w:between w:val="nil"/>
              </w:pBdr>
              <w:ind w:left="160"/>
              <w:rPr>
                <w:rFonts w:asciiTheme="majorHAnsi" w:eastAsia="Arial" w:hAnsiTheme="majorHAnsi" w:cstheme="majorHAnsi"/>
                <w:b w:val="0"/>
                <w:color w:val="000000"/>
                <w:sz w:val="20"/>
                <w:szCs w:val="20"/>
              </w:rPr>
            </w:pPr>
            <w:r w:rsidRPr="00743A41">
              <w:rPr>
                <w:rFonts w:asciiTheme="majorHAnsi" w:eastAsia="Arial" w:hAnsiTheme="majorHAnsi" w:cstheme="majorHAnsi"/>
                <w:b w:val="0"/>
                <w:color w:val="000000"/>
                <w:sz w:val="20"/>
                <w:szCs w:val="20"/>
              </w:rPr>
              <w:t>Alumni indicated that they acquired the competencies to advance the field of public health (Agree, strongly disagree)</w:t>
            </w:r>
          </w:p>
        </w:tc>
        <w:tc>
          <w:tcPr>
            <w:tcW w:w="1535" w:type="dxa"/>
            <w:hideMark/>
          </w:tcPr>
          <w:p w:rsidR="00DF683B" w:rsidRPr="00743A41" w:rsidRDefault="00DF683B" w:rsidP="00A37ED6">
            <w:pPr>
              <w:pBdr>
                <w:top w:val="nil"/>
                <w:left w:val="nil"/>
                <w:bottom w:val="nil"/>
                <w:right w:val="nil"/>
                <w:between w:val="nil"/>
              </w:pBdr>
              <w:ind w:left="160" w:right="-105" w:hanging="174"/>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84%</w:t>
            </w:r>
          </w:p>
        </w:tc>
        <w:tc>
          <w:tcPr>
            <w:tcW w:w="1620" w:type="dxa"/>
            <w:hideMark/>
          </w:tcPr>
          <w:p w:rsidR="00DF683B" w:rsidRPr="00743A41" w:rsidRDefault="00DF683B" w:rsidP="00A37ED6">
            <w:pPr>
              <w:pBdr>
                <w:top w:val="nil"/>
                <w:left w:val="nil"/>
                <w:bottom w:val="nil"/>
                <w:right w:val="nil"/>
                <w:between w:val="nil"/>
              </w:pBdr>
              <w:ind w:left="160" w:right="-105" w:hanging="174"/>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100%</w:t>
            </w:r>
          </w:p>
        </w:tc>
        <w:tc>
          <w:tcPr>
            <w:tcW w:w="1620" w:type="dxa"/>
            <w:noWrap/>
            <w:hideMark/>
          </w:tcPr>
          <w:p w:rsidR="00DF683B" w:rsidRPr="00743A41" w:rsidRDefault="00DF683B" w:rsidP="00A37ED6">
            <w:pPr>
              <w:pBdr>
                <w:top w:val="nil"/>
                <w:left w:val="nil"/>
                <w:bottom w:val="nil"/>
                <w:right w:val="nil"/>
                <w:between w:val="nil"/>
              </w:pBdr>
              <w:ind w:left="160" w:right="-105" w:hanging="174"/>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93%</w:t>
            </w:r>
          </w:p>
        </w:tc>
      </w:tr>
      <w:tr w:rsidR="00DF683B" w:rsidRPr="00743A41" w:rsidTr="00C66AB2">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045" w:type="dxa"/>
            <w:hideMark/>
          </w:tcPr>
          <w:p w:rsidR="00DF683B" w:rsidRPr="00743A41" w:rsidRDefault="00DF683B" w:rsidP="00A37ED6">
            <w:pPr>
              <w:pBdr>
                <w:top w:val="nil"/>
                <w:left w:val="nil"/>
                <w:bottom w:val="nil"/>
                <w:right w:val="nil"/>
                <w:between w:val="nil"/>
              </w:pBdr>
              <w:ind w:left="160"/>
              <w:rPr>
                <w:rFonts w:asciiTheme="majorHAnsi" w:eastAsia="Arial" w:hAnsiTheme="majorHAnsi" w:cstheme="majorHAnsi"/>
                <w:b w:val="0"/>
                <w:color w:val="000000"/>
                <w:sz w:val="20"/>
                <w:szCs w:val="20"/>
              </w:rPr>
            </w:pPr>
            <w:r w:rsidRPr="00743A41">
              <w:rPr>
                <w:rFonts w:asciiTheme="majorHAnsi" w:eastAsia="Arial" w:hAnsiTheme="majorHAnsi" w:cstheme="majorHAnsi"/>
                <w:b w:val="0"/>
                <w:color w:val="000000"/>
                <w:sz w:val="20"/>
                <w:szCs w:val="20"/>
              </w:rPr>
              <w:t>The School prepared them for the demand of their job (Yes)</w:t>
            </w:r>
          </w:p>
        </w:tc>
        <w:tc>
          <w:tcPr>
            <w:tcW w:w="1535" w:type="dxa"/>
            <w:hideMark/>
          </w:tcPr>
          <w:p w:rsidR="00DF683B" w:rsidRPr="00743A41" w:rsidRDefault="00DF683B" w:rsidP="00A37ED6">
            <w:pPr>
              <w:pBdr>
                <w:top w:val="nil"/>
                <w:left w:val="nil"/>
                <w:bottom w:val="nil"/>
                <w:right w:val="nil"/>
                <w:between w:val="nil"/>
              </w:pBdr>
              <w:ind w:left="160" w:right="-105" w:hanging="174"/>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72%</w:t>
            </w:r>
          </w:p>
        </w:tc>
        <w:tc>
          <w:tcPr>
            <w:tcW w:w="1620" w:type="dxa"/>
            <w:noWrap/>
            <w:hideMark/>
          </w:tcPr>
          <w:p w:rsidR="00DF683B" w:rsidRPr="00743A41" w:rsidRDefault="00DF683B" w:rsidP="00A37ED6">
            <w:pPr>
              <w:pBdr>
                <w:top w:val="nil"/>
                <w:left w:val="nil"/>
                <w:bottom w:val="nil"/>
                <w:right w:val="nil"/>
                <w:between w:val="nil"/>
              </w:pBdr>
              <w:ind w:left="160" w:right="-105" w:hanging="174"/>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72%</w:t>
            </w:r>
          </w:p>
        </w:tc>
        <w:tc>
          <w:tcPr>
            <w:tcW w:w="1620" w:type="dxa"/>
            <w:noWrap/>
            <w:hideMark/>
          </w:tcPr>
          <w:p w:rsidR="00DF683B" w:rsidRPr="00743A41" w:rsidRDefault="00DF683B" w:rsidP="00A37ED6">
            <w:pPr>
              <w:pBdr>
                <w:top w:val="nil"/>
                <w:left w:val="nil"/>
                <w:bottom w:val="nil"/>
                <w:right w:val="nil"/>
                <w:between w:val="nil"/>
              </w:pBdr>
              <w:ind w:left="160" w:right="-105" w:hanging="174"/>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91%</w:t>
            </w:r>
          </w:p>
        </w:tc>
      </w:tr>
      <w:tr w:rsidR="00DF683B" w:rsidRPr="00743A41" w:rsidTr="00C66AB2">
        <w:trPr>
          <w:trHeight w:val="490"/>
        </w:trPr>
        <w:tc>
          <w:tcPr>
            <w:cnfStyle w:val="001000000000" w:firstRow="0" w:lastRow="0" w:firstColumn="1" w:lastColumn="0" w:oddVBand="0" w:evenVBand="0" w:oddHBand="0" w:evenHBand="0" w:firstRowFirstColumn="0" w:firstRowLastColumn="0" w:lastRowFirstColumn="0" w:lastRowLastColumn="0"/>
            <w:tcW w:w="4045" w:type="dxa"/>
            <w:hideMark/>
          </w:tcPr>
          <w:p w:rsidR="00DF683B" w:rsidRPr="00743A41" w:rsidRDefault="00DF683B" w:rsidP="00A37ED6">
            <w:pPr>
              <w:pBdr>
                <w:top w:val="nil"/>
                <w:left w:val="nil"/>
                <w:bottom w:val="nil"/>
                <w:right w:val="nil"/>
                <w:between w:val="nil"/>
              </w:pBdr>
              <w:ind w:left="160"/>
              <w:rPr>
                <w:rFonts w:asciiTheme="majorHAnsi" w:eastAsia="Arial" w:hAnsiTheme="majorHAnsi" w:cstheme="majorHAnsi"/>
                <w:b w:val="0"/>
                <w:color w:val="000000"/>
                <w:sz w:val="20"/>
                <w:szCs w:val="20"/>
              </w:rPr>
            </w:pPr>
            <w:r w:rsidRPr="00743A41">
              <w:rPr>
                <w:rFonts w:asciiTheme="majorHAnsi" w:eastAsia="Arial" w:hAnsiTheme="majorHAnsi" w:cstheme="majorHAnsi"/>
                <w:b w:val="0"/>
                <w:color w:val="000000"/>
                <w:sz w:val="20"/>
                <w:szCs w:val="20"/>
              </w:rPr>
              <w:t>Writing clearly and effectively (excellent, good)</w:t>
            </w:r>
          </w:p>
        </w:tc>
        <w:tc>
          <w:tcPr>
            <w:tcW w:w="1535" w:type="dxa"/>
            <w:hideMark/>
          </w:tcPr>
          <w:p w:rsidR="00DF683B" w:rsidRPr="00743A41" w:rsidRDefault="00DF683B" w:rsidP="00A37ED6">
            <w:pPr>
              <w:pBdr>
                <w:top w:val="nil"/>
                <w:left w:val="nil"/>
                <w:bottom w:val="nil"/>
                <w:right w:val="nil"/>
                <w:between w:val="nil"/>
              </w:pBdr>
              <w:ind w:left="160" w:right="-105" w:hanging="174"/>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80%</w:t>
            </w:r>
          </w:p>
        </w:tc>
        <w:tc>
          <w:tcPr>
            <w:tcW w:w="1620" w:type="dxa"/>
            <w:hideMark/>
          </w:tcPr>
          <w:p w:rsidR="00DF683B" w:rsidRPr="00743A41" w:rsidRDefault="00DF683B" w:rsidP="00A37ED6">
            <w:pPr>
              <w:pBdr>
                <w:top w:val="nil"/>
                <w:left w:val="nil"/>
                <w:bottom w:val="nil"/>
                <w:right w:val="nil"/>
                <w:between w:val="nil"/>
              </w:pBdr>
              <w:ind w:left="160" w:right="-105" w:hanging="174"/>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80%</w:t>
            </w:r>
          </w:p>
        </w:tc>
        <w:tc>
          <w:tcPr>
            <w:tcW w:w="1620" w:type="dxa"/>
            <w:noWrap/>
            <w:hideMark/>
          </w:tcPr>
          <w:p w:rsidR="00DF683B" w:rsidRPr="00743A41" w:rsidRDefault="00DF683B" w:rsidP="00A37ED6">
            <w:pPr>
              <w:pBdr>
                <w:top w:val="nil"/>
                <w:left w:val="nil"/>
                <w:bottom w:val="nil"/>
                <w:right w:val="nil"/>
                <w:between w:val="nil"/>
              </w:pBdr>
              <w:ind w:left="160" w:right="-105" w:hanging="174"/>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79%</w:t>
            </w:r>
          </w:p>
        </w:tc>
      </w:tr>
      <w:tr w:rsidR="00DF683B" w:rsidRPr="00743A41" w:rsidTr="00C66AB2">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045" w:type="dxa"/>
            <w:hideMark/>
          </w:tcPr>
          <w:p w:rsidR="00DF683B" w:rsidRPr="00743A41" w:rsidRDefault="00DF683B" w:rsidP="00A37ED6">
            <w:pPr>
              <w:pBdr>
                <w:top w:val="nil"/>
                <w:left w:val="nil"/>
                <w:bottom w:val="nil"/>
                <w:right w:val="nil"/>
                <w:between w:val="nil"/>
              </w:pBdr>
              <w:ind w:left="160"/>
              <w:rPr>
                <w:rFonts w:asciiTheme="majorHAnsi" w:eastAsia="Arial" w:hAnsiTheme="majorHAnsi" w:cstheme="majorHAnsi"/>
                <w:b w:val="0"/>
                <w:color w:val="000000"/>
                <w:sz w:val="20"/>
                <w:szCs w:val="20"/>
              </w:rPr>
            </w:pPr>
            <w:r w:rsidRPr="00743A41">
              <w:rPr>
                <w:rFonts w:asciiTheme="majorHAnsi" w:eastAsia="Arial" w:hAnsiTheme="majorHAnsi" w:cstheme="majorHAnsi"/>
                <w:b w:val="0"/>
                <w:color w:val="000000"/>
                <w:sz w:val="20"/>
                <w:szCs w:val="20"/>
              </w:rPr>
              <w:t>Speaking clearly and effectively  (excellent, good)</w:t>
            </w:r>
          </w:p>
        </w:tc>
        <w:tc>
          <w:tcPr>
            <w:tcW w:w="1535" w:type="dxa"/>
            <w:hideMark/>
          </w:tcPr>
          <w:p w:rsidR="00DF683B" w:rsidRPr="00743A41" w:rsidRDefault="00DF683B" w:rsidP="00A37ED6">
            <w:pPr>
              <w:pBdr>
                <w:top w:val="nil"/>
                <w:left w:val="nil"/>
                <w:bottom w:val="nil"/>
                <w:right w:val="nil"/>
                <w:between w:val="nil"/>
              </w:pBdr>
              <w:ind w:left="160" w:right="-105" w:hanging="174"/>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65%</w:t>
            </w:r>
          </w:p>
        </w:tc>
        <w:tc>
          <w:tcPr>
            <w:tcW w:w="1620" w:type="dxa"/>
            <w:hideMark/>
          </w:tcPr>
          <w:p w:rsidR="00DF683B" w:rsidRPr="00743A41" w:rsidRDefault="00DF683B" w:rsidP="00A37ED6">
            <w:pPr>
              <w:pBdr>
                <w:top w:val="nil"/>
                <w:left w:val="nil"/>
                <w:bottom w:val="nil"/>
                <w:right w:val="nil"/>
                <w:between w:val="nil"/>
              </w:pBdr>
              <w:ind w:left="160" w:right="-105" w:hanging="174"/>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65%</w:t>
            </w:r>
          </w:p>
        </w:tc>
        <w:tc>
          <w:tcPr>
            <w:tcW w:w="1620" w:type="dxa"/>
            <w:noWrap/>
            <w:hideMark/>
          </w:tcPr>
          <w:p w:rsidR="00DF683B" w:rsidRPr="00743A41" w:rsidRDefault="00DF683B" w:rsidP="00A37ED6">
            <w:pPr>
              <w:pBdr>
                <w:top w:val="nil"/>
                <w:left w:val="nil"/>
                <w:bottom w:val="nil"/>
                <w:right w:val="nil"/>
                <w:between w:val="nil"/>
              </w:pBdr>
              <w:ind w:left="160" w:right="-105" w:hanging="174"/>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76%</w:t>
            </w:r>
          </w:p>
        </w:tc>
      </w:tr>
      <w:tr w:rsidR="00DF683B" w:rsidRPr="00743A41" w:rsidTr="00C66AB2">
        <w:trPr>
          <w:trHeight w:val="350"/>
        </w:trPr>
        <w:tc>
          <w:tcPr>
            <w:cnfStyle w:val="001000000000" w:firstRow="0" w:lastRow="0" w:firstColumn="1" w:lastColumn="0" w:oddVBand="0" w:evenVBand="0" w:oddHBand="0" w:evenHBand="0" w:firstRowFirstColumn="0" w:firstRowLastColumn="0" w:lastRowFirstColumn="0" w:lastRowLastColumn="0"/>
            <w:tcW w:w="4045" w:type="dxa"/>
            <w:hideMark/>
          </w:tcPr>
          <w:p w:rsidR="00DF683B" w:rsidRPr="00743A41" w:rsidRDefault="00DF683B" w:rsidP="00A37ED6">
            <w:pPr>
              <w:pBdr>
                <w:top w:val="nil"/>
                <w:left w:val="nil"/>
                <w:bottom w:val="nil"/>
                <w:right w:val="nil"/>
                <w:between w:val="nil"/>
              </w:pBdr>
              <w:ind w:left="160"/>
              <w:rPr>
                <w:rFonts w:asciiTheme="majorHAnsi" w:eastAsia="Arial" w:hAnsiTheme="majorHAnsi" w:cstheme="majorHAnsi"/>
                <w:b w:val="0"/>
                <w:color w:val="000000"/>
                <w:sz w:val="20"/>
                <w:szCs w:val="20"/>
              </w:rPr>
            </w:pPr>
            <w:r w:rsidRPr="00743A41">
              <w:rPr>
                <w:rFonts w:asciiTheme="majorHAnsi" w:eastAsia="Arial" w:hAnsiTheme="majorHAnsi" w:cstheme="majorHAnsi"/>
                <w:b w:val="0"/>
                <w:color w:val="000000"/>
                <w:sz w:val="20"/>
                <w:szCs w:val="20"/>
              </w:rPr>
              <w:t>Working on a team   (excellent, good)</w:t>
            </w:r>
          </w:p>
        </w:tc>
        <w:tc>
          <w:tcPr>
            <w:tcW w:w="1535" w:type="dxa"/>
            <w:hideMark/>
          </w:tcPr>
          <w:p w:rsidR="00DF683B" w:rsidRPr="00743A41" w:rsidRDefault="00DF683B" w:rsidP="00A37ED6">
            <w:pPr>
              <w:pBdr>
                <w:top w:val="nil"/>
                <w:left w:val="nil"/>
                <w:bottom w:val="nil"/>
                <w:right w:val="nil"/>
                <w:between w:val="nil"/>
              </w:pBdr>
              <w:ind w:left="160" w:right="-105" w:hanging="174"/>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78%</w:t>
            </w:r>
          </w:p>
        </w:tc>
        <w:tc>
          <w:tcPr>
            <w:tcW w:w="1620" w:type="dxa"/>
            <w:hideMark/>
          </w:tcPr>
          <w:p w:rsidR="00DF683B" w:rsidRPr="00743A41" w:rsidRDefault="00DF683B" w:rsidP="00A37ED6">
            <w:pPr>
              <w:pBdr>
                <w:top w:val="nil"/>
                <w:left w:val="nil"/>
                <w:bottom w:val="nil"/>
                <w:right w:val="nil"/>
                <w:between w:val="nil"/>
              </w:pBdr>
              <w:ind w:left="160" w:right="-105" w:hanging="174"/>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78%</w:t>
            </w:r>
          </w:p>
        </w:tc>
        <w:tc>
          <w:tcPr>
            <w:tcW w:w="1620" w:type="dxa"/>
            <w:noWrap/>
            <w:hideMark/>
          </w:tcPr>
          <w:p w:rsidR="00DF683B" w:rsidRPr="00743A41" w:rsidRDefault="00DF683B" w:rsidP="00A37ED6">
            <w:pPr>
              <w:pBdr>
                <w:top w:val="nil"/>
                <w:left w:val="nil"/>
                <w:bottom w:val="nil"/>
                <w:right w:val="nil"/>
                <w:between w:val="nil"/>
              </w:pBdr>
              <w:ind w:left="160" w:right="-105" w:hanging="174"/>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85%</w:t>
            </w:r>
          </w:p>
        </w:tc>
      </w:tr>
      <w:tr w:rsidR="00DF683B" w:rsidRPr="00743A41" w:rsidTr="00C66AB2">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045" w:type="dxa"/>
            <w:hideMark/>
          </w:tcPr>
          <w:p w:rsidR="00DF683B" w:rsidRPr="00743A41" w:rsidRDefault="00DF683B" w:rsidP="00A37ED6">
            <w:pPr>
              <w:pBdr>
                <w:top w:val="nil"/>
                <w:left w:val="nil"/>
                <w:bottom w:val="nil"/>
                <w:right w:val="nil"/>
                <w:between w:val="nil"/>
              </w:pBdr>
              <w:ind w:left="160"/>
              <w:rPr>
                <w:rFonts w:asciiTheme="majorHAnsi" w:eastAsia="Arial" w:hAnsiTheme="majorHAnsi" w:cstheme="majorHAnsi"/>
                <w:b w:val="0"/>
                <w:color w:val="000000"/>
                <w:sz w:val="20"/>
                <w:szCs w:val="20"/>
              </w:rPr>
            </w:pPr>
            <w:r w:rsidRPr="00743A41">
              <w:rPr>
                <w:rFonts w:asciiTheme="majorHAnsi" w:eastAsia="Arial" w:hAnsiTheme="majorHAnsi" w:cstheme="majorHAnsi"/>
                <w:b w:val="0"/>
                <w:color w:val="000000"/>
                <w:sz w:val="20"/>
                <w:szCs w:val="20"/>
              </w:rPr>
              <w:t>Problem-solving (excellent, good)</w:t>
            </w:r>
          </w:p>
        </w:tc>
        <w:tc>
          <w:tcPr>
            <w:tcW w:w="1535" w:type="dxa"/>
            <w:hideMark/>
          </w:tcPr>
          <w:p w:rsidR="00DF683B" w:rsidRPr="00743A41" w:rsidRDefault="00DF683B" w:rsidP="00A37ED6">
            <w:pPr>
              <w:pBdr>
                <w:top w:val="nil"/>
                <w:left w:val="nil"/>
                <w:bottom w:val="nil"/>
                <w:right w:val="nil"/>
                <w:between w:val="nil"/>
              </w:pBdr>
              <w:ind w:left="160" w:right="-105" w:hanging="174"/>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85%</w:t>
            </w:r>
          </w:p>
        </w:tc>
        <w:tc>
          <w:tcPr>
            <w:tcW w:w="1620" w:type="dxa"/>
            <w:hideMark/>
          </w:tcPr>
          <w:p w:rsidR="00DF683B" w:rsidRPr="00743A41" w:rsidRDefault="00DF683B" w:rsidP="00A37ED6">
            <w:pPr>
              <w:pBdr>
                <w:top w:val="nil"/>
                <w:left w:val="nil"/>
                <w:bottom w:val="nil"/>
                <w:right w:val="nil"/>
                <w:between w:val="nil"/>
              </w:pBdr>
              <w:ind w:left="160" w:right="-105" w:hanging="174"/>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77%</w:t>
            </w:r>
          </w:p>
        </w:tc>
        <w:tc>
          <w:tcPr>
            <w:tcW w:w="1620" w:type="dxa"/>
            <w:noWrap/>
            <w:hideMark/>
          </w:tcPr>
          <w:p w:rsidR="00DF683B" w:rsidRPr="00743A41" w:rsidRDefault="00DF683B" w:rsidP="00A37ED6">
            <w:pPr>
              <w:pBdr>
                <w:top w:val="nil"/>
                <w:left w:val="nil"/>
                <w:bottom w:val="nil"/>
                <w:right w:val="nil"/>
                <w:between w:val="nil"/>
              </w:pBdr>
              <w:ind w:left="160" w:right="-105" w:hanging="174"/>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91%</w:t>
            </w:r>
          </w:p>
        </w:tc>
      </w:tr>
      <w:tr w:rsidR="00DF683B" w:rsidRPr="00743A41" w:rsidTr="00C66AB2">
        <w:trPr>
          <w:trHeight w:val="730"/>
        </w:trPr>
        <w:tc>
          <w:tcPr>
            <w:cnfStyle w:val="001000000000" w:firstRow="0" w:lastRow="0" w:firstColumn="1" w:lastColumn="0" w:oddVBand="0" w:evenVBand="0" w:oddHBand="0" w:evenHBand="0" w:firstRowFirstColumn="0" w:firstRowLastColumn="0" w:lastRowFirstColumn="0" w:lastRowLastColumn="0"/>
            <w:tcW w:w="4045" w:type="dxa"/>
            <w:hideMark/>
          </w:tcPr>
          <w:p w:rsidR="00DF683B" w:rsidRPr="00743A41" w:rsidRDefault="00DF683B" w:rsidP="00A37ED6">
            <w:pPr>
              <w:pBdr>
                <w:top w:val="nil"/>
                <w:left w:val="nil"/>
                <w:bottom w:val="nil"/>
                <w:right w:val="nil"/>
                <w:between w:val="nil"/>
              </w:pBdr>
              <w:ind w:left="160"/>
              <w:rPr>
                <w:rFonts w:asciiTheme="majorHAnsi" w:eastAsia="Arial" w:hAnsiTheme="majorHAnsi" w:cstheme="majorHAnsi"/>
                <w:b w:val="0"/>
                <w:color w:val="000000"/>
                <w:sz w:val="20"/>
                <w:szCs w:val="20"/>
              </w:rPr>
            </w:pPr>
            <w:r w:rsidRPr="00743A41">
              <w:rPr>
                <w:rFonts w:asciiTheme="majorHAnsi" w:eastAsia="Arial" w:hAnsiTheme="majorHAnsi" w:cstheme="majorHAnsi"/>
                <w:b w:val="0"/>
                <w:color w:val="000000"/>
                <w:sz w:val="20"/>
                <w:szCs w:val="20"/>
              </w:rPr>
              <w:t>Making evidence-based decisions  (excellent, good)</w:t>
            </w:r>
          </w:p>
        </w:tc>
        <w:tc>
          <w:tcPr>
            <w:tcW w:w="1535" w:type="dxa"/>
            <w:hideMark/>
          </w:tcPr>
          <w:p w:rsidR="00DF683B" w:rsidRPr="00743A41" w:rsidRDefault="00DF683B" w:rsidP="00A37ED6">
            <w:pPr>
              <w:pBdr>
                <w:top w:val="nil"/>
                <w:left w:val="nil"/>
                <w:bottom w:val="nil"/>
                <w:right w:val="nil"/>
                <w:between w:val="nil"/>
              </w:pBdr>
              <w:ind w:left="160" w:right="-105" w:hanging="174"/>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83%</w:t>
            </w:r>
          </w:p>
        </w:tc>
        <w:tc>
          <w:tcPr>
            <w:tcW w:w="1620" w:type="dxa"/>
            <w:hideMark/>
          </w:tcPr>
          <w:p w:rsidR="00DF683B" w:rsidRPr="00743A41" w:rsidRDefault="00DF683B" w:rsidP="00A37ED6">
            <w:pPr>
              <w:pBdr>
                <w:top w:val="nil"/>
                <w:left w:val="nil"/>
                <w:bottom w:val="nil"/>
                <w:right w:val="nil"/>
                <w:between w:val="nil"/>
              </w:pBdr>
              <w:ind w:left="160" w:right="-105" w:hanging="174"/>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83%</w:t>
            </w:r>
          </w:p>
        </w:tc>
        <w:tc>
          <w:tcPr>
            <w:tcW w:w="1620" w:type="dxa"/>
            <w:noWrap/>
            <w:hideMark/>
          </w:tcPr>
          <w:p w:rsidR="00DF683B" w:rsidRPr="00743A41" w:rsidRDefault="00DF683B" w:rsidP="00A37ED6">
            <w:pPr>
              <w:pBdr>
                <w:top w:val="nil"/>
                <w:left w:val="nil"/>
                <w:bottom w:val="nil"/>
                <w:right w:val="nil"/>
                <w:between w:val="nil"/>
              </w:pBdr>
              <w:ind w:left="160" w:right="-105" w:hanging="174"/>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91%</w:t>
            </w:r>
          </w:p>
        </w:tc>
      </w:tr>
      <w:tr w:rsidR="00DF683B" w:rsidRPr="00743A41" w:rsidTr="00C66AB2">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045" w:type="dxa"/>
            <w:hideMark/>
          </w:tcPr>
          <w:p w:rsidR="00DF683B" w:rsidRPr="00743A41" w:rsidRDefault="00DF683B" w:rsidP="00A37ED6">
            <w:pPr>
              <w:pBdr>
                <w:top w:val="nil"/>
                <w:left w:val="nil"/>
                <w:bottom w:val="nil"/>
                <w:right w:val="nil"/>
                <w:between w:val="nil"/>
              </w:pBdr>
              <w:ind w:left="160"/>
              <w:rPr>
                <w:rFonts w:asciiTheme="majorHAnsi" w:eastAsia="Arial" w:hAnsiTheme="majorHAnsi" w:cstheme="majorHAnsi"/>
                <w:b w:val="0"/>
                <w:color w:val="000000"/>
                <w:sz w:val="20"/>
                <w:szCs w:val="20"/>
              </w:rPr>
            </w:pPr>
            <w:r w:rsidRPr="00743A41">
              <w:rPr>
                <w:rFonts w:asciiTheme="majorHAnsi" w:eastAsia="Arial" w:hAnsiTheme="majorHAnsi" w:cstheme="majorHAnsi"/>
                <w:b w:val="0"/>
                <w:color w:val="000000"/>
                <w:sz w:val="20"/>
                <w:szCs w:val="20"/>
              </w:rPr>
              <w:t>Selecting, analyzing, and interpreting data.  (excellent, good)</w:t>
            </w:r>
          </w:p>
        </w:tc>
        <w:tc>
          <w:tcPr>
            <w:tcW w:w="1535" w:type="dxa"/>
            <w:hideMark/>
          </w:tcPr>
          <w:p w:rsidR="00DF683B" w:rsidRPr="00743A41" w:rsidRDefault="00DF683B" w:rsidP="00A37ED6">
            <w:pPr>
              <w:pBdr>
                <w:top w:val="nil"/>
                <w:left w:val="nil"/>
                <w:bottom w:val="nil"/>
                <w:right w:val="nil"/>
                <w:between w:val="nil"/>
              </w:pBdr>
              <w:ind w:left="160" w:right="-105" w:hanging="174"/>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73%</w:t>
            </w:r>
          </w:p>
        </w:tc>
        <w:tc>
          <w:tcPr>
            <w:tcW w:w="1620" w:type="dxa"/>
            <w:hideMark/>
          </w:tcPr>
          <w:p w:rsidR="00DF683B" w:rsidRPr="00743A41" w:rsidRDefault="00DF683B" w:rsidP="00A37ED6">
            <w:pPr>
              <w:pBdr>
                <w:top w:val="nil"/>
                <w:left w:val="nil"/>
                <w:bottom w:val="nil"/>
                <w:right w:val="nil"/>
                <w:between w:val="nil"/>
              </w:pBdr>
              <w:ind w:left="160" w:right="-105" w:hanging="174"/>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73%</w:t>
            </w:r>
          </w:p>
        </w:tc>
        <w:tc>
          <w:tcPr>
            <w:tcW w:w="1620" w:type="dxa"/>
            <w:noWrap/>
            <w:hideMark/>
          </w:tcPr>
          <w:p w:rsidR="00DF683B" w:rsidRPr="00743A41" w:rsidRDefault="00DF683B" w:rsidP="00A37ED6">
            <w:pPr>
              <w:pBdr>
                <w:top w:val="nil"/>
                <w:left w:val="nil"/>
                <w:bottom w:val="nil"/>
                <w:right w:val="nil"/>
                <w:between w:val="nil"/>
              </w:pBdr>
              <w:ind w:left="160" w:right="-105" w:hanging="174"/>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85%</w:t>
            </w:r>
          </w:p>
        </w:tc>
      </w:tr>
      <w:tr w:rsidR="00DF683B" w:rsidRPr="00743A41" w:rsidTr="00C66AB2">
        <w:trPr>
          <w:trHeight w:val="490"/>
        </w:trPr>
        <w:tc>
          <w:tcPr>
            <w:cnfStyle w:val="001000000000" w:firstRow="0" w:lastRow="0" w:firstColumn="1" w:lastColumn="0" w:oddVBand="0" w:evenVBand="0" w:oddHBand="0" w:evenHBand="0" w:firstRowFirstColumn="0" w:firstRowLastColumn="0" w:lastRowFirstColumn="0" w:lastRowLastColumn="0"/>
            <w:tcW w:w="4045" w:type="dxa"/>
            <w:hideMark/>
          </w:tcPr>
          <w:p w:rsidR="00DF683B" w:rsidRPr="00743A41" w:rsidRDefault="00DF683B" w:rsidP="00A37ED6">
            <w:pPr>
              <w:pBdr>
                <w:top w:val="nil"/>
                <w:left w:val="nil"/>
                <w:bottom w:val="nil"/>
                <w:right w:val="nil"/>
                <w:between w:val="nil"/>
              </w:pBdr>
              <w:ind w:left="160"/>
              <w:rPr>
                <w:rFonts w:asciiTheme="majorHAnsi" w:eastAsia="Arial" w:hAnsiTheme="majorHAnsi" w:cstheme="majorHAnsi"/>
                <w:b w:val="0"/>
                <w:color w:val="000000"/>
                <w:sz w:val="20"/>
                <w:szCs w:val="20"/>
              </w:rPr>
            </w:pPr>
            <w:r w:rsidRPr="00743A41">
              <w:rPr>
                <w:rFonts w:asciiTheme="majorHAnsi" w:eastAsia="Arial" w:hAnsiTheme="majorHAnsi" w:cstheme="majorHAnsi"/>
                <w:b w:val="0"/>
                <w:color w:val="000000"/>
                <w:sz w:val="20"/>
                <w:szCs w:val="20"/>
              </w:rPr>
              <w:t>Making ethical decisions.  (excellent, good)</w:t>
            </w:r>
          </w:p>
        </w:tc>
        <w:tc>
          <w:tcPr>
            <w:tcW w:w="1535" w:type="dxa"/>
            <w:hideMark/>
          </w:tcPr>
          <w:p w:rsidR="00DF683B" w:rsidRPr="00743A41" w:rsidRDefault="00DF683B" w:rsidP="00A37ED6">
            <w:pPr>
              <w:pBdr>
                <w:top w:val="nil"/>
                <w:left w:val="nil"/>
                <w:bottom w:val="nil"/>
                <w:right w:val="nil"/>
                <w:between w:val="nil"/>
              </w:pBdr>
              <w:ind w:left="160" w:right="-105" w:hanging="174"/>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72%</w:t>
            </w:r>
          </w:p>
        </w:tc>
        <w:tc>
          <w:tcPr>
            <w:tcW w:w="1620" w:type="dxa"/>
            <w:hideMark/>
          </w:tcPr>
          <w:p w:rsidR="00DF683B" w:rsidRPr="00743A41" w:rsidRDefault="00DF683B" w:rsidP="00A37ED6">
            <w:pPr>
              <w:pBdr>
                <w:top w:val="nil"/>
                <w:left w:val="nil"/>
                <w:bottom w:val="nil"/>
                <w:right w:val="nil"/>
                <w:between w:val="nil"/>
              </w:pBdr>
              <w:ind w:left="160" w:right="-105" w:hanging="174"/>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72%</w:t>
            </w:r>
          </w:p>
        </w:tc>
        <w:tc>
          <w:tcPr>
            <w:tcW w:w="1620" w:type="dxa"/>
            <w:noWrap/>
            <w:hideMark/>
          </w:tcPr>
          <w:p w:rsidR="00DF683B" w:rsidRPr="00743A41" w:rsidRDefault="00DF683B" w:rsidP="00A37ED6">
            <w:pPr>
              <w:pBdr>
                <w:top w:val="nil"/>
                <w:left w:val="nil"/>
                <w:bottom w:val="nil"/>
                <w:right w:val="nil"/>
                <w:between w:val="nil"/>
              </w:pBdr>
              <w:ind w:left="160" w:right="-105" w:hanging="174"/>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89%</w:t>
            </w:r>
          </w:p>
        </w:tc>
      </w:tr>
      <w:tr w:rsidR="00DF683B" w:rsidRPr="00743A41" w:rsidTr="00C66AB2">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045" w:type="dxa"/>
            <w:hideMark/>
          </w:tcPr>
          <w:p w:rsidR="00DF683B" w:rsidRPr="00743A41" w:rsidRDefault="00DF683B" w:rsidP="00A37ED6">
            <w:pPr>
              <w:pBdr>
                <w:top w:val="nil"/>
                <w:left w:val="nil"/>
                <w:bottom w:val="nil"/>
                <w:right w:val="nil"/>
                <w:between w:val="nil"/>
              </w:pBdr>
              <w:ind w:left="160"/>
              <w:rPr>
                <w:rFonts w:asciiTheme="majorHAnsi" w:eastAsia="Arial" w:hAnsiTheme="majorHAnsi" w:cstheme="majorHAnsi"/>
                <w:b w:val="0"/>
                <w:color w:val="000000"/>
                <w:sz w:val="20"/>
                <w:szCs w:val="20"/>
              </w:rPr>
            </w:pPr>
            <w:r w:rsidRPr="00743A41">
              <w:rPr>
                <w:rFonts w:asciiTheme="majorHAnsi" w:eastAsia="Arial" w:hAnsiTheme="majorHAnsi" w:cstheme="majorHAnsi"/>
                <w:b w:val="0"/>
                <w:color w:val="000000"/>
                <w:sz w:val="20"/>
                <w:szCs w:val="20"/>
              </w:rPr>
              <w:t>Leadership.  (excellent, good)</w:t>
            </w:r>
          </w:p>
        </w:tc>
        <w:tc>
          <w:tcPr>
            <w:tcW w:w="1535" w:type="dxa"/>
            <w:hideMark/>
          </w:tcPr>
          <w:p w:rsidR="00DF683B" w:rsidRPr="00743A41" w:rsidRDefault="00DF683B" w:rsidP="00A37ED6">
            <w:pPr>
              <w:pBdr>
                <w:top w:val="nil"/>
                <w:left w:val="nil"/>
                <w:bottom w:val="nil"/>
                <w:right w:val="nil"/>
                <w:between w:val="nil"/>
              </w:pBdr>
              <w:ind w:left="160" w:right="-105" w:hanging="174"/>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65%</w:t>
            </w:r>
          </w:p>
        </w:tc>
        <w:tc>
          <w:tcPr>
            <w:tcW w:w="1620" w:type="dxa"/>
            <w:hideMark/>
          </w:tcPr>
          <w:p w:rsidR="00DF683B" w:rsidRPr="00743A41" w:rsidRDefault="00DF683B" w:rsidP="00A37ED6">
            <w:pPr>
              <w:pBdr>
                <w:top w:val="nil"/>
                <w:left w:val="nil"/>
                <w:bottom w:val="nil"/>
                <w:right w:val="nil"/>
                <w:between w:val="nil"/>
              </w:pBdr>
              <w:ind w:left="160" w:right="-105" w:hanging="174"/>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65%</w:t>
            </w:r>
          </w:p>
        </w:tc>
        <w:tc>
          <w:tcPr>
            <w:tcW w:w="1620" w:type="dxa"/>
            <w:noWrap/>
            <w:hideMark/>
          </w:tcPr>
          <w:p w:rsidR="00DF683B" w:rsidRPr="00743A41" w:rsidRDefault="00DF683B" w:rsidP="00A37ED6">
            <w:pPr>
              <w:pBdr>
                <w:top w:val="nil"/>
                <w:left w:val="nil"/>
                <w:bottom w:val="nil"/>
                <w:right w:val="nil"/>
                <w:between w:val="nil"/>
              </w:pBdr>
              <w:ind w:left="160" w:right="-105" w:hanging="174"/>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color w:val="000000"/>
                <w:sz w:val="20"/>
                <w:szCs w:val="20"/>
              </w:rPr>
            </w:pPr>
            <w:r w:rsidRPr="00743A41">
              <w:rPr>
                <w:rFonts w:asciiTheme="majorHAnsi" w:eastAsia="Arial" w:hAnsiTheme="majorHAnsi" w:cstheme="majorHAnsi"/>
                <w:color w:val="000000"/>
                <w:sz w:val="20"/>
                <w:szCs w:val="20"/>
              </w:rPr>
              <w:t>75%</w:t>
            </w:r>
          </w:p>
        </w:tc>
      </w:tr>
    </w:tbl>
    <w:p w:rsidR="00DF683B" w:rsidRPr="00743A41" w:rsidRDefault="00DF683B" w:rsidP="00A37ED6">
      <w:pPr>
        <w:pStyle w:val="Default"/>
        <w:ind w:left="720"/>
        <w:jc w:val="both"/>
        <w:rPr>
          <w:rFonts w:asciiTheme="majorHAnsi" w:hAnsiTheme="majorHAnsi" w:cstheme="majorHAnsi"/>
          <w:color w:val="auto"/>
          <w:szCs w:val="20"/>
        </w:rPr>
      </w:pPr>
      <w:r w:rsidRPr="00743A41">
        <w:rPr>
          <w:rFonts w:asciiTheme="majorHAnsi" w:hAnsiTheme="majorHAnsi" w:cstheme="majorHAnsi"/>
          <w:color w:val="auto"/>
          <w:szCs w:val="20"/>
        </w:rPr>
        <w:br/>
      </w:r>
    </w:p>
    <w:p w:rsidR="001F074B" w:rsidRPr="00743A41" w:rsidRDefault="001F074B" w:rsidP="00A37ED6">
      <w:pPr>
        <w:pBdr>
          <w:top w:val="nil"/>
          <w:left w:val="nil"/>
          <w:bottom w:val="nil"/>
          <w:right w:val="nil"/>
          <w:between w:val="nil"/>
        </w:pBdr>
        <w:ind w:left="720"/>
        <w:jc w:val="both"/>
        <w:rPr>
          <w:rFonts w:asciiTheme="majorHAnsi" w:eastAsia="Arial" w:hAnsiTheme="majorHAnsi" w:cstheme="majorHAnsi"/>
          <w:color w:val="000000"/>
          <w:sz w:val="20"/>
          <w:szCs w:val="20"/>
        </w:rPr>
      </w:pPr>
    </w:p>
    <w:p w:rsidR="001F074B" w:rsidRPr="00743A41" w:rsidRDefault="001F074B" w:rsidP="00A37ED6">
      <w:pPr>
        <w:pStyle w:val="ListParagraph"/>
        <w:autoSpaceDE w:val="0"/>
        <w:autoSpaceDN w:val="0"/>
        <w:adjustRightInd w:val="0"/>
        <w:ind w:left="1800" w:right="60"/>
        <w:contextualSpacing/>
        <w:rPr>
          <w:rFonts w:asciiTheme="majorHAnsi" w:hAnsiTheme="majorHAnsi" w:cstheme="majorHAnsi"/>
          <w:bCs/>
          <w:szCs w:val="20"/>
        </w:rPr>
      </w:pPr>
    </w:p>
    <w:p w:rsidR="00933038" w:rsidRPr="00743A41" w:rsidRDefault="001F074B" w:rsidP="00A37ED6">
      <w:pPr>
        <w:pStyle w:val="Title"/>
        <w:numPr>
          <w:ilvl w:val="0"/>
          <w:numId w:val="123"/>
        </w:numPr>
        <w:spacing w:before="0" w:after="0"/>
        <w:ind w:firstLine="0"/>
        <w:jc w:val="both"/>
        <w:rPr>
          <w:rFonts w:asciiTheme="majorHAnsi" w:hAnsiTheme="majorHAnsi" w:cstheme="majorHAnsi"/>
          <w:b w:val="0"/>
          <w:sz w:val="20"/>
          <w:szCs w:val="20"/>
        </w:rPr>
      </w:pPr>
      <w:r w:rsidRPr="00743A41">
        <w:rPr>
          <w:rFonts w:asciiTheme="majorHAnsi" w:eastAsia="Arial" w:hAnsiTheme="majorHAnsi" w:cstheme="majorHAnsi"/>
          <w:b w:val="0"/>
          <w:color w:val="000000"/>
          <w:sz w:val="20"/>
          <w:szCs w:val="20"/>
        </w:rPr>
        <w:t>Provide full documentation of the methodology and findings from alumni data collection.</w:t>
      </w:r>
    </w:p>
    <w:p w:rsidR="00933038" w:rsidRPr="00743A41" w:rsidRDefault="00933038" w:rsidP="00A37ED6">
      <w:pPr>
        <w:pStyle w:val="Default"/>
        <w:jc w:val="both"/>
        <w:rPr>
          <w:rFonts w:asciiTheme="majorHAnsi" w:hAnsiTheme="majorHAnsi" w:cstheme="majorHAnsi"/>
          <w:i/>
          <w:color w:val="auto"/>
          <w:szCs w:val="20"/>
        </w:rPr>
      </w:pPr>
    </w:p>
    <w:p w:rsidR="0010271E" w:rsidRPr="00743A41" w:rsidRDefault="0010271E" w:rsidP="00A37ED6">
      <w:pPr>
        <w:pStyle w:val="Default"/>
        <w:ind w:left="720"/>
        <w:rPr>
          <w:rFonts w:asciiTheme="majorHAnsi" w:eastAsia="Arial" w:hAnsiTheme="majorHAnsi" w:cstheme="majorHAnsi"/>
          <w:szCs w:val="20"/>
        </w:rPr>
      </w:pPr>
      <w:r w:rsidRPr="00743A41">
        <w:rPr>
          <w:rFonts w:asciiTheme="majorHAnsi" w:eastAsia="Arial" w:hAnsiTheme="majorHAnsi" w:cstheme="majorHAnsi"/>
          <w:szCs w:val="20"/>
        </w:rPr>
        <w:t>The UTHealth School of Public Health collects quantitative and qualitative data from alumni regarding their perceptions of curricular effectiveness and their overall experience at the school. Thus, the school has developed</w:t>
      </w:r>
      <w:r w:rsidR="00C5501F">
        <w:rPr>
          <w:rFonts w:asciiTheme="majorHAnsi" w:eastAsia="Arial" w:hAnsiTheme="majorHAnsi" w:cstheme="majorHAnsi"/>
          <w:szCs w:val="20"/>
        </w:rPr>
        <w:t xml:space="preserve"> a comprehensive alumni survey (</w:t>
      </w:r>
      <w:r w:rsidR="00C5501F" w:rsidRPr="0093397C">
        <w:rPr>
          <w:rFonts w:asciiTheme="majorHAnsi" w:eastAsia="Arial" w:hAnsiTheme="majorHAnsi" w:cstheme="majorHAnsi"/>
          <w:i/>
          <w:szCs w:val="20"/>
        </w:rPr>
        <w:t>ERF, B4. Alumni Perception of Curricular Effectiveness, SPH Alumni Survey</w:t>
      </w:r>
      <w:r w:rsidRPr="00743A41">
        <w:rPr>
          <w:rFonts w:asciiTheme="majorHAnsi" w:eastAsia="Arial" w:hAnsiTheme="majorHAnsi" w:cstheme="majorHAnsi"/>
          <w:szCs w:val="20"/>
        </w:rPr>
        <w:t xml:space="preserve">), as well as conducted multiple alumni focus group sessions. The alumni survey is sent </w:t>
      </w:r>
      <w:r w:rsidR="0027461D" w:rsidRPr="00743A41">
        <w:rPr>
          <w:rFonts w:asciiTheme="majorHAnsi" w:eastAsia="Arial" w:hAnsiTheme="majorHAnsi" w:cstheme="majorHAnsi"/>
          <w:szCs w:val="20"/>
        </w:rPr>
        <w:t xml:space="preserve">routinely </w:t>
      </w:r>
      <w:r w:rsidR="00473E6A" w:rsidRPr="00743A41">
        <w:rPr>
          <w:rFonts w:asciiTheme="majorHAnsi" w:eastAsia="Arial" w:hAnsiTheme="majorHAnsi" w:cstheme="majorHAnsi"/>
          <w:szCs w:val="20"/>
        </w:rPr>
        <w:t>one</w:t>
      </w:r>
      <w:r w:rsidR="000B5743" w:rsidRPr="00743A41">
        <w:rPr>
          <w:rFonts w:asciiTheme="majorHAnsi" w:eastAsia="Arial" w:hAnsiTheme="majorHAnsi" w:cstheme="majorHAnsi"/>
          <w:szCs w:val="20"/>
        </w:rPr>
        <w:t>-</w:t>
      </w:r>
      <w:r w:rsidR="00473E6A" w:rsidRPr="00743A41">
        <w:rPr>
          <w:rFonts w:asciiTheme="majorHAnsi" w:eastAsia="Arial" w:hAnsiTheme="majorHAnsi" w:cstheme="majorHAnsi"/>
          <w:szCs w:val="20"/>
        </w:rPr>
        <w:t xml:space="preserve">year post-graduation </w:t>
      </w:r>
      <w:r w:rsidRPr="00743A41">
        <w:rPr>
          <w:rFonts w:asciiTheme="majorHAnsi" w:eastAsia="Arial" w:hAnsiTheme="majorHAnsi" w:cstheme="majorHAnsi"/>
          <w:szCs w:val="20"/>
        </w:rPr>
        <w:t xml:space="preserve">using Qualtrics </w:t>
      </w:r>
      <w:r w:rsidR="00D604D8">
        <w:rPr>
          <w:rFonts w:asciiTheme="majorHAnsi" w:eastAsia="Arial" w:hAnsiTheme="majorHAnsi" w:cstheme="majorHAnsi"/>
          <w:szCs w:val="20"/>
        </w:rPr>
        <w:t xml:space="preserve">survey </w:t>
      </w:r>
      <w:r w:rsidRPr="00743A41">
        <w:rPr>
          <w:rFonts w:asciiTheme="majorHAnsi" w:eastAsia="Arial" w:hAnsiTheme="majorHAnsi" w:cstheme="majorHAnsi"/>
          <w:szCs w:val="20"/>
        </w:rPr>
        <w:t xml:space="preserve">software based on the contact information the student provided at graduation. </w:t>
      </w:r>
      <w:r w:rsidR="00C24128" w:rsidRPr="00743A41">
        <w:rPr>
          <w:rFonts w:asciiTheme="majorHAnsi" w:eastAsia="Arial" w:hAnsiTheme="majorHAnsi" w:cstheme="majorHAnsi"/>
          <w:szCs w:val="20"/>
        </w:rPr>
        <w:t xml:space="preserve">Alumni focus group sessions are held periodically throughout the year. </w:t>
      </w:r>
      <w:r w:rsidRPr="00743A41">
        <w:rPr>
          <w:rFonts w:asciiTheme="majorHAnsi" w:eastAsia="Arial" w:hAnsiTheme="majorHAnsi" w:cstheme="majorHAnsi"/>
          <w:szCs w:val="20"/>
        </w:rPr>
        <w:t xml:space="preserve">Because the response rate is low, the school is piloting various approaches, such as sending the invitation from the dean, personalizing the invitation, and sending all alumni a significant incentive for responding. </w:t>
      </w:r>
    </w:p>
    <w:p w:rsidR="0010271E" w:rsidRPr="00743A41" w:rsidRDefault="0010271E" w:rsidP="00A37ED6">
      <w:pPr>
        <w:pStyle w:val="Default"/>
        <w:ind w:left="720"/>
        <w:jc w:val="both"/>
        <w:rPr>
          <w:rFonts w:asciiTheme="majorHAnsi" w:eastAsia="Arial" w:hAnsiTheme="majorHAnsi" w:cstheme="majorHAnsi"/>
          <w:szCs w:val="20"/>
        </w:rPr>
      </w:pPr>
    </w:p>
    <w:p w:rsidR="0010271E" w:rsidRPr="00743A41" w:rsidRDefault="0010271E" w:rsidP="00A37ED6">
      <w:pPr>
        <w:pStyle w:val="Default"/>
        <w:ind w:left="720"/>
        <w:rPr>
          <w:rFonts w:asciiTheme="majorHAnsi" w:eastAsia="Arial" w:hAnsiTheme="majorHAnsi" w:cstheme="majorHAnsi"/>
          <w:szCs w:val="20"/>
        </w:rPr>
      </w:pPr>
      <w:r w:rsidRPr="00743A41">
        <w:rPr>
          <w:rFonts w:asciiTheme="majorHAnsi" w:eastAsia="Arial" w:hAnsiTheme="majorHAnsi" w:cstheme="majorHAnsi"/>
          <w:szCs w:val="20"/>
        </w:rPr>
        <w:t>The UTHealth School of Public Health periodically conducts alumni focus groups to better understand alumni perceptions of the following:</w:t>
      </w:r>
    </w:p>
    <w:p w:rsidR="0010271E" w:rsidRPr="00743A41" w:rsidRDefault="0010271E" w:rsidP="00A37ED6">
      <w:pPr>
        <w:pStyle w:val="Default"/>
        <w:numPr>
          <w:ilvl w:val="0"/>
          <w:numId w:val="63"/>
        </w:numPr>
        <w:rPr>
          <w:rFonts w:asciiTheme="majorHAnsi" w:eastAsia="Arial" w:hAnsiTheme="majorHAnsi" w:cstheme="majorHAnsi"/>
          <w:szCs w:val="20"/>
        </w:rPr>
      </w:pPr>
      <w:r w:rsidRPr="00743A41">
        <w:rPr>
          <w:rFonts w:asciiTheme="majorHAnsi" w:eastAsia="Arial" w:hAnsiTheme="majorHAnsi" w:cstheme="majorHAnsi"/>
          <w:szCs w:val="20"/>
        </w:rPr>
        <w:t>Applicability of curriculum to various public health career paths</w:t>
      </w:r>
    </w:p>
    <w:p w:rsidR="0010271E" w:rsidRPr="00743A41" w:rsidRDefault="0010271E" w:rsidP="00A37ED6">
      <w:pPr>
        <w:pStyle w:val="Default"/>
        <w:numPr>
          <w:ilvl w:val="0"/>
          <w:numId w:val="63"/>
        </w:numPr>
        <w:rPr>
          <w:rFonts w:asciiTheme="majorHAnsi" w:eastAsia="Arial" w:hAnsiTheme="majorHAnsi" w:cstheme="majorHAnsi"/>
          <w:szCs w:val="20"/>
        </w:rPr>
      </w:pPr>
      <w:r w:rsidRPr="00743A41">
        <w:rPr>
          <w:rFonts w:asciiTheme="majorHAnsi" w:eastAsia="Arial" w:hAnsiTheme="majorHAnsi" w:cstheme="majorHAnsi"/>
          <w:szCs w:val="20"/>
        </w:rPr>
        <w:t>Determining future opportunities for alumni engagement with fellow alumni, the school, and current students</w:t>
      </w:r>
    </w:p>
    <w:p w:rsidR="0010271E" w:rsidRPr="00743A41" w:rsidRDefault="0010271E" w:rsidP="00A37ED6">
      <w:pPr>
        <w:pStyle w:val="Default"/>
        <w:ind w:left="720"/>
        <w:rPr>
          <w:rFonts w:asciiTheme="majorHAnsi" w:eastAsia="Arial" w:hAnsiTheme="majorHAnsi" w:cstheme="majorHAnsi"/>
          <w:szCs w:val="20"/>
        </w:rPr>
      </w:pPr>
    </w:p>
    <w:p w:rsidR="0010271E" w:rsidRPr="00743A41" w:rsidRDefault="0010271E" w:rsidP="00A37ED6">
      <w:pPr>
        <w:pStyle w:val="Default"/>
        <w:ind w:left="720"/>
        <w:rPr>
          <w:rFonts w:asciiTheme="majorHAnsi" w:eastAsia="Arial" w:hAnsiTheme="majorHAnsi" w:cstheme="majorHAnsi"/>
          <w:szCs w:val="20"/>
        </w:rPr>
      </w:pPr>
      <w:r w:rsidRPr="00743A41">
        <w:rPr>
          <w:rFonts w:asciiTheme="majorHAnsi" w:eastAsia="Arial" w:hAnsiTheme="majorHAnsi" w:cstheme="majorHAnsi"/>
          <w:szCs w:val="20"/>
        </w:rPr>
        <w:t>Specifically, the UTHealth School of Public Health requests information on curricular effectiveness with r</w:t>
      </w:r>
      <w:r w:rsidR="00F009E7">
        <w:rPr>
          <w:rFonts w:asciiTheme="majorHAnsi" w:eastAsia="Arial" w:hAnsiTheme="majorHAnsi" w:cstheme="majorHAnsi"/>
          <w:szCs w:val="20"/>
        </w:rPr>
        <w:t>espect to workforce preparation</w:t>
      </w:r>
      <w:r w:rsidRPr="00743A41">
        <w:rPr>
          <w:rFonts w:asciiTheme="majorHAnsi" w:eastAsia="Arial" w:hAnsiTheme="majorHAnsi" w:cstheme="majorHAnsi"/>
          <w:szCs w:val="20"/>
        </w:rPr>
        <w:t xml:space="preserve"> and asks alumni to identify potential areas of curricular improvement. </w:t>
      </w:r>
    </w:p>
    <w:p w:rsidR="001F074B" w:rsidRPr="00743A41" w:rsidRDefault="001F074B" w:rsidP="00A37ED6">
      <w:pPr>
        <w:pStyle w:val="Default"/>
        <w:ind w:left="720"/>
        <w:jc w:val="both"/>
        <w:rPr>
          <w:rFonts w:asciiTheme="majorHAnsi" w:eastAsia="Arial" w:hAnsiTheme="majorHAnsi" w:cstheme="majorHAnsi"/>
          <w:szCs w:val="20"/>
        </w:rPr>
      </w:pPr>
    </w:p>
    <w:p w:rsidR="001F074B" w:rsidRPr="00743A41" w:rsidRDefault="001F074B" w:rsidP="00A37ED6">
      <w:pPr>
        <w:pBdr>
          <w:top w:val="nil"/>
          <w:left w:val="nil"/>
          <w:bottom w:val="nil"/>
          <w:right w:val="nil"/>
          <w:between w:val="nil"/>
        </w:pBdr>
        <w:ind w:left="720"/>
        <w:jc w:val="both"/>
        <w:rPr>
          <w:rFonts w:asciiTheme="majorHAnsi" w:eastAsia="Arial" w:hAnsiTheme="majorHAnsi" w:cstheme="majorHAnsi"/>
          <w:sz w:val="20"/>
          <w:szCs w:val="20"/>
        </w:rPr>
      </w:pPr>
      <w:r w:rsidRPr="00743A41">
        <w:rPr>
          <w:rFonts w:asciiTheme="majorHAnsi" w:eastAsia="Arial" w:hAnsiTheme="majorHAnsi" w:cstheme="majorHAnsi"/>
          <w:sz w:val="20"/>
          <w:szCs w:val="20"/>
        </w:rPr>
        <w:t>Associated documents in the electronic resource file:</w:t>
      </w:r>
    </w:p>
    <w:p w:rsidR="007B0B57" w:rsidRPr="00DE25B3" w:rsidRDefault="002D1319" w:rsidP="00A37ED6">
      <w:pPr>
        <w:pStyle w:val="ListParagraph"/>
        <w:numPr>
          <w:ilvl w:val="0"/>
          <w:numId w:val="63"/>
        </w:numPr>
        <w:pBdr>
          <w:top w:val="nil"/>
          <w:left w:val="nil"/>
          <w:bottom w:val="nil"/>
          <w:right w:val="nil"/>
          <w:between w:val="nil"/>
        </w:pBdr>
        <w:jc w:val="both"/>
        <w:rPr>
          <w:rFonts w:asciiTheme="majorHAnsi" w:eastAsia="Arial" w:hAnsiTheme="majorHAnsi" w:cstheme="majorHAnsi"/>
          <w:i/>
          <w:szCs w:val="20"/>
        </w:rPr>
      </w:pPr>
      <w:r w:rsidRPr="00DE25B3">
        <w:rPr>
          <w:rFonts w:asciiTheme="majorHAnsi" w:eastAsia="Arial" w:hAnsiTheme="majorHAnsi" w:cstheme="majorHAnsi"/>
          <w:i/>
        </w:rPr>
        <w:t>B4. Alumni Perceptions of Curricular Effectiveness</w:t>
      </w:r>
      <w:r w:rsidR="007B0B57" w:rsidRPr="00DE25B3">
        <w:rPr>
          <w:rFonts w:asciiTheme="majorHAnsi" w:eastAsia="Arial" w:hAnsiTheme="majorHAnsi" w:cstheme="majorHAnsi"/>
          <w:i/>
          <w:szCs w:val="20"/>
        </w:rPr>
        <w:t xml:space="preserve"> </w:t>
      </w:r>
    </w:p>
    <w:p w:rsidR="001F074B" w:rsidRPr="00DE25B3" w:rsidRDefault="002D1319" w:rsidP="00A37ED6">
      <w:pPr>
        <w:pStyle w:val="ListParagraph"/>
        <w:numPr>
          <w:ilvl w:val="1"/>
          <w:numId w:val="63"/>
        </w:numPr>
        <w:pBdr>
          <w:top w:val="nil"/>
          <w:left w:val="nil"/>
          <w:bottom w:val="nil"/>
          <w:right w:val="nil"/>
          <w:between w:val="nil"/>
        </w:pBdr>
        <w:jc w:val="both"/>
        <w:rPr>
          <w:rFonts w:asciiTheme="majorHAnsi" w:eastAsia="Arial" w:hAnsiTheme="majorHAnsi" w:cstheme="majorHAnsi"/>
          <w:i/>
          <w:szCs w:val="20"/>
        </w:rPr>
      </w:pPr>
      <w:r w:rsidRPr="00DE25B3">
        <w:rPr>
          <w:rFonts w:asciiTheme="majorHAnsi" w:eastAsia="Arial" w:hAnsiTheme="majorHAnsi" w:cstheme="majorHAnsi"/>
          <w:i/>
        </w:rPr>
        <w:t>SPH Alumni Survey</w:t>
      </w:r>
    </w:p>
    <w:p w:rsidR="001F074B" w:rsidRPr="00DE25B3" w:rsidRDefault="002D1319" w:rsidP="00A37ED6">
      <w:pPr>
        <w:pStyle w:val="ListParagraph"/>
        <w:numPr>
          <w:ilvl w:val="1"/>
          <w:numId w:val="63"/>
        </w:numPr>
        <w:pBdr>
          <w:top w:val="nil"/>
          <w:left w:val="nil"/>
          <w:bottom w:val="nil"/>
          <w:right w:val="nil"/>
          <w:between w:val="nil"/>
        </w:pBdr>
        <w:jc w:val="both"/>
        <w:rPr>
          <w:rFonts w:asciiTheme="majorHAnsi" w:eastAsia="Arial" w:hAnsiTheme="majorHAnsi" w:cstheme="majorHAnsi"/>
          <w:i/>
          <w:szCs w:val="20"/>
        </w:rPr>
      </w:pPr>
      <w:r w:rsidRPr="00DE25B3">
        <w:rPr>
          <w:rFonts w:asciiTheme="majorHAnsi" w:eastAsia="Arial" w:hAnsiTheme="majorHAnsi" w:cstheme="majorHAnsi"/>
          <w:i/>
        </w:rPr>
        <w:t>SPH Alumni Survey Raw Data, LinkedIn</w:t>
      </w:r>
    </w:p>
    <w:p w:rsidR="001F074B" w:rsidRPr="00DE25B3" w:rsidRDefault="002D1319" w:rsidP="00A37ED6">
      <w:pPr>
        <w:pStyle w:val="ListParagraph"/>
        <w:numPr>
          <w:ilvl w:val="1"/>
          <w:numId w:val="63"/>
        </w:numPr>
        <w:pBdr>
          <w:top w:val="nil"/>
          <w:left w:val="nil"/>
          <w:bottom w:val="nil"/>
          <w:right w:val="nil"/>
          <w:between w:val="nil"/>
        </w:pBdr>
        <w:jc w:val="both"/>
        <w:rPr>
          <w:rFonts w:asciiTheme="majorHAnsi" w:eastAsia="Arial" w:hAnsiTheme="majorHAnsi" w:cstheme="majorHAnsi"/>
          <w:i/>
          <w:color w:val="FF0000"/>
          <w:szCs w:val="20"/>
        </w:rPr>
      </w:pPr>
      <w:r w:rsidRPr="00DE25B3">
        <w:rPr>
          <w:rFonts w:asciiTheme="majorHAnsi" w:eastAsia="Arial" w:hAnsiTheme="majorHAnsi" w:cstheme="majorHAnsi"/>
          <w:i/>
        </w:rPr>
        <w:t>SPH Alumni Survey Raw Data, AY 16</w:t>
      </w:r>
    </w:p>
    <w:p w:rsidR="001F074B" w:rsidRPr="00DE25B3" w:rsidRDefault="002D1319" w:rsidP="00A37ED6">
      <w:pPr>
        <w:pStyle w:val="ListParagraph"/>
        <w:numPr>
          <w:ilvl w:val="1"/>
          <w:numId w:val="63"/>
        </w:numPr>
        <w:pBdr>
          <w:top w:val="nil"/>
          <w:left w:val="nil"/>
          <w:bottom w:val="nil"/>
          <w:right w:val="nil"/>
          <w:between w:val="nil"/>
        </w:pBdr>
        <w:jc w:val="both"/>
        <w:rPr>
          <w:rFonts w:asciiTheme="majorHAnsi" w:eastAsia="Arial" w:hAnsiTheme="majorHAnsi" w:cstheme="majorHAnsi"/>
          <w:i/>
          <w:color w:val="FF0000"/>
          <w:szCs w:val="20"/>
        </w:rPr>
      </w:pPr>
      <w:r w:rsidRPr="00DE25B3">
        <w:rPr>
          <w:rFonts w:asciiTheme="majorHAnsi" w:eastAsia="Arial" w:hAnsiTheme="majorHAnsi" w:cstheme="majorHAnsi"/>
          <w:i/>
        </w:rPr>
        <w:t>SPH Alumni Survey Raw Data, AY 17</w:t>
      </w:r>
    </w:p>
    <w:p w:rsidR="001F074B" w:rsidRPr="00DE25B3" w:rsidRDefault="002D1319" w:rsidP="00A37ED6">
      <w:pPr>
        <w:pStyle w:val="ListParagraph"/>
        <w:numPr>
          <w:ilvl w:val="1"/>
          <w:numId w:val="63"/>
        </w:numPr>
        <w:pBdr>
          <w:top w:val="nil"/>
          <w:left w:val="nil"/>
          <w:bottom w:val="nil"/>
          <w:right w:val="nil"/>
          <w:between w:val="nil"/>
        </w:pBdr>
        <w:jc w:val="both"/>
        <w:rPr>
          <w:rFonts w:asciiTheme="majorHAnsi" w:eastAsia="Arial" w:hAnsiTheme="majorHAnsi" w:cstheme="majorHAnsi"/>
          <w:i/>
          <w:color w:val="FF0000"/>
          <w:szCs w:val="20"/>
        </w:rPr>
      </w:pPr>
      <w:r w:rsidRPr="00DE25B3">
        <w:rPr>
          <w:rFonts w:asciiTheme="majorHAnsi" w:eastAsia="Arial" w:hAnsiTheme="majorHAnsi" w:cstheme="majorHAnsi"/>
          <w:i/>
        </w:rPr>
        <w:t>SPH Alumni Survey Raw Data, AY 18</w:t>
      </w:r>
      <w:r w:rsidR="00531B86" w:rsidRPr="00DE25B3">
        <w:rPr>
          <w:rFonts w:asciiTheme="majorHAnsi" w:eastAsia="Arial" w:hAnsiTheme="majorHAnsi" w:cstheme="majorHAnsi"/>
          <w:i/>
          <w:szCs w:val="20"/>
        </w:rPr>
        <w:t xml:space="preserve"> </w:t>
      </w:r>
    </w:p>
    <w:p w:rsidR="007B0B57" w:rsidRPr="00DE25B3" w:rsidRDefault="002D1319" w:rsidP="00A37ED6">
      <w:pPr>
        <w:pStyle w:val="ListParagraph"/>
        <w:numPr>
          <w:ilvl w:val="1"/>
          <w:numId w:val="63"/>
        </w:numPr>
        <w:pBdr>
          <w:top w:val="nil"/>
          <w:left w:val="nil"/>
          <w:bottom w:val="nil"/>
          <w:right w:val="nil"/>
          <w:between w:val="nil"/>
        </w:pBdr>
        <w:jc w:val="both"/>
        <w:rPr>
          <w:rStyle w:val="Hyperlink"/>
          <w:rFonts w:asciiTheme="majorHAnsi" w:eastAsia="Arial" w:hAnsiTheme="majorHAnsi" w:cstheme="majorHAnsi"/>
          <w:i/>
          <w:color w:val="FF0000"/>
          <w:szCs w:val="20"/>
          <w:u w:val="none"/>
        </w:rPr>
      </w:pPr>
      <w:r w:rsidRPr="00DE25B3">
        <w:rPr>
          <w:rFonts w:asciiTheme="majorHAnsi" w:eastAsia="Arial" w:hAnsiTheme="majorHAnsi" w:cstheme="majorHAnsi"/>
          <w:i/>
        </w:rPr>
        <w:t>SPH Alumni Meeting November, 2018 Minutes</w:t>
      </w:r>
    </w:p>
    <w:p w:rsidR="00D1081E" w:rsidRPr="00DE25B3" w:rsidRDefault="002D1319" w:rsidP="00A37ED6">
      <w:pPr>
        <w:pStyle w:val="ListParagraph"/>
        <w:numPr>
          <w:ilvl w:val="1"/>
          <w:numId w:val="63"/>
        </w:numPr>
        <w:pBdr>
          <w:top w:val="nil"/>
          <w:left w:val="nil"/>
          <w:bottom w:val="nil"/>
          <w:right w:val="nil"/>
          <w:between w:val="nil"/>
        </w:pBdr>
        <w:jc w:val="both"/>
        <w:rPr>
          <w:rFonts w:asciiTheme="majorHAnsi" w:eastAsia="Arial" w:hAnsiTheme="majorHAnsi" w:cstheme="majorHAnsi"/>
          <w:i/>
          <w:color w:val="FF0000"/>
          <w:szCs w:val="20"/>
        </w:rPr>
      </w:pPr>
      <w:r w:rsidRPr="00DE25B3">
        <w:rPr>
          <w:rFonts w:asciiTheme="majorHAnsi" w:eastAsia="Arial" w:hAnsiTheme="majorHAnsi" w:cstheme="majorHAnsi"/>
          <w:i/>
        </w:rPr>
        <w:t>SPH Alumni Meeting July, 2019 Minutes</w:t>
      </w:r>
    </w:p>
    <w:p w:rsidR="001F074B" w:rsidRPr="00743A41" w:rsidRDefault="001F074B" w:rsidP="00A37ED6">
      <w:pPr>
        <w:pBdr>
          <w:top w:val="nil"/>
          <w:left w:val="nil"/>
          <w:bottom w:val="nil"/>
          <w:right w:val="nil"/>
          <w:between w:val="nil"/>
        </w:pBdr>
        <w:ind w:left="720"/>
        <w:jc w:val="both"/>
        <w:rPr>
          <w:rFonts w:asciiTheme="majorHAnsi" w:eastAsia="Arial" w:hAnsiTheme="majorHAnsi" w:cstheme="majorHAnsi"/>
          <w:color w:val="FF0000"/>
          <w:sz w:val="20"/>
          <w:szCs w:val="20"/>
        </w:rPr>
      </w:pPr>
    </w:p>
    <w:p w:rsidR="00933038" w:rsidRPr="00743A41" w:rsidRDefault="00933038" w:rsidP="00A37ED6">
      <w:pPr>
        <w:pStyle w:val="Default"/>
        <w:numPr>
          <w:ilvl w:val="0"/>
          <w:numId w:val="7"/>
        </w:numPr>
        <w:ind w:left="720"/>
        <w:jc w:val="both"/>
        <w:rPr>
          <w:rFonts w:asciiTheme="majorHAnsi" w:hAnsiTheme="majorHAnsi" w:cstheme="majorHAnsi"/>
          <w:color w:val="auto"/>
          <w:szCs w:val="20"/>
        </w:rPr>
      </w:pPr>
      <w:r w:rsidRPr="00743A41">
        <w:rPr>
          <w:rFonts w:asciiTheme="majorHAnsi" w:hAnsiTheme="majorHAnsi" w:cstheme="majorHAnsi"/>
          <w:color w:val="auto"/>
          <w:szCs w:val="20"/>
        </w:rPr>
        <w:t xml:space="preserve">If applicable, assess strengths and weaknesses related to this criterion and plans for improvement in this area. </w:t>
      </w:r>
    </w:p>
    <w:p w:rsidR="00933038" w:rsidRPr="00743A41" w:rsidRDefault="00933038" w:rsidP="00A37ED6">
      <w:pPr>
        <w:pStyle w:val="Default"/>
        <w:jc w:val="both"/>
        <w:rPr>
          <w:rFonts w:asciiTheme="majorHAnsi" w:hAnsiTheme="majorHAnsi" w:cstheme="majorHAnsi"/>
          <w:color w:val="auto"/>
          <w:szCs w:val="20"/>
        </w:rPr>
      </w:pPr>
    </w:p>
    <w:p w:rsidR="00010D9A" w:rsidRPr="00743A41" w:rsidRDefault="00010D9A" w:rsidP="00A37ED6">
      <w:pPr>
        <w:ind w:left="720"/>
        <w:rPr>
          <w:rFonts w:asciiTheme="majorHAnsi" w:hAnsiTheme="majorHAnsi" w:cstheme="majorHAnsi"/>
          <w:b/>
          <w:sz w:val="20"/>
          <w:szCs w:val="20"/>
        </w:rPr>
      </w:pPr>
      <w:r w:rsidRPr="00743A41">
        <w:rPr>
          <w:rFonts w:asciiTheme="majorHAnsi" w:hAnsiTheme="majorHAnsi" w:cstheme="majorHAnsi"/>
          <w:b/>
          <w:sz w:val="20"/>
          <w:szCs w:val="20"/>
        </w:rPr>
        <w:t xml:space="preserve">Strengths: </w:t>
      </w:r>
    </w:p>
    <w:p w:rsidR="00010D9A" w:rsidRPr="00743A41" w:rsidRDefault="00010D9A" w:rsidP="00A37ED6">
      <w:pPr>
        <w:pStyle w:val="ListParagraph"/>
        <w:numPr>
          <w:ilvl w:val="0"/>
          <w:numId w:val="183"/>
        </w:numPr>
        <w:spacing w:after="160"/>
        <w:ind w:left="1440"/>
        <w:contextualSpacing/>
        <w:rPr>
          <w:rFonts w:asciiTheme="majorHAnsi" w:hAnsiTheme="majorHAnsi" w:cstheme="majorHAnsi"/>
          <w:szCs w:val="20"/>
        </w:rPr>
      </w:pPr>
      <w:r w:rsidRPr="00743A41">
        <w:rPr>
          <w:rFonts w:asciiTheme="majorHAnsi" w:hAnsiTheme="majorHAnsi" w:cstheme="majorHAnsi"/>
          <w:szCs w:val="20"/>
        </w:rPr>
        <w:t xml:space="preserve">The UTHealth School of Public Health systematically collects quantitative and qualitative data on alumni perceptions of curricular effectiveness and their overall experience at the school. The school sends alumni surveys and conducts a graduate exit survey to solicit input on the academic program and student experiences. The school also periodically conducts focus groups with alumni. </w:t>
      </w:r>
    </w:p>
    <w:p w:rsidR="00010D9A" w:rsidRPr="00743A41" w:rsidRDefault="00010D9A" w:rsidP="00A37ED6">
      <w:pPr>
        <w:ind w:left="720"/>
        <w:rPr>
          <w:rFonts w:asciiTheme="majorHAnsi" w:hAnsiTheme="majorHAnsi" w:cstheme="majorHAnsi"/>
          <w:b/>
          <w:sz w:val="20"/>
          <w:szCs w:val="20"/>
        </w:rPr>
      </w:pPr>
      <w:r w:rsidRPr="00743A41">
        <w:rPr>
          <w:rFonts w:asciiTheme="majorHAnsi" w:hAnsiTheme="majorHAnsi" w:cstheme="majorHAnsi"/>
          <w:b/>
          <w:sz w:val="20"/>
          <w:szCs w:val="20"/>
        </w:rPr>
        <w:t>Weaknesses:</w:t>
      </w:r>
    </w:p>
    <w:p w:rsidR="00010D9A" w:rsidRPr="00743A41" w:rsidRDefault="00010D9A" w:rsidP="00A37ED6">
      <w:pPr>
        <w:pStyle w:val="ListParagraph"/>
        <w:numPr>
          <w:ilvl w:val="0"/>
          <w:numId w:val="183"/>
        </w:numPr>
        <w:spacing w:after="160"/>
        <w:ind w:left="1440"/>
        <w:contextualSpacing/>
        <w:rPr>
          <w:rFonts w:asciiTheme="majorHAnsi" w:hAnsiTheme="majorHAnsi" w:cstheme="majorHAnsi"/>
          <w:szCs w:val="20"/>
        </w:rPr>
      </w:pPr>
      <w:r w:rsidRPr="00743A41">
        <w:rPr>
          <w:rFonts w:asciiTheme="majorHAnsi" w:hAnsiTheme="majorHAnsi" w:cstheme="majorHAnsi"/>
          <w:szCs w:val="20"/>
        </w:rPr>
        <w:t>Tracking graduates is a challenging and time-intensive activity. The UTHealth School of Public Health is examining better ways to keep graduates connected with the school to improve follow-up.</w:t>
      </w:r>
    </w:p>
    <w:p w:rsidR="00010D9A" w:rsidRPr="00743A41" w:rsidRDefault="00010D9A" w:rsidP="00A37ED6">
      <w:pPr>
        <w:pStyle w:val="ListParagraph"/>
        <w:numPr>
          <w:ilvl w:val="0"/>
          <w:numId w:val="183"/>
        </w:numPr>
        <w:spacing w:after="160"/>
        <w:ind w:left="1440"/>
        <w:contextualSpacing/>
        <w:rPr>
          <w:rFonts w:asciiTheme="majorHAnsi" w:hAnsiTheme="majorHAnsi" w:cstheme="majorHAnsi"/>
          <w:szCs w:val="20"/>
        </w:rPr>
      </w:pPr>
      <w:r w:rsidRPr="00743A41">
        <w:rPr>
          <w:rFonts w:asciiTheme="majorHAnsi" w:hAnsiTheme="majorHAnsi" w:cstheme="majorHAnsi"/>
          <w:szCs w:val="20"/>
        </w:rPr>
        <w:t xml:space="preserve">The UTHealth School of Public Health needs to carefully evaluate how it collects alumni perceptions of competencies. The school has not yet changed the questions on the alumni survey to better assess competencies because the new competencies were only recently implemented. It is challenging to assess the wide array of competencies while maintaining high response rates; however, it is important for the school to understand which aspects of the curriculum need to be improved. The school intends to conduct a thorough review of the alumni survey to ensure that it is measuring meaningful outcomes. </w:t>
      </w:r>
    </w:p>
    <w:p w:rsidR="00933038" w:rsidRPr="00743A41" w:rsidRDefault="00933038" w:rsidP="00A37ED6">
      <w:pPr>
        <w:rPr>
          <w:rStyle w:val="Heading1Char"/>
        </w:rPr>
      </w:pPr>
      <w:bookmarkStart w:id="41" w:name="_Toc464487860"/>
      <w:r w:rsidRPr="00743A41">
        <w:rPr>
          <w:rStyle w:val="Heading1Char"/>
        </w:rPr>
        <w:br w:type="page"/>
      </w:r>
    </w:p>
    <w:p w:rsidR="00933038" w:rsidRPr="00743A41" w:rsidRDefault="00933038" w:rsidP="007A68BE">
      <w:pPr>
        <w:pStyle w:val="Heading1"/>
      </w:pPr>
      <w:bookmarkStart w:id="42" w:name="_B5._Defining_Evaluation"/>
      <w:bookmarkStart w:id="43" w:name="_Toc7118193"/>
      <w:bookmarkEnd w:id="42"/>
      <w:r w:rsidRPr="00743A41">
        <w:rPr>
          <w:rStyle w:val="Heading1Char"/>
          <w:b/>
        </w:rPr>
        <w:t>B5. Defining Evaluation Practices</w:t>
      </w:r>
      <w:bookmarkEnd w:id="41"/>
      <w:bookmarkEnd w:id="43"/>
      <w:r w:rsidRPr="00743A41">
        <w:t xml:space="preserve"> </w:t>
      </w:r>
    </w:p>
    <w:p w:rsidR="00933038" w:rsidRPr="00743A41" w:rsidRDefault="00933038" w:rsidP="00A37ED6">
      <w:pPr>
        <w:pStyle w:val="Default"/>
        <w:ind w:left="720"/>
        <w:rPr>
          <w:rFonts w:asciiTheme="majorHAnsi" w:hAnsiTheme="majorHAnsi" w:cstheme="majorHAnsi"/>
          <w:b/>
          <w:color w:val="auto"/>
          <w:szCs w:val="20"/>
        </w:rPr>
      </w:pPr>
    </w:p>
    <w:p w:rsidR="00933038" w:rsidRPr="00743A41" w:rsidRDefault="00933038" w:rsidP="00A37ED6">
      <w:pPr>
        <w:pStyle w:val="Default"/>
        <w:jc w:val="both"/>
        <w:rPr>
          <w:rFonts w:asciiTheme="majorHAnsi" w:hAnsiTheme="majorHAnsi" w:cstheme="majorHAnsi"/>
          <w:b/>
          <w:color w:val="auto"/>
          <w:szCs w:val="20"/>
        </w:rPr>
      </w:pPr>
      <w:r w:rsidRPr="00743A41">
        <w:rPr>
          <w:rFonts w:asciiTheme="majorHAnsi" w:hAnsiTheme="majorHAnsi" w:cstheme="majorHAnsi"/>
          <w:b/>
          <w:color w:val="auto"/>
          <w:szCs w:val="20"/>
        </w:rPr>
        <w:t>The school defines appropriate evaluation methods and measures that allow the school to determine its effectiveness in advancing its mission and goals. The evaluation plan is ongoing, systematic and well-documented. The chosen evaluation methods and measures must track the school’s progress in 1) advancing the field of public health (addressing instruction, scholarship and service) and 2) promoting student success.</w:t>
      </w:r>
    </w:p>
    <w:p w:rsidR="00933038" w:rsidRPr="00743A41" w:rsidRDefault="00933038" w:rsidP="00A37ED6">
      <w:pPr>
        <w:pStyle w:val="Default"/>
        <w:jc w:val="both"/>
        <w:rPr>
          <w:rFonts w:asciiTheme="majorHAnsi" w:hAnsiTheme="majorHAnsi" w:cstheme="majorHAnsi"/>
          <w:color w:val="auto"/>
          <w:szCs w:val="20"/>
        </w:rPr>
      </w:pPr>
    </w:p>
    <w:p w:rsidR="00933038" w:rsidRPr="00743A41" w:rsidRDefault="00933038" w:rsidP="00A37ED6">
      <w:pPr>
        <w:pStyle w:val="Default"/>
        <w:numPr>
          <w:ilvl w:val="0"/>
          <w:numId w:val="8"/>
        </w:numPr>
        <w:jc w:val="both"/>
        <w:rPr>
          <w:rFonts w:asciiTheme="majorHAnsi" w:hAnsiTheme="majorHAnsi" w:cstheme="majorHAnsi"/>
          <w:color w:val="auto"/>
          <w:szCs w:val="20"/>
        </w:rPr>
      </w:pPr>
      <w:r w:rsidRPr="00743A41">
        <w:rPr>
          <w:rFonts w:asciiTheme="majorHAnsi" w:hAnsiTheme="majorHAnsi" w:cstheme="majorHAnsi"/>
          <w:color w:val="auto"/>
          <w:szCs w:val="20"/>
        </w:rPr>
        <w:t xml:space="preserve">Present an evaluation plan that, at a minimum, lists the school’s evaluation measures, methods and parties responsible for review. See Template B5-1. </w:t>
      </w:r>
    </w:p>
    <w:p w:rsidR="00933038" w:rsidRPr="00743A41" w:rsidRDefault="00933038" w:rsidP="00A37ED6">
      <w:pPr>
        <w:pStyle w:val="Default"/>
        <w:jc w:val="both"/>
        <w:rPr>
          <w:rFonts w:asciiTheme="majorHAnsi" w:hAnsiTheme="majorHAnsi" w:cstheme="majorHAnsi"/>
          <w:i/>
          <w:color w:val="auto"/>
          <w:szCs w:val="20"/>
        </w:rPr>
      </w:pPr>
    </w:p>
    <w:p w:rsidR="0010271E" w:rsidRPr="00743A41" w:rsidRDefault="006E3D5E" w:rsidP="00A37ED6">
      <w:pPr>
        <w:tabs>
          <w:tab w:val="left" w:pos="8370"/>
        </w:tabs>
        <w:ind w:left="720"/>
        <w:rPr>
          <w:rFonts w:asciiTheme="majorHAnsi" w:eastAsia="Arial" w:hAnsiTheme="majorHAnsi" w:cstheme="majorHAnsi"/>
          <w:sz w:val="20"/>
          <w:szCs w:val="20"/>
        </w:rPr>
      </w:pPr>
      <w:hyperlink w:anchor="tableB51" w:history="1">
        <w:r w:rsidR="0010271E" w:rsidRPr="00743A41">
          <w:rPr>
            <w:rStyle w:val="Hyperlink"/>
            <w:rFonts w:asciiTheme="majorHAnsi" w:eastAsia="Arial" w:hAnsiTheme="majorHAnsi" w:cstheme="majorHAnsi"/>
            <w:sz w:val="20"/>
            <w:szCs w:val="20"/>
          </w:rPr>
          <w:t>Tables B</w:t>
        </w:r>
        <w:r w:rsidR="009D2D52" w:rsidRPr="00743A41">
          <w:rPr>
            <w:rStyle w:val="Hyperlink"/>
            <w:rFonts w:asciiTheme="majorHAnsi" w:eastAsia="Arial" w:hAnsiTheme="majorHAnsi" w:cstheme="majorHAnsi"/>
            <w:sz w:val="20"/>
            <w:szCs w:val="20"/>
          </w:rPr>
          <w:t>.</w:t>
        </w:r>
        <w:r w:rsidR="0010271E" w:rsidRPr="00743A41">
          <w:rPr>
            <w:rStyle w:val="Hyperlink"/>
            <w:rFonts w:asciiTheme="majorHAnsi" w:eastAsia="Arial" w:hAnsiTheme="majorHAnsi" w:cstheme="majorHAnsi"/>
            <w:sz w:val="20"/>
            <w:szCs w:val="20"/>
          </w:rPr>
          <w:t>5.1.a</w:t>
        </w:r>
        <w:r w:rsidR="009D2D52" w:rsidRPr="00743A41">
          <w:rPr>
            <w:rStyle w:val="Hyperlink"/>
            <w:rFonts w:asciiTheme="majorHAnsi" w:eastAsia="Arial" w:hAnsiTheme="majorHAnsi" w:cstheme="majorHAnsi"/>
            <w:sz w:val="20"/>
            <w:szCs w:val="20"/>
          </w:rPr>
          <w:t>.</w:t>
        </w:r>
        <w:r w:rsidR="0010271E" w:rsidRPr="00743A41">
          <w:rPr>
            <w:rStyle w:val="Hyperlink"/>
            <w:rFonts w:asciiTheme="majorHAnsi" w:eastAsia="Arial" w:hAnsiTheme="majorHAnsi" w:cstheme="majorHAnsi"/>
            <w:sz w:val="20"/>
            <w:szCs w:val="20"/>
          </w:rPr>
          <w:t xml:space="preserve"> </w:t>
        </w:r>
        <w:r w:rsidR="009D2D52" w:rsidRPr="00743A41">
          <w:rPr>
            <w:rStyle w:val="Hyperlink"/>
            <w:rFonts w:asciiTheme="majorHAnsi" w:eastAsia="Arial" w:hAnsiTheme="majorHAnsi" w:cstheme="majorHAnsi"/>
            <w:sz w:val="20"/>
            <w:szCs w:val="20"/>
          </w:rPr>
          <w:t>–</w:t>
        </w:r>
        <w:r w:rsidR="0010271E" w:rsidRPr="00743A41">
          <w:rPr>
            <w:rStyle w:val="Hyperlink"/>
            <w:rFonts w:asciiTheme="majorHAnsi" w:eastAsia="Arial" w:hAnsiTheme="majorHAnsi" w:cstheme="majorHAnsi"/>
            <w:sz w:val="20"/>
            <w:szCs w:val="20"/>
          </w:rPr>
          <w:t xml:space="preserve"> B</w:t>
        </w:r>
        <w:r w:rsidR="009D2D52" w:rsidRPr="00743A41">
          <w:rPr>
            <w:rStyle w:val="Hyperlink"/>
            <w:rFonts w:asciiTheme="majorHAnsi" w:eastAsia="Arial" w:hAnsiTheme="majorHAnsi" w:cstheme="majorHAnsi"/>
            <w:sz w:val="20"/>
            <w:szCs w:val="20"/>
          </w:rPr>
          <w:t>.</w:t>
        </w:r>
        <w:r w:rsidR="0010271E" w:rsidRPr="00743A41">
          <w:rPr>
            <w:rStyle w:val="Hyperlink"/>
            <w:rFonts w:asciiTheme="majorHAnsi" w:eastAsia="Arial" w:hAnsiTheme="majorHAnsi" w:cstheme="majorHAnsi"/>
            <w:sz w:val="20"/>
            <w:szCs w:val="20"/>
          </w:rPr>
          <w:t>5.1.c</w:t>
        </w:r>
        <w:r w:rsidR="009D2D52" w:rsidRPr="00743A41">
          <w:rPr>
            <w:rStyle w:val="Hyperlink"/>
            <w:rFonts w:asciiTheme="majorHAnsi" w:eastAsia="Arial" w:hAnsiTheme="majorHAnsi" w:cstheme="majorHAnsi"/>
            <w:sz w:val="20"/>
            <w:szCs w:val="20"/>
          </w:rPr>
          <w:t>.</w:t>
        </w:r>
      </w:hyperlink>
      <w:r w:rsidR="0010271E" w:rsidRPr="00743A41">
        <w:rPr>
          <w:rFonts w:asciiTheme="majorHAnsi" w:eastAsia="Arial" w:hAnsiTheme="majorHAnsi" w:cstheme="majorHAnsi"/>
          <w:sz w:val="20"/>
          <w:szCs w:val="20"/>
        </w:rPr>
        <w:t xml:space="preserve"> delineate the UTHealth School of Public Health</w:t>
      </w:r>
      <w:r w:rsidR="00FE4253">
        <w:rPr>
          <w:rFonts w:asciiTheme="majorHAnsi" w:eastAsia="Arial" w:hAnsiTheme="majorHAnsi" w:cstheme="majorHAnsi"/>
          <w:sz w:val="20"/>
          <w:szCs w:val="20"/>
        </w:rPr>
        <w:t>’s</w:t>
      </w:r>
      <w:r w:rsidR="0010271E" w:rsidRPr="00743A41">
        <w:rPr>
          <w:rFonts w:asciiTheme="majorHAnsi" w:eastAsia="Arial" w:hAnsiTheme="majorHAnsi" w:cstheme="majorHAnsi"/>
          <w:sz w:val="20"/>
          <w:szCs w:val="20"/>
        </w:rPr>
        <w:t xml:space="preserve"> evaluation meas</w:t>
      </w:r>
      <w:r w:rsidR="00BF3F08">
        <w:rPr>
          <w:rFonts w:asciiTheme="majorHAnsi" w:eastAsia="Arial" w:hAnsiTheme="majorHAnsi" w:cstheme="majorHAnsi"/>
          <w:sz w:val="20"/>
          <w:szCs w:val="20"/>
        </w:rPr>
        <w:t>ures, methods for collecting data related to each measure</w:t>
      </w:r>
      <w:r w:rsidR="00F00CCC">
        <w:rPr>
          <w:rFonts w:asciiTheme="majorHAnsi" w:eastAsia="Arial" w:hAnsiTheme="majorHAnsi" w:cstheme="majorHAnsi"/>
          <w:sz w:val="20"/>
          <w:szCs w:val="20"/>
        </w:rPr>
        <w:t>, the party(ies)</w:t>
      </w:r>
      <w:r w:rsidR="0010271E" w:rsidRPr="00743A41">
        <w:rPr>
          <w:rFonts w:asciiTheme="majorHAnsi" w:eastAsia="Arial" w:hAnsiTheme="majorHAnsi" w:cstheme="majorHAnsi"/>
          <w:sz w:val="20"/>
          <w:szCs w:val="20"/>
        </w:rPr>
        <w:t xml:space="preserve"> responsible for re</w:t>
      </w:r>
      <w:r w:rsidR="00F00CCC">
        <w:rPr>
          <w:rFonts w:asciiTheme="majorHAnsi" w:eastAsia="Arial" w:hAnsiTheme="majorHAnsi" w:cstheme="majorHAnsi"/>
          <w:sz w:val="20"/>
          <w:szCs w:val="20"/>
        </w:rPr>
        <w:t xml:space="preserve">viewing and making recommendations for each measure, the party(ies) </w:t>
      </w:r>
      <w:r w:rsidR="0010271E" w:rsidRPr="00743A41">
        <w:rPr>
          <w:rFonts w:asciiTheme="majorHAnsi" w:eastAsia="Arial" w:hAnsiTheme="majorHAnsi" w:cstheme="majorHAnsi"/>
          <w:sz w:val="20"/>
          <w:szCs w:val="20"/>
        </w:rPr>
        <w:t xml:space="preserve">responsible for policy changes based on </w:t>
      </w:r>
      <w:r w:rsidR="00302217">
        <w:rPr>
          <w:rFonts w:asciiTheme="majorHAnsi" w:eastAsia="Arial" w:hAnsiTheme="majorHAnsi" w:cstheme="majorHAnsi"/>
          <w:sz w:val="20"/>
          <w:szCs w:val="20"/>
        </w:rPr>
        <w:t>the results for each indicator</w:t>
      </w:r>
      <w:r w:rsidR="0010271E" w:rsidRPr="00743A41">
        <w:rPr>
          <w:rFonts w:asciiTheme="majorHAnsi" w:eastAsia="Arial" w:hAnsiTheme="majorHAnsi" w:cstheme="majorHAnsi"/>
          <w:sz w:val="20"/>
          <w:szCs w:val="20"/>
        </w:rPr>
        <w:t>, and the party</w:t>
      </w:r>
      <w:r w:rsidR="00F00CCC">
        <w:rPr>
          <w:rFonts w:asciiTheme="majorHAnsi" w:eastAsia="Arial" w:hAnsiTheme="majorHAnsi" w:cstheme="majorHAnsi"/>
          <w:sz w:val="20"/>
          <w:szCs w:val="20"/>
        </w:rPr>
        <w:t>(ies)</w:t>
      </w:r>
      <w:r w:rsidR="0010271E" w:rsidRPr="00743A41">
        <w:rPr>
          <w:rFonts w:asciiTheme="majorHAnsi" w:eastAsia="Arial" w:hAnsiTheme="majorHAnsi" w:cstheme="majorHAnsi"/>
          <w:sz w:val="20"/>
          <w:szCs w:val="20"/>
        </w:rPr>
        <w:t xml:space="preserve"> responsible for implementing </w:t>
      </w:r>
      <w:r w:rsidR="00AD15E0">
        <w:rPr>
          <w:rFonts w:asciiTheme="majorHAnsi" w:eastAsia="Arial" w:hAnsiTheme="majorHAnsi" w:cstheme="majorHAnsi"/>
          <w:sz w:val="20"/>
          <w:szCs w:val="20"/>
        </w:rPr>
        <w:t>policy changes related to</w:t>
      </w:r>
      <w:r w:rsidR="0010271E" w:rsidRPr="00743A41">
        <w:rPr>
          <w:rFonts w:asciiTheme="majorHAnsi" w:eastAsia="Arial" w:hAnsiTheme="majorHAnsi" w:cstheme="majorHAnsi"/>
          <w:sz w:val="20"/>
          <w:szCs w:val="20"/>
        </w:rPr>
        <w:t xml:space="preserve"> goal. </w:t>
      </w:r>
      <w:hyperlink w:anchor="tableb51d" w:history="1">
        <w:r w:rsidR="0010271E" w:rsidRPr="00743A41">
          <w:rPr>
            <w:rStyle w:val="Hyperlink"/>
            <w:rFonts w:asciiTheme="majorHAnsi" w:eastAsia="Arial" w:hAnsiTheme="majorHAnsi" w:cstheme="majorHAnsi"/>
            <w:sz w:val="20"/>
            <w:szCs w:val="20"/>
          </w:rPr>
          <w:t>Table B</w:t>
        </w:r>
        <w:r w:rsidR="004719FF" w:rsidRPr="00743A41">
          <w:rPr>
            <w:rStyle w:val="Hyperlink"/>
            <w:rFonts w:asciiTheme="majorHAnsi" w:eastAsia="Arial" w:hAnsiTheme="majorHAnsi" w:cstheme="majorHAnsi"/>
            <w:sz w:val="20"/>
            <w:szCs w:val="20"/>
          </w:rPr>
          <w:t>.</w:t>
        </w:r>
        <w:r w:rsidR="0010271E" w:rsidRPr="00743A41">
          <w:rPr>
            <w:rStyle w:val="Hyperlink"/>
            <w:rFonts w:asciiTheme="majorHAnsi" w:eastAsia="Arial" w:hAnsiTheme="majorHAnsi" w:cstheme="majorHAnsi"/>
            <w:sz w:val="20"/>
            <w:szCs w:val="20"/>
          </w:rPr>
          <w:t>5.1.d</w:t>
        </w:r>
        <w:r w:rsidR="004719FF" w:rsidRPr="00743A41">
          <w:rPr>
            <w:rStyle w:val="Hyperlink"/>
            <w:rFonts w:asciiTheme="majorHAnsi" w:eastAsia="Arial" w:hAnsiTheme="majorHAnsi" w:cstheme="majorHAnsi"/>
            <w:sz w:val="20"/>
            <w:szCs w:val="20"/>
          </w:rPr>
          <w:t>.</w:t>
        </w:r>
      </w:hyperlink>
      <w:r w:rsidR="0010271E" w:rsidRPr="00743A41">
        <w:rPr>
          <w:rFonts w:asciiTheme="majorHAnsi" w:eastAsia="Arial" w:hAnsiTheme="majorHAnsi" w:cstheme="majorHAnsi"/>
          <w:sz w:val="20"/>
          <w:szCs w:val="20"/>
        </w:rPr>
        <w:t xml:space="preserve"> describes each evaluation instrument and the </w:t>
      </w:r>
      <w:r w:rsidR="00CC486C">
        <w:rPr>
          <w:rFonts w:asciiTheme="majorHAnsi" w:eastAsia="Arial" w:hAnsiTheme="majorHAnsi" w:cstheme="majorHAnsi"/>
          <w:sz w:val="20"/>
          <w:szCs w:val="20"/>
        </w:rPr>
        <w:t xml:space="preserve">data </w:t>
      </w:r>
      <w:r w:rsidR="00172987">
        <w:rPr>
          <w:rFonts w:asciiTheme="majorHAnsi" w:eastAsia="Arial" w:hAnsiTheme="majorHAnsi" w:cstheme="majorHAnsi"/>
          <w:sz w:val="20"/>
          <w:szCs w:val="20"/>
        </w:rPr>
        <w:t xml:space="preserve">systems </w:t>
      </w:r>
      <w:r w:rsidR="0010271E" w:rsidRPr="00743A41">
        <w:rPr>
          <w:rFonts w:asciiTheme="majorHAnsi" w:eastAsia="Arial" w:hAnsiTheme="majorHAnsi" w:cstheme="majorHAnsi"/>
          <w:sz w:val="20"/>
          <w:szCs w:val="20"/>
        </w:rPr>
        <w:t>available to the school.</w:t>
      </w:r>
      <w:r w:rsidR="00EB3291">
        <w:rPr>
          <w:rFonts w:asciiTheme="majorHAnsi" w:eastAsia="Arial" w:hAnsiTheme="majorHAnsi" w:cstheme="majorHAnsi"/>
          <w:sz w:val="20"/>
          <w:szCs w:val="20"/>
        </w:rPr>
        <w:t xml:space="preserve"> Documentation associated with Criterion B5. Defining Evaluation Practices is available in the electronic resource file (</w:t>
      </w:r>
      <w:r w:rsidR="00EB3291" w:rsidRPr="00EB3291">
        <w:rPr>
          <w:rFonts w:asciiTheme="majorHAnsi" w:eastAsia="Arial" w:hAnsiTheme="majorHAnsi" w:cstheme="majorHAnsi"/>
          <w:i/>
          <w:sz w:val="20"/>
          <w:szCs w:val="20"/>
        </w:rPr>
        <w:t>ERF, B5. Defining Evaluation Practices</w:t>
      </w:r>
      <w:r w:rsidR="00EB3291">
        <w:rPr>
          <w:rFonts w:asciiTheme="majorHAnsi" w:eastAsia="Arial" w:hAnsiTheme="majorHAnsi" w:cstheme="majorHAnsi"/>
          <w:sz w:val="20"/>
          <w:szCs w:val="20"/>
        </w:rPr>
        <w:t xml:space="preserve">). </w:t>
      </w:r>
    </w:p>
    <w:p w:rsidR="0010271E" w:rsidRPr="00743A41" w:rsidRDefault="0010271E" w:rsidP="00A37ED6">
      <w:pPr>
        <w:tabs>
          <w:tab w:val="left" w:pos="8370"/>
        </w:tabs>
        <w:ind w:left="720"/>
        <w:rPr>
          <w:rFonts w:asciiTheme="majorHAnsi" w:eastAsia="Arial" w:hAnsiTheme="majorHAnsi" w:cstheme="majorHAnsi"/>
          <w:sz w:val="20"/>
          <w:szCs w:val="20"/>
        </w:rPr>
      </w:pPr>
    </w:p>
    <w:p w:rsidR="0010271E" w:rsidRPr="00743A41" w:rsidRDefault="0010271E" w:rsidP="00A37ED6">
      <w:pPr>
        <w:pStyle w:val="Default"/>
        <w:ind w:left="720"/>
        <w:rPr>
          <w:rFonts w:asciiTheme="majorHAnsi" w:hAnsiTheme="majorHAnsi" w:cstheme="majorHAnsi"/>
          <w:color w:val="auto"/>
          <w:szCs w:val="20"/>
        </w:rPr>
      </w:pPr>
      <w:r w:rsidRPr="00743A41">
        <w:rPr>
          <w:rFonts w:asciiTheme="majorHAnsi" w:eastAsia="Arial" w:hAnsiTheme="majorHAnsi" w:cstheme="majorHAnsi"/>
          <w:szCs w:val="20"/>
        </w:rPr>
        <w:t xml:space="preserve">At the UTHealth School of Public Health, we are committed to continually examining our effectiveness in advancing our mission and goals. The senior associate dean of academic and research affairs and the Office of Academic Affairs and Student Services (OOAASS) are responsible for conducting our overall evaluation, and for obtaining input from the Research Council, Academic Council, Practice Council, Faculty Council, Student Governance, Alumni Advisory Committee, department chairs, and campus deans. We employ a full-time business intelligence analyst who assists with developing reports and data dashboards that aid in continuous quality improvement. Each council </w:t>
      </w:r>
      <w:r w:rsidR="00E13D85">
        <w:rPr>
          <w:rFonts w:asciiTheme="majorHAnsi" w:eastAsia="Arial" w:hAnsiTheme="majorHAnsi" w:cstheme="majorHAnsi"/>
          <w:szCs w:val="20"/>
        </w:rPr>
        <w:t>described</w:t>
      </w:r>
      <w:r w:rsidRPr="00743A41">
        <w:rPr>
          <w:rFonts w:asciiTheme="majorHAnsi" w:eastAsia="Arial" w:hAnsiTheme="majorHAnsi" w:cstheme="majorHAnsi"/>
          <w:szCs w:val="20"/>
        </w:rPr>
        <w:t xml:space="preserve"> </w:t>
      </w:r>
      <w:r w:rsidR="00E13D85">
        <w:rPr>
          <w:rFonts w:asciiTheme="majorHAnsi" w:eastAsia="Arial" w:hAnsiTheme="majorHAnsi" w:cstheme="majorHAnsi"/>
          <w:szCs w:val="20"/>
        </w:rPr>
        <w:t xml:space="preserve">in </w:t>
      </w:r>
      <w:hyperlink w:anchor="_A1._Organization_and_1" w:history="1">
        <w:r w:rsidR="00E13D85" w:rsidRPr="00304893">
          <w:rPr>
            <w:rStyle w:val="Hyperlink"/>
            <w:rFonts w:asciiTheme="majorHAnsi" w:eastAsia="Arial" w:hAnsiTheme="majorHAnsi" w:cstheme="majorHAnsi"/>
            <w:i/>
            <w:szCs w:val="20"/>
          </w:rPr>
          <w:t>Criterion A1. Organization and Administrative Processes</w:t>
        </w:r>
      </w:hyperlink>
      <w:r w:rsidR="00E13D85">
        <w:rPr>
          <w:rFonts w:asciiTheme="majorHAnsi" w:eastAsia="Arial" w:hAnsiTheme="majorHAnsi" w:cstheme="majorHAnsi"/>
          <w:szCs w:val="20"/>
        </w:rPr>
        <w:t xml:space="preserve"> </w:t>
      </w:r>
      <w:r w:rsidRPr="00743A41">
        <w:rPr>
          <w:rFonts w:asciiTheme="majorHAnsi" w:eastAsia="Arial" w:hAnsiTheme="majorHAnsi" w:cstheme="majorHAnsi"/>
          <w:szCs w:val="20"/>
        </w:rPr>
        <w:t xml:space="preserve">is responsible for reviewing pertinent data collected for indicators and for recommending process improvement and policy changes based on indicator results. The School of Public Health Executive Committee (SPHEC) provides the final review and approval of policy and performance improvement changes. The Dean’s Office, the OOAASS, department chairs, and campus deans are responsible for policy implementation. </w:t>
      </w:r>
    </w:p>
    <w:p w:rsidR="0010271E" w:rsidRPr="00743A41" w:rsidRDefault="0010271E" w:rsidP="00A37ED6">
      <w:pPr>
        <w:pStyle w:val="Default"/>
        <w:ind w:left="720"/>
        <w:rPr>
          <w:rFonts w:asciiTheme="majorHAnsi" w:eastAsia="Arial" w:hAnsiTheme="majorHAnsi" w:cstheme="majorHAnsi"/>
          <w:b/>
          <w:szCs w:val="20"/>
        </w:rPr>
      </w:pPr>
    </w:p>
    <w:p w:rsidR="0010271E" w:rsidRPr="00743A41" w:rsidRDefault="00582BB0" w:rsidP="00A37ED6">
      <w:pPr>
        <w:pStyle w:val="Default"/>
        <w:ind w:left="720"/>
        <w:rPr>
          <w:rFonts w:asciiTheme="majorHAnsi" w:eastAsia="Arial" w:hAnsiTheme="majorHAnsi" w:cstheme="majorHAnsi"/>
          <w:szCs w:val="20"/>
        </w:rPr>
      </w:pPr>
      <w:r w:rsidRPr="006E28EE">
        <w:rPr>
          <w:rFonts w:asciiTheme="majorHAnsi" w:eastAsia="Arial" w:hAnsiTheme="majorHAnsi" w:cstheme="majorHAnsi"/>
          <w:szCs w:val="20"/>
        </w:rPr>
        <w:t xml:space="preserve">As indicated in </w:t>
      </w:r>
      <w:hyperlink w:anchor="_B1._Guiding_Statements" w:history="1">
        <w:r w:rsidRPr="00DE25B3">
          <w:rPr>
            <w:rStyle w:val="Hyperlink"/>
            <w:rFonts w:asciiTheme="majorHAnsi" w:hAnsiTheme="majorHAnsi" w:cstheme="majorHAnsi"/>
            <w:i/>
          </w:rPr>
          <w:t>Criterion B1. Guiding Statements</w:t>
        </w:r>
      </w:hyperlink>
      <w:r w:rsidRPr="00DE25B3">
        <w:rPr>
          <w:rFonts w:asciiTheme="majorHAnsi" w:eastAsia="Arial" w:hAnsiTheme="majorHAnsi" w:cstheme="majorHAnsi"/>
          <w:szCs w:val="20"/>
        </w:rPr>
        <w:t>, the</w:t>
      </w:r>
      <w:r w:rsidR="0010271E" w:rsidRPr="00DE25B3">
        <w:rPr>
          <w:rFonts w:asciiTheme="majorHAnsi" w:eastAsia="Arial" w:hAnsiTheme="majorHAnsi" w:cstheme="majorHAnsi"/>
          <w:szCs w:val="20"/>
        </w:rPr>
        <w:t xml:space="preserve"> goals </w:t>
      </w:r>
      <w:r w:rsidRPr="00DE25B3">
        <w:rPr>
          <w:rFonts w:asciiTheme="majorHAnsi" w:eastAsia="Arial" w:hAnsiTheme="majorHAnsi" w:cstheme="majorHAnsi"/>
          <w:szCs w:val="20"/>
        </w:rPr>
        <w:t xml:space="preserve">of the UTHealth School of Public Health </w:t>
      </w:r>
      <w:r w:rsidR="0010271E" w:rsidRPr="00DE25B3">
        <w:rPr>
          <w:rFonts w:asciiTheme="majorHAnsi" w:eastAsia="Arial" w:hAnsiTheme="majorHAnsi" w:cstheme="majorHAnsi"/>
          <w:szCs w:val="20"/>
        </w:rPr>
        <w:t>are to:</w:t>
      </w:r>
      <w:r w:rsidR="0010271E" w:rsidRPr="00DE25B3">
        <w:rPr>
          <w:rFonts w:asciiTheme="majorHAnsi" w:eastAsia="Arial" w:hAnsiTheme="majorHAnsi" w:cstheme="majorHAnsi"/>
          <w:b/>
          <w:szCs w:val="20"/>
        </w:rPr>
        <w:t xml:space="preserve"> </w:t>
      </w:r>
      <w:r w:rsidR="0010271E" w:rsidRPr="00DE25B3">
        <w:rPr>
          <w:rFonts w:asciiTheme="majorHAnsi" w:eastAsia="Arial" w:hAnsiTheme="majorHAnsi" w:cstheme="majorHAnsi"/>
          <w:szCs w:val="20"/>
        </w:rPr>
        <w:t>(1) Recruit and train high-quality students to cont</w:t>
      </w:r>
      <w:r w:rsidR="0010271E" w:rsidRPr="00743A41">
        <w:rPr>
          <w:rFonts w:asciiTheme="majorHAnsi" w:eastAsia="Arial" w:hAnsiTheme="majorHAnsi" w:cstheme="majorHAnsi"/>
          <w:szCs w:val="20"/>
        </w:rPr>
        <w:t>ribute to public health in Texas, the United States, and internationally; (2) encourage the discovery and dissemination of scientific knowledge in public health; (3) and improve the public’s health through community collaboration, engagement, and service.</w:t>
      </w:r>
    </w:p>
    <w:p w:rsidR="00F37D17" w:rsidRPr="00743A41" w:rsidRDefault="00F37D17" w:rsidP="00A37ED6">
      <w:pPr>
        <w:pStyle w:val="Default"/>
        <w:ind w:left="720"/>
        <w:jc w:val="both"/>
        <w:rPr>
          <w:rFonts w:asciiTheme="majorHAnsi" w:hAnsiTheme="majorHAnsi" w:cstheme="majorHAnsi"/>
          <w:color w:val="auto"/>
          <w:szCs w:val="20"/>
        </w:rPr>
      </w:pPr>
    </w:p>
    <w:p w:rsidR="00D63CAB" w:rsidRPr="00743A41" w:rsidRDefault="00D63CAB" w:rsidP="00A37ED6">
      <w:pPr>
        <w:pStyle w:val="Default"/>
        <w:ind w:left="720"/>
        <w:jc w:val="both"/>
        <w:rPr>
          <w:rFonts w:asciiTheme="majorHAnsi" w:hAnsiTheme="majorHAnsi" w:cstheme="majorHAnsi"/>
          <w:color w:val="auto"/>
          <w:szCs w:val="20"/>
        </w:rPr>
      </w:pPr>
    </w:p>
    <w:p w:rsidR="00D63CAB" w:rsidRPr="00743A41" w:rsidRDefault="00D63CAB" w:rsidP="00A37ED6">
      <w:pPr>
        <w:pStyle w:val="Default"/>
        <w:ind w:left="720"/>
        <w:jc w:val="both"/>
        <w:rPr>
          <w:rFonts w:asciiTheme="majorHAnsi" w:hAnsiTheme="majorHAnsi" w:cstheme="majorHAnsi"/>
          <w:color w:val="auto"/>
          <w:szCs w:val="20"/>
        </w:rPr>
      </w:pPr>
    </w:p>
    <w:p w:rsidR="00D63CAB" w:rsidRPr="00743A41" w:rsidRDefault="00D63CAB" w:rsidP="00A37ED6">
      <w:pPr>
        <w:pStyle w:val="Default"/>
        <w:ind w:left="720"/>
        <w:jc w:val="both"/>
        <w:rPr>
          <w:rFonts w:asciiTheme="majorHAnsi" w:hAnsiTheme="majorHAnsi" w:cstheme="majorHAnsi"/>
          <w:color w:val="auto"/>
          <w:szCs w:val="20"/>
        </w:rPr>
      </w:pPr>
    </w:p>
    <w:p w:rsidR="00D63CAB" w:rsidRPr="00743A41" w:rsidRDefault="00D63CAB" w:rsidP="00A37ED6">
      <w:pPr>
        <w:pStyle w:val="Default"/>
        <w:ind w:left="720"/>
        <w:jc w:val="both"/>
        <w:rPr>
          <w:rFonts w:asciiTheme="majorHAnsi" w:hAnsiTheme="majorHAnsi" w:cstheme="majorHAnsi"/>
          <w:color w:val="auto"/>
          <w:szCs w:val="20"/>
        </w:rPr>
      </w:pPr>
    </w:p>
    <w:p w:rsidR="00D63CAB" w:rsidRPr="00743A41" w:rsidRDefault="00D63CAB" w:rsidP="00A37ED6">
      <w:pPr>
        <w:pStyle w:val="Default"/>
        <w:ind w:left="720"/>
        <w:jc w:val="both"/>
        <w:rPr>
          <w:rFonts w:asciiTheme="majorHAnsi" w:hAnsiTheme="majorHAnsi" w:cstheme="majorHAnsi"/>
          <w:color w:val="auto"/>
          <w:szCs w:val="20"/>
        </w:rPr>
      </w:pPr>
    </w:p>
    <w:p w:rsidR="00D63CAB" w:rsidRPr="00743A41" w:rsidRDefault="00D63CAB" w:rsidP="00A37ED6">
      <w:pPr>
        <w:pStyle w:val="Default"/>
        <w:ind w:left="720"/>
        <w:jc w:val="both"/>
        <w:rPr>
          <w:rFonts w:asciiTheme="majorHAnsi" w:hAnsiTheme="majorHAnsi" w:cstheme="majorHAnsi"/>
          <w:color w:val="auto"/>
          <w:szCs w:val="20"/>
        </w:rPr>
      </w:pPr>
    </w:p>
    <w:p w:rsidR="00D63CAB" w:rsidRPr="00743A41" w:rsidRDefault="00D63CAB" w:rsidP="00A37ED6">
      <w:pPr>
        <w:pStyle w:val="Default"/>
        <w:ind w:left="720"/>
        <w:jc w:val="both"/>
        <w:rPr>
          <w:rFonts w:asciiTheme="majorHAnsi" w:hAnsiTheme="majorHAnsi" w:cstheme="majorHAnsi"/>
          <w:color w:val="auto"/>
          <w:szCs w:val="20"/>
        </w:rPr>
      </w:pPr>
    </w:p>
    <w:p w:rsidR="00D63CAB" w:rsidRPr="00743A41" w:rsidRDefault="00D63CAB" w:rsidP="00A37ED6">
      <w:pPr>
        <w:pStyle w:val="Default"/>
        <w:ind w:left="720"/>
        <w:jc w:val="both"/>
        <w:rPr>
          <w:rFonts w:asciiTheme="majorHAnsi" w:hAnsiTheme="majorHAnsi" w:cstheme="majorHAnsi"/>
          <w:color w:val="auto"/>
          <w:szCs w:val="20"/>
        </w:rPr>
      </w:pPr>
    </w:p>
    <w:p w:rsidR="00D63CAB" w:rsidRPr="00743A41" w:rsidRDefault="00D63CAB" w:rsidP="00A37ED6">
      <w:pPr>
        <w:pStyle w:val="Default"/>
        <w:ind w:left="720"/>
        <w:jc w:val="both"/>
        <w:rPr>
          <w:rFonts w:asciiTheme="majorHAnsi" w:hAnsiTheme="majorHAnsi" w:cstheme="majorHAnsi"/>
          <w:color w:val="auto"/>
          <w:szCs w:val="20"/>
        </w:rPr>
      </w:pPr>
    </w:p>
    <w:p w:rsidR="00D63CAB" w:rsidRPr="00743A41" w:rsidRDefault="00D63CAB" w:rsidP="00A37ED6">
      <w:pPr>
        <w:pStyle w:val="Default"/>
        <w:ind w:left="720"/>
        <w:jc w:val="both"/>
        <w:rPr>
          <w:rFonts w:asciiTheme="majorHAnsi" w:hAnsiTheme="majorHAnsi" w:cstheme="majorHAnsi"/>
          <w:color w:val="auto"/>
          <w:szCs w:val="20"/>
        </w:rPr>
      </w:pPr>
    </w:p>
    <w:p w:rsidR="00D63CAB" w:rsidRPr="00743A41" w:rsidRDefault="00D63CAB" w:rsidP="00A37ED6">
      <w:pPr>
        <w:pStyle w:val="Default"/>
        <w:ind w:left="720"/>
        <w:jc w:val="both"/>
        <w:rPr>
          <w:rFonts w:asciiTheme="majorHAnsi" w:hAnsiTheme="majorHAnsi" w:cstheme="majorHAnsi"/>
          <w:color w:val="auto"/>
          <w:szCs w:val="20"/>
        </w:rPr>
      </w:pPr>
    </w:p>
    <w:p w:rsidR="00D63CAB" w:rsidRPr="00743A41" w:rsidRDefault="00D63CAB" w:rsidP="00A37ED6">
      <w:pPr>
        <w:pStyle w:val="Default"/>
        <w:ind w:left="720"/>
        <w:jc w:val="both"/>
        <w:rPr>
          <w:rFonts w:asciiTheme="majorHAnsi" w:hAnsiTheme="majorHAnsi" w:cstheme="majorHAnsi"/>
          <w:color w:val="auto"/>
          <w:szCs w:val="20"/>
        </w:rPr>
      </w:pPr>
    </w:p>
    <w:p w:rsidR="00D63CAB" w:rsidRPr="00743A41" w:rsidRDefault="00D63CAB" w:rsidP="00A37ED6">
      <w:pPr>
        <w:pStyle w:val="Default"/>
        <w:ind w:left="720"/>
        <w:jc w:val="both"/>
        <w:rPr>
          <w:rFonts w:asciiTheme="majorHAnsi" w:hAnsiTheme="majorHAnsi" w:cstheme="majorHAnsi"/>
          <w:color w:val="auto"/>
          <w:szCs w:val="20"/>
        </w:rPr>
      </w:pPr>
    </w:p>
    <w:p w:rsidR="00D63CAB" w:rsidRPr="00743A41" w:rsidRDefault="00D63CAB" w:rsidP="00A37ED6">
      <w:pPr>
        <w:pStyle w:val="Default"/>
        <w:ind w:left="720"/>
        <w:jc w:val="both"/>
        <w:rPr>
          <w:rFonts w:asciiTheme="majorHAnsi" w:hAnsiTheme="majorHAnsi" w:cstheme="majorHAnsi"/>
          <w:color w:val="auto"/>
          <w:szCs w:val="20"/>
        </w:rPr>
      </w:pPr>
    </w:p>
    <w:p w:rsidR="00D63CAB" w:rsidRPr="00743A41" w:rsidRDefault="00D63CAB" w:rsidP="00A37ED6">
      <w:pPr>
        <w:pStyle w:val="Default"/>
        <w:ind w:left="720"/>
        <w:jc w:val="both"/>
        <w:rPr>
          <w:rFonts w:asciiTheme="majorHAnsi" w:hAnsiTheme="majorHAnsi" w:cstheme="majorHAnsi"/>
          <w:color w:val="auto"/>
          <w:szCs w:val="20"/>
        </w:rPr>
      </w:pPr>
    </w:p>
    <w:p w:rsidR="00D63CAB" w:rsidRPr="00743A41" w:rsidRDefault="00D63CAB" w:rsidP="00A37ED6">
      <w:pPr>
        <w:pStyle w:val="Default"/>
        <w:ind w:left="720"/>
        <w:jc w:val="both"/>
        <w:rPr>
          <w:rFonts w:asciiTheme="majorHAnsi" w:hAnsiTheme="majorHAnsi" w:cstheme="majorHAnsi"/>
          <w:color w:val="auto"/>
          <w:szCs w:val="20"/>
        </w:rPr>
      </w:pPr>
    </w:p>
    <w:p w:rsidR="00D63CAB" w:rsidRPr="00743A41" w:rsidRDefault="00D63CAB" w:rsidP="00A37ED6">
      <w:pPr>
        <w:pStyle w:val="Default"/>
        <w:ind w:left="720"/>
        <w:jc w:val="both"/>
        <w:rPr>
          <w:rFonts w:asciiTheme="majorHAnsi" w:hAnsiTheme="majorHAnsi" w:cstheme="majorHAnsi"/>
          <w:color w:val="auto"/>
          <w:szCs w:val="20"/>
        </w:rPr>
      </w:pPr>
    </w:p>
    <w:p w:rsidR="00D63CAB" w:rsidRPr="00743A41" w:rsidRDefault="00D63CAB" w:rsidP="00A37ED6">
      <w:pPr>
        <w:pStyle w:val="Default"/>
        <w:ind w:left="720"/>
        <w:jc w:val="both"/>
        <w:rPr>
          <w:rFonts w:asciiTheme="majorHAnsi" w:hAnsiTheme="majorHAnsi" w:cstheme="majorHAnsi"/>
          <w:color w:val="auto"/>
          <w:szCs w:val="20"/>
        </w:rPr>
      </w:pPr>
    </w:p>
    <w:p w:rsidR="00D63CAB" w:rsidRPr="00743A41" w:rsidRDefault="00D63CAB" w:rsidP="00A37ED6">
      <w:pPr>
        <w:pStyle w:val="Default"/>
        <w:ind w:left="720"/>
        <w:jc w:val="both"/>
        <w:rPr>
          <w:rFonts w:asciiTheme="majorHAnsi" w:hAnsiTheme="majorHAnsi" w:cstheme="majorHAnsi"/>
          <w:color w:val="auto"/>
          <w:szCs w:val="20"/>
        </w:rPr>
      </w:pPr>
    </w:p>
    <w:p w:rsidR="00D63CAB" w:rsidRPr="00743A41" w:rsidRDefault="00D63CAB" w:rsidP="00A37ED6">
      <w:pPr>
        <w:pStyle w:val="Default"/>
        <w:ind w:left="720"/>
        <w:jc w:val="both"/>
        <w:rPr>
          <w:rFonts w:asciiTheme="majorHAnsi" w:hAnsiTheme="majorHAnsi" w:cstheme="majorHAnsi"/>
          <w:color w:val="auto"/>
          <w:szCs w:val="20"/>
        </w:rPr>
      </w:pPr>
    </w:p>
    <w:p w:rsidR="0010271E" w:rsidRPr="00743A41" w:rsidRDefault="0010271E" w:rsidP="00A37ED6">
      <w:pPr>
        <w:rPr>
          <w:rFonts w:asciiTheme="majorHAnsi" w:eastAsia="Arial" w:hAnsiTheme="majorHAnsi" w:cstheme="majorHAnsi"/>
          <w:b/>
          <w:sz w:val="20"/>
          <w:szCs w:val="20"/>
        </w:rPr>
      </w:pPr>
      <w:r w:rsidRPr="00743A41">
        <w:rPr>
          <w:rFonts w:asciiTheme="majorHAnsi" w:eastAsia="Arial" w:hAnsiTheme="majorHAnsi" w:cstheme="majorHAnsi"/>
          <w:b/>
          <w:color w:val="000000"/>
          <w:sz w:val="20"/>
          <w:szCs w:val="20"/>
        </w:rPr>
        <w:t xml:space="preserve">Goal 1: Recruit and </w:t>
      </w:r>
      <w:r w:rsidRPr="00743A41">
        <w:rPr>
          <w:rFonts w:asciiTheme="majorHAnsi" w:hAnsiTheme="majorHAnsi" w:cstheme="majorHAnsi"/>
          <w:b/>
          <w:color w:val="000000"/>
          <w:sz w:val="20"/>
          <w:szCs w:val="20"/>
        </w:rPr>
        <w:t xml:space="preserve">train high-quality students to </w:t>
      </w:r>
      <w:r w:rsidRPr="00743A41">
        <w:rPr>
          <w:rFonts w:asciiTheme="majorHAnsi" w:eastAsia="Arial" w:hAnsiTheme="majorHAnsi" w:cstheme="majorHAnsi"/>
          <w:b/>
          <w:sz w:val="20"/>
          <w:szCs w:val="20"/>
        </w:rPr>
        <w:t>contribute to public health in Texas, the United States, and internationally</w:t>
      </w:r>
    </w:p>
    <w:p w:rsidR="0010271E" w:rsidRPr="00743A41" w:rsidRDefault="0010271E" w:rsidP="00A37ED6">
      <w:pPr>
        <w:tabs>
          <w:tab w:val="left" w:pos="8370"/>
        </w:tabs>
        <w:jc w:val="both"/>
        <w:rPr>
          <w:rFonts w:asciiTheme="majorHAnsi" w:eastAsia="Arial" w:hAnsiTheme="majorHAnsi" w:cstheme="majorHAnsi"/>
          <w:b/>
          <w:sz w:val="20"/>
          <w:szCs w:val="20"/>
        </w:rPr>
      </w:pPr>
      <w:bookmarkStart w:id="44" w:name="tableB51"/>
      <w:r w:rsidRPr="00743A41">
        <w:rPr>
          <w:rFonts w:asciiTheme="majorHAnsi" w:eastAsia="Arial" w:hAnsiTheme="majorHAnsi" w:cstheme="majorHAnsi"/>
          <w:sz w:val="20"/>
          <w:szCs w:val="20"/>
        </w:rPr>
        <w:t>Table B</w:t>
      </w:r>
      <w:r w:rsidR="004719FF" w:rsidRPr="00743A41">
        <w:rPr>
          <w:rFonts w:asciiTheme="majorHAnsi" w:eastAsia="Arial" w:hAnsiTheme="majorHAnsi" w:cstheme="majorHAnsi"/>
          <w:sz w:val="20"/>
          <w:szCs w:val="20"/>
        </w:rPr>
        <w:t>.</w:t>
      </w:r>
      <w:r w:rsidRPr="00743A41">
        <w:rPr>
          <w:rFonts w:asciiTheme="majorHAnsi" w:eastAsia="Arial" w:hAnsiTheme="majorHAnsi" w:cstheme="majorHAnsi"/>
          <w:sz w:val="20"/>
          <w:szCs w:val="20"/>
        </w:rPr>
        <w:t xml:space="preserve">5.1.a. </w:t>
      </w:r>
      <w:bookmarkEnd w:id="44"/>
      <w:r w:rsidRPr="00743A41">
        <w:rPr>
          <w:rFonts w:asciiTheme="majorHAnsi" w:eastAsia="Arial" w:hAnsiTheme="majorHAnsi" w:cstheme="majorHAnsi"/>
          <w:sz w:val="20"/>
          <w:szCs w:val="20"/>
        </w:rPr>
        <w:t>Evaluation Measures as a Part of the Evaluation Plan Goal 1</w:t>
      </w:r>
      <w:r w:rsidR="00673C36">
        <w:rPr>
          <w:rFonts w:asciiTheme="majorHAnsi" w:eastAsia="Arial" w:hAnsiTheme="majorHAnsi" w:cstheme="majorHAnsi"/>
          <w:sz w:val="20"/>
          <w:szCs w:val="20"/>
        </w:rPr>
        <w:t xml:space="preserve"> (</w:t>
      </w:r>
      <w:r w:rsidR="00673C36" w:rsidRPr="00EB3291">
        <w:rPr>
          <w:rFonts w:asciiTheme="majorHAnsi" w:eastAsia="Arial" w:hAnsiTheme="majorHAnsi" w:cstheme="majorHAnsi"/>
          <w:i/>
          <w:sz w:val="20"/>
          <w:szCs w:val="20"/>
        </w:rPr>
        <w:t>ERF, B5. Defining Evaluation Practices</w:t>
      </w:r>
      <w:r w:rsidR="00673C36">
        <w:rPr>
          <w:rFonts w:asciiTheme="majorHAnsi" w:eastAsia="Arial" w:hAnsiTheme="majorHAnsi" w:cstheme="majorHAnsi"/>
          <w:sz w:val="20"/>
          <w:szCs w:val="20"/>
        </w:rPr>
        <w:t>)</w:t>
      </w:r>
    </w:p>
    <w:tbl>
      <w:tblPr>
        <w:tblStyle w:val="TableGrid"/>
        <w:tblW w:w="9280" w:type="dxa"/>
        <w:tblInd w:w="-5" w:type="dxa"/>
        <w:tblLayout w:type="fixed"/>
        <w:tblLook w:val="04A0" w:firstRow="1" w:lastRow="0" w:firstColumn="1" w:lastColumn="0" w:noHBand="0" w:noVBand="1"/>
      </w:tblPr>
      <w:tblGrid>
        <w:gridCol w:w="1620"/>
        <w:gridCol w:w="1260"/>
        <w:gridCol w:w="1350"/>
        <w:gridCol w:w="2070"/>
        <w:gridCol w:w="1350"/>
        <w:gridCol w:w="1615"/>
        <w:gridCol w:w="15"/>
      </w:tblGrid>
      <w:tr w:rsidR="0010271E" w:rsidRPr="00743A41" w:rsidTr="00673C36">
        <w:trPr>
          <w:gridAfter w:val="1"/>
          <w:wAfter w:w="15" w:type="dxa"/>
          <w:cantSplit/>
          <w:trHeight w:val="989"/>
          <w:tblHeader/>
        </w:trPr>
        <w:tc>
          <w:tcPr>
            <w:tcW w:w="1620" w:type="dxa"/>
            <w:shd w:val="clear" w:color="auto" w:fill="D9D9D9" w:themeFill="background1" w:themeFillShade="D9"/>
            <w:vAlign w:val="center"/>
          </w:tcPr>
          <w:p w:rsidR="0010271E" w:rsidRPr="00743A41" w:rsidRDefault="0010271E" w:rsidP="00A37ED6">
            <w:pPr>
              <w:keepLines/>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Evaluation Measure</w:t>
            </w:r>
          </w:p>
        </w:tc>
        <w:tc>
          <w:tcPr>
            <w:tcW w:w="2610" w:type="dxa"/>
            <w:gridSpan w:val="2"/>
            <w:shd w:val="clear" w:color="auto" w:fill="D9D9D9" w:themeFill="background1" w:themeFillShade="D9"/>
            <w:vAlign w:val="center"/>
          </w:tcPr>
          <w:p w:rsidR="0010271E" w:rsidRPr="00743A41" w:rsidRDefault="0010271E" w:rsidP="00A37ED6">
            <w:pPr>
              <w:keepLines/>
              <w:jc w:val="center"/>
              <w:rPr>
                <w:rFonts w:asciiTheme="majorHAnsi" w:eastAsia="Arial" w:hAnsiTheme="majorHAnsi" w:cstheme="majorHAnsi"/>
                <w:b/>
                <w:color w:val="000000"/>
                <w:sz w:val="20"/>
                <w:szCs w:val="20"/>
              </w:rPr>
            </w:pPr>
            <w:r w:rsidRPr="00743A41">
              <w:rPr>
                <w:rFonts w:asciiTheme="majorHAnsi" w:eastAsia="Arial" w:hAnsiTheme="majorHAnsi" w:cstheme="majorHAnsi"/>
                <w:b/>
                <w:color w:val="000000"/>
                <w:sz w:val="20"/>
                <w:szCs w:val="20"/>
              </w:rPr>
              <w:t>Identify data source(s) and describe how raw data are analyzed and presented for decision making</w:t>
            </w:r>
          </w:p>
        </w:tc>
        <w:tc>
          <w:tcPr>
            <w:tcW w:w="5035" w:type="dxa"/>
            <w:gridSpan w:val="3"/>
            <w:shd w:val="clear" w:color="auto" w:fill="D9D9D9" w:themeFill="background1" w:themeFillShade="D9"/>
            <w:vAlign w:val="center"/>
          </w:tcPr>
          <w:p w:rsidR="0010271E" w:rsidRPr="00743A41" w:rsidRDefault="0010271E" w:rsidP="00A37ED6">
            <w:pPr>
              <w:keepLines/>
              <w:jc w:val="center"/>
              <w:rPr>
                <w:rFonts w:asciiTheme="majorHAnsi" w:eastAsia="Arial" w:hAnsiTheme="majorHAnsi" w:cstheme="majorHAnsi"/>
                <w:b/>
                <w:sz w:val="20"/>
                <w:szCs w:val="20"/>
              </w:rPr>
            </w:pPr>
            <w:r w:rsidRPr="00743A41">
              <w:rPr>
                <w:rFonts w:asciiTheme="majorHAnsi" w:eastAsia="Arial" w:hAnsiTheme="majorHAnsi" w:cstheme="majorHAnsi"/>
                <w:b/>
                <w:color w:val="000000"/>
                <w:sz w:val="20"/>
                <w:szCs w:val="20"/>
              </w:rPr>
              <w:t xml:space="preserve">Responsibility for </w:t>
            </w:r>
            <w:r w:rsidR="004E7300" w:rsidRPr="00743A41">
              <w:rPr>
                <w:rFonts w:asciiTheme="majorHAnsi" w:eastAsia="Arial" w:hAnsiTheme="majorHAnsi" w:cstheme="majorHAnsi"/>
                <w:b/>
                <w:color w:val="000000"/>
                <w:sz w:val="20"/>
                <w:szCs w:val="20"/>
              </w:rPr>
              <w:t>R</w:t>
            </w:r>
            <w:r w:rsidRPr="00743A41">
              <w:rPr>
                <w:rFonts w:asciiTheme="majorHAnsi" w:eastAsia="Arial" w:hAnsiTheme="majorHAnsi" w:cstheme="majorHAnsi"/>
                <w:b/>
                <w:color w:val="000000"/>
                <w:sz w:val="20"/>
                <w:szCs w:val="20"/>
              </w:rPr>
              <w:t>eview</w:t>
            </w:r>
          </w:p>
        </w:tc>
      </w:tr>
      <w:tr w:rsidR="0010271E" w:rsidRPr="00743A41" w:rsidTr="00673C36">
        <w:trPr>
          <w:gridAfter w:val="1"/>
          <w:wAfter w:w="15" w:type="dxa"/>
          <w:cantSplit/>
          <w:trHeight w:val="989"/>
          <w:tblHeader/>
        </w:trPr>
        <w:tc>
          <w:tcPr>
            <w:tcW w:w="1620" w:type="dxa"/>
            <w:shd w:val="clear" w:color="auto" w:fill="D9D9D9" w:themeFill="background1" w:themeFillShade="D9"/>
            <w:vAlign w:val="center"/>
          </w:tcPr>
          <w:p w:rsidR="0010271E" w:rsidRPr="00743A41" w:rsidRDefault="0010271E" w:rsidP="00A37ED6">
            <w:pPr>
              <w:keepLines/>
              <w:jc w:val="center"/>
              <w:rPr>
                <w:rFonts w:asciiTheme="majorHAnsi" w:eastAsia="Arial" w:hAnsiTheme="majorHAnsi" w:cstheme="majorHAnsi"/>
                <w:b/>
                <w:sz w:val="20"/>
                <w:szCs w:val="20"/>
              </w:rPr>
            </w:pPr>
          </w:p>
        </w:tc>
        <w:tc>
          <w:tcPr>
            <w:tcW w:w="1260" w:type="dxa"/>
            <w:shd w:val="clear" w:color="auto" w:fill="D9D9D9" w:themeFill="background1" w:themeFillShade="D9"/>
            <w:vAlign w:val="center"/>
          </w:tcPr>
          <w:p w:rsidR="0010271E" w:rsidRPr="00743A41" w:rsidRDefault="0010271E" w:rsidP="00A37ED6">
            <w:pPr>
              <w:keepLines/>
              <w:jc w:val="center"/>
              <w:rPr>
                <w:rFonts w:asciiTheme="majorHAnsi" w:eastAsia="Arial" w:hAnsiTheme="majorHAnsi" w:cstheme="majorHAnsi"/>
                <w:color w:val="000000"/>
                <w:sz w:val="20"/>
                <w:szCs w:val="20"/>
              </w:rPr>
            </w:pPr>
            <w:r w:rsidRPr="00743A41">
              <w:rPr>
                <w:rFonts w:asciiTheme="majorHAnsi" w:eastAsia="Arial" w:hAnsiTheme="majorHAnsi" w:cstheme="majorHAnsi"/>
                <w:b/>
                <w:color w:val="000000"/>
                <w:sz w:val="20"/>
                <w:szCs w:val="20"/>
              </w:rPr>
              <w:t>Data Collection Method</w:t>
            </w:r>
          </w:p>
          <w:p w:rsidR="0010271E" w:rsidRPr="00743A41" w:rsidRDefault="0010271E" w:rsidP="00A37ED6">
            <w:pPr>
              <w:keepLines/>
              <w:jc w:val="center"/>
              <w:rPr>
                <w:rFonts w:asciiTheme="majorHAnsi" w:eastAsia="Arial" w:hAnsiTheme="majorHAnsi" w:cstheme="majorHAnsi"/>
                <w:b/>
                <w:color w:val="000000"/>
                <w:sz w:val="20"/>
                <w:szCs w:val="20"/>
              </w:rPr>
            </w:pPr>
            <w:r w:rsidRPr="00743A41">
              <w:rPr>
                <w:rFonts w:asciiTheme="majorHAnsi" w:eastAsia="Arial" w:hAnsiTheme="majorHAnsi" w:cstheme="majorHAnsi"/>
                <w:b/>
                <w:color w:val="000000"/>
                <w:sz w:val="20"/>
                <w:szCs w:val="20"/>
              </w:rPr>
              <w:t>for Measure</w:t>
            </w:r>
          </w:p>
        </w:tc>
        <w:tc>
          <w:tcPr>
            <w:tcW w:w="1350" w:type="dxa"/>
            <w:shd w:val="clear" w:color="auto" w:fill="D9D9D9" w:themeFill="background1" w:themeFillShade="D9"/>
            <w:vAlign w:val="center"/>
          </w:tcPr>
          <w:p w:rsidR="0010271E" w:rsidRPr="00743A41" w:rsidRDefault="0010271E" w:rsidP="00A37ED6">
            <w:pPr>
              <w:keepLines/>
              <w:jc w:val="center"/>
              <w:rPr>
                <w:rFonts w:asciiTheme="majorHAnsi" w:eastAsia="Arial" w:hAnsiTheme="majorHAnsi" w:cstheme="majorHAnsi"/>
                <w:b/>
                <w:color w:val="000000"/>
                <w:sz w:val="20"/>
                <w:szCs w:val="20"/>
              </w:rPr>
            </w:pPr>
            <w:r w:rsidRPr="00743A41">
              <w:rPr>
                <w:rFonts w:asciiTheme="majorHAnsi" w:eastAsia="Arial" w:hAnsiTheme="majorHAnsi" w:cstheme="majorHAnsi"/>
                <w:b/>
                <w:color w:val="000000"/>
                <w:sz w:val="20"/>
                <w:szCs w:val="20"/>
              </w:rPr>
              <w:t>Responsibility for Data Generation and Analysis</w:t>
            </w:r>
          </w:p>
        </w:tc>
        <w:tc>
          <w:tcPr>
            <w:tcW w:w="2070" w:type="dxa"/>
            <w:shd w:val="clear" w:color="auto" w:fill="D9D9D9" w:themeFill="background1" w:themeFillShade="D9"/>
            <w:vAlign w:val="center"/>
          </w:tcPr>
          <w:p w:rsidR="0010271E" w:rsidRPr="003D44FD" w:rsidRDefault="0010271E" w:rsidP="003D44FD">
            <w:pPr>
              <w:keepLines/>
              <w:jc w:val="center"/>
              <w:rPr>
                <w:rFonts w:asciiTheme="majorHAnsi" w:eastAsia="Arial" w:hAnsiTheme="majorHAnsi" w:cstheme="majorHAnsi"/>
                <w:b/>
                <w:color w:val="000000"/>
                <w:sz w:val="20"/>
                <w:szCs w:val="20"/>
              </w:rPr>
            </w:pPr>
            <w:r w:rsidRPr="00743A41">
              <w:rPr>
                <w:rFonts w:asciiTheme="majorHAnsi" w:eastAsia="Arial" w:hAnsiTheme="majorHAnsi" w:cstheme="majorHAnsi"/>
                <w:b/>
                <w:color w:val="000000"/>
                <w:sz w:val="20"/>
                <w:szCs w:val="20"/>
              </w:rPr>
              <w:t>Responsibility for Review and Recommendations</w:t>
            </w:r>
          </w:p>
        </w:tc>
        <w:tc>
          <w:tcPr>
            <w:tcW w:w="1350" w:type="dxa"/>
            <w:shd w:val="clear" w:color="auto" w:fill="D9D9D9" w:themeFill="background1" w:themeFillShade="D9"/>
            <w:vAlign w:val="center"/>
          </w:tcPr>
          <w:p w:rsidR="0010271E" w:rsidRPr="00743A41" w:rsidRDefault="0010271E" w:rsidP="00A37ED6">
            <w:pPr>
              <w:keepLines/>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Responsibility for Policy Changes</w:t>
            </w:r>
          </w:p>
        </w:tc>
        <w:tc>
          <w:tcPr>
            <w:tcW w:w="1615" w:type="dxa"/>
            <w:shd w:val="clear" w:color="auto" w:fill="D9D9D9" w:themeFill="background1" w:themeFillShade="D9"/>
            <w:vAlign w:val="center"/>
          </w:tcPr>
          <w:p w:rsidR="0010271E" w:rsidRPr="00743A41" w:rsidRDefault="0010271E" w:rsidP="00A37ED6">
            <w:pPr>
              <w:keepLines/>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Responsibility for Policy Implementation</w:t>
            </w:r>
          </w:p>
        </w:tc>
      </w:tr>
      <w:tr w:rsidR="0010271E" w:rsidRPr="00743A41" w:rsidTr="00F026B3">
        <w:trPr>
          <w:cantSplit/>
        </w:trPr>
        <w:tc>
          <w:tcPr>
            <w:tcW w:w="9280" w:type="dxa"/>
            <w:gridSpan w:val="7"/>
            <w:shd w:val="clear" w:color="auto" w:fill="E7E6E6" w:themeFill="background2"/>
          </w:tcPr>
          <w:p w:rsidR="0010271E" w:rsidRPr="00743A41" w:rsidRDefault="0010271E" w:rsidP="00A37ED6">
            <w:pPr>
              <w:keepLines/>
              <w:rPr>
                <w:rFonts w:asciiTheme="majorHAnsi" w:eastAsia="Arial" w:hAnsiTheme="majorHAnsi" w:cstheme="majorHAnsi"/>
                <w:b/>
                <w:sz w:val="20"/>
                <w:szCs w:val="20"/>
              </w:rPr>
            </w:pPr>
            <w:r w:rsidRPr="00743A41">
              <w:rPr>
                <w:rFonts w:asciiTheme="majorHAnsi" w:eastAsia="Arial" w:hAnsiTheme="majorHAnsi" w:cstheme="majorHAnsi"/>
                <w:b/>
                <w:sz w:val="20"/>
                <w:szCs w:val="20"/>
              </w:rPr>
              <w:t>Applicant Profiles</w:t>
            </w:r>
          </w:p>
        </w:tc>
      </w:tr>
      <w:tr w:rsidR="0010271E" w:rsidRPr="00743A41" w:rsidTr="00673C36">
        <w:trPr>
          <w:gridAfter w:val="1"/>
          <w:wAfter w:w="15" w:type="dxa"/>
          <w:cantSplit/>
          <w:trHeight w:val="2249"/>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Number of applicants by major and degree</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hAnsiTheme="majorHAnsi" w:cstheme="majorHAnsi"/>
                <w:bCs/>
                <w:sz w:val="20"/>
                <w:szCs w:val="20"/>
              </w:rPr>
              <w:t>Percentage</w:t>
            </w:r>
            <w:r w:rsidRPr="00743A41">
              <w:rPr>
                <w:rFonts w:asciiTheme="majorHAnsi" w:eastAsia="Arial" w:hAnsiTheme="majorHAnsi" w:cstheme="majorHAnsi"/>
                <w:sz w:val="20"/>
                <w:szCs w:val="20"/>
              </w:rPr>
              <w:t xml:space="preserve"> of applicants</w:t>
            </w:r>
          </w:p>
          <w:p w:rsidR="0010271E" w:rsidRPr="00743A41" w:rsidRDefault="0010271E" w:rsidP="00A37ED6">
            <w:pPr>
              <w:keepLines/>
              <w:rPr>
                <w:rFonts w:asciiTheme="majorHAnsi" w:hAnsiTheme="majorHAnsi" w:cstheme="majorHAnsi"/>
                <w:bCs/>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hAnsiTheme="majorHAnsi" w:cstheme="majorHAnsi"/>
                <w:bCs/>
                <w:sz w:val="20"/>
                <w:szCs w:val="20"/>
              </w:rPr>
              <w:t>Percentage</w:t>
            </w:r>
            <w:r w:rsidRPr="00743A41">
              <w:rPr>
                <w:rFonts w:asciiTheme="majorHAnsi" w:eastAsia="Arial" w:hAnsiTheme="majorHAnsi" w:cstheme="majorHAnsi"/>
                <w:sz w:val="20"/>
                <w:szCs w:val="20"/>
              </w:rPr>
              <w:t xml:space="preserve"> of applicants who are from Texas, the U.S., and outside the U.S.*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Average GRE score of applicants by major and degree*</w:t>
            </w:r>
          </w:p>
        </w:tc>
        <w:tc>
          <w:tcPr>
            <w:tcW w:w="2610" w:type="dxa"/>
            <w:gridSpan w:val="2"/>
          </w:tcPr>
          <w:p w:rsidR="0010271E" w:rsidRPr="00743A41" w:rsidRDefault="0010271E" w:rsidP="00A37ED6">
            <w:pPr>
              <w:keepLines/>
              <w:rPr>
                <w:rFonts w:asciiTheme="majorHAnsi" w:hAnsiTheme="majorHAnsi" w:cstheme="majorHAnsi"/>
                <w:sz w:val="20"/>
                <w:szCs w:val="20"/>
              </w:rPr>
            </w:pPr>
            <w:r w:rsidRPr="00743A41">
              <w:rPr>
                <w:rFonts w:asciiTheme="majorHAnsi" w:eastAsia="Arial" w:hAnsiTheme="majorHAnsi" w:cstheme="majorHAnsi"/>
                <w:sz w:val="20"/>
                <w:szCs w:val="20"/>
              </w:rPr>
              <w:t>The a</w:t>
            </w:r>
            <w:r w:rsidRPr="00743A41">
              <w:rPr>
                <w:rFonts w:asciiTheme="majorHAnsi" w:hAnsiTheme="majorHAnsi" w:cstheme="majorHAnsi"/>
                <w:sz w:val="20"/>
                <w:szCs w:val="20"/>
              </w:rPr>
              <w:t xml:space="preserve">ssistant director of admissions and student services uses data collected by </w:t>
            </w:r>
            <w:r w:rsidRPr="00743A41">
              <w:rPr>
                <w:rFonts w:asciiTheme="majorHAnsi" w:eastAsia="Arial" w:hAnsiTheme="majorHAnsi" w:cstheme="majorHAnsi"/>
                <w:sz w:val="20"/>
                <w:szCs w:val="20"/>
              </w:rPr>
              <w:t xml:space="preserve">SOPHAS/WebAdMIT to </w:t>
            </w:r>
            <w:r w:rsidRPr="00743A41">
              <w:rPr>
                <w:rFonts w:asciiTheme="majorHAnsi" w:hAnsiTheme="majorHAnsi" w:cstheme="majorHAnsi"/>
                <w:sz w:val="20"/>
                <w:szCs w:val="20"/>
              </w:rPr>
              <w:t>generate reports on applicants. Summary reports are generated throughout the admissions process. Final data are generated every summer.</w:t>
            </w:r>
          </w:p>
          <w:p w:rsidR="0010271E" w:rsidRPr="00743A41" w:rsidRDefault="0010271E" w:rsidP="00A37ED6">
            <w:pPr>
              <w:keepLines/>
              <w:rPr>
                <w:rFonts w:asciiTheme="majorHAnsi" w:hAnsiTheme="majorHAnsi" w:cstheme="majorHAnsi"/>
                <w:sz w:val="20"/>
                <w:szCs w:val="20"/>
              </w:rPr>
            </w:pPr>
          </w:p>
          <w:p w:rsidR="0010271E" w:rsidRPr="00743A41" w:rsidRDefault="0010271E" w:rsidP="00A37ED6">
            <w:pPr>
              <w:keepLines/>
              <w:rPr>
                <w:rFonts w:asciiTheme="majorHAnsi" w:hAnsiTheme="majorHAnsi" w:cstheme="majorHAnsi"/>
                <w:sz w:val="20"/>
                <w:szCs w:val="20"/>
              </w:rPr>
            </w:pP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The </w:t>
            </w:r>
            <w:r w:rsidR="0008232D" w:rsidRPr="00743A41">
              <w:rPr>
                <w:rFonts w:asciiTheme="majorHAnsi" w:eastAsia="Arial" w:hAnsiTheme="majorHAnsi" w:cstheme="majorHAnsi"/>
                <w:sz w:val="20"/>
                <w:szCs w:val="20"/>
              </w:rPr>
              <w:t xml:space="preserve">School-Wide </w:t>
            </w:r>
            <w:r w:rsidRPr="00743A41">
              <w:rPr>
                <w:rFonts w:asciiTheme="majorHAnsi" w:eastAsia="Arial" w:hAnsiTheme="majorHAnsi" w:cstheme="majorHAnsi"/>
                <w:sz w:val="20"/>
                <w:szCs w:val="20"/>
              </w:rPr>
              <w:t>Admissions Committee is responsible for initial review and monitoring.  Data are shared with faculty through departmental meetings.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The Diversity Committee is responsible for reviewing data on race/ethnicity and for making recommendations. </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If policies need to be changed, policy decisions go through SPHEC.</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b/>
                <w:sz w:val="20"/>
                <w:szCs w:val="20"/>
              </w:rPr>
            </w:pP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Policy implementation is coordinated and communicated by the OAASS through the </w:t>
            </w:r>
            <w:r w:rsidR="00400AFF" w:rsidRPr="00743A41">
              <w:rPr>
                <w:rFonts w:asciiTheme="majorHAnsi" w:eastAsia="Arial" w:hAnsiTheme="majorHAnsi" w:cstheme="majorHAnsi"/>
                <w:sz w:val="20"/>
                <w:szCs w:val="20"/>
              </w:rPr>
              <w:t xml:space="preserve">School-Wide </w:t>
            </w:r>
            <w:r w:rsidRPr="00743A41">
              <w:rPr>
                <w:rFonts w:asciiTheme="majorHAnsi" w:eastAsia="Arial" w:hAnsiTheme="majorHAnsi" w:cstheme="majorHAnsi"/>
                <w:sz w:val="20"/>
                <w:szCs w:val="20"/>
              </w:rPr>
              <w:t>Admissions Committee and then shared with faculty through departmental meetings.</w:t>
            </w:r>
          </w:p>
        </w:tc>
      </w:tr>
      <w:tr w:rsidR="0010271E" w:rsidRPr="00743A41" w:rsidTr="00F026B3">
        <w:trPr>
          <w:cantSplit/>
        </w:trPr>
        <w:tc>
          <w:tcPr>
            <w:tcW w:w="9280" w:type="dxa"/>
            <w:gridSpan w:val="7"/>
            <w:shd w:val="clear" w:color="auto" w:fill="E7E6E6" w:themeFill="background2"/>
          </w:tcPr>
          <w:p w:rsidR="0010271E" w:rsidRPr="00743A41" w:rsidRDefault="0010271E" w:rsidP="00A37ED6">
            <w:pPr>
              <w:keepLines/>
              <w:rPr>
                <w:rFonts w:asciiTheme="majorHAnsi" w:eastAsia="Arial" w:hAnsiTheme="majorHAnsi" w:cstheme="majorHAnsi"/>
                <w:b/>
                <w:sz w:val="20"/>
                <w:szCs w:val="20"/>
              </w:rPr>
            </w:pPr>
            <w:r w:rsidRPr="00743A41">
              <w:rPr>
                <w:rFonts w:asciiTheme="majorHAnsi" w:eastAsia="Arial" w:hAnsiTheme="majorHAnsi" w:cstheme="majorHAnsi"/>
                <w:b/>
                <w:sz w:val="20"/>
                <w:szCs w:val="20"/>
              </w:rPr>
              <w:t xml:space="preserve">Profiles of Matriculating Students </w:t>
            </w: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hAnsiTheme="majorHAnsi" w:cstheme="majorHAnsi"/>
                <w:bCs/>
                <w:sz w:val="20"/>
                <w:szCs w:val="20"/>
              </w:rPr>
              <w:t>Percentage</w:t>
            </w:r>
            <w:r w:rsidRPr="00743A41">
              <w:rPr>
                <w:rFonts w:asciiTheme="majorHAnsi" w:eastAsia="Arial" w:hAnsiTheme="majorHAnsi" w:cstheme="majorHAnsi"/>
                <w:sz w:val="20"/>
                <w:szCs w:val="20"/>
              </w:rPr>
              <w:t xml:space="preserve"> of applicants who matriculate by major and degree</w:t>
            </w: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 </w:t>
            </w:r>
          </w:p>
          <w:p w:rsidR="0010271E" w:rsidRPr="00743A41" w:rsidRDefault="0010271E" w:rsidP="00A37ED6">
            <w:pPr>
              <w:keepLines/>
              <w:rPr>
                <w:rFonts w:asciiTheme="majorHAnsi" w:eastAsia="Arial" w:hAnsiTheme="majorHAnsi" w:cstheme="majorHAnsi"/>
                <w:sz w:val="20"/>
                <w:szCs w:val="20"/>
              </w:rPr>
            </w:pPr>
            <w:r w:rsidRPr="00743A41">
              <w:rPr>
                <w:rFonts w:asciiTheme="majorHAnsi" w:hAnsiTheme="majorHAnsi" w:cstheme="majorHAnsi"/>
                <w:bCs/>
                <w:sz w:val="20"/>
                <w:szCs w:val="20"/>
              </w:rPr>
              <w:t>Percentage</w:t>
            </w:r>
            <w:r w:rsidRPr="00743A41">
              <w:rPr>
                <w:rFonts w:asciiTheme="majorHAnsi" w:eastAsia="Arial" w:hAnsiTheme="majorHAnsi" w:cstheme="majorHAnsi"/>
                <w:sz w:val="20"/>
                <w:szCs w:val="20"/>
              </w:rPr>
              <w:t xml:space="preserve"> of applicants who are from Texas, the U.S., and outside the U.S.*</w:t>
            </w:r>
          </w:p>
          <w:p w:rsidR="0010271E" w:rsidRPr="00743A41" w:rsidRDefault="0010271E" w:rsidP="00A37ED6">
            <w:pPr>
              <w:keepLines/>
              <w:rPr>
                <w:rFonts w:asciiTheme="majorHAnsi" w:eastAsia="Arial" w:hAnsiTheme="majorHAnsi" w:cstheme="majorHAnsi"/>
                <w:sz w:val="20"/>
                <w:szCs w:val="20"/>
              </w:rPr>
            </w:pPr>
          </w:p>
          <w:p w:rsidR="00771AFC"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Average GRE score of matriculate by major and degree*</w:t>
            </w:r>
          </w:p>
        </w:tc>
        <w:tc>
          <w:tcPr>
            <w:tcW w:w="2610" w:type="dxa"/>
            <w:gridSpan w:val="2"/>
          </w:tcPr>
          <w:p w:rsidR="0010271E" w:rsidRPr="00743A41" w:rsidRDefault="0010271E" w:rsidP="00A37ED6">
            <w:pPr>
              <w:keepLines/>
              <w:rPr>
                <w:rFonts w:asciiTheme="majorHAnsi" w:hAnsiTheme="majorHAnsi" w:cstheme="majorHAnsi"/>
                <w:sz w:val="20"/>
                <w:szCs w:val="20"/>
              </w:rPr>
            </w:pPr>
            <w:r w:rsidRPr="00743A41">
              <w:rPr>
                <w:rFonts w:asciiTheme="majorHAnsi" w:eastAsia="Arial" w:hAnsiTheme="majorHAnsi" w:cstheme="majorHAnsi"/>
                <w:sz w:val="20"/>
                <w:szCs w:val="20"/>
              </w:rPr>
              <w:t xml:space="preserve">Data collected from the SOPHAS/WebAdMIT portal. The </w:t>
            </w:r>
            <w:r w:rsidRPr="00743A41">
              <w:rPr>
                <w:rFonts w:asciiTheme="majorHAnsi" w:hAnsiTheme="majorHAnsi" w:cstheme="majorHAnsi"/>
                <w:sz w:val="20"/>
                <w:szCs w:val="20"/>
              </w:rPr>
              <w:t>assistant director of admissions and student services is responsible for downloading the data and generating reports on matriculates. Data are generated throughout the admissions process. Final data are generated every summer.</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The </w:t>
            </w:r>
            <w:r w:rsidR="00400AFF" w:rsidRPr="00743A41">
              <w:rPr>
                <w:rFonts w:asciiTheme="majorHAnsi" w:eastAsia="Arial" w:hAnsiTheme="majorHAnsi" w:cstheme="majorHAnsi"/>
                <w:sz w:val="20"/>
                <w:szCs w:val="20"/>
              </w:rPr>
              <w:t xml:space="preserve">School-Wide </w:t>
            </w:r>
            <w:r w:rsidRPr="00743A41">
              <w:rPr>
                <w:rFonts w:asciiTheme="majorHAnsi" w:eastAsia="Arial" w:hAnsiTheme="majorHAnsi" w:cstheme="majorHAnsi"/>
                <w:sz w:val="20"/>
                <w:szCs w:val="20"/>
              </w:rPr>
              <w:t>Admissions Committee is responsible for initial review and monitoring. Data are shared with faculty through departmental meetings.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The Diversity Committee is responsible for reviewing data on race/ethnicity</w:t>
            </w:r>
            <w:r w:rsidR="00400AFF" w:rsidRPr="00743A41">
              <w:rPr>
                <w:rFonts w:asciiTheme="majorHAnsi" w:eastAsia="Arial" w:hAnsiTheme="majorHAnsi" w:cstheme="majorHAnsi"/>
                <w:sz w:val="20"/>
                <w:szCs w:val="20"/>
              </w:rPr>
              <w:t>.</w:t>
            </w:r>
          </w:p>
          <w:p w:rsidR="0010271E" w:rsidRPr="00743A41" w:rsidRDefault="0010271E" w:rsidP="00A37ED6">
            <w:pPr>
              <w:keepLines/>
              <w:rPr>
                <w:rFonts w:asciiTheme="majorHAnsi" w:eastAsia="Arial" w:hAnsiTheme="majorHAnsi" w:cstheme="majorHAnsi"/>
                <w:b/>
                <w:sz w:val="20"/>
                <w:szCs w:val="20"/>
                <w:highlight w:val="yellow"/>
              </w:rPr>
            </w:pP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If policies need to be changed, policy decisions go through SPHEC.</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b/>
                <w:sz w:val="20"/>
                <w:szCs w:val="20"/>
              </w:rPr>
            </w:pPr>
          </w:p>
        </w:tc>
        <w:tc>
          <w:tcPr>
            <w:tcW w:w="1615" w:type="dxa"/>
          </w:tcPr>
          <w:p w:rsidR="0010271E" w:rsidRPr="00743A41" w:rsidRDefault="00EF097A" w:rsidP="00A37ED6">
            <w:pPr>
              <w:keepLines/>
              <w:rPr>
                <w:rFonts w:asciiTheme="majorHAnsi" w:hAnsiTheme="majorHAnsi" w:cstheme="majorHAnsi"/>
                <w:sz w:val="20"/>
                <w:szCs w:val="20"/>
              </w:rPr>
            </w:pPr>
            <w:r w:rsidRPr="00743A41">
              <w:rPr>
                <w:rFonts w:asciiTheme="majorHAnsi" w:eastAsia="Arial" w:hAnsiTheme="majorHAnsi" w:cstheme="majorHAnsi"/>
                <w:sz w:val="20"/>
                <w:szCs w:val="20"/>
              </w:rPr>
              <w:t xml:space="preserve">Department Chairs/Campus Deans </w:t>
            </w:r>
          </w:p>
          <w:p w:rsidR="0010271E" w:rsidRPr="00743A41" w:rsidRDefault="0010271E" w:rsidP="00A37ED6">
            <w:pPr>
              <w:keepLines/>
              <w:rPr>
                <w:rFonts w:asciiTheme="majorHAnsi" w:hAnsiTheme="majorHAnsi" w:cstheme="majorHAnsi"/>
                <w:sz w:val="20"/>
                <w:szCs w:val="20"/>
              </w:rPr>
            </w:pPr>
          </w:p>
          <w:p w:rsidR="0010271E" w:rsidRPr="00743A41" w:rsidRDefault="0010271E" w:rsidP="00A37ED6">
            <w:pPr>
              <w:keepLines/>
              <w:rPr>
                <w:rFonts w:asciiTheme="majorHAnsi" w:hAnsiTheme="majorHAnsi" w:cstheme="majorHAnsi"/>
                <w:sz w:val="20"/>
                <w:szCs w:val="20"/>
              </w:rPr>
            </w:pPr>
          </w:p>
        </w:tc>
      </w:tr>
      <w:tr w:rsidR="0010271E" w:rsidRPr="00743A41" w:rsidTr="00F026B3">
        <w:trPr>
          <w:cantSplit/>
        </w:trPr>
        <w:tc>
          <w:tcPr>
            <w:tcW w:w="9280" w:type="dxa"/>
            <w:gridSpan w:val="7"/>
            <w:shd w:val="clear" w:color="auto" w:fill="E7E6E6" w:themeFill="background2"/>
          </w:tcPr>
          <w:p w:rsidR="0010271E" w:rsidRPr="00743A41" w:rsidRDefault="0010271E" w:rsidP="00A37ED6">
            <w:pPr>
              <w:keepLines/>
              <w:rPr>
                <w:rFonts w:asciiTheme="majorHAnsi" w:eastAsia="Arial" w:hAnsiTheme="majorHAnsi" w:cstheme="majorHAnsi"/>
                <w:b/>
                <w:sz w:val="20"/>
                <w:szCs w:val="20"/>
              </w:rPr>
            </w:pPr>
            <w:r w:rsidRPr="00743A41">
              <w:rPr>
                <w:rFonts w:asciiTheme="majorHAnsi" w:eastAsia="Arial" w:hAnsiTheme="majorHAnsi" w:cstheme="majorHAnsi"/>
                <w:b/>
                <w:sz w:val="20"/>
                <w:szCs w:val="20"/>
              </w:rPr>
              <w:t>Course Quality</w:t>
            </w: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Student perception of class size</w:t>
            </w:r>
          </w:p>
        </w:tc>
        <w:tc>
          <w:tcPr>
            <w:tcW w:w="2610"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Course evaluations are collected through the software </w:t>
            </w:r>
            <w:r w:rsidR="00B53A17" w:rsidRPr="00743A41">
              <w:rPr>
                <w:rFonts w:asciiTheme="majorHAnsi" w:eastAsia="Arial" w:hAnsiTheme="majorHAnsi" w:cstheme="majorHAnsi"/>
                <w:sz w:val="20"/>
                <w:szCs w:val="20"/>
              </w:rPr>
              <w:t>EvalKIT</w:t>
            </w:r>
            <w:r w:rsidRPr="00743A41">
              <w:rPr>
                <w:rFonts w:asciiTheme="majorHAnsi" w:eastAsia="Arial" w:hAnsiTheme="majorHAnsi" w:cstheme="majorHAnsi"/>
                <w:sz w:val="20"/>
                <w:szCs w:val="20"/>
              </w:rPr>
              <w:t xml:space="preserve"> by the director of instructional technology. Raw data are downloaded and analyzed by the director of academic affairs.  The question is: “</w:t>
            </w:r>
            <w:r w:rsidRPr="00743A41">
              <w:rPr>
                <w:rFonts w:asciiTheme="majorHAnsi" w:hAnsiTheme="majorHAnsi" w:cstheme="majorHAnsi"/>
                <w:bCs/>
                <w:sz w:val="20"/>
                <w:szCs w:val="20"/>
              </w:rPr>
              <w:t>Was the class size conducive to learning for this course?” Answers are recorded as yes or no. The proportion of those who answered yes is reported. Qualitative data are examined by searching comments for the keywords “size,” “small,” “large,” and “big.” Data are summarized by course and overall. Data are analyzed during the summer.</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Faculty review their own data after each semester. Department chairs review data for their faculty. The senior associate dean for academic and research affairs and her office review data annually to determine if there are any problems, and report to department chairs and the Academic Council. </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If policies need to be changed, policy decisions go through the Academic Council and SPHEC.</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Student perception of instructor availability</w:t>
            </w:r>
          </w:p>
        </w:tc>
        <w:tc>
          <w:tcPr>
            <w:tcW w:w="2610" w:type="dxa"/>
            <w:gridSpan w:val="2"/>
          </w:tcPr>
          <w:p w:rsidR="0010271E" w:rsidRPr="00743A41" w:rsidRDefault="0010271E" w:rsidP="00A37ED6">
            <w:pPr>
              <w:keepLines/>
              <w:rPr>
                <w:rFonts w:asciiTheme="majorHAnsi" w:hAnsiTheme="majorHAnsi" w:cstheme="majorHAnsi"/>
                <w:bCs/>
                <w:sz w:val="20"/>
                <w:szCs w:val="20"/>
              </w:rPr>
            </w:pPr>
            <w:r w:rsidRPr="00743A41">
              <w:rPr>
                <w:rFonts w:asciiTheme="majorHAnsi" w:eastAsia="Arial" w:hAnsiTheme="majorHAnsi" w:cstheme="majorHAnsi"/>
                <w:sz w:val="20"/>
                <w:szCs w:val="20"/>
              </w:rPr>
              <w:t xml:space="preserve">Course evaluations are collected through the software </w:t>
            </w:r>
            <w:r w:rsidR="00B53A17" w:rsidRPr="00743A41">
              <w:rPr>
                <w:rFonts w:asciiTheme="majorHAnsi" w:eastAsia="Arial" w:hAnsiTheme="majorHAnsi" w:cstheme="majorHAnsi"/>
                <w:sz w:val="20"/>
                <w:szCs w:val="20"/>
              </w:rPr>
              <w:t>EvalKIT</w:t>
            </w:r>
            <w:r w:rsidRPr="00743A41">
              <w:rPr>
                <w:rFonts w:asciiTheme="majorHAnsi" w:eastAsia="Arial" w:hAnsiTheme="majorHAnsi" w:cstheme="majorHAnsi"/>
                <w:sz w:val="20"/>
                <w:szCs w:val="20"/>
              </w:rPr>
              <w:t xml:space="preserve"> by the director of instructional technology. Raw data are downloaded and analyzed by the director of academic affairs.  The question is: </w:t>
            </w:r>
            <w:r w:rsidRPr="00743A41">
              <w:rPr>
                <w:rFonts w:asciiTheme="majorHAnsi" w:hAnsiTheme="majorHAnsi" w:cstheme="majorHAnsi"/>
                <w:bCs/>
                <w:sz w:val="20"/>
                <w:szCs w:val="20"/>
              </w:rPr>
              <w:t>“Please read the following statement and select the answer that best fits your experience: Faculty were accessible to students.” Answers are recorded on a 5-point scale. The proportion of students who agree and strongly agree are reported.</w:t>
            </w:r>
          </w:p>
          <w:p w:rsidR="0010271E" w:rsidRPr="00743A41" w:rsidRDefault="0010271E" w:rsidP="00A37ED6">
            <w:pPr>
              <w:keepLines/>
              <w:rPr>
                <w:rFonts w:asciiTheme="majorHAnsi" w:hAnsiTheme="majorHAnsi" w:cstheme="majorHAnsi"/>
                <w:sz w:val="20"/>
                <w:szCs w:val="20"/>
              </w:rPr>
            </w:pPr>
            <w:r w:rsidRPr="00743A41">
              <w:rPr>
                <w:rFonts w:asciiTheme="majorHAnsi" w:hAnsiTheme="majorHAnsi" w:cstheme="majorHAnsi"/>
                <w:bCs/>
                <w:sz w:val="20"/>
                <w:szCs w:val="20"/>
              </w:rPr>
              <w:t xml:space="preserve">Qualitative data are generated by inspecting comments, and highlighting both positive and negative comments. Data are available after each semester. Summary data are reported annually.  </w:t>
            </w:r>
          </w:p>
        </w:tc>
        <w:tc>
          <w:tcPr>
            <w:tcW w:w="2070" w:type="dxa"/>
          </w:tcPr>
          <w:p w:rsidR="0010271E" w:rsidRPr="00743A41" w:rsidRDefault="0010271E" w:rsidP="00A37ED6">
            <w:pPr>
              <w:keepLines/>
              <w:rPr>
                <w:rFonts w:asciiTheme="majorHAnsi" w:hAnsiTheme="majorHAnsi" w:cstheme="majorHAnsi"/>
                <w:sz w:val="20"/>
                <w:szCs w:val="20"/>
              </w:rPr>
            </w:pPr>
            <w:r w:rsidRPr="00743A41">
              <w:rPr>
                <w:rFonts w:asciiTheme="majorHAnsi" w:eastAsia="Arial" w:hAnsiTheme="majorHAnsi" w:cstheme="majorHAnsi"/>
                <w:sz w:val="20"/>
                <w:szCs w:val="20"/>
              </w:rPr>
              <w:t xml:space="preserve">The OOASS examines the qualitative and quantitative data to determine if policies or practices need to be changed. The senior associate dean of academic and research affairs communicates with department chairs if there are any issues related to specific faculty members. </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If policies need to be changed, policy decisions go through the Academic Council and SPHEC.</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hAnsiTheme="majorHAnsi" w:cstheme="majorHAnsi"/>
                <w:bCs/>
                <w:sz w:val="20"/>
                <w:szCs w:val="20"/>
              </w:rPr>
              <w:t>Percentage</w:t>
            </w:r>
            <w:r w:rsidRPr="00743A41">
              <w:rPr>
                <w:rFonts w:asciiTheme="majorHAnsi" w:eastAsia="Arial" w:hAnsiTheme="majorHAnsi" w:cstheme="majorHAnsi"/>
                <w:sz w:val="20"/>
                <w:szCs w:val="20"/>
              </w:rPr>
              <w:t xml:space="preserve"> of courses that implement grading rubrics*</w:t>
            </w:r>
          </w:p>
        </w:tc>
        <w:tc>
          <w:tcPr>
            <w:tcW w:w="2610" w:type="dxa"/>
            <w:gridSpan w:val="2"/>
          </w:tcPr>
          <w:p w:rsidR="0010271E" w:rsidRPr="00743A41" w:rsidRDefault="0010271E" w:rsidP="00A37ED6">
            <w:pPr>
              <w:keepLines/>
              <w:rPr>
                <w:rFonts w:asciiTheme="majorHAnsi" w:hAnsiTheme="majorHAnsi" w:cstheme="majorHAnsi"/>
                <w:sz w:val="20"/>
                <w:szCs w:val="20"/>
              </w:rPr>
            </w:pPr>
            <w:r w:rsidRPr="00743A41">
              <w:rPr>
                <w:rFonts w:asciiTheme="majorHAnsi" w:eastAsia="Arial" w:hAnsiTheme="majorHAnsi" w:cstheme="majorHAnsi"/>
                <w:sz w:val="20"/>
                <w:szCs w:val="20"/>
              </w:rPr>
              <w:t>The Instruction Characteristics Survey is a new email assessment and phone interview with faculty who taught during the past year. A graduate assistant conducts the survey under the guidance of the director of academic affairs. The survey is conducted during the spring semester.</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The Academic Council reviews results.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If policies need to be changed, policy decisions go through the Academic Council and SPHEC.</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Curriculum coordinators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tc>
      </w:tr>
      <w:tr w:rsidR="0010271E" w:rsidRPr="00743A41" w:rsidTr="00673C36">
        <w:trPr>
          <w:gridAfter w:val="1"/>
          <w:wAfter w:w="15" w:type="dxa"/>
          <w:cantSplit/>
        </w:trPr>
        <w:tc>
          <w:tcPr>
            <w:tcW w:w="1620" w:type="dxa"/>
          </w:tcPr>
          <w:p w:rsidR="0010271E" w:rsidRPr="00743A41" w:rsidRDefault="0010271E"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Effectiveness of objectives of and activities in the course</w:t>
            </w:r>
          </w:p>
        </w:tc>
        <w:tc>
          <w:tcPr>
            <w:tcW w:w="2610" w:type="dxa"/>
            <w:gridSpan w:val="2"/>
          </w:tcPr>
          <w:p w:rsidR="0010271E" w:rsidRPr="00743A41" w:rsidRDefault="0010271E" w:rsidP="00A37ED6">
            <w:pPr>
              <w:keepLines/>
              <w:rPr>
                <w:rFonts w:asciiTheme="majorHAnsi" w:hAnsiTheme="majorHAnsi" w:cstheme="majorHAnsi"/>
                <w:bCs/>
                <w:sz w:val="20"/>
                <w:szCs w:val="20"/>
              </w:rPr>
            </w:pPr>
            <w:r w:rsidRPr="00743A41">
              <w:rPr>
                <w:rFonts w:asciiTheme="majorHAnsi" w:eastAsia="Arial" w:hAnsiTheme="majorHAnsi" w:cstheme="majorHAnsi"/>
                <w:sz w:val="20"/>
                <w:szCs w:val="20"/>
              </w:rPr>
              <w:t xml:space="preserve">Course evaluations are collected through the software </w:t>
            </w:r>
            <w:r w:rsidR="00B53A17" w:rsidRPr="00743A41">
              <w:rPr>
                <w:rFonts w:asciiTheme="majorHAnsi" w:eastAsia="Arial" w:hAnsiTheme="majorHAnsi" w:cstheme="majorHAnsi"/>
                <w:sz w:val="20"/>
                <w:szCs w:val="20"/>
              </w:rPr>
              <w:t>EvalKIT</w:t>
            </w:r>
            <w:r w:rsidRPr="00743A41">
              <w:rPr>
                <w:rFonts w:asciiTheme="majorHAnsi" w:eastAsia="Arial" w:hAnsiTheme="majorHAnsi" w:cstheme="majorHAnsi"/>
                <w:sz w:val="20"/>
                <w:szCs w:val="20"/>
              </w:rPr>
              <w:t xml:space="preserve"> by the director of instructional technology. Raw data are downloaded and analyzed by the director of academic affairs.  The question asks students to rate the effectiveness of the course objectives.  </w:t>
            </w:r>
            <w:r w:rsidRPr="00743A41">
              <w:rPr>
                <w:rFonts w:asciiTheme="majorHAnsi" w:hAnsiTheme="majorHAnsi" w:cstheme="majorHAnsi"/>
                <w:bCs/>
                <w:sz w:val="20"/>
                <w:szCs w:val="20"/>
              </w:rPr>
              <w:t>Answers are recorded on a 5-point scale. The proportion of students who agree and strongly agree are reported.</w:t>
            </w:r>
          </w:p>
          <w:p w:rsidR="0010271E" w:rsidRPr="00743A41" w:rsidRDefault="0010271E" w:rsidP="00A37ED6">
            <w:pPr>
              <w:keepLines/>
              <w:rPr>
                <w:rFonts w:asciiTheme="majorHAnsi" w:eastAsia="Arial" w:hAnsiTheme="majorHAnsi" w:cstheme="majorHAnsi"/>
                <w:sz w:val="20"/>
                <w:szCs w:val="20"/>
              </w:rPr>
            </w:pP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review their own data after each semester. Department chairs review data for their faculty. The senior associate dean of academic and research affairs and her office review data annually to determine if there are any problems, and report to department chairs and the Academic Council.</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If policies need to be changed, policy decisions go through the Academic Council and SPHEC.</w:t>
            </w:r>
          </w:p>
          <w:p w:rsidR="0010271E" w:rsidRPr="00743A41" w:rsidRDefault="0010271E" w:rsidP="00A37ED6">
            <w:pPr>
              <w:keepLines/>
              <w:rPr>
                <w:rFonts w:asciiTheme="majorHAnsi" w:eastAsia="Arial" w:hAnsiTheme="majorHAnsi" w:cstheme="majorHAnsi"/>
                <w:b/>
                <w:sz w:val="20"/>
                <w:szCs w:val="20"/>
              </w:rPr>
            </w:pP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Curriculum coordinators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p w:rsidR="0010271E" w:rsidRPr="00743A41" w:rsidRDefault="0010271E" w:rsidP="00A37ED6">
            <w:pPr>
              <w:keepLines/>
              <w:rPr>
                <w:rFonts w:asciiTheme="majorHAnsi" w:eastAsia="Arial" w:hAnsiTheme="majorHAnsi" w:cstheme="majorHAnsi"/>
                <w:sz w:val="20"/>
                <w:szCs w:val="20"/>
              </w:rPr>
            </w:pPr>
          </w:p>
        </w:tc>
      </w:tr>
      <w:tr w:rsidR="0010271E" w:rsidRPr="00743A41" w:rsidTr="00673C36">
        <w:trPr>
          <w:gridAfter w:val="1"/>
          <w:wAfter w:w="15" w:type="dxa"/>
          <w:cantSplit/>
        </w:trPr>
        <w:tc>
          <w:tcPr>
            <w:tcW w:w="1620" w:type="dxa"/>
          </w:tcPr>
          <w:p w:rsidR="0010271E" w:rsidRPr="00743A41" w:rsidRDefault="0010271E"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Quality of assessment of student performance and feedback to the student</w:t>
            </w:r>
          </w:p>
        </w:tc>
        <w:tc>
          <w:tcPr>
            <w:tcW w:w="2610" w:type="dxa"/>
            <w:gridSpan w:val="2"/>
          </w:tcPr>
          <w:p w:rsidR="0010271E" w:rsidRPr="00743A41" w:rsidRDefault="0010271E" w:rsidP="00A37ED6">
            <w:pPr>
              <w:keepLines/>
              <w:rPr>
                <w:rFonts w:asciiTheme="majorHAnsi" w:hAnsiTheme="majorHAnsi" w:cstheme="majorHAnsi"/>
                <w:bCs/>
                <w:sz w:val="20"/>
                <w:szCs w:val="20"/>
              </w:rPr>
            </w:pPr>
            <w:r w:rsidRPr="00743A41">
              <w:rPr>
                <w:rFonts w:asciiTheme="majorHAnsi" w:eastAsia="Arial" w:hAnsiTheme="majorHAnsi" w:cstheme="majorHAnsi"/>
                <w:sz w:val="20"/>
                <w:szCs w:val="20"/>
              </w:rPr>
              <w:t xml:space="preserve">Course evaluations are collected through the software </w:t>
            </w:r>
            <w:r w:rsidR="00B53A17" w:rsidRPr="00743A41">
              <w:rPr>
                <w:rFonts w:asciiTheme="majorHAnsi" w:eastAsia="Arial" w:hAnsiTheme="majorHAnsi" w:cstheme="majorHAnsi"/>
                <w:sz w:val="20"/>
                <w:szCs w:val="20"/>
              </w:rPr>
              <w:t>EvalKIT</w:t>
            </w:r>
            <w:r w:rsidRPr="00743A41">
              <w:rPr>
                <w:rFonts w:asciiTheme="majorHAnsi" w:eastAsia="Arial" w:hAnsiTheme="majorHAnsi" w:cstheme="majorHAnsi"/>
                <w:sz w:val="20"/>
                <w:szCs w:val="20"/>
              </w:rPr>
              <w:t xml:space="preserve"> by the director of instructional technology. Raw data are downloaded and analyzed by the director of academic affairs.  The question asks students to rate whether they</w:t>
            </w:r>
            <w:r w:rsidRPr="00743A41">
              <w:rPr>
                <w:rFonts w:asciiTheme="majorHAnsi" w:hAnsiTheme="majorHAnsi" w:cstheme="majorHAnsi"/>
                <w:bCs/>
                <w:sz w:val="20"/>
                <w:szCs w:val="20"/>
              </w:rPr>
              <w:t xml:space="preserve"> regularly received feedback in the class (e.g., graded work, comments) in time to be useful in their learning. Answers are recorded on a 5-point scale. The proportion of students who agree and strongly agree are reported.</w:t>
            </w:r>
          </w:p>
          <w:p w:rsidR="0010271E" w:rsidRPr="00743A41" w:rsidRDefault="0010271E" w:rsidP="00A37ED6">
            <w:pPr>
              <w:keepLines/>
              <w:rPr>
                <w:rFonts w:asciiTheme="majorHAnsi" w:hAnsiTheme="majorHAnsi" w:cstheme="majorHAnsi"/>
                <w:sz w:val="20"/>
                <w:szCs w:val="20"/>
              </w:rPr>
            </w:pP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review their own data after each semester. Department chairs review data for their faculty. The senior associate dean of academic and research affairs and her office review data annually to determine if there are any problems, and report to department chairs and the Academic Council.</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If policies need to be changed, policy decisions go through the Academic Council and SPHEC.</w:t>
            </w:r>
          </w:p>
          <w:p w:rsidR="0010271E" w:rsidRPr="00743A41" w:rsidRDefault="0010271E" w:rsidP="00A37ED6">
            <w:pPr>
              <w:keepLines/>
              <w:rPr>
                <w:rFonts w:asciiTheme="majorHAnsi" w:eastAsia="Arial" w:hAnsiTheme="majorHAnsi" w:cstheme="majorHAnsi"/>
                <w:b/>
                <w:sz w:val="20"/>
                <w:szCs w:val="20"/>
              </w:rPr>
            </w:pP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Curriculum coordinators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p w:rsidR="0010271E" w:rsidRPr="00743A41" w:rsidRDefault="0010271E" w:rsidP="00A37ED6">
            <w:pPr>
              <w:keepLines/>
              <w:rPr>
                <w:rFonts w:asciiTheme="majorHAnsi" w:eastAsia="Arial" w:hAnsiTheme="majorHAnsi" w:cstheme="majorHAnsi"/>
                <w:sz w:val="20"/>
                <w:szCs w:val="20"/>
              </w:rPr>
            </w:pPr>
          </w:p>
        </w:tc>
      </w:tr>
      <w:tr w:rsidR="0010271E" w:rsidRPr="00743A41" w:rsidTr="00673C36">
        <w:trPr>
          <w:gridAfter w:val="1"/>
          <w:wAfter w:w="15" w:type="dxa"/>
          <w:cantSplit/>
        </w:trPr>
        <w:tc>
          <w:tcPr>
            <w:tcW w:w="1620" w:type="dxa"/>
          </w:tcPr>
          <w:p w:rsidR="0010271E" w:rsidRPr="00743A41" w:rsidRDefault="0010271E"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Effectiveness of materials and methods used in the course</w:t>
            </w:r>
          </w:p>
        </w:tc>
        <w:tc>
          <w:tcPr>
            <w:tcW w:w="2610" w:type="dxa"/>
            <w:gridSpan w:val="2"/>
          </w:tcPr>
          <w:p w:rsidR="00FA5B3C"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Course evaluations are collected through the software </w:t>
            </w:r>
            <w:r w:rsidR="00B53A17" w:rsidRPr="00743A41">
              <w:rPr>
                <w:rFonts w:asciiTheme="majorHAnsi" w:eastAsia="Arial" w:hAnsiTheme="majorHAnsi" w:cstheme="majorHAnsi"/>
                <w:sz w:val="20"/>
                <w:szCs w:val="20"/>
              </w:rPr>
              <w:t>EvalKIT</w:t>
            </w:r>
            <w:r w:rsidRPr="00743A41">
              <w:rPr>
                <w:rFonts w:asciiTheme="majorHAnsi" w:eastAsia="Arial" w:hAnsiTheme="majorHAnsi" w:cstheme="majorHAnsi"/>
                <w:sz w:val="20"/>
                <w:szCs w:val="20"/>
              </w:rPr>
              <w:t xml:space="preserve"> by the director of instructional technology. Raw data are downloaded and analyzed by the director of academic affairs.  The question asks students to rate the effectiveness of the course materials.  </w:t>
            </w:r>
            <w:r w:rsidRPr="00743A41">
              <w:rPr>
                <w:rFonts w:asciiTheme="majorHAnsi" w:hAnsiTheme="majorHAnsi" w:cstheme="majorHAnsi"/>
                <w:bCs/>
                <w:sz w:val="20"/>
                <w:szCs w:val="20"/>
              </w:rPr>
              <w:t xml:space="preserve">Answers are recorded on a 5-point scale. The proportion of students who agree and strongly agree are reported. </w:t>
            </w:r>
            <w:r w:rsidRPr="00743A41">
              <w:rPr>
                <w:rFonts w:asciiTheme="majorHAnsi" w:eastAsia="Arial" w:hAnsiTheme="majorHAnsi" w:cstheme="majorHAnsi"/>
                <w:sz w:val="20"/>
                <w:szCs w:val="20"/>
              </w:rPr>
              <w:t>Data are analyzed each fall and spring.</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review their own data after each semester. Department chairs review data for their faculty. The senior associate dean of academic and research affairs and her office review data annually to determine if there are any problems, and report to department chairs and the Academic Council.</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If policies need to be changed, policy decisions go through the Academic Council and SPHEC.</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Curriculum coordinators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tc>
      </w:tr>
      <w:tr w:rsidR="0010271E" w:rsidRPr="00743A41" w:rsidTr="00F026B3">
        <w:trPr>
          <w:gridAfter w:val="1"/>
          <w:wAfter w:w="15" w:type="dxa"/>
          <w:cantSplit/>
        </w:trPr>
        <w:tc>
          <w:tcPr>
            <w:tcW w:w="9265" w:type="dxa"/>
            <w:gridSpan w:val="6"/>
            <w:shd w:val="clear" w:color="auto" w:fill="D9D9D9" w:themeFill="background1" w:themeFillShade="D9"/>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Times New Roman" w:hAnsiTheme="majorHAnsi" w:cstheme="majorHAnsi"/>
                <w:b/>
                <w:sz w:val="20"/>
                <w:szCs w:val="20"/>
              </w:rPr>
              <w:t>Student Success and Workforce Preparation</w:t>
            </w:r>
          </w:p>
        </w:tc>
      </w:tr>
      <w:tr w:rsidR="0010271E" w:rsidRPr="00743A41" w:rsidTr="00673C36">
        <w:trPr>
          <w:gridAfter w:val="1"/>
          <w:wAfter w:w="15" w:type="dxa"/>
          <w:cantSplit/>
        </w:trPr>
        <w:tc>
          <w:tcPr>
            <w:tcW w:w="1620" w:type="dxa"/>
          </w:tcPr>
          <w:p w:rsidR="0010271E" w:rsidRPr="00743A41" w:rsidRDefault="0010271E"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Student evaluations</w:t>
            </w:r>
          </w:p>
        </w:tc>
        <w:tc>
          <w:tcPr>
            <w:tcW w:w="2610"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hAnsiTheme="majorHAnsi" w:cstheme="majorHAnsi"/>
                <w:sz w:val="20"/>
                <w:szCs w:val="20"/>
              </w:rPr>
              <w:t xml:space="preserve">Student evaluations are conducted by students and their faculty advisor. Students and their faculty advisor complete the student evaluation form for their specific degree. The student evaluation form tracks student success, completion of coursework, and the milestones for degree completion. It also assesses if faculty have provided career counseling and discussed professional development opportunities. OAASS staff reviews the completeness of student evaluations. The OAASS reports the number of students who completed evaluations. </w:t>
            </w:r>
            <w:r w:rsidRPr="00743A41">
              <w:rPr>
                <w:rFonts w:asciiTheme="majorHAnsi" w:eastAsia="Arial" w:hAnsiTheme="majorHAnsi" w:cstheme="majorHAnsi"/>
                <w:sz w:val="20"/>
                <w:szCs w:val="20"/>
              </w:rPr>
              <w:t>Data are analyzed each fall and spring.</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OAASS reviews the data and if there are specific problems in completeness, the director of OAASS contacts department chairs. </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The Academic Council reviews if policies need to be modified.</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If policies need to be changed, policy decisions go through the Academic Council and SPHEC.</w:t>
            </w:r>
          </w:p>
          <w:p w:rsidR="0010271E" w:rsidRPr="00743A41" w:rsidRDefault="0010271E" w:rsidP="00A37ED6">
            <w:pPr>
              <w:keepLines/>
              <w:rPr>
                <w:rFonts w:asciiTheme="majorHAnsi" w:eastAsia="Arial" w:hAnsiTheme="majorHAnsi" w:cstheme="majorHAnsi"/>
                <w:sz w:val="20"/>
                <w:szCs w:val="20"/>
              </w:rPr>
            </w:pP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OAASS</w:t>
            </w:r>
          </w:p>
        </w:tc>
      </w:tr>
      <w:tr w:rsidR="0010271E" w:rsidRPr="00743A41" w:rsidTr="00673C36">
        <w:trPr>
          <w:gridAfter w:val="1"/>
          <w:wAfter w:w="15" w:type="dxa"/>
          <w:cantSplit/>
        </w:trPr>
        <w:tc>
          <w:tcPr>
            <w:tcW w:w="1620" w:type="dxa"/>
          </w:tcPr>
          <w:p w:rsidR="0010271E" w:rsidRPr="00743A41" w:rsidRDefault="0010271E"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Student report of poor grades, incompletes, and withdrawals</w:t>
            </w:r>
          </w:p>
        </w:tc>
        <w:tc>
          <w:tcPr>
            <w:tcW w:w="2610" w:type="dxa"/>
            <w:gridSpan w:val="2"/>
          </w:tcPr>
          <w:p w:rsidR="0010271E" w:rsidRPr="00743A41" w:rsidRDefault="0010271E"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Student grade data are downloaded by the senior business intelligence analyst to examine the number of incompletes, withdrawals, and grades below a “B.” Data are analyzed by student, faculty member, department, campus, and course to determine the performance of each of these categories. Data are analyzed each fall and spring.</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OAASS reviews the data and if there are specific problems, the director of OAASS contacts department chairs. </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The Academic Council reviews if policies need to be modified. </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Academic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OAASS</w:t>
            </w:r>
          </w:p>
          <w:p w:rsidR="0010271E" w:rsidRPr="00743A41" w:rsidRDefault="0010271E" w:rsidP="00A37ED6">
            <w:pPr>
              <w:keepLines/>
              <w:rPr>
                <w:rFonts w:asciiTheme="majorHAnsi" w:eastAsia="Arial" w:hAnsiTheme="majorHAnsi" w:cstheme="majorHAnsi"/>
                <w:sz w:val="20"/>
                <w:szCs w:val="20"/>
              </w:rPr>
            </w:pP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hAnsiTheme="majorHAnsi" w:cstheme="majorHAnsi"/>
                <w:bCs/>
                <w:sz w:val="20"/>
                <w:szCs w:val="20"/>
              </w:rPr>
              <w:t>Percentage of master’s and doctoral students who complete degree within 5 and 7 years of matriculation, respectively</w:t>
            </w:r>
          </w:p>
        </w:tc>
        <w:tc>
          <w:tcPr>
            <w:tcW w:w="2610"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Data on student time since matriculation are downloaded by the senior business intelligence analyst to examine the percentage of students who graduate in the 5- and 7-year timeframe. Data are analyzed in the fall, and reported to CEPH and ASPPH.</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OAASS reviews the data and if there are specific problems, the director of OAASS contacts department chairs. </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The Academic Council reviews if policies need to be modified. </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Academic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OAASS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Departments/Campuses</w:t>
            </w: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Preceptor satisfaction with MPH and DrPH student preparation in the practicum experience</w:t>
            </w:r>
          </w:p>
        </w:tc>
        <w:tc>
          <w:tcPr>
            <w:tcW w:w="2610"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hAnsiTheme="majorHAnsi" w:cstheme="majorHAnsi"/>
                <w:sz w:val="20"/>
                <w:szCs w:val="20"/>
              </w:rPr>
              <w:t xml:space="preserve">The Practicum Preceptor Survey asks practicum preceptors whether the student was well prepared to conduct the practicum and how well the </w:t>
            </w:r>
            <w:r w:rsidRPr="00743A41">
              <w:rPr>
                <w:rFonts w:asciiTheme="majorHAnsi" w:eastAsia="Arial" w:hAnsiTheme="majorHAnsi" w:cstheme="majorHAnsi"/>
                <w:sz w:val="20"/>
                <w:szCs w:val="20"/>
              </w:rPr>
              <w:t>school</w:t>
            </w:r>
            <w:r w:rsidRPr="00743A41">
              <w:rPr>
                <w:rFonts w:asciiTheme="majorHAnsi" w:hAnsiTheme="majorHAnsi" w:cstheme="majorHAnsi"/>
                <w:sz w:val="20"/>
                <w:szCs w:val="20"/>
              </w:rPr>
              <w:t xml:space="preserve"> prepared students for a public health job.  </w:t>
            </w:r>
            <w:r w:rsidRPr="00743A41">
              <w:rPr>
                <w:rFonts w:asciiTheme="majorHAnsi" w:eastAsia="Arial" w:hAnsiTheme="majorHAnsi" w:cstheme="majorHAnsi"/>
                <w:sz w:val="20"/>
                <w:szCs w:val="20"/>
              </w:rPr>
              <w:t xml:space="preserve">The Practicum Preceptor Survey is analyzed by the director of the Office of Public Health Practice. A report in the form of a PowerPoint presentation is developed and shared with the Practice Council annually. </w:t>
            </w:r>
          </w:p>
          <w:p w:rsidR="0010271E" w:rsidRPr="00743A41" w:rsidRDefault="0010271E" w:rsidP="00A37ED6">
            <w:pPr>
              <w:spacing w:after="120"/>
              <w:rPr>
                <w:rFonts w:asciiTheme="majorHAnsi"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The Office of Public Health Practice presents the data to the Practice Council, which reviews the data and makes recommendations.</w:t>
            </w:r>
          </w:p>
          <w:p w:rsidR="0010271E" w:rsidRPr="00743A41" w:rsidRDefault="0010271E" w:rsidP="00A37ED6">
            <w:pPr>
              <w:keepLines/>
              <w:rPr>
                <w:rFonts w:asciiTheme="majorHAnsi" w:eastAsia="Arial" w:hAnsiTheme="majorHAnsi" w:cstheme="majorHAnsi"/>
                <w:sz w:val="20"/>
                <w:szCs w:val="20"/>
              </w:rPr>
            </w:pP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Practice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Departments and Campuses</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Practice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Academic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MPH and DrPH student assessment of preparation in the practicum</w:t>
            </w:r>
          </w:p>
        </w:tc>
        <w:tc>
          <w:tcPr>
            <w:tcW w:w="2610"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The Student Practicum Perception Survey asks students about practicum characteristics, characteristics of their products, if they felt prepared for the practicum experience, competency attainment through the practicum experience, the effectiveness of the practicum in job preparation, and satisfaction with preceptor and faculty mentor. The Student Practicum Perception Survey is analyzed by the </w:t>
            </w: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director of the Office of Public Health Practice. A report in the form of a PowerPoint presentation is developed and shared with the Practice Council annually.</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The Office of Public Health Practice presents the data to the Practice Council, which reviews the data and makes recommendations.</w:t>
            </w:r>
          </w:p>
          <w:p w:rsidR="0010271E" w:rsidRPr="00743A41" w:rsidRDefault="0010271E" w:rsidP="00A37ED6">
            <w:pPr>
              <w:keepLines/>
              <w:rPr>
                <w:rFonts w:asciiTheme="majorHAnsi" w:eastAsia="Arial" w:hAnsiTheme="majorHAnsi" w:cstheme="majorHAnsi"/>
                <w:sz w:val="20"/>
                <w:szCs w:val="20"/>
              </w:rPr>
            </w:pP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Practice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Departments and Campuses</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Practice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Academic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p w:rsidR="0010271E" w:rsidRPr="00743A41" w:rsidRDefault="0010271E" w:rsidP="00A37ED6">
            <w:pPr>
              <w:keepLines/>
              <w:rPr>
                <w:rFonts w:asciiTheme="majorHAnsi" w:eastAsia="Arial" w:hAnsiTheme="majorHAnsi" w:cstheme="majorHAnsi"/>
                <w:sz w:val="20"/>
                <w:szCs w:val="20"/>
              </w:rPr>
            </w:pP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Practicum alignment with competencies and completion of required projects*</w:t>
            </w:r>
          </w:p>
        </w:tc>
        <w:tc>
          <w:tcPr>
            <w:tcW w:w="2610"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The Practicum Portal is collecting data on competencies and products for each student. The completeness of the practicum and alignment with competencies are reviewed by the Office of Public Health Practice and shared with the Practice Council annually.</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The Office of Public Health Practice presents the data to the Practice Council, which reviews the data and makes recommendations.</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Practice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Departments and Campuses</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Practice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Academic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p w:rsidR="0010271E" w:rsidRPr="00743A41" w:rsidRDefault="0010271E" w:rsidP="00A37ED6">
            <w:pPr>
              <w:keepLines/>
              <w:rPr>
                <w:rFonts w:asciiTheme="majorHAnsi" w:eastAsia="Arial" w:hAnsiTheme="majorHAnsi" w:cstheme="majorHAnsi"/>
                <w:sz w:val="20"/>
                <w:szCs w:val="20"/>
              </w:rPr>
            </w:pP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ILE alignment with competencies*</w:t>
            </w:r>
          </w:p>
        </w:tc>
        <w:tc>
          <w:tcPr>
            <w:tcW w:w="2610"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The ILE Completion Form is completed by the students, signed by their faculty, and verified by the manager of academic advising. Data will be generated every semester to analyze the quality of ILE products by faculty, department, and campus. </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OAASS will review and share data with department chairs and the Academic Council.</w:t>
            </w:r>
          </w:p>
          <w:p w:rsidR="0010271E" w:rsidRPr="00743A41" w:rsidRDefault="0010271E" w:rsidP="00A37ED6">
            <w:pPr>
              <w:keepLines/>
              <w:rPr>
                <w:rFonts w:asciiTheme="majorHAnsi" w:eastAsia="Arial" w:hAnsiTheme="majorHAnsi" w:cstheme="majorHAnsi"/>
                <w:sz w:val="20"/>
                <w:szCs w:val="20"/>
              </w:rPr>
            </w:pP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Academic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Curriculum coordinators</w:t>
            </w: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Report on preliminary exam passing rates</w:t>
            </w:r>
          </w:p>
        </w:tc>
        <w:tc>
          <w:tcPr>
            <w:tcW w:w="2610"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Spreadsheets are maintained by department staff. Summaries of preliminary exam results are tabulated for each exam administration as percentage passing, partially passing, and failing. Data are shared with the faculty after every exam administration. </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preliminary exam leads review the data, share the data with department chairs, and report back to the faculty at departmental meetings.</w:t>
            </w:r>
          </w:p>
          <w:p w:rsidR="0010271E" w:rsidRPr="00743A41" w:rsidRDefault="0010271E" w:rsidP="00A37ED6">
            <w:pPr>
              <w:keepLines/>
              <w:rPr>
                <w:rFonts w:asciiTheme="majorHAnsi" w:eastAsia="Arial" w:hAnsiTheme="majorHAnsi" w:cstheme="majorHAnsi"/>
                <w:sz w:val="20"/>
                <w:szCs w:val="20"/>
              </w:rPr>
            </w:pP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Academic Council </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preliminary exam chairs</w:t>
            </w: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Doctoral student preparation to conduct, communicate, and defend research*</w:t>
            </w:r>
          </w:p>
        </w:tc>
        <w:tc>
          <w:tcPr>
            <w:tcW w:w="2610"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The Dissertation Completion Rubric is a new rubric that scores the quality of the dissertation product. Students are rated using a 3-point scale (“not sufficient,” “sufficient,” and “outstanding”) on knowledge, design, and interpretation of results, implication of findings, communication, and the CEPH expectation for the final product. The Office of Research collects the form at the completion of each dissertation. Data are entered into a spreadsheet and summarized as a score. Scores will be compared over time to determine needed improvements in the curriculum and dissertation preparation. </w:t>
            </w:r>
          </w:p>
          <w:p w:rsidR="00241B8B" w:rsidRDefault="00241B8B" w:rsidP="00FB032A">
            <w:pPr>
              <w:keepLines/>
              <w:rPr>
                <w:rFonts w:asciiTheme="majorHAnsi" w:eastAsia="Arial" w:hAnsiTheme="majorHAnsi" w:cstheme="majorHAnsi"/>
                <w:sz w:val="20"/>
                <w:szCs w:val="20"/>
              </w:rPr>
            </w:pPr>
          </w:p>
          <w:p w:rsidR="00FB032A" w:rsidRDefault="00FB032A" w:rsidP="00FB032A">
            <w:pPr>
              <w:keepLines/>
              <w:rPr>
                <w:rFonts w:asciiTheme="majorHAnsi" w:eastAsia="Arial" w:hAnsiTheme="majorHAnsi" w:cstheme="majorHAnsi"/>
                <w:sz w:val="20"/>
                <w:szCs w:val="20"/>
              </w:rPr>
            </w:pPr>
          </w:p>
          <w:p w:rsidR="00FB032A" w:rsidRDefault="00FB032A" w:rsidP="00FB032A">
            <w:pPr>
              <w:keepLines/>
              <w:rPr>
                <w:rFonts w:asciiTheme="majorHAnsi" w:eastAsia="Arial" w:hAnsiTheme="majorHAnsi" w:cstheme="majorHAnsi"/>
                <w:sz w:val="20"/>
                <w:szCs w:val="20"/>
              </w:rPr>
            </w:pPr>
          </w:p>
          <w:p w:rsidR="00FB032A" w:rsidRDefault="00FB032A" w:rsidP="00FB032A">
            <w:pPr>
              <w:keepLines/>
              <w:rPr>
                <w:rFonts w:asciiTheme="majorHAnsi" w:eastAsia="Arial" w:hAnsiTheme="majorHAnsi" w:cstheme="majorHAnsi"/>
                <w:sz w:val="20"/>
                <w:szCs w:val="20"/>
              </w:rPr>
            </w:pPr>
          </w:p>
          <w:p w:rsidR="00FB032A" w:rsidRDefault="00FB032A" w:rsidP="00FB032A">
            <w:pPr>
              <w:keepLines/>
              <w:rPr>
                <w:rFonts w:asciiTheme="majorHAnsi" w:eastAsia="Arial" w:hAnsiTheme="majorHAnsi" w:cstheme="majorHAnsi"/>
                <w:sz w:val="20"/>
                <w:szCs w:val="20"/>
              </w:rPr>
            </w:pPr>
          </w:p>
          <w:p w:rsidR="00FB032A" w:rsidRDefault="00FB032A" w:rsidP="00FB032A">
            <w:pPr>
              <w:keepLines/>
              <w:rPr>
                <w:rFonts w:asciiTheme="majorHAnsi" w:eastAsia="Arial" w:hAnsiTheme="majorHAnsi" w:cstheme="majorHAnsi"/>
                <w:sz w:val="20"/>
                <w:szCs w:val="20"/>
              </w:rPr>
            </w:pPr>
          </w:p>
          <w:p w:rsidR="00FB032A" w:rsidRDefault="00FB032A" w:rsidP="00FB032A">
            <w:pPr>
              <w:keepLines/>
              <w:rPr>
                <w:rFonts w:asciiTheme="majorHAnsi" w:eastAsia="Arial" w:hAnsiTheme="majorHAnsi" w:cstheme="majorHAnsi"/>
                <w:sz w:val="20"/>
                <w:szCs w:val="20"/>
              </w:rPr>
            </w:pPr>
          </w:p>
          <w:p w:rsidR="00FB032A" w:rsidRDefault="00FB032A" w:rsidP="00FB032A">
            <w:pPr>
              <w:keepLines/>
              <w:rPr>
                <w:rFonts w:asciiTheme="majorHAnsi" w:eastAsia="Arial" w:hAnsiTheme="majorHAnsi" w:cstheme="majorHAnsi"/>
                <w:sz w:val="20"/>
                <w:szCs w:val="20"/>
              </w:rPr>
            </w:pPr>
          </w:p>
          <w:p w:rsidR="00FB032A" w:rsidRDefault="00FB032A" w:rsidP="00FB032A">
            <w:pPr>
              <w:keepLines/>
              <w:rPr>
                <w:rFonts w:asciiTheme="majorHAnsi" w:eastAsia="Arial" w:hAnsiTheme="majorHAnsi" w:cstheme="majorHAnsi"/>
                <w:sz w:val="20"/>
                <w:szCs w:val="20"/>
              </w:rPr>
            </w:pPr>
          </w:p>
          <w:p w:rsidR="00FB032A" w:rsidRPr="00743A41" w:rsidRDefault="00FB032A" w:rsidP="00FB032A">
            <w:pPr>
              <w:keepLines/>
              <w:rPr>
                <w:rFonts w:asciiTheme="majorHAnsi" w:eastAsia="Arial" w:hAnsiTheme="majorHAnsi" w:cstheme="majorHAnsi"/>
                <w:sz w:val="20"/>
                <w:szCs w:val="20"/>
              </w:rPr>
            </w:pP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OAASS reports the data to the Academic Council. </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Academic Council</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tc>
      </w:tr>
      <w:tr w:rsidR="0010271E" w:rsidRPr="00743A41" w:rsidTr="00F026B3">
        <w:trPr>
          <w:cantSplit/>
        </w:trPr>
        <w:tc>
          <w:tcPr>
            <w:tcW w:w="9280" w:type="dxa"/>
            <w:gridSpan w:val="7"/>
            <w:shd w:val="clear" w:color="auto" w:fill="E7E6E6" w:themeFill="background2"/>
          </w:tcPr>
          <w:p w:rsidR="0010271E" w:rsidRPr="00743A41" w:rsidRDefault="0010271E" w:rsidP="00A37ED6">
            <w:pPr>
              <w:keepLines/>
              <w:rPr>
                <w:rFonts w:asciiTheme="majorHAnsi" w:eastAsia="Arial" w:hAnsiTheme="majorHAnsi" w:cstheme="majorHAnsi"/>
                <w:b/>
                <w:sz w:val="20"/>
                <w:szCs w:val="20"/>
              </w:rPr>
            </w:pPr>
            <w:r w:rsidRPr="00743A41">
              <w:rPr>
                <w:rFonts w:asciiTheme="majorHAnsi" w:eastAsia="Arial" w:hAnsiTheme="majorHAnsi" w:cstheme="majorHAnsi"/>
                <w:b/>
                <w:sz w:val="20"/>
                <w:szCs w:val="20"/>
              </w:rPr>
              <w:t>Instructor and Advisor Availability and Effectiveness</w:t>
            </w: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Student perception of instructor effectiveness</w:t>
            </w:r>
          </w:p>
        </w:tc>
        <w:tc>
          <w:tcPr>
            <w:tcW w:w="2610"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The director of instructional technology collects course evaluations through the software </w:t>
            </w:r>
            <w:r w:rsidR="00B53A17" w:rsidRPr="00743A41">
              <w:rPr>
                <w:rFonts w:asciiTheme="majorHAnsi" w:eastAsia="Arial" w:hAnsiTheme="majorHAnsi" w:cstheme="majorHAnsi"/>
                <w:sz w:val="20"/>
                <w:szCs w:val="20"/>
              </w:rPr>
              <w:t>EvalKIT</w:t>
            </w:r>
            <w:r w:rsidRPr="00743A41">
              <w:rPr>
                <w:rFonts w:asciiTheme="majorHAnsi" w:eastAsia="Arial" w:hAnsiTheme="majorHAnsi" w:cstheme="majorHAnsi"/>
                <w:sz w:val="20"/>
                <w:szCs w:val="20"/>
              </w:rPr>
              <w:t xml:space="preserve">. The director of academic affairs downloads the data into an Excel file and summarizes the data. The question asks students to rate the overall effectiveness of the instructor. </w:t>
            </w:r>
            <w:r w:rsidRPr="00743A41">
              <w:rPr>
                <w:rFonts w:asciiTheme="majorHAnsi" w:hAnsiTheme="majorHAnsi" w:cstheme="majorHAnsi"/>
                <w:bCs/>
                <w:sz w:val="20"/>
                <w:szCs w:val="20"/>
              </w:rPr>
              <w:t xml:space="preserve">Answers are recorded on a 5-point scale. The proportion of students who rate the instructor as effective or very effective are summarized. </w:t>
            </w:r>
            <w:r w:rsidRPr="00743A41">
              <w:rPr>
                <w:rFonts w:asciiTheme="majorHAnsi" w:eastAsia="Arial" w:hAnsiTheme="majorHAnsi" w:cstheme="majorHAnsi"/>
                <w:sz w:val="20"/>
                <w:szCs w:val="20"/>
              </w:rPr>
              <w:t>Data are analyzed each fall and spring.</w:t>
            </w:r>
          </w:p>
          <w:p w:rsidR="0010271E" w:rsidRPr="00743A41" w:rsidRDefault="0010271E" w:rsidP="00A37ED6">
            <w:pPr>
              <w:keepLines/>
              <w:rPr>
                <w:rFonts w:asciiTheme="majorHAnsi" w:eastAsia="Arial" w:hAnsiTheme="majorHAnsi" w:cstheme="majorHAnsi"/>
                <w:sz w:val="20"/>
                <w:szCs w:val="20"/>
              </w:rPr>
            </w:pPr>
          </w:p>
        </w:tc>
        <w:tc>
          <w:tcPr>
            <w:tcW w:w="2070" w:type="dxa"/>
          </w:tcPr>
          <w:p w:rsidR="0010271E" w:rsidRPr="00743A41" w:rsidRDefault="0010271E" w:rsidP="00A37ED6">
            <w:pPr>
              <w:keepLines/>
              <w:rPr>
                <w:rFonts w:asciiTheme="majorHAnsi" w:hAnsiTheme="majorHAnsi" w:cstheme="majorHAnsi"/>
                <w:sz w:val="20"/>
                <w:szCs w:val="20"/>
              </w:rPr>
            </w:pPr>
            <w:r w:rsidRPr="00743A41">
              <w:rPr>
                <w:rFonts w:asciiTheme="majorHAnsi" w:eastAsia="Arial" w:hAnsiTheme="majorHAnsi" w:cstheme="majorHAnsi"/>
                <w:sz w:val="20"/>
                <w:szCs w:val="20"/>
              </w:rPr>
              <w:t>Faculty review their own data after each semester. Department chairs review data for their faculty. The senior associate dean of academic and research affairs and her office review data annually to determine if there are any problems, and report to department chairs and the Academic Council.</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Academic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b/>
                <w:sz w:val="20"/>
                <w:szCs w:val="20"/>
              </w:rPr>
            </w:pPr>
            <w:r w:rsidRPr="00743A41">
              <w:rPr>
                <w:rFonts w:asciiTheme="majorHAnsi" w:eastAsia="Arial" w:hAnsiTheme="majorHAnsi" w:cstheme="majorHAnsi"/>
                <w:sz w:val="20"/>
                <w:szCs w:val="20"/>
              </w:rPr>
              <w:t>SPHEC</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Instructor average scores on course evaluations</w:t>
            </w:r>
          </w:p>
        </w:tc>
        <w:tc>
          <w:tcPr>
            <w:tcW w:w="2610"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The director of instructional technology collects course evaluations through the software </w:t>
            </w:r>
            <w:r w:rsidR="00B53A17" w:rsidRPr="00743A41">
              <w:rPr>
                <w:rFonts w:asciiTheme="majorHAnsi" w:eastAsia="Arial" w:hAnsiTheme="majorHAnsi" w:cstheme="majorHAnsi"/>
                <w:sz w:val="20"/>
                <w:szCs w:val="20"/>
              </w:rPr>
              <w:t>EvalKIT</w:t>
            </w:r>
            <w:r w:rsidRPr="00743A41">
              <w:rPr>
                <w:rFonts w:asciiTheme="majorHAnsi" w:eastAsia="Arial" w:hAnsiTheme="majorHAnsi" w:cstheme="majorHAnsi"/>
                <w:sz w:val="20"/>
                <w:szCs w:val="20"/>
              </w:rPr>
              <w:t xml:space="preserve">. The average instructor rating is downloaded in the Annual Activity Report (AAR) portal. These scores are used in the peer evaluation process to rate instructional effectiveness. </w:t>
            </w:r>
          </w:p>
          <w:p w:rsidR="0010271E" w:rsidRPr="00743A41" w:rsidRDefault="0010271E" w:rsidP="00A37ED6">
            <w:pPr>
              <w:keepLines/>
              <w:rPr>
                <w:rFonts w:asciiTheme="majorHAnsi" w:eastAsia="Arial" w:hAnsiTheme="majorHAnsi" w:cstheme="majorHAnsi"/>
                <w:sz w:val="20"/>
                <w:szCs w:val="20"/>
              </w:rPr>
            </w:pP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peers and department chairs review the instructor evaluation effectiveness.</w:t>
            </w:r>
          </w:p>
          <w:p w:rsidR="0010271E" w:rsidRPr="00743A41" w:rsidRDefault="0010271E" w:rsidP="00A37ED6">
            <w:pPr>
              <w:keepLines/>
              <w:rPr>
                <w:rFonts w:asciiTheme="majorHAnsi" w:eastAsia="Arial" w:hAnsiTheme="majorHAnsi" w:cstheme="majorHAnsi"/>
                <w:b/>
                <w:sz w:val="20"/>
                <w:szCs w:val="20"/>
              </w:rPr>
            </w:pPr>
            <w:r w:rsidRPr="00743A41">
              <w:rPr>
                <w:rFonts w:asciiTheme="majorHAnsi" w:eastAsia="Arial" w:hAnsiTheme="majorHAnsi" w:cstheme="majorHAnsi"/>
                <w:sz w:val="20"/>
                <w:szCs w:val="20"/>
              </w:rPr>
              <w:t>Department chairs and campus deans meet with faculty every fall to review scores.</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Academic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b/>
                <w:sz w:val="20"/>
                <w:szCs w:val="20"/>
              </w:rPr>
            </w:pPr>
            <w:r w:rsidRPr="00743A41">
              <w:rPr>
                <w:rFonts w:asciiTheme="majorHAnsi" w:eastAsia="Arial" w:hAnsiTheme="majorHAnsi" w:cstheme="majorHAnsi"/>
                <w:sz w:val="20"/>
                <w:szCs w:val="20"/>
              </w:rPr>
              <w:t>SPHEC</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b/>
                <w:sz w:val="20"/>
                <w:szCs w:val="20"/>
              </w:rPr>
            </w:pPr>
            <w:r w:rsidRPr="00743A41">
              <w:rPr>
                <w:rFonts w:asciiTheme="majorHAnsi" w:eastAsia="Arial" w:hAnsiTheme="majorHAnsi" w:cstheme="majorHAnsi"/>
                <w:sz w:val="20"/>
                <w:szCs w:val="20"/>
              </w:rPr>
              <w:t>Department chairs</w:t>
            </w: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Annual reviews of faculty productivity in scholarship in relation to instruction</w:t>
            </w:r>
          </w:p>
        </w:tc>
        <w:tc>
          <w:tcPr>
            <w:tcW w:w="2610"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The director of instructional technology collects course evaluations through the software </w:t>
            </w:r>
            <w:r w:rsidR="00B53A17" w:rsidRPr="00743A41">
              <w:rPr>
                <w:rFonts w:asciiTheme="majorHAnsi" w:eastAsia="Arial" w:hAnsiTheme="majorHAnsi" w:cstheme="majorHAnsi"/>
                <w:sz w:val="20"/>
                <w:szCs w:val="20"/>
              </w:rPr>
              <w:t>EvalKIT</w:t>
            </w:r>
            <w:r w:rsidRPr="00743A41">
              <w:rPr>
                <w:rFonts w:asciiTheme="majorHAnsi" w:eastAsia="Arial" w:hAnsiTheme="majorHAnsi" w:cstheme="majorHAnsi"/>
                <w:sz w:val="20"/>
                <w:szCs w:val="20"/>
              </w:rPr>
              <w:t xml:space="preserve">. The average instructor rating is downloaded in the AAR portal. These scores are used in the peer evaluation process to rate instructional effectiveness. Faculty use this score and other information (teaching load, advising load, and descriptive teaching information) to rate each other on overall productivity in instruction.  Average scores for each faculty member are automatically generated and reported. Data are reported every fall. </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Department chairs and campus deans meet with faculty every fall to review scores. The associate dean for management summarizes the scores for each department and campus, and shares the information with department chairs and the dean. </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Advising ratio</w:t>
            </w:r>
          </w:p>
        </w:tc>
        <w:tc>
          <w:tcPr>
            <w:tcW w:w="2610"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The SPH IT team developed a data dashboard that generates data on faculty advising. Summary data are used by admissions coordinators and reported to department chairs. The senior business intelligence analyst develops a report of advising ratios by faculty, department, and campus. </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OAASS reviews the data annually and consults with the Academic Council and department chairs if issues emerge or if policies need to be modified.</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highlight w:val="yellow"/>
              </w:rPr>
            </w:pPr>
            <w:r w:rsidRPr="00743A41">
              <w:rPr>
                <w:rFonts w:asciiTheme="majorHAnsi" w:hAnsiTheme="majorHAnsi" w:cstheme="majorHAnsi"/>
                <w:bCs/>
                <w:sz w:val="20"/>
                <w:szCs w:val="20"/>
              </w:rPr>
              <w:t>Percentage</w:t>
            </w:r>
            <w:r w:rsidRPr="00743A41">
              <w:rPr>
                <w:rFonts w:asciiTheme="majorHAnsi" w:eastAsia="Arial" w:hAnsiTheme="majorHAnsi" w:cstheme="majorHAnsi"/>
                <w:sz w:val="20"/>
                <w:szCs w:val="20"/>
              </w:rPr>
              <w:t xml:space="preserve"> of graduates who strongly agreed or agreed that their faculty advisor was readily accessible</w:t>
            </w:r>
          </w:p>
        </w:tc>
        <w:tc>
          <w:tcPr>
            <w:tcW w:w="2610"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The Graduate Survey is administered using Qualtrics. The director of academic affairs downloads data and summarizes the percentage of graduates who responded “strongly agreed” or “agreed.” Data are analyzed annually. </w:t>
            </w:r>
          </w:p>
        </w:tc>
        <w:tc>
          <w:tcPr>
            <w:tcW w:w="2070" w:type="dxa"/>
          </w:tcPr>
          <w:p w:rsidR="0010271E" w:rsidRPr="00743A41" w:rsidRDefault="0010271E" w:rsidP="00A37ED6">
            <w:pPr>
              <w:rPr>
                <w:rFonts w:asciiTheme="majorHAnsi" w:hAnsiTheme="majorHAnsi" w:cstheme="majorHAnsi"/>
                <w:sz w:val="20"/>
                <w:szCs w:val="20"/>
              </w:rPr>
            </w:pPr>
            <w:r w:rsidRPr="00743A41">
              <w:rPr>
                <w:rFonts w:asciiTheme="majorHAnsi" w:eastAsia="Arial" w:hAnsiTheme="majorHAnsi" w:cstheme="majorHAnsi"/>
                <w:sz w:val="20"/>
                <w:szCs w:val="20"/>
              </w:rPr>
              <w:t>Data are reviewed by OAASS and reported to the Academic Council and the Alumni Advisory Council.</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Annual teaching evaluation by department chair and campus dean</w:t>
            </w: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 </w:t>
            </w:r>
          </w:p>
        </w:tc>
        <w:tc>
          <w:tcPr>
            <w:tcW w:w="2610"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A form completed by faculty and their department chair and, if applicable, campus dean. Ratings are sent to the Dean’s Office for review. Reviews are conducted annually after the fall semester. </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The dean reviews the data. Policy recommendations may come from the dean, department chairs, campus deans, or the Faculty Council.</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Dean’s Office</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 and Campus deans</w:t>
            </w:r>
          </w:p>
        </w:tc>
      </w:tr>
      <w:tr w:rsidR="0010271E" w:rsidRPr="00743A41" w:rsidTr="00673C36">
        <w:trPr>
          <w:gridAfter w:val="1"/>
          <w:wAfter w:w="15" w:type="dxa"/>
          <w:cantSplit/>
        </w:trPr>
        <w:tc>
          <w:tcPr>
            <w:tcW w:w="1620" w:type="dxa"/>
          </w:tcPr>
          <w:p w:rsidR="0010271E" w:rsidRPr="00743A41" w:rsidRDefault="009811DB"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Three-year faculty review</w:t>
            </w:r>
          </w:p>
        </w:tc>
        <w:tc>
          <w:tcPr>
            <w:tcW w:w="2610"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hAnsiTheme="majorHAnsi" w:cstheme="majorHAnsi"/>
                <w:sz w:val="20"/>
                <w:szCs w:val="20"/>
              </w:rPr>
              <w:t xml:space="preserve">The three-year review is a formal, evaluative process of tenure-track and non-tenured faculty to assess their progress toward tenure and promotion and to provide candid feedback and recommendations to the candidate and the dean. Each department chair and, if applicable, the campus dean, will implement a full review of the research, teaching, service, and overall progress towards tenure of each tenure-track faculty member after completion of the first 3 full fiscal years of service.  Data consist of written input from mentoring committee, a 3-page narrative, annual reviews, and peer reviews for the previous 3 years. </w:t>
            </w:r>
          </w:p>
        </w:tc>
        <w:tc>
          <w:tcPr>
            <w:tcW w:w="2070" w:type="dxa"/>
          </w:tcPr>
          <w:p w:rsidR="0010271E" w:rsidRPr="00743A41" w:rsidRDefault="0010271E"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 and campus deans review the data. The dean reviews the data of those reviewed annually.</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Council</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Dean’s Office and Department chairs</w:t>
            </w: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Six-year post-tenure review of faculty</w:t>
            </w:r>
          </w:p>
        </w:tc>
        <w:tc>
          <w:tcPr>
            <w:tcW w:w="2610" w:type="dxa"/>
            <w:gridSpan w:val="2"/>
          </w:tcPr>
          <w:p w:rsidR="0010271E" w:rsidRPr="00743A41" w:rsidRDefault="0010271E" w:rsidP="00A37ED6">
            <w:pPr>
              <w:rPr>
                <w:rFonts w:asciiTheme="majorHAnsi" w:hAnsiTheme="majorHAnsi" w:cstheme="majorHAnsi"/>
                <w:sz w:val="20"/>
                <w:szCs w:val="20"/>
              </w:rPr>
            </w:pPr>
            <w:r w:rsidRPr="00743A41">
              <w:rPr>
                <w:rFonts w:asciiTheme="majorHAnsi" w:eastAsia="Times New Roman" w:hAnsiTheme="majorHAnsi" w:cstheme="majorHAnsi"/>
                <w:sz w:val="20"/>
                <w:szCs w:val="20"/>
              </w:rPr>
              <w:t xml:space="preserve">Data used in the evaluations include an updated curriculum vita, AARs for the previous 6 academic years of work at UTHealth, and an optional narrative (1–3 pages long) highlighting accomplishments and/or explaining unique matters that should be considered when conducting the review. Each faculty member submits their data to the 6-year review committee. Faculty who are up for the review submit their information to committee in the fall. </w:t>
            </w:r>
          </w:p>
        </w:tc>
        <w:tc>
          <w:tcPr>
            <w:tcW w:w="2070" w:type="dxa"/>
          </w:tcPr>
          <w:p w:rsidR="0010271E" w:rsidRPr="00743A41" w:rsidRDefault="0010271E"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A 6-year review committee appointed by the Faculty Council.</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Faculty Council </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Dean’s Office</w:t>
            </w:r>
          </w:p>
        </w:tc>
      </w:tr>
      <w:tr w:rsidR="0010271E" w:rsidRPr="00743A41" w:rsidTr="00F026B3">
        <w:trPr>
          <w:cantSplit/>
        </w:trPr>
        <w:tc>
          <w:tcPr>
            <w:tcW w:w="9280" w:type="dxa"/>
            <w:gridSpan w:val="7"/>
            <w:shd w:val="clear" w:color="auto" w:fill="E7E6E6" w:themeFill="background2"/>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b/>
                <w:sz w:val="20"/>
                <w:szCs w:val="20"/>
              </w:rPr>
              <w:t>Graduate Profile</w:t>
            </w: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hAnsiTheme="majorHAnsi" w:cstheme="majorHAnsi"/>
                <w:bCs/>
                <w:sz w:val="20"/>
                <w:szCs w:val="20"/>
              </w:rPr>
              <w:t>Percentage</w:t>
            </w:r>
            <w:r w:rsidRPr="00743A41">
              <w:rPr>
                <w:rFonts w:asciiTheme="majorHAnsi" w:eastAsia="Arial" w:hAnsiTheme="majorHAnsi" w:cstheme="majorHAnsi"/>
                <w:sz w:val="20"/>
                <w:szCs w:val="20"/>
              </w:rPr>
              <w:t xml:space="preserve"> of graduates who said that their </w:t>
            </w:r>
            <w:r w:rsidRPr="00743A41">
              <w:rPr>
                <w:rFonts w:asciiTheme="majorHAnsi" w:hAnsiTheme="majorHAnsi" w:cstheme="majorHAnsi"/>
                <w:sz w:val="20"/>
                <w:szCs w:val="20"/>
              </w:rPr>
              <w:t>education at UTHealth School of Public Health prepared them to meet the demands of their current or first public health-related job</w:t>
            </w:r>
          </w:p>
        </w:tc>
        <w:tc>
          <w:tcPr>
            <w:tcW w:w="2610"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The Graduate Survey is administered using Qualtrics. The director of academic affairs downloads the data and summarizes the percentage of graduates who responded yes. Data are summarized annually.</w:t>
            </w:r>
          </w:p>
        </w:tc>
        <w:tc>
          <w:tcPr>
            <w:tcW w:w="2070" w:type="dxa"/>
          </w:tcPr>
          <w:p w:rsidR="0010271E" w:rsidRPr="00743A41" w:rsidRDefault="0010271E" w:rsidP="00A37ED6">
            <w:pPr>
              <w:rPr>
                <w:rFonts w:asciiTheme="majorHAnsi" w:hAnsiTheme="majorHAnsi" w:cstheme="majorHAnsi"/>
                <w:sz w:val="20"/>
                <w:szCs w:val="20"/>
              </w:rPr>
            </w:pPr>
            <w:r w:rsidRPr="00743A41">
              <w:rPr>
                <w:rFonts w:asciiTheme="majorHAnsi" w:eastAsia="Arial" w:hAnsiTheme="majorHAnsi" w:cstheme="majorHAnsi"/>
                <w:sz w:val="20"/>
                <w:szCs w:val="20"/>
              </w:rPr>
              <w:t xml:space="preserve">Data are reviewed by OAASS and reported to the Academic Council and the Alumni Advisory Council annually. </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Academic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b/>
                <w:sz w:val="20"/>
                <w:szCs w:val="20"/>
              </w:rPr>
            </w:pPr>
            <w:r w:rsidRPr="00743A41">
              <w:rPr>
                <w:rFonts w:asciiTheme="majorHAnsi" w:eastAsia="Arial" w:hAnsiTheme="majorHAnsi" w:cstheme="majorHAnsi"/>
                <w:sz w:val="20"/>
                <w:szCs w:val="20"/>
              </w:rPr>
              <w:t>SPHEC</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OAASS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Departments/Campuses</w:t>
            </w:r>
          </w:p>
          <w:p w:rsidR="0010271E" w:rsidRPr="00743A41" w:rsidRDefault="0010271E" w:rsidP="00A37ED6">
            <w:pPr>
              <w:keepLines/>
              <w:rPr>
                <w:rFonts w:asciiTheme="majorHAnsi" w:eastAsia="Arial" w:hAnsiTheme="majorHAnsi" w:cstheme="majorHAnsi"/>
                <w:b/>
                <w:sz w:val="20"/>
                <w:szCs w:val="20"/>
              </w:rPr>
            </w:pP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hAnsiTheme="majorHAnsi" w:cstheme="majorHAnsi"/>
                <w:bCs/>
                <w:sz w:val="20"/>
                <w:szCs w:val="20"/>
              </w:rPr>
              <w:t>Percentage</w:t>
            </w:r>
            <w:r w:rsidRPr="00743A41">
              <w:rPr>
                <w:rFonts w:asciiTheme="majorHAnsi" w:eastAsia="Arial" w:hAnsiTheme="majorHAnsi" w:cstheme="majorHAnsi"/>
                <w:sz w:val="20"/>
                <w:szCs w:val="20"/>
              </w:rPr>
              <w:t xml:space="preserve"> of graduates who are working in public health</w:t>
            </w:r>
          </w:p>
        </w:tc>
        <w:tc>
          <w:tcPr>
            <w:tcW w:w="2610" w:type="dxa"/>
            <w:gridSpan w:val="2"/>
          </w:tcPr>
          <w:p w:rsidR="0010271E" w:rsidRPr="00743A41" w:rsidRDefault="0010271E" w:rsidP="00A37ED6">
            <w:pPr>
              <w:keepLines/>
              <w:rPr>
                <w:rFonts w:asciiTheme="majorHAnsi" w:eastAsia="Arial" w:hAnsiTheme="majorHAnsi" w:cstheme="majorHAnsi"/>
                <w:b/>
                <w:sz w:val="20"/>
                <w:szCs w:val="20"/>
              </w:rPr>
            </w:pPr>
            <w:r w:rsidRPr="00743A41">
              <w:rPr>
                <w:rFonts w:asciiTheme="majorHAnsi" w:eastAsia="Arial" w:hAnsiTheme="majorHAnsi" w:cstheme="majorHAnsi"/>
                <w:sz w:val="20"/>
                <w:szCs w:val="20"/>
              </w:rPr>
              <w:t>The Graduate Survey is administered using Qualtrics. The director of academic affairs downloads the data and summarizes the percentage of graduates by employment sector. Data are summarized annually.</w:t>
            </w:r>
          </w:p>
        </w:tc>
        <w:tc>
          <w:tcPr>
            <w:tcW w:w="2070" w:type="dxa"/>
          </w:tcPr>
          <w:p w:rsidR="0010271E" w:rsidRPr="00743A41" w:rsidRDefault="0010271E" w:rsidP="00A37ED6">
            <w:pPr>
              <w:rPr>
                <w:rFonts w:asciiTheme="majorHAnsi" w:eastAsia="Arial" w:hAnsiTheme="majorHAnsi" w:cstheme="majorHAnsi"/>
                <w:b/>
                <w:sz w:val="20"/>
                <w:szCs w:val="20"/>
              </w:rPr>
            </w:pPr>
            <w:r w:rsidRPr="00743A41">
              <w:rPr>
                <w:rFonts w:asciiTheme="majorHAnsi" w:eastAsia="Arial" w:hAnsiTheme="majorHAnsi" w:cstheme="majorHAnsi"/>
                <w:sz w:val="20"/>
                <w:szCs w:val="20"/>
              </w:rPr>
              <w:t xml:space="preserve">Data are reviewed by Career and Alumni Services, and reported to the Academic Council, the </w:t>
            </w:r>
            <w:r w:rsidR="00F066B6" w:rsidRPr="00743A41">
              <w:rPr>
                <w:rFonts w:asciiTheme="majorHAnsi" w:eastAsia="Arial" w:hAnsiTheme="majorHAnsi" w:cstheme="majorHAnsi"/>
                <w:sz w:val="20"/>
                <w:szCs w:val="20"/>
              </w:rPr>
              <w:t xml:space="preserve">School-Wide </w:t>
            </w:r>
            <w:r w:rsidRPr="00743A41">
              <w:rPr>
                <w:rFonts w:asciiTheme="majorHAnsi" w:eastAsia="Arial" w:hAnsiTheme="majorHAnsi" w:cstheme="majorHAnsi"/>
                <w:sz w:val="20"/>
                <w:szCs w:val="20"/>
              </w:rPr>
              <w:t>Admissions Committee, and the Alumni Advisory Council.</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Academic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Practice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b/>
                <w:sz w:val="20"/>
                <w:szCs w:val="20"/>
              </w:rPr>
            </w:pP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OAASS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Departments/Campuses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Alumni Advisory Council</w:t>
            </w: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hAnsiTheme="majorHAnsi" w:cstheme="majorHAnsi"/>
                <w:bCs/>
                <w:sz w:val="20"/>
                <w:szCs w:val="20"/>
              </w:rPr>
              <w:t>Percentage</w:t>
            </w:r>
            <w:r w:rsidRPr="00743A41">
              <w:rPr>
                <w:rFonts w:asciiTheme="majorHAnsi" w:eastAsia="Arial" w:hAnsiTheme="majorHAnsi" w:cstheme="majorHAnsi"/>
                <w:sz w:val="20"/>
                <w:szCs w:val="20"/>
              </w:rPr>
              <w:t xml:space="preserve"> of graduates who are working in public health</w:t>
            </w: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in Texas, the U.S., and outside the U.S.</w:t>
            </w:r>
          </w:p>
        </w:tc>
        <w:tc>
          <w:tcPr>
            <w:tcW w:w="2610"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The Graduate Survey is administered using Qualtrics. The director of academic affairs downloads the data and summarizes the percentage of graduates by geographic location. Data are summarized annually.</w:t>
            </w:r>
          </w:p>
          <w:p w:rsidR="004977A8" w:rsidRPr="00743A41" w:rsidRDefault="004977A8" w:rsidP="00A37ED6">
            <w:pPr>
              <w:keepLines/>
              <w:rPr>
                <w:rFonts w:asciiTheme="majorHAnsi" w:eastAsia="Arial" w:hAnsiTheme="majorHAnsi" w:cstheme="majorHAnsi"/>
                <w:b/>
                <w:sz w:val="20"/>
                <w:szCs w:val="20"/>
              </w:rPr>
            </w:pPr>
          </w:p>
        </w:tc>
        <w:tc>
          <w:tcPr>
            <w:tcW w:w="2070" w:type="dxa"/>
          </w:tcPr>
          <w:p w:rsidR="0010271E" w:rsidRPr="00743A41" w:rsidRDefault="0010271E" w:rsidP="00A37ED6">
            <w:pPr>
              <w:rPr>
                <w:rFonts w:asciiTheme="majorHAnsi" w:eastAsia="Arial" w:hAnsiTheme="majorHAnsi" w:cstheme="majorHAnsi"/>
                <w:b/>
                <w:sz w:val="20"/>
                <w:szCs w:val="20"/>
              </w:rPr>
            </w:pPr>
            <w:r w:rsidRPr="00743A41">
              <w:rPr>
                <w:rFonts w:asciiTheme="majorHAnsi" w:eastAsia="Arial" w:hAnsiTheme="majorHAnsi" w:cstheme="majorHAnsi"/>
                <w:sz w:val="20"/>
                <w:szCs w:val="20"/>
              </w:rPr>
              <w:t>Data are reviewed by OAASS, and reported to the Academic Council and the Alumni Advisory Council.</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Academic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b/>
                <w:sz w:val="20"/>
                <w:szCs w:val="20"/>
              </w:rPr>
            </w:pPr>
            <w:r w:rsidRPr="00743A41">
              <w:rPr>
                <w:rFonts w:asciiTheme="majorHAnsi" w:eastAsia="Arial" w:hAnsiTheme="majorHAnsi" w:cstheme="majorHAnsi"/>
                <w:sz w:val="20"/>
                <w:szCs w:val="20"/>
              </w:rPr>
              <w:t>SPHEC</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OAASS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b/>
                <w:sz w:val="20"/>
                <w:szCs w:val="20"/>
              </w:rPr>
            </w:pPr>
            <w:r w:rsidRPr="00743A41">
              <w:rPr>
                <w:rFonts w:asciiTheme="majorHAnsi" w:eastAsia="Arial" w:hAnsiTheme="majorHAnsi" w:cstheme="majorHAnsi"/>
                <w:sz w:val="20"/>
                <w:szCs w:val="20"/>
              </w:rPr>
              <w:t>Departments/Campuses</w:t>
            </w:r>
          </w:p>
        </w:tc>
      </w:tr>
      <w:tr w:rsidR="0010271E" w:rsidRPr="00743A41" w:rsidTr="00F026B3">
        <w:trPr>
          <w:cantSplit/>
        </w:trPr>
        <w:tc>
          <w:tcPr>
            <w:tcW w:w="9280" w:type="dxa"/>
            <w:gridSpan w:val="7"/>
            <w:shd w:val="clear" w:color="auto" w:fill="E7E6E6" w:themeFill="background2"/>
          </w:tcPr>
          <w:p w:rsidR="0010271E" w:rsidRPr="00743A41" w:rsidRDefault="0010271E" w:rsidP="00A37ED6">
            <w:pPr>
              <w:keepLines/>
              <w:rPr>
                <w:rFonts w:asciiTheme="majorHAnsi" w:eastAsia="Arial" w:hAnsiTheme="majorHAnsi" w:cstheme="majorHAnsi"/>
                <w:b/>
                <w:sz w:val="20"/>
                <w:szCs w:val="20"/>
              </w:rPr>
            </w:pPr>
            <w:r w:rsidRPr="00743A41">
              <w:rPr>
                <w:rFonts w:asciiTheme="majorHAnsi" w:eastAsia="Arial" w:hAnsiTheme="majorHAnsi" w:cstheme="majorHAnsi"/>
                <w:b/>
                <w:sz w:val="20"/>
                <w:szCs w:val="20"/>
              </w:rPr>
              <w:t>Alumni Satisfaction with Workforce Preparation</w:t>
            </w: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hAnsiTheme="majorHAnsi" w:cstheme="majorHAnsi"/>
                <w:bCs/>
                <w:sz w:val="20"/>
                <w:szCs w:val="20"/>
              </w:rPr>
              <w:t>Percentage of alumni who agreed or strongly agreed that they acquired the competencies to advance the field of public health</w:t>
            </w:r>
          </w:p>
        </w:tc>
        <w:tc>
          <w:tcPr>
            <w:tcW w:w="2610"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The Alumni Survey is administered using Qualtrics. Career and Alumni Services staff download the data and report on those who agree or strongly agree that they acquired competency. Data are summarized annually.</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Data are reviewed by the senior associate dean of academic and research affairs, and shared with the Academic Council, the Practice Council, and the Alumni Advisory Council.</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Academic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Practice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OAASS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Departments/Campuses</w:t>
            </w: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hAnsiTheme="majorHAnsi" w:cstheme="majorHAnsi"/>
                <w:bCs/>
                <w:sz w:val="20"/>
                <w:szCs w:val="20"/>
              </w:rPr>
              <w:t xml:space="preserve">Percentage of alumni who said that the </w:t>
            </w:r>
            <w:r w:rsidRPr="00743A41">
              <w:rPr>
                <w:rFonts w:asciiTheme="majorHAnsi" w:hAnsiTheme="majorHAnsi" w:cstheme="majorHAnsi"/>
                <w:sz w:val="20"/>
                <w:szCs w:val="20"/>
              </w:rPr>
              <w:t>UTHealth School of Public Health</w:t>
            </w:r>
            <w:r w:rsidRPr="00743A41">
              <w:rPr>
                <w:rFonts w:asciiTheme="majorHAnsi" w:hAnsiTheme="majorHAnsi" w:cstheme="majorHAnsi"/>
                <w:bCs/>
                <w:sz w:val="20"/>
                <w:szCs w:val="20"/>
              </w:rPr>
              <w:t xml:space="preserve"> prepared them for the demands of their job</w:t>
            </w:r>
          </w:p>
        </w:tc>
        <w:tc>
          <w:tcPr>
            <w:tcW w:w="2610"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The Alumni Survey is administered using Qualtrics. Career and Alumni Services staff download the data and report on those who responded yes. Data are summarized annually.</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Data are reviewed by the senior associate dean of academic and research affairs, and shared with the Academic Council, the Practice Council, and the Alumni Advisory Council.</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Academic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Practice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OAASS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Departments/Campuses</w:t>
            </w:r>
          </w:p>
        </w:tc>
      </w:tr>
      <w:tr w:rsidR="0010271E" w:rsidRPr="00743A41" w:rsidTr="00673C36">
        <w:trPr>
          <w:gridAfter w:val="1"/>
          <w:wAfter w:w="15" w:type="dxa"/>
          <w:cantSplit/>
        </w:trPr>
        <w:tc>
          <w:tcPr>
            <w:tcW w:w="1620" w:type="dxa"/>
          </w:tcPr>
          <w:p w:rsidR="0010271E" w:rsidRPr="00743A41" w:rsidRDefault="0010271E" w:rsidP="00A37ED6">
            <w:pPr>
              <w:keepLines/>
              <w:autoSpaceDE w:val="0"/>
              <w:autoSpaceDN w:val="0"/>
              <w:adjustRightInd w:val="0"/>
              <w:ind w:right="60"/>
              <w:rPr>
                <w:rFonts w:asciiTheme="majorHAnsi" w:hAnsiTheme="majorHAnsi" w:cstheme="majorHAnsi"/>
                <w:bCs/>
                <w:sz w:val="20"/>
                <w:szCs w:val="20"/>
              </w:rPr>
            </w:pPr>
            <w:r w:rsidRPr="00743A41">
              <w:rPr>
                <w:rFonts w:asciiTheme="majorHAnsi" w:hAnsiTheme="majorHAnsi" w:cstheme="majorHAnsi"/>
                <w:bCs/>
                <w:sz w:val="20"/>
                <w:szCs w:val="20"/>
              </w:rPr>
              <w:t xml:space="preserve">Percentage of alumni who rated the </w:t>
            </w:r>
            <w:r w:rsidRPr="00743A41">
              <w:rPr>
                <w:rFonts w:asciiTheme="majorHAnsi" w:hAnsiTheme="majorHAnsi" w:cstheme="majorHAnsi"/>
                <w:sz w:val="20"/>
                <w:szCs w:val="20"/>
              </w:rPr>
              <w:t>UTHealth School of Public Health </w:t>
            </w:r>
            <w:r w:rsidRPr="00743A41">
              <w:rPr>
                <w:rFonts w:asciiTheme="majorHAnsi" w:hAnsiTheme="majorHAnsi" w:cstheme="majorHAnsi"/>
                <w:bCs/>
                <w:sz w:val="20"/>
                <w:szCs w:val="20"/>
              </w:rPr>
              <w:t>as excellent or good in developing or improving skills in:</w:t>
            </w:r>
          </w:p>
          <w:p w:rsidR="0010271E" w:rsidRPr="00743A41" w:rsidRDefault="0010271E" w:rsidP="00A37ED6">
            <w:pPr>
              <w:pStyle w:val="ListParagraph"/>
              <w:keepLines/>
              <w:numPr>
                <w:ilvl w:val="0"/>
                <w:numId w:val="143"/>
              </w:numPr>
              <w:autoSpaceDE w:val="0"/>
              <w:autoSpaceDN w:val="0"/>
              <w:adjustRightInd w:val="0"/>
              <w:ind w:left="160" w:right="60" w:hanging="180"/>
              <w:contextualSpacing/>
              <w:rPr>
                <w:rFonts w:asciiTheme="majorHAnsi" w:hAnsiTheme="majorHAnsi" w:cstheme="majorHAnsi"/>
                <w:bCs/>
                <w:szCs w:val="20"/>
              </w:rPr>
            </w:pPr>
            <w:r w:rsidRPr="00743A41">
              <w:rPr>
                <w:rFonts w:asciiTheme="majorHAnsi" w:hAnsiTheme="majorHAnsi" w:cstheme="majorHAnsi"/>
                <w:bCs/>
                <w:szCs w:val="20"/>
              </w:rPr>
              <w:t>writing clearly and effectively</w:t>
            </w:r>
          </w:p>
          <w:p w:rsidR="0010271E" w:rsidRPr="00743A41" w:rsidRDefault="0010271E" w:rsidP="00A37ED6">
            <w:pPr>
              <w:pStyle w:val="ListParagraph"/>
              <w:keepLines/>
              <w:numPr>
                <w:ilvl w:val="0"/>
                <w:numId w:val="143"/>
              </w:numPr>
              <w:autoSpaceDE w:val="0"/>
              <w:autoSpaceDN w:val="0"/>
              <w:adjustRightInd w:val="0"/>
              <w:ind w:left="160" w:right="60" w:hanging="180"/>
              <w:contextualSpacing/>
              <w:rPr>
                <w:rFonts w:asciiTheme="majorHAnsi" w:hAnsiTheme="majorHAnsi" w:cstheme="majorHAnsi"/>
                <w:bCs/>
                <w:szCs w:val="20"/>
              </w:rPr>
            </w:pPr>
            <w:r w:rsidRPr="00743A41">
              <w:rPr>
                <w:rFonts w:asciiTheme="majorHAnsi" w:hAnsiTheme="majorHAnsi" w:cstheme="majorHAnsi"/>
                <w:bCs/>
                <w:szCs w:val="20"/>
              </w:rPr>
              <w:t>speaking clearly and effectively</w:t>
            </w:r>
          </w:p>
          <w:p w:rsidR="0010271E" w:rsidRPr="00743A41" w:rsidRDefault="0010271E" w:rsidP="00A37ED6">
            <w:pPr>
              <w:pStyle w:val="ListParagraph"/>
              <w:keepLines/>
              <w:numPr>
                <w:ilvl w:val="0"/>
                <w:numId w:val="143"/>
              </w:numPr>
              <w:autoSpaceDE w:val="0"/>
              <w:autoSpaceDN w:val="0"/>
              <w:adjustRightInd w:val="0"/>
              <w:ind w:left="160" w:right="60" w:hanging="180"/>
              <w:contextualSpacing/>
              <w:rPr>
                <w:rFonts w:asciiTheme="majorHAnsi" w:hAnsiTheme="majorHAnsi" w:cstheme="majorHAnsi"/>
                <w:bCs/>
                <w:szCs w:val="20"/>
              </w:rPr>
            </w:pPr>
            <w:r w:rsidRPr="00743A41">
              <w:rPr>
                <w:rFonts w:asciiTheme="majorHAnsi" w:hAnsiTheme="majorHAnsi" w:cstheme="majorHAnsi"/>
                <w:bCs/>
                <w:szCs w:val="20"/>
              </w:rPr>
              <w:t>problem-solving</w:t>
            </w:r>
          </w:p>
          <w:p w:rsidR="0010271E" w:rsidRPr="00743A41" w:rsidRDefault="0010271E" w:rsidP="00A37ED6">
            <w:pPr>
              <w:pStyle w:val="ListParagraph"/>
              <w:keepLines/>
              <w:numPr>
                <w:ilvl w:val="0"/>
                <w:numId w:val="143"/>
              </w:numPr>
              <w:autoSpaceDE w:val="0"/>
              <w:autoSpaceDN w:val="0"/>
              <w:adjustRightInd w:val="0"/>
              <w:ind w:left="160" w:right="60" w:hanging="180"/>
              <w:contextualSpacing/>
              <w:rPr>
                <w:rFonts w:asciiTheme="majorHAnsi" w:hAnsiTheme="majorHAnsi" w:cstheme="majorHAnsi"/>
                <w:bCs/>
                <w:szCs w:val="20"/>
              </w:rPr>
            </w:pPr>
            <w:r w:rsidRPr="00743A41">
              <w:rPr>
                <w:rFonts w:asciiTheme="majorHAnsi" w:hAnsiTheme="majorHAnsi" w:cstheme="majorHAnsi"/>
                <w:bCs/>
                <w:szCs w:val="20"/>
              </w:rPr>
              <w:t>making evidence-based decisions</w:t>
            </w:r>
          </w:p>
          <w:p w:rsidR="0010271E" w:rsidRPr="00743A41" w:rsidRDefault="0010271E" w:rsidP="00A37ED6">
            <w:pPr>
              <w:pStyle w:val="ListParagraph"/>
              <w:keepLines/>
              <w:numPr>
                <w:ilvl w:val="0"/>
                <w:numId w:val="143"/>
              </w:numPr>
              <w:autoSpaceDE w:val="0"/>
              <w:autoSpaceDN w:val="0"/>
              <w:adjustRightInd w:val="0"/>
              <w:ind w:left="160" w:right="60" w:hanging="180"/>
              <w:contextualSpacing/>
              <w:rPr>
                <w:rFonts w:asciiTheme="majorHAnsi" w:hAnsiTheme="majorHAnsi" w:cstheme="majorHAnsi"/>
                <w:bCs/>
                <w:szCs w:val="20"/>
              </w:rPr>
            </w:pPr>
            <w:r w:rsidRPr="00743A41">
              <w:rPr>
                <w:rFonts w:asciiTheme="majorHAnsi" w:hAnsiTheme="majorHAnsi" w:cstheme="majorHAnsi"/>
                <w:bCs/>
                <w:szCs w:val="20"/>
              </w:rPr>
              <w:t>analyzing and interpreting data</w:t>
            </w:r>
          </w:p>
          <w:p w:rsidR="0010271E" w:rsidRPr="00743A41" w:rsidRDefault="0010271E" w:rsidP="00A37ED6">
            <w:pPr>
              <w:pStyle w:val="ListParagraph"/>
              <w:keepLines/>
              <w:numPr>
                <w:ilvl w:val="0"/>
                <w:numId w:val="143"/>
              </w:numPr>
              <w:autoSpaceDE w:val="0"/>
              <w:autoSpaceDN w:val="0"/>
              <w:adjustRightInd w:val="0"/>
              <w:ind w:left="160" w:right="60" w:hanging="180"/>
              <w:contextualSpacing/>
              <w:rPr>
                <w:rFonts w:asciiTheme="majorHAnsi" w:hAnsiTheme="majorHAnsi" w:cstheme="majorHAnsi"/>
                <w:bCs/>
                <w:szCs w:val="20"/>
              </w:rPr>
            </w:pPr>
            <w:r w:rsidRPr="00743A41">
              <w:rPr>
                <w:rFonts w:asciiTheme="majorHAnsi" w:hAnsiTheme="majorHAnsi" w:cstheme="majorHAnsi"/>
                <w:bCs/>
                <w:szCs w:val="20"/>
              </w:rPr>
              <w:t>working cooperatively as a part of a group</w:t>
            </w:r>
          </w:p>
          <w:p w:rsidR="0010271E" w:rsidRPr="00743A41" w:rsidRDefault="0010271E" w:rsidP="00A37ED6">
            <w:pPr>
              <w:pStyle w:val="ListParagraph"/>
              <w:keepLines/>
              <w:numPr>
                <w:ilvl w:val="0"/>
                <w:numId w:val="143"/>
              </w:numPr>
              <w:autoSpaceDE w:val="0"/>
              <w:autoSpaceDN w:val="0"/>
              <w:adjustRightInd w:val="0"/>
              <w:ind w:left="160" w:right="60" w:hanging="180"/>
              <w:contextualSpacing/>
              <w:rPr>
                <w:rFonts w:asciiTheme="majorHAnsi" w:hAnsiTheme="majorHAnsi" w:cstheme="majorHAnsi"/>
                <w:bCs/>
                <w:szCs w:val="20"/>
              </w:rPr>
            </w:pPr>
            <w:r w:rsidRPr="00743A41">
              <w:rPr>
                <w:rFonts w:asciiTheme="majorHAnsi" w:hAnsiTheme="majorHAnsi" w:cstheme="majorHAnsi"/>
                <w:bCs/>
                <w:szCs w:val="20"/>
              </w:rPr>
              <w:t>making ethical decisions</w:t>
            </w:r>
          </w:p>
        </w:tc>
        <w:tc>
          <w:tcPr>
            <w:tcW w:w="2610"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The Alumni Survey is administered using Qualtrics. Career and Alumni Services staff download the data and report on those who agree or strongly agree that they acquired each competency. Data are summarized annually.</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Data are reviewed by the senior associate dean of academic and research affairs, and shared with the Academic Council, the Practice Council, and the Alumni Advisory Council.</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Academic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Practice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OAASS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Departments/Campuses</w:t>
            </w: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hAnsiTheme="majorHAnsi" w:cstheme="majorHAnsi"/>
                <w:bCs/>
                <w:sz w:val="20"/>
                <w:szCs w:val="20"/>
              </w:rPr>
            </w:pPr>
            <w:r w:rsidRPr="00743A41">
              <w:rPr>
                <w:rFonts w:asciiTheme="majorHAnsi" w:hAnsiTheme="majorHAnsi" w:cstheme="majorHAnsi"/>
                <w:bCs/>
                <w:sz w:val="20"/>
                <w:szCs w:val="20"/>
              </w:rPr>
              <w:t>Percentage</w:t>
            </w:r>
            <w:r w:rsidRPr="00743A41">
              <w:rPr>
                <w:rFonts w:asciiTheme="majorHAnsi" w:hAnsiTheme="majorHAnsi" w:cstheme="majorHAnsi"/>
                <w:sz w:val="20"/>
                <w:szCs w:val="20"/>
              </w:rPr>
              <w:t xml:space="preserve"> of alumni who indicated that their graduate degree from UTHealth School of Public Health had an impact on their career</w:t>
            </w:r>
          </w:p>
        </w:tc>
        <w:tc>
          <w:tcPr>
            <w:tcW w:w="2610"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The Alumni Survey is administered using Qualtrics. Career and Alumni Services staff download the data and report on those who responded yes. Data are summarized annually.</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Data are reviewed by the senior associate dean of academic and research affairs, and shared with the Academic Council, the Practice Council, and the Alumni Advisory Council.</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Academic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Practice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OAASS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Departments/Campuses</w:t>
            </w: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hAnsiTheme="majorHAnsi" w:cstheme="majorHAnsi"/>
                <w:bCs/>
                <w:sz w:val="20"/>
                <w:szCs w:val="20"/>
              </w:rPr>
            </w:pPr>
            <w:r w:rsidRPr="00743A41">
              <w:rPr>
                <w:rFonts w:asciiTheme="majorHAnsi" w:hAnsiTheme="majorHAnsi" w:cstheme="majorHAnsi"/>
                <w:bCs/>
                <w:sz w:val="20"/>
                <w:szCs w:val="20"/>
              </w:rPr>
              <w:t>Percentage of graduates who were employed at one-year post-graduation</w:t>
            </w:r>
          </w:p>
        </w:tc>
        <w:tc>
          <w:tcPr>
            <w:tcW w:w="2610"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The Alumni Survey is administered using Qualtrics. Career and Alumni Services staff download the data and report the percentage of graduates by employment status. Data are summarized annually.</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Data are reviewed by the senior associate dean of academic and research affairs, and shared with the Academic Council, the Practice Council, and the Alumni Advisory Council.</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Academic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Practice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OAASS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Departments/Campuses</w:t>
            </w:r>
          </w:p>
        </w:tc>
      </w:tr>
      <w:tr w:rsidR="0010271E" w:rsidRPr="00743A41" w:rsidTr="00F026B3">
        <w:trPr>
          <w:cantSplit/>
        </w:trPr>
        <w:tc>
          <w:tcPr>
            <w:tcW w:w="9280" w:type="dxa"/>
            <w:gridSpan w:val="7"/>
            <w:shd w:val="clear" w:color="auto" w:fill="E7E6E6" w:themeFill="background2"/>
          </w:tcPr>
          <w:p w:rsidR="0010271E" w:rsidRPr="00743A41" w:rsidRDefault="0010271E" w:rsidP="00A37ED6">
            <w:pPr>
              <w:keepLines/>
              <w:rPr>
                <w:rFonts w:asciiTheme="majorHAnsi" w:eastAsia="Arial" w:hAnsiTheme="majorHAnsi" w:cstheme="majorHAnsi"/>
                <w:b/>
                <w:sz w:val="20"/>
                <w:szCs w:val="20"/>
              </w:rPr>
            </w:pPr>
            <w:r w:rsidRPr="00743A41">
              <w:rPr>
                <w:rFonts w:asciiTheme="majorHAnsi" w:eastAsia="Arial" w:hAnsiTheme="majorHAnsi" w:cstheme="majorHAnsi"/>
                <w:b/>
                <w:sz w:val="20"/>
                <w:szCs w:val="20"/>
              </w:rPr>
              <w:t>School Cultural Competence in Training Graduate Students</w:t>
            </w: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hAnsiTheme="majorHAnsi" w:cstheme="majorHAnsi"/>
                <w:bCs/>
                <w:sz w:val="20"/>
                <w:szCs w:val="20"/>
              </w:rPr>
              <w:t>Percentage</w:t>
            </w:r>
            <w:r w:rsidRPr="00743A41">
              <w:rPr>
                <w:rFonts w:asciiTheme="majorHAnsi" w:eastAsia="Arial" w:hAnsiTheme="majorHAnsi" w:cstheme="majorHAnsi"/>
                <w:sz w:val="20"/>
                <w:szCs w:val="20"/>
              </w:rPr>
              <w:t xml:space="preserve"> of students who strongly agreed or agreed that their faculty instructor demonstrated respect for their students</w:t>
            </w:r>
          </w:p>
        </w:tc>
        <w:tc>
          <w:tcPr>
            <w:tcW w:w="2610" w:type="dxa"/>
            <w:gridSpan w:val="2"/>
          </w:tcPr>
          <w:p w:rsidR="0010271E" w:rsidRPr="00743A41" w:rsidRDefault="0010271E" w:rsidP="00A37ED6">
            <w:pPr>
              <w:keepLines/>
              <w:rPr>
                <w:rFonts w:asciiTheme="majorHAnsi" w:hAnsiTheme="majorHAnsi" w:cstheme="majorHAnsi"/>
                <w:sz w:val="20"/>
                <w:szCs w:val="20"/>
              </w:rPr>
            </w:pPr>
            <w:r w:rsidRPr="00743A41">
              <w:rPr>
                <w:rFonts w:asciiTheme="majorHAnsi" w:eastAsia="Arial" w:hAnsiTheme="majorHAnsi" w:cstheme="majorHAnsi"/>
                <w:sz w:val="20"/>
                <w:szCs w:val="20"/>
              </w:rPr>
              <w:t xml:space="preserve">Course evaluations are conducted using the software </w:t>
            </w:r>
            <w:r w:rsidR="00B53A17" w:rsidRPr="00743A41">
              <w:rPr>
                <w:rFonts w:asciiTheme="majorHAnsi" w:eastAsia="Arial" w:hAnsiTheme="majorHAnsi" w:cstheme="majorHAnsi"/>
                <w:sz w:val="20"/>
                <w:szCs w:val="20"/>
              </w:rPr>
              <w:t>EvalKIT</w:t>
            </w:r>
            <w:r w:rsidRPr="00743A41">
              <w:rPr>
                <w:rFonts w:asciiTheme="majorHAnsi" w:eastAsia="Arial" w:hAnsiTheme="majorHAnsi" w:cstheme="majorHAnsi"/>
                <w:sz w:val="20"/>
                <w:szCs w:val="20"/>
              </w:rPr>
              <w:t xml:space="preserve">. </w:t>
            </w:r>
            <w:r w:rsidRPr="00743A41">
              <w:rPr>
                <w:rFonts w:asciiTheme="majorHAnsi" w:hAnsiTheme="majorHAnsi" w:cstheme="majorHAnsi"/>
                <w:sz w:val="20"/>
                <w:szCs w:val="20"/>
              </w:rPr>
              <w:t xml:space="preserve">The director of academic affairs downloads the data and generates a report that is shared with the Diversity Committee. </w:t>
            </w:r>
            <w:r w:rsidRPr="00743A41">
              <w:rPr>
                <w:rFonts w:asciiTheme="majorHAnsi" w:eastAsia="Arial" w:hAnsiTheme="majorHAnsi" w:cstheme="majorHAnsi"/>
                <w:sz w:val="20"/>
                <w:szCs w:val="20"/>
              </w:rPr>
              <w:t>Data are summarized annually.</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The Diversity Committee reviews the analytical results and makes recommendations through the Faculty Council.</w:t>
            </w:r>
          </w:p>
          <w:p w:rsidR="0010271E" w:rsidRPr="00743A41" w:rsidRDefault="0010271E" w:rsidP="00A37ED6">
            <w:pPr>
              <w:keepLines/>
              <w:rPr>
                <w:rFonts w:asciiTheme="majorHAnsi" w:eastAsia="Arial" w:hAnsiTheme="majorHAnsi" w:cstheme="majorHAnsi"/>
                <w:b/>
                <w:sz w:val="20"/>
                <w:szCs w:val="20"/>
                <w:highlight w:val="yellow"/>
              </w:rPr>
            </w:pP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Diversity Committee</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Diversity Committee</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Dean and Campus deans</w:t>
            </w: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Percentage of faculty who are Black and percentage who are Hispanic</w:t>
            </w:r>
          </w:p>
        </w:tc>
        <w:tc>
          <w:tcPr>
            <w:tcW w:w="2610"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The senior business intelligence analyst generates a report that is shared with the Diversity Committee. Data are summarized annually.</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The Diversity Committee reviews the analytical results and makes recommendations through the Faculty Council.</w:t>
            </w:r>
          </w:p>
          <w:p w:rsidR="0010271E" w:rsidRPr="00743A41" w:rsidRDefault="0010271E" w:rsidP="00A37ED6">
            <w:pPr>
              <w:keepLines/>
              <w:rPr>
                <w:rFonts w:asciiTheme="majorHAnsi" w:eastAsia="Arial" w:hAnsiTheme="majorHAnsi" w:cstheme="majorHAnsi"/>
                <w:sz w:val="20"/>
                <w:szCs w:val="20"/>
              </w:rPr>
            </w:pP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Diversity Committee</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Diversity Committee</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Dean and Campus deans</w:t>
            </w: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hAnsiTheme="majorHAnsi" w:cstheme="majorHAnsi"/>
                <w:bCs/>
                <w:sz w:val="20"/>
                <w:szCs w:val="20"/>
              </w:rPr>
              <w:t>Percentage</w:t>
            </w:r>
            <w:r w:rsidRPr="00743A41">
              <w:rPr>
                <w:rFonts w:asciiTheme="majorHAnsi" w:eastAsia="Arial" w:hAnsiTheme="majorHAnsi" w:cstheme="majorHAnsi"/>
                <w:sz w:val="20"/>
                <w:szCs w:val="20"/>
              </w:rPr>
              <w:t xml:space="preserve"> of students, faculty, and staff who feel a sense of acceptance and belonging at </w:t>
            </w:r>
            <w:r w:rsidRPr="00743A41">
              <w:rPr>
                <w:rFonts w:asciiTheme="majorHAnsi" w:hAnsiTheme="majorHAnsi" w:cstheme="majorHAnsi"/>
                <w:sz w:val="20"/>
                <w:szCs w:val="20"/>
              </w:rPr>
              <w:t>UTHealth School of Public Health</w:t>
            </w:r>
          </w:p>
        </w:tc>
        <w:tc>
          <w:tcPr>
            <w:tcW w:w="2610" w:type="dxa"/>
            <w:gridSpan w:val="2"/>
          </w:tcPr>
          <w:p w:rsidR="0010271E" w:rsidRPr="00743A41" w:rsidRDefault="0010271E" w:rsidP="00A37ED6">
            <w:pPr>
              <w:keepLines/>
              <w:rPr>
                <w:rFonts w:asciiTheme="majorHAnsi" w:hAnsiTheme="majorHAnsi" w:cstheme="majorHAnsi"/>
                <w:sz w:val="20"/>
                <w:szCs w:val="20"/>
              </w:rPr>
            </w:pPr>
            <w:r w:rsidRPr="00743A41">
              <w:rPr>
                <w:rFonts w:asciiTheme="majorHAnsi" w:eastAsia="Arial" w:hAnsiTheme="majorHAnsi" w:cstheme="majorHAnsi"/>
                <w:sz w:val="20"/>
                <w:szCs w:val="20"/>
              </w:rPr>
              <w:t>The SPH Diversity and Inclusion Climate Survey is administered each spring. The director</w:t>
            </w:r>
            <w:r w:rsidRPr="00743A41">
              <w:rPr>
                <w:rFonts w:asciiTheme="majorHAnsi" w:hAnsiTheme="majorHAnsi" w:cstheme="majorHAnsi"/>
                <w:sz w:val="20"/>
                <w:szCs w:val="20"/>
              </w:rPr>
              <w:t xml:space="preserve"> of academic affairs downloads the data for the Diversity Committee to analyze. </w:t>
            </w:r>
            <w:r w:rsidRPr="00743A41">
              <w:rPr>
                <w:rFonts w:asciiTheme="majorHAnsi" w:eastAsia="Arial" w:hAnsiTheme="majorHAnsi" w:cstheme="majorHAnsi"/>
                <w:sz w:val="20"/>
                <w:szCs w:val="20"/>
              </w:rPr>
              <w:t>Data are summarized annually.</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The Diversity Committee reviews the analytical results and makes recommendations through the Faculty Council.</w:t>
            </w:r>
          </w:p>
          <w:p w:rsidR="0010271E" w:rsidRPr="00743A41" w:rsidRDefault="0010271E" w:rsidP="00A37ED6">
            <w:pPr>
              <w:keepLines/>
              <w:rPr>
                <w:rFonts w:asciiTheme="majorHAnsi" w:eastAsia="Arial" w:hAnsiTheme="majorHAnsi" w:cstheme="majorHAnsi"/>
                <w:b/>
                <w:sz w:val="20"/>
                <w:szCs w:val="20"/>
                <w:highlight w:val="yellow"/>
              </w:rPr>
            </w:pP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Diversity Committee</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Diversity Committee</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Dean and Campus deans</w:t>
            </w: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hAnsiTheme="majorHAnsi" w:cstheme="majorHAnsi"/>
                <w:bCs/>
                <w:sz w:val="20"/>
                <w:szCs w:val="20"/>
              </w:rPr>
              <w:t>Percentage</w:t>
            </w:r>
            <w:r w:rsidRPr="00743A41">
              <w:rPr>
                <w:rFonts w:asciiTheme="majorHAnsi" w:eastAsia="Arial" w:hAnsiTheme="majorHAnsi" w:cstheme="majorHAnsi"/>
                <w:sz w:val="20"/>
                <w:szCs w:val="20"/>
              </w:rPr>
              <w:t xml:space="preserve"> of students, faculty, and staff who are satisfied with their personal experience regarding diversity and inclusion at </w:t>
            </w:r>
            <w:r w:rsidRPr="00743A41">
              <w:rPr>
                <w:rFonts w:asciiTheme="majorHAnsi" w:hAnsiTheme="majorHAnsi" w:cstheme="majorHAnsi"/>
                <w:sz w:val="20"/>
                <w:szCs w:val="20"/>
              </w:rPr>
              <w:t>UTHealth School of Public Health</w:t>
            </w:r>
          </w:p>
        </w:tc>
        <w:tc>
          <w:tcPr>
            <w:tcW w:w="2610" w:type="dxa"/>
            <w:gridSpan w:val="2"/>
          </w:tcPr>
          <w:p w:rsidR="0010271E" w:rsidRPr="00743A41" w:rsidRDefault="0010271E" w:rsidP="00A37ED6">
            <w:pPr>
              <w:keepLines/>
              <w:rPr>
                <w:rFonts w:asciiTheme="majorHAnsi" w:hAnsiTheme="majorHAnsi" w:cstheme="majorHAnsi"/>
                <w:sz w:val="20"/>
                <w:szCs w:val="20"/>
              </w:rPr>
            </w:pPr>
            <w:r w:rsidRPr="00743A41">
              <w:rPr>
                <w:rFonts w:asciiTheme="majorHAnsi" w:eastAsia="Arial" w:hAnsiTheme="majorHAnsi" w:cstheme="majorHAnsi"/>
                <w:sz w:val="20"/>
                <w:szCs w:val="20"/>
              </w:rPr>
              <w:t>The SPH Diversity and Inclusion Climate Survey is administered each spring. The director</w:t>
            </w:r>
            <w:r w:rsidRPr="00743A41">
              <w:rPr>
                <w:rFonts w:asciiTheme="majorHAnsi" w:hAnsiTheme="majorHAnsi" w:cstheme="majorHAnsi"/>
                <w:sz w:val="20"/>
                <w:szCs w:val="20"/>
              </w:rPr>
              <w:t xml:space="preserve"> of academic affairs downloads the data for the Diversity Committee to analyze. Data are summarized annually.</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The Diversity Committee reviews the analytical results and makes recommendations through the Faculty Council.</w:t>
            </w:r>
          </w:p>
          <w:p w:rsidR="0010271E" w:rsidRPr="00743A41" w:rsidRDefault="0010271E" w:rsidP="00A37ED6">
            <w:pPr>
              <w:keepLines/>
              <w:rPr>
                <w:rFonts w:asciiTheme="majorHAnsi" w:eastAsia="Arial" w:hAnsiTheme="majorHAnsi" w:cstheme="majorHAnsi"/>
                <w:b/>
                <w:sz w:val="20"/>
                <w:szCs w:val="20"/>
                <w:highlight w:val="yellow"/>
              </w:rPr>
            </w:pP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Diversity Committee</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Diversity Committee</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Dean and Campus deans</w:t>
            </w:r>
          </w:p>
        </w:tc>
      </w:tr>
      <w:tr w:rsidR="0010271E" w:rsidRPr="00743A41" w:rsidTr="00673C36">
        <w:trPr>
          <w:gridAfter w:val="1"/>
          <w:wAfter w:w="15" w:type="dxa"/>
          <w:cantSplit/>
        </w:trPr>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hAnsiTheme="majorHAnsi" w:cstheme="majorHAnsi"/>
                <w:bCs/>
                <w:sz w:val="20"/>
                <w:szCs w:val="20"/>
              </w:rPr>
              <w:t>Percentage</w:t>
            </w:r>
            <w:r w:rsidRPr="00743A41">
              <w:rPr>
                <w:rFonts w:asciiTheme="majorHAnsi" w:eastAsia="Arial" w:hAnsiTheme="majorHAnsi" w:cstheme="majorHAnsi"/>
                <w:sz w:val="20"/>
                <w:szCs w:val="20"/>
              </w:rPr>
              <w:t xml:space="preserve"> of students, faculty, and staff who are respectful of different races, religions, cultures, political beliefs, gender identities, sexual orientation, and disabilities</w:t>
            </w:r>
          </w:p>
        </w:tc>
        <w:tc>
          <w:tcPr>
            <w:tcW w:w="2610" w:type="dxa"/>
            <w:gridSpan w:val="2"/>
          </w:tcPr>
          <w:p w:rsidR="0010271E" w:rsidRPr="00743A41" w:rsidRDefault="0010271E" w:rsidP="00A37ED6">
            <w:pPr>
              <w:keepLines/>
              <w:rPr>
                <w:rFonts w:asciiTheme="majorHAnsi" w:hAnsiTheme="majorHAnsi" w:cstheme="majorHAnsi"/>
                <w:sz w:val="20"/>
                <w:szCs w:val="20"/>
              </w:rPr>
            </w:pPr>
            <w:r w:rsidRPr="00743A41">
              <w:rPr>
                <w:rFonts w:asciiTheme="majorHAnsi" w:eastAsia="Arial" w:hAnsiTheme="majorHAnsi" w:cstheme="majorHAnsi"/>
                <w:sz w:val="20"/>
                <w:szCs w:val="20"/>
              </w:rPr>
              <w:t>The SPH Diversity and Inclusion Climate Survey is administered each spring. The director</w:t>
            </w:r>
            <w:r w:rsidRPr="00743A41">
              <w:rPr>
                <w:rFonts w:asciiTheme="majorHAnsi" w:hAnsiTheme="majorHAnsi" w:cstheme="majorHAnsi"/>
                <w:sz w:val="20"/>
                <w:szCs w:val="20"/>
              </w:rPr>
              <w:t xml:space="preserve"> of academic affairs downloads the data for the Diversity Committee to analyze. Data are summarized annually. </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The Diversity Committee reviews the analytical results and makes recommendations through the Faculty Council.</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Diversity Committee</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15"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Diversity Committee</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Dean and Campus deans</w:t>
            </w:r>
          </w:p>
        </w:tc>
      </w:tr>
      <w:tr w:rsidR="0010271E" w:rsidRPr="00743A41" w:rsidTr="00F026B3">
        <w:trPr>
          <w:gridAfter w:val="1"/>
          <w:wAfter w:w="15" w:type="dxa"/>
          <w:cantSplit/>
        </w:trPr>
        <w:tc>
          <w:tcPr>
            <w:tcW w:w="9265" w:type="dxa"/>
            <w:gridSpan w:val="6"/>
          </w:tcPr>
          <w:p w:rsidR="0010271E" w:rsidRPr="00743A41" w:rsidRDefault="0010271E" w:rsidP="00A37ED6">
            <w:pPr>
              <w:keepLines/>
              <w:rPr>
                <w:rFonts w:asciiTheme="majorHAnsi" w:eastAsia="Arial" w:hAnsiTheme="majorHAnsi" w:cstheme="majorHAnsi"/>
                <w:i/>
                <w:sz w:val="20"/>
                <w:szCs w:val="20"/>
              </w:rPr>
            </w:pPr>
            <w:r w:rsidRPr="00743A41">
              <w:rPr>
                <w:rFonts w:asciiTheme="majorHAnsi" w:eastAsia="Arial" w:hAnsiTheme="majorHAnsi" w:cstheme="majorHAnsi"/>
                <w:i/>
                <w:sz w:val="20"/>
                <w:szCs w:val="20"/>
              </w:rPr>
              <w:t>*New outcome measure</w:t>
            </w:r>
          </w:p>
        </w:tc>
      </w:tr>
    </w:tbl>
    <w:p w:rsidR="0010271E" w:rsidRPr="00743A41" w:rsidRDefault="0010271E" w:rsidP="00A37ED6">
      <w:pPr>
        <w:rPr>
          <w:rFonts w:asciiTheme="majorHAnsi" w:eastAsia="Arial" w:hAnsiTheme="majorHAnsi" w:cstheme="majorHAnsi"/>
          <w:b/>
          <w:color w:val="000000"/>
          <w:sz w:val="20"/>
          <w:szCs w:val="20"/>
        </w:rPr>
      </w:pPr>
    </w:p>
    <w:p w:rsidR="0010271E" w:rsidRPr="00743A41" w:rsidRDefault="0010271E" w:rsidP="00A37ED6">
      <w:pPr>
        <w:ind w:left="720" w:hanging="720"/>
        <w:rPr>
          <w:rFonts w:asciiTheme="majorHAnsi" w:eastAsia="Arial" w:hAnsiTheme="majorHAnsi" w:cstheme="majorHAnsi"/>
          <w:b/>
          <w:sz w:val="20"/>
          <w:szCs w:val="20"/>
        </w:rPr>
      </w:pPr>
      <w:r w:rsidRPr="00743A41">
        <w:rPr>
          <w:rFonts w:asciiTheme="majorHAnsi" w:eastAsia="Arial" w:hAnsiTheme="majorHAnsi" w:cstheme="majorHAnsi"/>
          <w:b/>
          <w:sz w:val="20"/>
          <w:szCs w:val="20"/>
        </w:rPr>
        <w:t>Goal 2: Encourage the discovery and dissemination of scientific knowledge in public health.</w:t>
      </w:r>
    </w:p>
    <w:p w:rsidR="0010271E" w:rsidRPr="00743A41" w:rsidRDefault="0010271E" w:rsidP="00A37ED6">
      <w:pPr>
        <w:tabs>
          <w:tab w:val="left" w:pos="8370"/>
        </w:tabs>
        <w:ind w:left="720" w:hanging="720"/>
        <w:jc w:val="both"/>
        <w:rPr>
          <w:rFonts w:asciiTheme="majorHAnsi" w:eastAsia="Arial" w:hAnsiTheme="majorHAnsi" w:cstheme="majorHAnsi"/>
          <w:b/>
          <w:sz w:val="20"/>
          <w:szCs w:val="20"/>
        </w:rPr>
      </w:pPr>
      <w:r w:rsidRPr="00743A41">
        <w:rPr>
          <w:rFonts w:asciiTheme="majorHAnsi" w:eastAsia="Arial" w:hAnsiTheme="majorHAnsi" w:cstheme="majorHAnsi"/>
          <w:sz w:val="20"/>
          <w:szCs w:val="20"/>
        </w:rPr>
        <w:t>Table B</w:t>
      </w:r>
      <w:r w:rsidR="004719FF" w:rsidRPr="00743A41">
        <w:rPr>
          <w:rFonts w:asciiTheme="majorHAnsi" w:eastAsia="Arial" w:hAnsiTheme="majorHAnsi" w:cstheme="majorHAnsi"/>
          <w:sz w:val="20"/>
          <w:szCs w:val="20"/>
        </w:rPr>
        <w:t>.</w:t>
      </w:r>
      <w:r w:rsidRPr="00743A41">
        <w:rPr>
          <w:rFonts w:asciiTheme="majorHAnsi" w:eastAsia="Arial" w:hAnsiTheme="majorHAnsi" w:cstheme="majorHAnsi"/>
          <w:sz w:val="20"/>
          <w:szCs w:val="20"/>
        </w:rPr>
        <w:t>5.1.b. Evaluation Measures as a Part of the Evaluation Plan Goal 2</w:t>
      </w:r>
      <w:r w:rsidR="00D240E3">
        <w:rPr>
          <w:rFonts w:asciiTheme="majorHAnsi" w:eastAsia="Arial" w:hAnsiTheme="majorHAnsi" w:cstheme="majorHAnsi"/>
          <w:sz w:val="20"/>
          <w:szCs w:val="20"/>
        </w:rPr>
        <w:t xml:space="preserve"> (</w:t>
      </w:r>
      <w:r w:rsidR="00D240E3" w:rsidRPr="00EB3291">
        <w:rPr>
          <w:rFonts w:asciiTheme="majorHAnsi" w:eastAsia="Arial" w:hAnsiTheme="majorHAnsi" w:cstheme="majorHAnsi"/>
          <w:i/>
          <w:sz w:val="20"/>
          <w:szCs w:val="20"/>
        </w:rPr>
        <w:t>ERF, B5. Defining Evaluation Practices</w:t>
      </w:r>
      <w:r w:rsidR="00D240E3">
        <w:rPr>
          <w:rFonts w:asciiTheme="majorHAnsi" w:eastAsia="Arial" w:hAnsiTheme="majorHAnsi" w:cstheme="majorHAnsi"/>
          <w:sz w:val="20"/>
          <w:szCs w:val="20"/>
        </w:rPr>
        <w:t>)</w:t>
      </w:r>
    </w:p>
    <w:tbl>
      <w:tblPr>
        <w:tblStyle w:val="TableGrid"/>
        <w:tblW w:w="9270" w:type="dxa"/>
        <w:tblInd w:w="-5" w:type="dxa"/>
        <w:tblLayout w:type="fixed"/>
        <w:tblLook w:val="04A0" w:firstRow="1" w:lastRow="0" w:firstColumn="1" w:lastColumn="0" w:noHBand="0" w:noVBand="1"/>
      </w:tblPr>
      <w:tblGrid>
        <w:gridCol w:w="1574"/>
        <w:gridCol w:w="1216"/>
        <w:gridCol w:w="1440"/>
        <w:gridCol w:w="2070"/>
        <w:gridCol w:w="1350"/>
        <w:gridCol w:w="1620"/>
      </w:tblGrid>
      <w:tr w:rsidR="00AE0790" w:rsidRPr="00743A41" w:rsidTr="00F026B3">
        <w:trPr>
          <w:trHeight w:val="899"/>
          <w:tblHeader/>
        </w:trPr>
        <w:tc>
          <w:tcPr>
            <w:tcW w:w="1574" w:type="dxa"/>
            <w:shd w:val="clear" w:color="auto" w:fill="D9D9D9" w:themeFill="background1" w:themeFillShade="D9"/>
            <w:vAlign w:val="center"/>
          </w:tcPr>
          <w:p w:rsidR="00AE0790" w:rsidRPr="00743A41" w:rsidRDefault="00AE0790" w:rsidP="00A37ED6">
            <w:pPr>
              <w:keepLines/>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Evaluation Measure</w:t>
            </w:r>
          </w:p>
        </w:tc>
        <w:tc>
          <w:tcPr>
            <w:tcW w:w="2656" w:type="dxa"/>
            <w:gridSpan w:val="2"/>
            <w:shd w:val="clear" w:color="auto" w:fill="D9D9D9" w:themeFill="background1" w:themeFillShade="D9"/>
            <w:vAlign w:val="center"/>
          </w:tcPr>
          <w:p w:rsidR="00AE0790" w:rsidRPr="00743A41" w:rsidRDefault="00AE0790" w:rsidP="00A37ED6">
            <w:pPr>
              <w:keepLines/>
              <w:jc w:val="center"/>
              <w:rPr>
                <w:rFonts w:asciiTheme="majorHAnsi" w:eastAsia="Arial" w:hAnsiTheme="majorHAnsi" w:cstheme="majorHAnsi"/>
                <w:b/>
                <w:color w:val="000000"/>
                <w:sz w:val="20"/>
                <w:szCs w:val="20"/>
              </w:rPr>
            </w:pPr>
            <w:r w:rsidRPr="00743A41">
              <w:rPr>
                <w:rFonts w:asciiTheme="majorHAnsi" w:eastAsia="Arial" w:hAnsiTheme="majorHAnsi" w:cstheme="majorHAnsi"/>
                <w:b/>
                <w:color w:val="000000"/>
                <w:sz w:val="20"/>
                <w:szCs w:val="20"/>
              </w:rPr>
              <w:t>Identify data source(s) and describe how raw data are analyzed and presented for decision making</w:t>
            </w:r>
          </w:p>
        </w:tc>
        <w:tc>
          <w:tcPr>
            <w:tcW w:w="5040" w:type="dxa"/>
            <w:gridSpan w:val="3"/>
            <w:shd w:val="clear" w:color="auto" w:fill="D9D9D9" w:themeFill="background1" w:themeFillShade="D9"/>
            <w:vAlign w:val="center"/>
          </w:tcPr>
          <w:p w:rsidR="00AE0790" w:rsidRPr="00743A41" w:rsidRDefault="00F62795" w:rsidP="00A37ED6">
            <w:pPr>
              <w:keepLines/>
              <w:jc w:val="center"/>
              <w:rPr>
                <w:rFonts w:asciiTheme="majorHAnsi" w:eastAsia="Arial" w:hAnsiTheme="majorHAnsi" w:cstheme="majorHAnsi"/>
                <w:b/>
                <w:sz w:val="20"/>
                <w:szCs w:val="20"/>
              </w:rPr>
            </w:pPr>
            <w:r w:rsidRPr="00743A41">
              <w:rPr>
                <w:rFonts w:asciiTheme="majorHAnsi" w:eastAsia="Arial" w:hAnsiTheme="majorHAnsi" w:cstheme="majorHAnsi"/>
                <w:b/>
                <w:color w:val="000000"/>
                <w:sz w:val="20"/>
                <w:szCs w:val="20"/>
              </w:rPr>
              <w:t>Responsibility for R</w:t>
            </w:r>
            <w:r w:rsidR="00AE0790" w:rsidRPr="00743A41">
              <w:rPr>
                <w:rFonts w:asciiTheme="majorHAnsi" w:eastAsia="Arial" w:hAnsiTheme="majorHAnsi" w:cstheme="majorHAnsi"/>
                <w:b/>
                <w:color w:val="000000"/>
                <w:sz w:val="20"/>
                <w:szCs w:val="20"/>
              </w:rPr>
              <w:t>eview</w:t>
            </w:r>
          </w:p>
        </w:tc>
      </w:tr>
      <w:tr w:rsidR="00AE0790" w:rsidRPr="00743A41" w:rsidTr="00F026B3">
        <w:trPr>
          <w:trHeight w:val="899"/>
          <w:tblHeader/>
        </w:trPr>
        <w:tc>
          <w:tcPr>
            <w:tcW w:w="1574" w:type="dxa"/>
            <w:shd w:val="clear" w:color="auto" w:fill="D9D9D9" w:themeFill="background1" w:themeFillShade="D9"/>
            <w:vAlign w:val="center"/>
          </w:tcPr>
          <w:p w:rsidR="00AE0790" w:rsidRPr="00743A41" w:rsidRDefault="00AE0790" w:rsidP="00A37ED6">
            <w:pPr>
              <w:keepLines/>
              <w:jc w:val="center"/>
              <w:rPr>
                <w:rFonts w:asciiTheme="majorHAnsi" w:eastAsia="Arial" w:hAnsiTheme="majorHAnsi" w:cstheme="majorHAnsi"/>
                <w:b/>
                <w:sz w:val="20"/>
                <w:szCs w:val="20"/>
              </w:rPr>
            </w:pPr>
          </w:p>
        </w:tc>
        <w:tc>
          <w:tcPr>
            <w:tcW w:w="1216" w:type="dxa"/>
            <w:shd w:val="clear" w:color="auto" w:fill="D9D9D9" w:themeFill="background1" w:themeFillShade="D9"/>
            <w:vAlign w:val="center"/>
          </w:tcPr>
          <w:p w:rsidR="00AE0790" w:rsidRPr="00743A41" w:rsidRDefault="00AE0790" w:rsidP="00A37ED6">
            <w:pPr>
              <w:keepLines/>
              <w:jc w:val="center"/>
              <w:rPr>
                <w:rFonts w:asciiTheme="majorHAnsi" w:eastAsia="Arial" w:hAnsiTheme="majorHAnsi" w:cstheme="majorHAnsi"/>
                <w:color w:val="000000"/>
                <w:sz w:val="20"/>
                <w:szCs w:val="20"/>
              </w:rPr>
            </w:pPr>
            <w:r w:rsidRPr="00743A41">
              <w:rPr>
                <w:rFonts w:asciiTheme="majorHAnsi" w:eastAsia="Arial" w:hAnsiTheme="majorHAnsi" w:cstheme="majorHAnsi"/>
                <w:b/>
                <w:color w:val="000000"/>
                <w:sz w:val="20"/>
                <w:szCs w:val="20"/>
              </w:rPr>
              <w:t>Data Collection Method</w:t>
            </w:r>
          </w:p>
          <w:p w:rsidR="00AE0790" w:rsidRPr="00743A41" w:rsidRDefault="00AE0790" w:rsidP="00A37ED6">
            <w:pPr>
              <w:keepLines/>
              <w:jc w:val="center"/>
              <w:rPr>
                <w:rFonts w:asciiTheme="majorHAnsi" w:eastAsia="Arial" w:hAnsiTheme="majorHAnsi" w:cstheme="majorHAnsi"/>
                <w:b/>
                <w:color w:val="000000"/>
                <w:sz w:val="20"/>
                <w:szCs w:val="20"/>
              </w:rPr>
            </w:pPr>
            <w:r w:rsidRPr="00743A41">
              <w:rPr>
                <w:rFonts w:asciiTheme="majorHAnsi" w:eastAsia="Arial" w:hAnsiTheme="majorHAnsi" w:cstheme="majorHAnsi"/>
                <w:b/>
                <w:color w:val="000000"/>
                <w:sz w:val="20"/>
                <w:szCs w:val="20"/>
              </w:rPr>
              <w:t>for Measure</w:t>
            </w:r>
          </w:p>
        </w:tc>
        <w:tc>
          <w:tcPr>
            <w:tcW w:w="1440" w:type="dxa"/>
            <w:shd w:val="clear" w:color="auto" w:fill="D9D9D9" w:themeFill="background1" w:themeFillShade="D9"/>
            <w:vAlign w:val="center"/>
          </w:tcPr>
          <w:p w:rsidR="00AE0790" w:rsidRPr="00743A41" w:rsidRDefault="00AE0790" w:rsidP="00A37ED6">
            <w:pPr>
              <w:keepLines/>
              <w:jc w:val="center"/>
              <w:rPr>
                <w:rFonts w:asciiTheme="majorHAnsi" w:eastAsia="Arial" w:hAnsiTheme="majorHAnsi" w:cstheme="majorHAnsi"/>
                <w:b/>
                <w:color w:val="000000"/>
                <w:sz w:val="20"/>
                <w:szCs w:val="20"/>
              </w:rPr>
            </w:pPr>
            <w:r w:rsidRPr="00743A41">
              <w:rPr>
                <w:rFonts w:asciiTheme="majorHAnsi" w:eastAsia="Arial" w:hAnsiTheme="majorHAnsi" w:cstheme="majorHAnsi"/>
                <w:b/>
                <w:color w:val="000000"/>
                <w:sz w:val="20"/>
                <w:szCs w:val="20"/>
              </w:rPr>
              <w:t>Responsibility for Data Generation and Analysis</w:t>
            </w:r>
          </w:p>
        </w:tc>
        <w:tc>
          <w:tcPr>
            <w:tcW w:w="2070" w:type="dxa"/>
            <w:shd w:val="clear" w:color="auto" w:fill="D9D9D9" w:themeFill="background1" w:themeFillShade="D9"/>
            <w:vAlign w:val="center"/>
          </w:tcPr>
          <w:p w:rsidR="00AE0790" w:rsidRPr="00743A41" w:rsidRDefault="00AE0790" w:rsidP="00A37ED6">
            <w:pPr>
              <w:keepLines/>
              <w:jc w:val="center"/>
              <w:rPr>
                <w:rFonts w:asciiTheme="majorHAnsi" w:eastAsia="Arial" w:hAnsiTheme="majorHAnsi" w:cstheme="majorHAnsi"/>
                <w:b/>
                <w:color w:val="000000"/>
                <w:sz w:val="20"/>
                <w:szCs w:val="20"/>
              </w:rPr>
            </w:pPr>
            <w:r w:rsidRPr="00743A41">
              <w:rPr>
                <w:rFonts w:asciiTheme="majorHAnsi" w:eastAsia="Arial" w:hAnsiTheme="majorHAnsi" w:cstheme="majorHAnsi"/>
                <w:b/>
                <w:color w:val="000000"/>
                <w:sz w:val="20"/>
                <w:szCs w:val="20"/>
              </w:rPr>
              <w:t xml:space="preserve">Responsibility for Review and Recommendations </w:t>
            </w:r>
          </w:p>
        </w:tc>
        <w:tc>
          <w:tcPr>
            <w:tcW w:w="1350" w:type="dxa"/>
            <w:shd w:val="clear" w:color="auto" w:fill="D9D9D9" w:themeFill="background1" w:themeFillShade="D9"/>
            <w:vAlign w:val="center"/>
          </w:tcPr>
          <w:p w:rsidR="00AE0790" w:rsidRPr="00743A41" w:rsidRDefault="00AE0790" w:rsidP="00A37ED6">
            <w:pPr>
              <w:keepLines/>
              <w:jc w:val="center"/>
              <w:rPr>
                <w:rFonts w:asciiTheme="majorHAnsi" w:eastAsia="Arial" w:hAnsiTheme="majorHAnsi" w:cstheme="majorHAnsi"/>
                <w:color w:val="000000"/>
                <w:sz w:val="20"/>
                <w:szCs w:val="20"/>
              </w:rPr>
            </w:pPr>
            <w:r w:rsidRPr="00743A41">
              <w:rPr>
                <w:rFonts w:asciiTheme="majorHAnsi" w:eastAsia="Arial" w:hAnsiTheme="majorHAnsi" w:cstheme="majorHAnsi"/>
                <w:b/>
                <w:color w:val="000000"/>
                <w:sz w:val="20"/>
                <w:szCs w:val="20"/>
              </w:rPr>
              <w:t>Data Collection Method</w:t>
            </w:r>
          </w:p>
          <w:p w:rsidR="00AE0790" w:rsidRPr="00743A41" w:rsidRDefault="00AE0790" w:rsidP="00A37ED6">
            <w:pPr>
              <w:keepLines/>
              <w:jc w:val="center"/>
              <w:rPr>
                <w:rFonts w:asciiTheme="majorHAnsi" w:eastAsia="Arial" w:hAnsiTheme="majorHAnsi" w:cstheme="majorHAnsi"/>
                <w:b/>
                <w:sz w:val="20"/>
                <w:szCs w:val="20"/>
              </w:rPr>
            </w:pPr>
            <w:r w:rsidRPr="00743A41">
              <w:rPr>
                <w:rFonts w:asciiTheme="majorHAnsi" w:eastAsia="Arial" w:hAnsiTheme="majorHAnsi" w:cstheme="majorHAnsi"/>
                <w:b/>
                <w:color w:val="000000"/>
                <w:sz w:val="20"/>
                <w:szCs w:val="20"/>
              </w:rPr>
              <w:t>for Measure</w:t>
            </w:r>
          </w:p>
        </w:tc>
        <w:tc>
          <w:tcPr>
            <w:tcW w:w="1620" w:type="dxa"/>
            <w:shd w:val="clear" w:color="auto" w:fill="D9D9D9" w:themeFill="background1" w:themeFillShade="D9"/>
            <w:vAlign w:val="center"/>
          </w:tcPr>
          <w:p w:rsidR="00AE0790" w:rsidRPr="00743A41" w:rsidRDefault="00AE0790" w:rsidP="00A37ED6">
            <w:pPr>
              <w:keepLines/>
              <w:jc w:val="center"/>
              <w:rPr>
                <w:rFonts w:asciiTheme="majorHAnsi" w:eastAsia="Arial" w:hAnsiTheme="majorHAnsi" w:cstheme="majorHAnsi"/>
                <w:b/>
                <w:sz w:val="20"/>
                <w:szCs w:val="20"/>
              </w:rPr>
            </w:pPr>
            <w:r w:rsidRPr="00743A41">
              <w:rPr>
                <w:rFonts w:asciiTheme="majorHAnsi" w:eastAsia="Arial" w:hAnsiTheme="majorHAnsi" w:cstheme="majorHAnsi"/>
                <w:b/>
                <w:color w:val="000000"/>
                <w:sz w:val="20"/>
                <w:szCs w:val="20"/>
              </w:rPr>
              <w:t>Responsibility for Data Generation and Analysis</w:t>
            </w:r>
          </w:p>
        </w:tc>
      </w:tr>
      <w:tr w:rsidR="0010271E" w:rsidRPr="00743A41" w:rsidTr="00F026B3">
        <w:tc>
          <w:tcPr>
            <w:tcW w:w="1574"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Total research funding </w:t>
            </w:r>
          </w:p>
        </w:tc>
        <w:tc>
          <w:tcPr>
            <w:tcW w:w="2656"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hAnsiTheme="majorHAnsi" w:cstheme="majorHAnsi"/>
                <w:sz w:val="20"/>
                <w:szCs w:val="20"/>
              </w:rPr>
              <w:t>The Office of Research</w:t>
            </w:r>
            <w:r w:rsidRPr="00743A41">
              <w:rPr>
                <w:rFonts w:asciiTheme="majorHAnsi" w:eastAsia="Arial" w:hAnsiTheme="majorHAnsi" w:cstheme="majorHAnsi"/>
                <w:sz w:val="20"/>
                <w:szCs w:val="20"/>
              </w:rPr>
              <w:t xml:space="preserve"> maintains data on faculty research. This office generates an annual research report and shares it with the Research Council. </w:t>
            </w:r>
          </w:p>
          <w:p w:rsidR="0010271E" w:rsidRPr="00743A41" w:rsidRDefault="0010271E" w:rsidP="00A37ED6">
            <w:pPr>
              <w:keepLines/>
              <w:rPr>
                <w:rFonts w:asciiTheme="majorHAnsi" w:hAnsiTheme="majorHAnsi" w:cstheme="majorHAnsi"/>
                <w:sz w:val="20"/>
                <w:szCs w:val="20"/>
              </w:rPr>
            </w:pPr>
          </w:p>
        </w:tc>
        <w:tc>
          <w:tcPr>
            <w:tcW w:w="2070" w:type="dxa"/>
          </w:tcPr>
          <w:p w:rsidR="0010271E" w:rsidRPr="00743A41" w:rsidRDefault="0010271E" w:rsidP="00A37ED6">
            <w:pPr>
              <w:keepLines/>
              <w:rPr>
                <w:rFonts w:asciiTheme="majorHAnsi" w:eastAsia="Arial" w:hAnsiTheme="majorHAnsi" w:cstheme="majorHAnsi"/>
                <w:sz w:val="20"/>
                <w:szCs w:val="20"/>
                <w:highlight w:val="yellow"/>
              </w:rPr>
            </w:pPr>
            <w:r w:rsidRPr="00743A41">
              <w:rPr>
                <w:rFonts w:asciiTheme="majorHAnsi" w:eastAsia="Arial" w:hAnsiTheme="majorHAnsi" w:cstheme="majorHAnsi"/>
                <w:sz w:val="20"/>
                <w:szCs w:val="20"/>
              </w:rPr>
              <w:t xml:space="preserve">The Research Council reviews the research report and makes recommendations to SPHEC. </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Research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b/>
                <w:sz w:val="20"/>
                <w:szCs w:val="20"/>
              </w:rPr>
            </w:pPr>
            <w:r w:rsidRPr="00743A41">
              <w:rPr>
                <w:rFonts w:asciiTheme="majorHAnsi" w:eastAsia="Arial" w:hAnsiTheme="majorHAnsi" w:cstheme="majorHAnsi"/>
                <w:sz w:val="20"/>
                <w:szCs w:val="20"/>
              </w:rPr>
              <w:t>SPHEC</w:t>
            </w:r>
          </w:p>
        </w:tc>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chairs/Campus deans</w:t>
            </w:r>
          </w:p>
        </w:tc>
      </w:tr>
      <w:tr w:rsidR="0010271E" w:rsidRPr="00743A41" w:rsidTr="00F026B3">
        <w:tc>
          <w:tcPr>
            <w:tcW w:w="1574"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Percentage of faculty who participate in research activities as PI by rank</w:t>
            </w:r>
          </w:p>
        </w:tc>
        <w:tc>
          <w:tcPr>
            <w:tcW w:w="2656"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hAnsiTheme="majorHAnsi" w:cstheme="majorHAnsi"/>
                <w:sz w:val="20"/>
                <w:szCs w:val="20"/>
              </w:rPr>
              <w:t>The Office of Research</w:t>
            </w:r>
            <w:r w:rsidRPr="00743A41">
              <w:rPr>
                <w:rFonts w:asciiTheme="majorHAnsi" w:eastAsia="Arial" w:hAnsiTheme="majorHAnsi" w:cstheme="majorHAnsi"/>
                <w:sz w:val="20"/>
                <w:szCs w:val="20"/>
              </w:rPr>
              <w:t xml:space="preserve"> maintains data on faculty research. This office generates an annual research report and shares it with the Research Council. </w:t>
            </w:r>
          </w:p>
          <w:p w:rsidR="0010271E" w:rsidRPr="00743A41" w:rsidRDefault="0010271E" w:rsidP="00A37ED6">
            <w:pPr>
              <w:rPr>
                <w:rFonts w:asciiTheme="majorHAnsi" w:hAnsiTheme="majorHAnsi" w:cstheme="majorHAnsi"/>
                <w:sz w:val="20"/>
                <w:szCs w:val="20"/>
              </w:rPr>
            </w:pPr>
          </w:p>
        </w:tc>
        <w:tc>
          <w:tcPr>
            <w:tcW w:w="2070" w:type="dxa"/>
          </w:tcPr>
          <w:p w:rsidR="0010271E" w:rsidRPr="00743A41" w:rsidRDefault="0010271E" w:rsidP="00A37ED6">
            <w:pPr>
              <w:rPr>
                <w:rFonts w:asciiTheme="majorHAnsi" w:hAnsiTheme="majorHAnsi" w:cstheme="majorHAnsi"/>
                <w:sz w:val="20"/>
                <w:szCs w:val="20"/>
              </w:rPr>
            </w:pPr>
            <w:r w:rsidRPr="00743A41">
              <w:rPr>
                <w:rFonts w:asciiTheme="majorHAnsi" w:eastAsia="Arial" w:hAnsiTheme="majorHAnsi" w:cstheme="majorHAnsi"/>
                <w:sz w:val="20"/>
                <w:szCs w:val="20"/>
              </w:rPr>
              <w:t xml:space="preserve">The Research Council reviews the research report and makes recommendations to SPHEC. </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Research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chairs/Campus deans</w:t>
            </w:r>
          </w:p>
        </w:tc>
      </w:tr>
      <w:tr w:rsidR="0010271E" w:rsidRPr="00743A41" w:rsidTr="00F026B3">
        <w:tc>
          <w:tcPr>
            <w:tcW w:w="1574"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Average number of grant submissions per faculty</w:t>
            </w:r>
          </w:p>
        </w:tc>
        <w:tc>
          <w:tcPr>
            <w:tcW w:w="2656"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hAnsiTheme="majorHAnsi" w:cstheme="majorHAnsi"/>
                <w:sz w:val="20"/>
                <w:szCs w:val="20"/>
              </w:rPr>
              <w:t>The Office of Research</w:t>
            </w:r>
            <w:r w:rsidRPr="00743A41">
              <w:rPr>
                <w:rFonts w:asciiTheme="majorHAnsi" w:eastAsia="Arial" w:hAnsiTheme="majorHAnsi" w:cstheme="majorHAnsi"/>
                <w:sz w:val="20"/>
                <w:szCs w:val="20"/>
              </w:rPr>
              <w:t xml:space="preserve"> maintains data on faculty research. This office generates an annual research report and shares it with the Research Council. </w:t>
            </w:r>
          </w:p>
        </w:tc>
        <w:tc>
          <w:tcPr>
            <w:tcW w:w="2070" w:type="dxa"/>
          </w:tcPr>
          <w:p w:rsidR="0010271E" w:rsidRPr="00743A41" w:rsidRDefault="0010271E" w:rsidP="00A37ED6">
            <w:pPr>
              <w:rPr>
                <w:rFonts w:asciiTheme="majorHAnsi" w:hAnsiTheme="majorHAnsi" w:cstheme="majorHAnsi"/>
                <w:sz w:val="20"/>
                <w:szCs w:val="20"/>
              </w:rPr>
            </w:pPr>
            <w:r w:rsidRPr="00743A41">
              <w:rPr>
                <w:rFonts w:asciiTheme="majorHAnsi" w:eastAsia="Arial" w:hAnsiTheme="majorHAnsi" w:cstheme="majorHAnsi"/>
                <w:sz w:val="20"/>
                <w:szCs w:val="20"/>
              </w:rPr>
              <w:t xml:space="preserve">The Research Council reviews the research report and makes recommendations to SPHEC. </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Research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chairs/Campus deans</w:t>
            </w:r>
          </w:p>
        </w:tc>
      </w:tr>
      <w:tr w:rsidR="0010271E" w:rsidRPr="00743A41" w:rsidTr="00F026B3">
        <w:tc>
          <w:tcPr>
            <w:tcW w:w="1574"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Average number of grant awards per faculty</w:t>
            </w:r>
          </w:p>
        </w:tc>
        <w:tc>
          <w:tcPr>
            <w:tcW w:w="2656" w:type="dxa"/>
            <w:gridSpan w:val="2"/>
          </w:tcPr>
          <w:p w:rsidR="0010271E" w:rsidRPr="00743A41" w:rsidRDefault="0010271E" w:rsidP="00A37ED6">
            <w:pPr>
              <w:keepLines/>
              <w:rPr>
                <w:rFonts w:asciiTheme="majorHAnsi" w:hAnsiTheme="majorHAnsi" w:cstheme="majorHAnsi"/>
                <w:sz w:val="20"/>
                <w:szCs w:val="20"/>
              </w:rPr>
            </w:pPr>
            <w:r w:rsidRPr="00743A41">
              <w:rPr>
                <w:rFonts w:asciiTheme="majorHAnsi" w:hAnsiTheme="majorHAnsi" w:cstheme="majorHAnsi"/>
                <w:sz w:val="20"/>
                <w:szCs w:val="20"/>
              </w:rPr>
              <w:t>The Office of Research</w:t>
            </w:r>
            <w:r w:rsidRPr="00743A41">
              <w:rPr>
                <w:rFonts w:asciiTheme="majorHAnsi" w:eastAsia="Arial" w:hAnsiTheme="majorHAnsi" w:cstheme="majorHAnsi"/>
                <w:sz w:val="20"/>
                <w:szCs w:val="20"/>
              </w:rPr>
              <w:t xml:space="preserve"> maintains data on faculty research. This office generates an annual research report and shares it with the Research Council. </w:t>
            </w:r>
          </w:p>
        </w:tc>
        <w:tc>
          <w:tcPr>
            <w:tcW w:w="2070" w:type="dxa"/>
          </w:tcPr>
          <w:p w:rsidR="0010271E" w:rsidRPr="00743A41" w:rsidRDefault="0010271E" w:rsidP="00A37ED6">
            <w:pPr>
              <w:rPr>
                <w:rFonts w:asciiTheme="majorHAnsi" w:hAnsiTheme="majorHAnsi" w:cstheme="majorHAnsi"/>
                <w:sz w:val="20"/>
                <w:szCs w:val="20"/>
              </w:rPr>
            </w:pPr>
            <w:r w:rsidRPr="00743A41">
              <w:rPr>
                <w:rFonts w:asciiTheme="majorHAnsi" w:eastAsia="Arial" w:hAnsiTheme="majorHAnsi" w:cstheme="majorHAnsi"/>
                <w:sz w:val="20"/>
                <w:szCs w:val="20"/>
              </w:rPr>
              <w:t xml:space="preserve">The Research Council reviews the research report and makes recommendations to SPHEC. </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Research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rPr>
                <w:rFonts w:asciiTheme="majorHAnsi" w:hAnsiTheme="majorHAnsi" w:cstheme="majorHAnsi"/>
                <w:sz w:val="20"/>
                <w:szCs w:val="20"/>
              </w:rPr>
            </w:pPr>
            <w:r w:rsidRPr="00743A41">
              <w:rPr>
                <w:rFonts w:asciiTheme="majorHAnsi" w:eastAsia="Arial" w:hAnsiTheme="majorHAnsi" w:cstheme="majorHAnsi"/>
                <w:sz w:val="20"/>
                <w:szCs w:val="20"/>
              </w:rPr>
              <w:t>SPHEC</w:t>
            </w:r>
          </w:p>
        </w:tc>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chairs/Campus deans</w:t>
            </w:r>
          </w:p>
        </w:tc>
      </w:tr>
      <w:tr w:rsidR="0010271E" w:rsidRPr="00743A41" w:rsidTr="00F026B3">
        <w:tc>
          <w:tcPr>
            <w:tcW w:w="1574"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Average research funding per faculty</w:t>
            </w:r>
          </w:p>
        </w:tc>
        <w:tc>
          <w:tcPr>
            <w:tcW w:w="2656"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hAnsiTheme="majorHAnsi" w:cstheme="majorHAnsi"/>
                <w:sz w:val="20"/>
                <w:szCs w:val="20"/>
              </w:rPr>
              <w:t>The Office of Research</w:t>
            </w:r>
            <w:r w:rsidRPr="00743A41">
              <w:rPr>
                <w:rFonts w:asciiTheme="majorHAnsi" w:eastAsia="Arial" w:hAnsiTheme="majorHAnsi" w:cstheme="majorHAnsi"/>
                <w:sz w:val="20"/>
                <w:szCs w:val="20"/>
              </w:rPr>
              <w:t xml:space="preserve"> maintains data on faculty research. This office generates an annual research report and shares it with the Research Council. </w:t>
            </w:r>
          </w:p>
        </w:tc>
        <w:tc>
          <w:tcPr>
            <w:tcW w:w="2070" w:type="dxa"/>
          </w:tcPr>
          <w:p w:rsidR="0010271E" w:rsidRPr="00743A41" w:rsidRDefault="0010271E" w:rsidP="00A37ED6">
            <w:pPr>
              <w:rPr>
                <w:rFonts w:asciiTheme="majorHAnsi" w:hAnsiTheme="majorHAnsi" w:cstheme="majorHAnsi"/>
                <w:sz w:val="20"/>
                <w:szCs w:val="20"/>
              </w:rPr>
            </w:pPr>
            <w:r w:rsidRPr="00743A41">
              <w:rPr>
                <w:rFonts w:asciiTheme="majorHAnsi" w:eastAsia="Arial" w:hAnsiTheme="majorHAnsi" w:cstheme="majorHAnsi"/>
                <w:sz w:val="20"/>
                <w:szCs w:val="20"/>
              </w:rPr>
              <w:t xml:space="preserve">The Research Council reviews the research report and makes recommendations to SPHEC. </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Research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chairs/Campus deans</w:t>
            </w:r>
          </w:p>
        </w:tc>
      </w:tr>
      <w:tr w:rsidR="0010271E" w:rsidRPr="00743A41" w:rsidTr="00F026B3">
        <w:tc>
          <w:tcPr>
            <w:tcW w:w="1574"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Average research score on peer review</w:t>
            </w:r>
          </w:p>
        </w:tc>
        <w:tc>
          <w:tcPr>
            <w:tcW w:w="2656" w:type="dxa"/>
            <w:gridSpan w:val="2"/>
          </w:tcPr>
          <w:p w:rsidR="0010271E" w:rsidRPr="00743A41" w:rsidRDefault="0010271E" w:rsidP="00A37ED6">
            <w:pPr>
              <w:keepLines/>
              <w:rPr>
                <w:rFonts w:asciiTheme="majorHAnsi" w:hAnsiTheme="majorHAnsi" w:cstheme="majorHAnsi"/>
                <w:sz w:val="20"/>
                <w:szCs w:val="20"/>
              </w:rPr>
            </w:pPr>
            <w:r w:rsidRPr="00743A41">
              <w:rPr>
                <w:rFonts w:asciiTheme="majorHAnsi" w:eastAsia="Arial" w:hAnsiTheme="majorHAnsi" w:cstheme="majorHAnsi"/>
                <w:sz w:val="20"/>
                <w:szCs w:val="20"/>
              </w:rPr>
              <w:t>Using data reported in the AAR portal,  f</w:t>
            </w:r>
            <w:r w:rsidRPr="00743A41">
              <w:rPr>
                <w:rFonts w:asciiTheme="majorHAnsi" w:eastAsia="Times New Roman" w:hAnsiTheme="majorHAnsi" w:cstheme="majorHAnsi"/>
                <w:sz w:val="20"/>
                <w:szCs w:val="20"/>
              </w:rPr>
              <w:t xml:space="preserve">aculty peers evaluate research  productivity and rate each other on a scale from 1 (“exceptional”) to 5 (“does not meet expectations”). Data are analyzed by the SPH IT team and shared with the associate dean for management. </w:t>
            </w:r>
            <w:r w:rsidRPr="00743A41">
              <w:rPr>
                <w:rFonts w:asciiTheme="majorHAnsi" w:eastAsia="Arial" w:hAnsiTheme="majorHAnsi" w:cstheme="majorHAnsi"/>
                <w:sz w:val="20"/>
                <w:szCs w:val="20"/>
              </w:rPr>
              <w:t>The associate dean for management then summarizes the scores for each department and campus, and shares the information with department chairs and the dean.</w:t>
            </w:r>
          </w:p>
        </w:tc>
        <w:tc>
          <w:tcPr>
            <w:tcW w:w="2070" w:type="dxa"/>
          </w:tcPr>
          <w:p w:rsidR="0010271E" w:rsidRPr="00743A41" w:rsidRDefault="0010271E" w:rsidP="00A37ED6">
            <w:pPr>
              <w:rPr>
                <w:rFonts w:asciiTheme="majorHAnsi" w:hAnsiTheme="majorHAnsi" w:cstheme="majorHAnsi"/>
                <w:sz w:val="20"/>
                <w:szCs w:val="20"/>
              </w:rPr>
            </w:pPr>
            <w:r w:rsidRPr="00743A41">
              <w:rPr>
                <w:rFonts w:asciiTheme="majorHAnsi" w:eastAsia="Arial" w:hAnsiTheme="majorHAnsi" w:cstheme="majorHAnsi"/>
                <w:sz w:val="20"/>
                <w:szCs w:val="20"/>
              </w:rPr>
              <w:t xml:space="preserve">Department chairs and campus deans meet with faculty every fall to review scores. </w:t>
            </w:r>
          </w:p>
        </w:tc>
        <w:tc>
          <w:tcPr>
            <w:tcW w:w="1350" w:type="dxa"/>
          </w:tcPr>
          <w:p w:rsidR="0010271E" w:rsidRPr="00743A41" w:rsidRDefault="0010271E" w:rsidP="00A37ED6">
            <w:pPr>
              <w:keepLines/>
              <w:rPr>
                <w:rFonts w:asciiTheme="majorHAnsi" w:eastAsia="Arial" w:hAnsiTheme="majorHAnsi" w:cstheme="majorHAnsi"/>
                <w:b/>
                <w:sz w:val="20"/>
                <w:szCs w:val="20"/>
              </w:rPr>
            </w:pPr>
            <w:r w:rsidRPr="00743A41">
              <w:rPr>
                <w:rFonts w:asciiTheme="majorHAnsi" w:hAnsiTheme="majorHAnsi" w:cstheme="majorHAnsi"/>
                <w:sz w:val="20"/>
                <w:szCs w:val="20"/>
              </w:rPr>
              <w:t>Faculty Council</w:t>
            </w:r>
          </w:p>
        </w:tc>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chairs/Campus deans</w:t>
            </w:r>
          </w:p>
        </w:tc>
      </w:tr>
      <w:tr w:rsidR="0010271E" w:rsidRPr="00743A41" w:rsidTr="00F026B3">
        <w:tc>
          <w:tcPr>
            <w:tcW w:w="1574"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Percentage of faculty with an average research score on peer review of  &gt;3</w:t>
            </w:r>
          </w:p>
        </w:tc>
        <w:tc>
          <w:tcPr>
            <w:tcW w:w="2656"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Using data reported in the AAR portal,  f</w:t>
            </w:r>
            <w:r w:rsidRPr="00743A41">
              <w:rPr>
                <w:rFonts w:asciiTheme="majorHAnsi" w:eastAsia="Times New Roman" w:hAnsiTheme="majorHAnsi" w:cstheme="majorHAnsi"/>
                <w:sz w:val="20"/>
                <w:szCs w:val="20"/>
              </w:rPr>
              <w:t>aculty peers evaluate research  productivity and rate each other on a scale from 1 (“exceptional”) to 5 (“does not meet expectations”). Data are analyzed by the SPH IT team and shared with the associate dean for management.</w:t>
            </w:r>
          </w:p>
        </w:tc>
        <w:tc>
          <w:tcPr>
            <w:tcW w:w="2070" w:type="dxa"/>
          </w:tcPr>
          <w:p w:rsidR="0010271E" w:rsidRPr="00743A41" w:rsidRDefault="0010271E" w:rsidP="00A37ED6">
            <w:pPr>
              <w:rPr>
                <w:rFonts w:asciiTheme="majorHAnsi" w:hAnsiTheme="majorHAnsi" w:cstheme="majorHAnsi"/>
                <w:sz w:val="20"/>
                <w:szCs w:val="20"/>
              </w:rPr>
            </w:pPr>
            <w:r w:rsidRPr="00743A41">
              <w:rPr>
                <w:rFonts w:asciiTheme="majorHAnsi" w:eastAsia="Arial" w:hAnsiTheme="majorHAnsi" w:cstheme="majorHAnsi"/>
                <w:sz w:val="20"/>
                <w:szCs w:val="20"/>
              </w:rPr>
              <w:t>The Research Council reviews the research report and makes recommendations to SPHEC.</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hAnsiTheme="majorHAnsi" w:cstheme="majorHAnsi"/>
                <w:sz w:val="20"/>
                <w:szCs w:val="20"/>
              </w:rPr>
            </w:pPr>
            <w:r w:rsidRPr="00743A41">
              <w:rPr>
                <w:rFonts w:asciiTheme="majorHAnsi" w:eastAsia="Arial" w:hAnsiTheme="majorHAnsi" w:cstheme="majorHAnsi"/>
                <w:sz w:val="20"/>
                <w:szCs w:val="20"/>
              </w:rPr>
              <w:t>SPHEC</w:t>
            </w:r>
          </w:p>
        </w:tc>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chairs/Campus deans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Council</w:t>
            </w:r>
          </w:p>
        </w:tc>
      </w:tr>
      <w:tr w:rsidR="0010271E" w:rsidRPr="00743A41" w:rsidTr="00F026B3">
        <w:tc>
          <w:tcPr>
            <w:tcW w:w="1574"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Portion of funding from federal sources</w:t>
            </w:r>
          </w:p>
        </w:tc>
        <w:tc>
          <w:tcPr>
            <w:tcW w:w="2656" w:type="dxa"/>
            <w:gridSpan w:val="2"/>
          </w:tcPr>
          <w:p w:rsidR="0010271E" w:rsidRPr="00743A41" w:rsidRDefault="0010271E" w:rsidP="00A37ED6">
            <w:pPr>
              <w:rPr>
                <w:rFonts w:asciiTheme="majorHAnsi" w:hAnsiTheme="majorHAnsi" w:cstheme="majorHAnsi"/>
                <w:sz w:val="20"/>
                <w:szCs w:val="20"/>
              </w:rPr>
            </w:pPr>
            <w:r w:rsidRPr="00743A41">
              <w:rPr>
                <w:rFonts w:asciiTheme="majorHAnsi" w:hAnsiTheme="majorHAnsi" w:cstheme="majorHAnsi"/>
                <w:sz w:val="20"/>
                <w:szCs w:val="20"/>
              </w:rPr>
              <w:t>The Office of Research</w:t>
            </w:r>
            <w:r w:rsidRPr="00743A41">
              <w:rPr>
                <w:rFonts w:asciiTheme="majorHAnsi" w:eastAsia="Arial" w:hAnsiTheme="majorHAnsi" w:cstheme="majorHAnsi"/>
                <w:sz w:val="20"/>
                <w:szCs w:val="20"/>
              </w:rPr>
              <w:t xml:space="preserve"> maintains data on faculty research. This office generates an annual research report and shares it with the Research Council. </w:t>
            </w:r>
          </w:p>
        </w:tc>
        <w:tc>
          <w:tcPr>
            <w:tcW w:w="2070" w:type="dxa"/>
          </w:tcPr>
          <w:p w:rsidR="0010271E" w:rsidRPr="00743A41" w:rsidRDefault="0010271E" w:rsidP="00A37ED6">
            <w:pPr>
              <w:rPr>
                <w:rFonts w:asciiTheme="majorHAnsi" w:hAnsiTheme="majorHAnsi" w:cstheme="majorHAnsi"/>
                <w:sz w:val="20"/>
                <w:szCs w:val="20"/>
              </w:rPr>
            </w:pPr>
            <w:r w:rsidRPr="00743A41">
              <w:rPr>
                <w:rFonts w:asciiTheme="majorHAnsi" w:eastAsia="Arial" w:hAnsiTheme="majorHAnsi" w:cstheme="majorHAnsi"/>
                <w:sz w:val="20"/>
                <w:szCs w:val="20"/>
              </w:rPr>
              <w:t>The Research Council reviews the research report and makes recommendations to SPHEC.</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Research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SPHEC </w:t>
            </w:r>
          </w:p>
        </w:tc>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chairs/Campus deans</w:t>
            </w:r>
          </w:p>
        </w:tc>
      </w:tr>
      <w:tr w:rsidR="0010271E" w:rsidRPr="00743A41" w:rsidTr="00F026B3">
        <w:tc>
          <w:tcPr>
            <w:tcW w:w="1574"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Total grant submissions</w:t>
            </w:r>
          </w:p>
        </w:tc>
        <w:tc>
          <w:tcPr>
            <w:tcW w:w="2656" w:type="dxa"/>
            <w:gridSpan w:val="2"/>
          </w:tcPr>
          <w:p w:rsidR="0010271E" w:rsidRPr="00743A41" w:rsidRDefault="0010271E" w:rsidP="00A37ED6">
            <w:pPr>
              <w:rPr>
                <w:rFonts w:asciiTheme="majorHAnsi" w:hAnsiTheme="majorHAnsi" w:cstheme="majorHAnsi"/>
                <w:sz w:val="20"/>
                <w:szCs w:val="20"/>
              </w:rPr>
            </w:pPr>
            <w:r w:rsidRPr="00743A41">
              <w:rPr>
                <w:rFonts w:asciiTheme="majorHAnsi" w:hAnsiTheme="majorHAnsi" w:cstheme="majorHAnsi"/>
                <w:sz w:val="20"/>
                <w:szCs w:val="20"/>
              </w:rPr>
              <w:t>The Office of Research</w:t>
            </w:r>
            <w:r w:rsidRPr="00743A41">
              <w:rPr>
                <w:rFonts w:asciiTheme="majorHAnsi" w:eastAsia="Arial" w:hAnsiTheme="majorHAnsi" w:cstheme="majorHAnsi"/>
                <w:sz w:val="20"/>
                <w:szCs w:val="20"/>
              </w:rPr>
              <w:t xml:space="preserve"> maintains data on faculty research. This office generates an annual research report and shares it with the Research Council. </w:t>
            </w:r>
          </w:p>
        </w:tc>
        <w:tc>
          <w:tcPr>
            <w:tcW w:w="2070" w:type="dxa"/>
          </w:tcPr>
          <w:p w:rsidR="0010271E" w:rsidRPr="00743A41" w:rsidRDefault="0010271E"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The Research Council reviews the research report and makes recommendations to SPHEC.</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Research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SPHEC </w:t>
            </w:r>
          </w:p>
        </w:tc>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chairs/Campus deans</w:t>
            </w:r>
          </w:p>
        </w:tc>
      </w:tr>
      <w:tr w:rsidR="0010271E" w:rsidRPr="00743A41" w:rsidTr="00F026B3">
        <w:tc>
          <w:tcPr>
            <w:tcW w:w="1574"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Percent salary offset</w:t>
            </w:r>
          </w:p>
        </w:tc>
        <w:tc>
          <w:tcPr>
            <w:tcW w:w="2656" w:type="dxa"/>
            <w:gridSpan w:val="2"/>
          </w:tcPr>
          <w:p w:rsidR="0010271E" w:rsidRPr="00743A41" w:rsidRDefault="0010271E" w:rsidP="00A37ED6">
            <w:pPr>
              <w:keepLines/>
              <w:rPr>
                <w:rFonts w:asciiTheme="majorHAnsi" w:hAnsiTheme="majorHAnsi" w:cstheme="majorHAnsi"/>
                <w:sz w:val="20"/>
                <w:szCs w:val="20"/>
              </w:rPr>
            </w:pPr>
            <w:r w:rsidRPr="00743A41">
              <w:rPr>
                <w:rFonts w:asciiTheme="majorHAnsi" w:eastAsia="Arial" w:hAnsiTheme="majorHAnsi" w:cstheme="majorHAnsi"/>
                <w:sz w:val="20"/>
                <w:szCs w:val="20"/>
              </w:rPr>
              <w:t xml:space="preserve">The </w:t>
            </w:r>
            <w:r w:rsidRPr="00743A41">
              <w:rPr>
                <w:rFonts w:asciiTheme="majorHAnsi" w:hAnsiTheme="majorHAnsi" w:cstheme="majorHAnsi"/>
                <w:sz w:val="20"/>
                <w:szCs w:val="20"/>
              </w:rPr>
              <w:t>Office of Research</w:t>
            </w:r>
            <w:r w:rsidRPr="00743A41">
              <w:rPr>
                <w:rFonts w:asciiTheme="majorHAnsi" w:eastAsia="Arial" w:hAnsiTheme="majorHAnsi" w:cstheme="majorHAnsi"/>
                <w:sz w:val="20"/>
                <w:szCs w:val="20"/>
              </w:rPr>
              <w:t xml:space="preserve"> obtains the data from the associate dean for management and includes the data in the annual research report that it shares with the Research Council. </w:t>
            </w:r>
          </w:p>
        </w:tc>
        <w:tc>
          <w:tcPr>
            <w:tcW w:w="2070" w:type="dxa"/>
          </w:tcPr>
          <w:p w:rsidR="0010271E" w:rsidRPr="00743A41" w:rsidRDefault="0010271E" w:rsidP="00A37ED6">
            <w:pPr>
              <w:rPr>
                <w:rFonts w:asciiTheme="majorHAnsi" w:hAnsiTheme="majorHAnsi" w:cstheme="majorHAnsi"/>
                <w:sz w:val="20"/>
                <w:szCs w:val="20"/>
              </w:rPr>
            </w:pPr>
            <w:r w:rsidRPr="00743A41">
              <w:rPr>
                <w:rFonts w:asciiTheme="majorHAnsi" w:eastAsia="Arial" w:hAnsiTheme="majorHAnsi" w:cstheme="majorHAnsi"/>
                <w:sz w:val="20"/>
                <w:szCs w:val="20"/>
              </w:rPr>
              <w:t>The Research Council reviews the research report and makes recommendations to SPHEC.</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Research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chairs/Campus deans</w:t>
            </w:r>
          </w:p>
        </w:tc>
      </w:tr>
      <w:tr w:rsidR="0010271E" w:rsidRPr="00743A41" w:rsidTr="00F026B3">
        <w:tc>
          <w:tcPr>
            <w:tcW w:w="1574" w:type="dxa"/>
          </w:tcPr>
          <w:p w:rsidR="0010271E" w:rsidRPr="00743A41" w:rsidRDefault="009811DB"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Three-year faculty review</w:t>
            </w:r>
          </w:p>
        </w:tc>
        <w:tc>
          <w:tcPr>
            <w:tcW w:w="2656" w:type="dxa"/>
            <w:gridSpan w:val="2"/>
          </w:tcPr>
          <w:p w:rsidR="0010271E" w:rsidRPr="00743A41" w:rsidRDefault="0010271E" w:rsidP="00A37ED6">
            <w:pPr>
              <w:rPr>
                <w:rFonts w:asciiTheme="majorHAnsi" w:hAnsiTheme="majorHAnsi" w:cstheme="majorHAnsi"/>
                <w:sz w:val="20"/>
                <w:szCs w:val="20"/>
              </w:rPr>
            </w:pPr>
            <w:r w:rsidRPr="00743A41">
              <w:rPr>
                <w:rFonts w:asciiTheme="majorHAnsi" w:hAnsiTheme="majorHAnsi" w:cstheme="majorHAnsi"/>
                <w:sz w:val="20"/>
                <w:szCs w:val="20"/>
              </w:rPr>
              <w:t xml:space="preserve">The 3-year review is a formal, evaluative process of tenure-track, non-tenured faculty to assess their progress toward tenure and promotion and to provide candid feedback and recommendations to the candidate and the dean. Each department chair and, if applicable, the campus dean, will implement a full review of the research, teaching, service, and overall progress towards tenure of each tenure-track faculty member after completion of the first 3 full fiscal years of service.  Data consist of written input from the mentoring committee, a 3-page narrative, annual reviews, and peer reviews for the previous 3 years. </w:t>
            </w:r>
          </w:p>
        </w:tc>
        <w:tc>
          <w:tcPr>
            <w:tcW w:w="2070" w:type="dxa"/>
          </w:tcPr>
          <w:p w:rsidR="0010271E" w:rsidRPr="00743A41" w:rsidRDefault="0010271E"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 and campus deans review the data. The dean reviews the data of those reviewed annually.</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Council</w:t>
            </w:r>
          </w:p>
        </w:tc>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Dean’s Office and Department chairs</w:t>
            </w:r>
          </w:p>
        </w:tc>
      </w:tr>
      <w:tr w:rsidR="0010271E" w:rsidRPr="00743A41" w:rsidTr="00F026B3">
        <w:tc>
          <w:tcPr>
            <w:tcW w:w="1574"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Six-year post-tenure review of faculty</w:t>
            </w:r>
          </w:p>
        </w:tc>
        <w:tc>
          <w:tcPr>
            <w:tcW w:w="2656" w:type="dxa"/>
            <w:gridSpan w:val="2"/>
          </w:tcPr>
          <w:p w:rsidR="0010271E" w:rsidRPr="00743A41" w:rsidRDefault="0010271E"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Data used in the 6</w:t>
            </w:r>
            <w:r w:rsidRPr="00743A41">
              <w:rPr>
                <w:rFonts w:asciiTheme="majorHAnsi" w:eastAsia="Arial" w:hAnsiTheme="majorHAnsi" w:cstheme="majorHAnsi"/>
                <w:sz w:val="20"/>
                <w:szCs w:val="20"/>
              </w:rPr>
              <w:t xml:space="preserve">-year post-tenure </w:t>
            </w:r>
            <w:r w:rsidRPr="00743A41">
              <w:rPr>
                <w:rFonts w:asciiTheme="majorHAnsi" w:eastAsia="Times New Roman" w:hAnsiTheme="majorHAnsi" w:cstheme="majorHAnsi"/>
                <w:sz w:val="20"/>
                <w:szCs w:val="20"/>
              </w:rPr>
              <w:t>evaluations include an updated curriculum vita, AARs for the previous 6 academic years of work at UTHealth, and an optional narrative (1–3 pages long) highlighting accomplishments and/or explaining unique matters that should be considered when conducting the review. Each faculty member submits their data to the 6-year review committee.</w:t>
            </w:r>
          </w:p>
        </w:tc>
        <w:tc>
          <w:tcPr>
            <w:tcW w:w="2070" w:type="dxa"/>
          </w:tcPr>
          <w:p w:rsidR="0010271E" w:rsidRPr="00743A41" w:rsidRDefault="0010271E" w:rsidP="00A37ED6">
            <w:pPr>
              <w:rPr>
                <w:rFonts w:asciiTheme="majorHAnsi" w:eastAsia="Arial" w:hAnsiTheme="majorHAnsi" w:cstheme="majorHAnsi"/>
                <w:sz w:val="20"/>
                <w:szCs w:val="20"/>
              </w:rPr>
            </w:pPr>
            <w:r w:rsidRPr="00743A41">
              <w:rPr>
                <w:rFonts w:asciiTheme="majorHAnsi" w:hAnsiTheme="majorHAnsi" w:cstheme="majorHAnsi"/>
                <w:sz w:val="20"/>
                <w:szCs w:val="20"/>
              </w:rPr>
              <w:t xml:space="preserve">A </w:t>
            </w:r>
            <w:r w:rsidRPr="00743A41">
              <w:rPr>
                <w:rFonts w:asciiTheme="majorHAnsi" w:eastAsia="Times New Roman" w:hAnsiTheme="majorHAnsi" w:cstheme="majorHAnsi"/>
                <w:sz w:val="20"/>
                <w:szCs w:val="20"/>
              </w:rPr>
              <w:t>6-year review committee</w:t>
            </w:r>
            <w:r w:rsidRPr="00743A41">
              <w:rPr>
                <w:rFonts w:asciiTheme="majorHAnsi" w:hAnsiTheme="majorHAnsi" w:cstheme="majorHAnsi"/>
                <w:sz w:val="20"/>
                <w:szCs w:val="20"/>
              </w:rPr>
              <w:t xml:space="preserve"> conducts the review, with the final decision made by the dean. The Faculty Council appoints the chair and members of this committee.</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Faculty Council </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Dean’s Office</w:t>
            </w:r>
          </w:p>
        </w:tc>
      </w:tr>
      <w:tr w:rsidR="0010271E" w:rsidRPr="00743A41" w:rsidTr="00F026B3">
        <w:tc>
          <w:tcPr>
            <w:tcW w:w="1574"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Annual research evaluation by department chair and campus dean</w:t>
            </w:r>
          </w:p>
        </w:tc>
        <w:tc>
          <w:tcPr>
            <w:tcW w:w="2656"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 form completed by faculty and their department chair and, if applicable, campus dean. Ratings are sent to the Dean’s Office for review.</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 and campus deans meet with faculty every fall to review scores. The associate dean for management summarizes the scores for each department and campus, and shares the information with department chairs and the dean.</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Dean’s Office</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 and Campus deans</w:t>
            </w:r>
          </w:p>
        </w:tc>
      </w:tr>
      <w:tr w:rsidR="0010271E" w:rsidRPr="00743A41" w:rsidTr="00F026B3">
        <w:tc>
          <w:tcPr>
            <w:tcW w:w="9270" w:type="dxa"/>
            <w:gridSpan w:val="6"/>
          </w:tcPr>
          <w:p w:rsidR="0010271E" w:rsidRPr="00743A41" w:rsidRDefault="0010271E" w:rsidP="00A37ED6">
            <w:pPr>
              <w:keepLines/>
              <w:rPr>
                <w:rFonts w:asciiTheme="majorHAnsi" w:eastAsia="Arial" w:hAnsiTheme="majorHAnsi" w:cstheme="majorHAnsi"/>
                <w:i/>
                <w:sz w:val="20"/>
                <w:szCs w:val="20"/>
              </w:rPr>
            </w:pPr>
            <w:r w:rsidRPr="00743A41">
              <w:rPr>
                <w:rFonts w:asciiTheme="majorHAnsi" w:eastAsia="Arial" w:hAnsiTheme="majorHAnsi" w:cstheme="majorHAnsi"/>
                <w:i/>
                <w:sz w:val="20"/>
                <w:szCs w:val="20"/>
              </w:rPr>
              <w:t>*New outcome measure</w:t>
            </w:r>
          </w:p>
        </w:tc>
      </w:tr>
    </w:tbl>
    <w:p w:rsidR="0010271E" w:rsidRDefault="0010271E" w:rsidP="00A37ED6">
      <w:pPr>
        <w:rPr>
          <w:rFonts w:asciiTheme="majorHAnsi" w:eastAsia="Arial" w:hAnsiTheme="majorHAnsi" w:cstheme="majorHAnsi"/>
          <w:b/>
          <w:sz w:val="20"/>
          <w:szCs w:val="20"/>
        </w:rPr>
      </w:pPr>
    </w:p>
    <w:p w:rsidR="007C4B43" w:rsidRDefault="007C4B43" w:rsidP="00A37ED6">
      <w:pPr>
        <w:rPr>
          <w:rFonts w:asciiTheme="majorHAnsi" w:eastAsia="Arial" w:hAnsiTheme="majorHAnsi" w:cstheme="majorHAnsi"/>
          <w:b/>
          <w:sz w:val="20"/>
          <w:szCs w:val="20"/>
        </w:rPr>
      </w:pPr>
    </w:p>
    <w:p w:rsidR="007C4B43" w:rsidRDefault="007C4B43" w:rsidP="00A37ED6">
      <w:pPr>
        <w:rPr>
          <w:rFonts w:asciiTheme="majorHAnsi" w:eastAsia="Arial" w:hAnsiTheme="majorHAnsi" w:cstheme="majorHAnsi"/>
          <w:b/>
          <w:sz w:val="20"/>
          <w:szCs w:val="20"/>
        </w:rPr>
      </w:pPr>
    </w:p>
    <w:p w:rsidR="007C4B43" w:rsidRDefault="007C4B43" w:rsidP="00A37ED6">
      <w:pPr>
        <w:rPr>
          <w:rFonts w:asciiTheme="majorHAnsi" w:eastAsia="Arial" w:hAnsiTheme="majorHAnsi" w:cstheme="majorHAnsi"/>
          <w:b/>
          <w:sz w:val="20"/>
          <w:szCs w:val="20"/>
        </w:rPr>
      </w:pPr>
    </w:p>
    <w:p w:rsidR="007C4B43" w:rsidRDefault="007C4B43" w:rsidP="00A37ED6">
      <w:pPr>
        <w:rPr>
          <w:rFonts w:asciiTheme="majorHAnsi" w:eastAsia="Arial" w:hAnsiTheme="majorHAnsi" w:cstheme="majorHAnsi"/>
          <w:b/>
          <w:sz w:val="20"/>
          <w:szCs w:val="20"/>
        </w:rPr>
      </w:pPr>
    </w:p>
    <w:p w:rsidR="007C4B43" w:rsidRDefault="007C4B43" w:rsidP="00A37ED6">
      <w:pPr>
        <w:rPr>
          <w:rFonts w:asciiTheme="majorHAnsi" w:eastAsia="Arial" w:hAnsiTheme="majorHAnsi" w:cstheme="majorHAnsi"/>
          <w:b/>
          <w:sz w:val="20"/>
          <w:szCs w:val="20"/>
        </w:rPr>
      </w:pPr>
    </w:p>
    <w:p w:rsidR="007C4B43" w:rsidRDefault="007C4B43" w:rsidP="00A37ED6">
      <w:pPr>
        <w:rPr>
          <w:rFonts w:asciiTheme="majorHAnsi" w:eastAsia="Arial" w:hAnsiTheme="majorHAnsi" w:cstheme="majorHAnsi"/>
          <w:b/>
          <w:sz w:val="20"/>
          <w:szCs w:val="20"/>
        </w:rPr>
      </w:pPr>
    </w:p>
    <w:p w:rsidR="007C4B43" w:rsidRPr="00743A41" w:rsidRDefault="007C4B43" w:rsidP="00A37ED6">
      <w:pPr>
        <w:rPr>
          <w:rFonts w:asciiTheme="majorHAnsi" w:eastAsia="Arial" w:hAnsiTheme="majorHAnsi" w:cstheme="majorHAnsi"/>
          <w:b/>
          <w:sz w:val="20"/>
          <w:szCs w:val="20"/>
        </w:rPr>
      </w:pPr>
    </w:p>
    <w:p w:rsidR="0010271E" w:rsidRPr="00743A41" w:rsidRDefault="0010271E" w:rsidP="00A37ED6">
      <w:pPr>
        <w:ind w:left="720" w:hanging="720"/>
        <w:rPr>
          <w:rFonts w:asciiTheme="majorHAnsi" w:eastAsia="Arial" w:hAnsiTheme="majorHAnsi" w:cstheme="majorHAnsi"/>
          <w:b/>
          <w:color w:val="000000"/>
          <w:sz w:val="20"/>
          <w:szCs w:val="20"/>
        </w:rPr>
      </w:pPr>
      <w:r w:rsidRPr="00743A41">
        <w:rPr>
          <w:rFonts w:asciiTheme="majorHAnsi" w:eastAsia="Arial" w:hAnsiTheme="majorHAnsi" w:cstheme="majorHAnsi"/>
          <w:b/>
          <w:color w:val="000000"/>
          <w:sz w:val="20"/>
          <w:szCs w:val="20"/>
        </w:rPr>
        <w:t>Goal 3: Improve the public’s health through community collaboration, engagement, and service</w:t>
      </w:r>
    </w:p>
    <w:p w:rsidR="0010271E" w:rsidRPr="00743A41" w:rsidRDefault="0010271E" w:rsidP="00A37ED6">
      <w:pPr>
        <w:tabs>
          <w:tab w:val="left" w:pos="8370"/>
        </w:tabs>
        <w:ind w:left="720" w:hanging="720"/>
        <w:jc w:val="both"/>
        <w:rPr>
          <w:rFonts w:asciiTheme="majorHAnsi" w:eastAsia="Arial" w:hAnsiTheme="majorHAnsi" w:cstheme="majorHAnsi"/>
          <w:b/>
          <w:sz w:val="20"/>
          <w:szCs w:val="20"/>
        </w:rPr>
      </w:pPr>
      <w:r w:rsidRPr="00743A41">
        <w:rPr>
          <w:rFonts w:asciiTheme="majorHAnsi" w:eastAsia="Arial" w:hAnsiTheme="majorHAnsi" w:cstheme="majorHAnsi"/>
          <w:sz w:val="20"/>
          <w:szCs w:val="20"/>
        </w:rPr>
        <w:t>Table B</w:t>
      </w:r>
      <w:r w:rsidR="004719FF" w:rsidRPr="00743A41">
        <w:rPr>
          <w:rFonts w:asciiTheme="majorHAnsi" w:eastAsia="Arial" w:hAnsiTheme="majorHAnsi" w:cstheme="majorHAnsi"/>
          <w:sz w:val="20"/>
          <w:szCs w:val="20"/>
        </w:rPr>
        <w:t>.</w:t>
      </w:r>
      <w:r w:rsidRPr="00743A41">
        <w:rPr>
          <w:rFonts w:asciiTheme="majorHAnsi" w:eastAsia="Arial" w:hAnsiTheme="majorHAnsi" w:cstheme="majorHAnsi"/>
          <w:sz w:val="20"/>
          <w:szCs w:val="20"/>
        </w:rPr>
        <w:t>5.1.c. Evaluation Measures as a Part of the Evaluation Plan Goal 3</w:t>
      </w:r>
      <w:r w:rsidR="007C4B43">
        <w:rPr>
          <w:rFonts w:asciiTheme="majorHAnsi" w:eastAsia="Arial" w:hAnsiTheme="majorHAnsi" w:cstheme="majorHAnsi"/>
          <w:sz w:val="20"/>
          <w:szCs w:val="20"/>
        </w:rPr>
        <w:t xml:space="preserve"> (</w:t>
      </w:r>
      <w:r w:rsidR="007C4B43" w:rsidRPr="00EB3291">
        <w:rPr>
          <w:rFonts w:asciiTheme="majorHAnsi" w:eastAsia="Arial" w:hAnsiTheme="majorHAnsi" w:cstheme="majorHAnsi"/>
          <w:i/>
          <w:sz w:val="20"/>
          <w:szCs w:val="20"/>
        </w:rPr>
        <w:t>ERF, B5. Defining Evaluation Practices</w:t>
      </w:r>
      <w:r w:rsidR="007C4B43">
        <w:rPr>
          <w:rFonts w:asciiTheme="majorHAnsi" w:eastAsia="Arial" w:hAnsiTheme="majorHAnsi" w:cstheme="majorHAnsi"/>
          <w:sz w:val="20"/>
          <w:szCs w:val="20"/>
        </w:rPr>
        <w:t>)</w:t>
      </w:r>
    </w:p>
    <w:tbl>
      <w:tblPr>
        <w:tblStyle w:val="TableGrid"/>
        <w:tblW w:w="9270" w:type="dxa"/>
        <w:tblInd w:w="-5" w:type="dxa"/>
        <w:tblLayout w:type="fixed"/>
        <w:tblLook w:val="04A0" w:firstRow="1" w:lastRow="0" w:firstColumn="1" w:lastColumn="0" w:noHBand="0" w:noVBand="1"/>
      </w:tblPr>
      <w:tblGrid>
        <w:gridCol w:w="1574"/>
        <w:gridCol w:w="1216"/>
        <w:gridCol w:w="1440"/>
        <w:gridCol w:w="2070"/>
        <w:gridCol w:w="1350"/>
        <w:gridCol w:w="1620"/>
      </w:tblGrid>
      <w:tr w:rsidR="00902637" w:rsidRPr="00743A41" w:rsidTr="00497457">
        <w:trPr>
          <w:cantSplit/>
          <w:trHeight w:val="881"/>
          <w:tblHeader/>
        </w:trPr>
        <w:tc>
          <w:tcPr>
            <w:tcW w:w="1574" w:type="dxa"/>
            <w:shd w:val="clear" w:color="auto" w:fill="D9D9D9" w:themeFill="background1" w:themeFillShade="D9"/>
            <w:vAlign w:val="center"/>
          </w:tcPr>
          <w:p w:rsidR="00902637" w:rsidRPr="00743A41" w:rsidRDefault="00902637" w:rsidP="00A37ED6">
            <w:pPr>
              <w:keepLines/>
              <w:jc w:val="center"/>
              <w:rPr>
                <w:rFonts w:asciiTheme="majorHAnsi" w:eastAsia="Arial" w:hAnsiTheme="majorHAnsi" w:cstheme="majorHAnsi"/>
                <w:b/>
                <w:sz w:val="20"/>
                <w:szCs w:val="20"/>
              </w:rPr>
            </w:pPr>
            <w:r w:rsidRPr="00743A41">
              <w:rPr>
                <w:rFonts w:asciiTheme="majorHAnsi" w:eastAsia="Arial" w:hAnsiTheme="majorHAnsi" w:cstheme="majorHAnsi"/>
                <w:b/>
                <w:sz w:val="20"/>
                <w:szCs w:val="20"/>
              </w:rPr>
              <w:t>Evaluation Measure</w:t>
            </w:r>
          </w:p>
        </w:tc>
        <w:tc>
          <w:tcPr>
            <w:tcW w:w="2656" w:type="dxa"/>
            <w:gridSpan w:val="2"/>
            <w:shd w:val="clear" w:color="auto" w:fill="D9D9D9" w:themeFill="background1" w:themeFillShade="D9"/>
            <w:vAlign w:val="center"/>
          </w:tcPr>
          <w:p w:rsidR="00902637" w:rsidRPr="00743A41" w:rsidRDefault="00902637" w:rsidP="00A37ED6">
            <w:pPr>
              <w:keepLines/>
              <w:jc w:val="center"/>
              <w:rPr>
                <w:rFonts w:asciiTheme="majorHAnsi" w:eastAsia="Arial" w:hAnsiTheme="majorHAnsi" w:cstheme="majorHAnsi"/>
                <w:b/>
                <w:color w:val="000000"/>
                <w:sz w:val="20"/>
                <w:szCs w:val="20"/>
              </w:rPr>
            </w:pPr>
            <w:r w:rsidRPr="00743A41">
              <w:rPr>
                <w:rFonts w:asciiTheme="majorHAnsi" w:eastAsia="Arial" w:hAnsiTheme="majorHAnsi" w:cstheme="majorHAnsi"/>
                <w:b/>
                <w:color w:val="000000"/>
                <w:sz w:val="20"/>
                <w:szCs w:val="20"/>
              </w:rPr>
              <w:t>Identify data source(s) and describe how raw data are analyzed and presented for decision making</w:t>
            </w:r>
          </w:p>
        </w:tc>
        <w:tc>
          <w:tcPr>
            <w:tcW w:w="5040" w:type="dxa"/>
            <w:gridSpan w:val="3"/>
            <w:shd w:val="clear" w:color="auto" w:fill="D9D9D9" w:themeFill="background1" w:themeFillShade="D9"/>
            <w:vAlign w:val="center"/>
          </w:tcPr>
          <w:p w:rsidR="00902637" w:rsidRPr="00743A41" w:rsidRDefault="00902637" w:rsidP="00A37ED6">
            <w:pPr>
              <w:keepLines/>
              <w:jc w:val="center"/>
              <w:rPr>
                <w:rFonts w:asciiTheme="majorHAnsi" w:eastAsia="Arial" w:hAnsiTheme="majorHAnsi" w:cstheme="majorHAnsi"/>
                <w:b/>
                <w:sz w:val="20"/>
                <w:szCs w:val="20"/>
              </w:rPr>
            </w:pPr>
            <w:r w:rsidRPr="00743A41">
              <w:rPr>
                <w:rFonts w:asciiTheme="majorHAnsi" w:eastAsia="Arial" w:hAnsiTheme="majorHAnsi" w:cstheme="majorHAnsi"/>
                <w:b/>
                <w:color w:val="000000"/>
                <w:sz w:val="20"/>
                <w:szCs w:val="20"/>
              </w:rPr>
              <w:t>Responsibility for Review</w:t>
            </w:r>
          </w:p>
        </w:tc>
      </w:tr>
      <w:tr w:rsidR="00902637" w:rsidRPr="00743A41" w:rsidTr="00497457">
        <w:trPr>
          <w:cantSplit/>
          <w:trHeight w:val="881"/>
          <w:tblHeader/>
        </w:trPr>
        <w:tc>
          <w:tcPr>
            <w:tcW w:w="1574" w:type="dxa"/>
            <w:shd w:val="clear" w:color="auto" w:fill="D9D9D9" w:themeFill="background1" w:themeFillShade="D9"/>
            <w:vAlign w:val="center"/>
          </w:tcPr>
          <w:p w:rsidR="00902637" w:rsidRPr="00743A41" w:rsidRDefault="00902637" w:rsidP="00A37ED6">
            <w:pPr>
              <w:keepLines/>
              <w:rPr>
                <w:rFonts w:asciiTheme="majorHAnsi" w:eastAsia="Arial" w:hAnsiTheme="majorHAnsi" w:cstheme="majorHAnsi"/>
                <w:b/>
                <w:sz w:val="20"/>
                <w:szCs w:val="20"/>
              </w:rPr>
            </w:pPr>
          </w:p>
        </w:tc>
        <w:tc>
          <w:tcPr>
            <w:tcW w:w="1216" w:type="dxa"/>
            <w:shd w:val="clear" w:color="auto" w:fill="D9D9D9" w:themeFill="background1" w:themeFillShade="D9"/>
            <w:vAlign w:val="center"/>
          </w:tcPr>
          <w:p w:rsidR="00902637" w:rsidRPr="00743A41" w:rsidRDefault="00902637" w:rsidP="00A37ED6">
            <w:pPr>
              <w:keepLines/>
              <w:jc w:val="center"/>
              <w:rPr>
                <w:rFonts w:asciiTheme="majorHAnsi" w:eastAsia="Arial" w:hAnsiTheme="majorHAnsi" w:cstheme="majorHAnsi"/>
                <w:color w:val="000000"/>
                <w:sz w:val="20"/>
                <w:szCs w:val="20"/>
              </w:rPr>
            </w:pPr>
            <w:r w:rsidRPr="00743A41">
              <w:rPr>
                <w:rFonts w:asciiTheme="majorHAnsi" w:eastAsia="Arial" w:hAnsiTheme="majorHAnsi" w:cstheme="majorHAnsi"/>
                <w:b/>
                <w:color w:val="000000"/>
                <w:sz w:val="20"/>
                <w:szCs w:val="20"/>
              </w:rPr>
              <w:t>Data Collection Method</w:t>
            </w:r>
          </w:p>
          <w:p w:rsidR="00902637" w:rsidRPr="00743A41" w:rsidRDefault="00902637" w:rsidP="00A37ED6">
            <w:pPr>
              <w:keepLines/>
              <w:jc w:val="center"/>
              <w:rPr>
                <w:rFonts w:asciiTheme="majorHAnsi" w:eastAsia="Arial" w:hAnsiTheme="majorHAnsi" w:cstheme="majorHAnsi"/>
                <w:b/>
                <w:color w:val="000000"/>
                <w:sz w:val="20"/>
                <w:szCs w:val="20"/>
              </w:rPr>
            </w:pPr>
            <w:r w:rsidRPr="00743A41">
              <w:rPr>
                <w:rFonts w:asciiTheme="majorHAnsi" w:eastAsia="Arial" w:hAnsiTheme="majorHAnsi" w:cstheme="majorHAnsi"/>
                <w:b/>
                <w:color w:val="000000"/>
                <w:sz w:val="20"/>
                <w:szCs w:val="20"/>
              </w:rPr>
              <w:t>for Measure</w:t>
            </w:r>
          </w:p>
        </w:tc>
        <w:tc>
          <w:tcPr>
            <w:tcW w:w="1440" w:type="dxa"/>
            <w:shd w:val="clear" w:color="auto" w:fill="D9D9D9" w:themeFill="background1" w:themeFillShade="D9"/>
            <w:vAlign w:val="center"/>
          </w:tcPr>
          <w:p w:rsidR="00902637" w:rsidRPr="00743A41" w:rsidRDefault="00902637" w:rsidP="00A37ED6">
            <w:pPr>
              <w:keepLines/>
              <w:jc w:val="center"/>
              <w:rPr>
                <w:rFonts w:asciiTheme="majorHAnsi" w:eastAsia="Arial" w:hAnsiTheme="majorHAnsi" w:cstheme="majorHAnsi"/>
                <w:b/>
                <w:sz w:val="20"/>
                <w:szCs w:val="20"/>
              </w:rPr>
            </w:pPr>
            <w:r w:rsidRPr="00743A41">
              <w:rPr>
                <w:rFonts w:asciiTheme="majorHAnsi" w:eastAsia="Arial" w:hAnsiTheme="majorHAnsi" w:cstheme="majorHAnsi"/>
                <w:b/>
                <w:color w:val="000000"/>
                <w:sz w:val="20"/>
                <w:szCs w:val="20"/>
              </w:rPr>
              <w:t>Responsibility for Data Generation and Analysis</w:t>
            </w:r>
          </w:p>
        </w:tc>
        <w:tc>
          <w:tcPr>
            <w:tcW w:w="2070" w:type="dxa"/>
            <w:shd w:val="clear" w:color="auto" w:fill="D9D9D9" w:themeFill="background1" w:themeFillShade="D9"/>
            <w:vAlign w:val="center"/>
          </w:tcPr>
          <w:p w:rsidR="00902637" w:rsidRPr="00743A41" w:rsidRDefault="00902637" w:rsidP="00A37ED6">
            <w:pPr>
              <w:keepLines/>
              <w:jc w:val="center"/>
              <w:rPr>
                <w:rFonts w:asciiTheme="majorHAnsi" w:eastAsia="Arial" w:hAnsiTheme="majorHAnsi" w:cstheme="majorHAnsi"/>
                <w:b/>
                <w:color w:val="000000"/>
                <w:sz w:val="20"/>
                <w:szCs w:val="20"/>
              </w:rPr>
            </w:pPr>
            <w:r w:rsidRPr="00743A41">
              <w:rPr>
                <w:rFonts w:asciiTheme="majorHAnsi" w:eastAsia="Arial" w:hAnsiTheme="majorHAnsi" w:cstheme="majorHAnsi"/>
                <w:b/>
                <w:color w:val="000000"/>
                <w:sz w:val="20"/>
                <w:szCs w:val="20"/>
              </w:rPr>
              <w:t xml:space="preserve">Responsibility for Review and Recommendations </w:t>
            </w:r>
          </w:p>
        </w:tc>
        <w:tc>
          <w:tcPr>
            <w:tcW w:w="1350" w:type="dxa"/>
            <w:shd w:val="clear" w:color="auto" w:fill="D9D9D9" w:themeFill="background1" w:themeFillShade="D9"/>
            <w:vAlign w:val="center"/>
          </w:tcPr>
          <w:p w:rsidR="00902637" w:rsidRPr="00743A41" w:rsidRDefault="00902637" w:rsidP="00A37ED6">
            <w:pPr>
              <w:keepLines/>
              <w:jc w:val="center"/>
              <w:rPr>
                <w:rFonts w:asciiTheme="majorHAnsi" w:eastAsia="Arial" w:hAnsiTheme="majorHAnsi" w:cstheme="majorHAnsi"/>
                <w:color w:val="000000"/>
                <w:sz w:val="20"/>
                <w:szCs w:val="20"/>
              </w:rPr>
            </w:pPr>
            <w:r w:rsidRPr="00743A41">
              <w:rPr>
                <w:rFonts w:asciiTheme="majorHAnsi" w:eastAsia="Arial" w:hAnsiTheme="majorHAnsi" w:cstheme="majorHAnsi"/>
                <w:b/>
                <w:color w:val="000000"/>
                <w:sz w:val="20"/>
                <w:szCs w:val="20"/>
              </w:rPr>
              <w:t>Data Collection Method</w:t>
            </w:r>
          </w:p>
          <w:p w:rsidR="00902637" w:rsidRPr="00743A41" w:rsidRDefault="00902637" w:rsidP="00A37ED6">
            <w:pPr>
              <w:keepLines/>
              <w:jc w:val="center"/>
              <w:rPr>
                <w:rFonts w:asciiTheme="majorHAnsi" w:eastAsia="Arial" w:hAnsiTheme="majorHAnsi" w:cstheme="majorHAnsi"/>
                <w:b/>
                <w:sz w:val="20"/>
                <w:szCs w:val="20"/>
              </w:rPr>
            </w:pPr>
            <w:r w:rsidRPr="00743A41">
              <w:rPr>
                <w:rFonts w:asciiTheme="majorHAnsi" w:eastAsia="Arial" w:hAnsiTheme="majorHAnsi" w:cstheme="majorHAnsi"/>
                <w:b/>
                <w:color w:val="000000"/>
                <w:sz w:val="20"/>
                <w:szCs w:val="20"/>
              </w:rPr>
              <w:t>for Measure</w:t>
            </w:r>
          </w:p>
        </w:tc>
        <w:tc>
          <w:tcPr>
            <w:tcW w:w="1620" w:type="dxa"/>
            <w:shd w:val="clear" w:color="auto" w:fill="D9D9D9" w:themeFill="background1" w:themeFillShade="D9"/>
            <w:vAlign w:val="center"/>
          </w:tcPr>
          <w:p w:rsidR="00902637" w:rsidRPr="00743A41" w:rsidRDefault="00902637" w:rsidP="00A37ED6">
            <w:pPr>
              <w:keepLines/>
              <w:jc w:val="center"/>
              <w:rPr>
                <w:rFonts w:asciiTheme="majorHAnsi" w:eastAsia="Arial" w:hAnsiTheme="majorHAnsi" w:cstheme="majorHAnsi"/>
                <w:b/>
                <w:sz w:val="20"/>
                <w:szCs w:val="20"/>
              </w:rPr>
            </w:pPr>
            <w:r w:rsidRPr="00743A41">
              <w:rPr>
                <w:rFonts w:asciiTheme="majorHAnsi" w:eastAsia="Arial" w:hAnsiTheme="majorHAnsi" w:cstheme="majorHAnsi"/>
                <w:b/>
                <w:color w:val="000000"/>
                <w:sz w:val="20"/>
                <w:szCs w:val="20"/>
              </w:rPr>
              <w:t>Responsibility for Data Generation and Analysis</w:t>
            </w:r>
          </w:p>
        </w:tc>
      </w:tr>
      <w:tr w:rsidR="0010271E" w:rsidRPr="00743A41" w:rsidTr="00497457">
        <w:trPr>
          <w:cantSplit/>
        </w:trPr>
        <w:tc>
          <w:tcPr>
            <w:tcW w:w="1574"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Times New Roman" w:hAnsiTheme="majorHAnsi" w:cstheme="majorHAnsi"/>
                <w:color w:val="000000"/>
                <w:sz w:val="20"/>
                <w:szCs w:val="20"/>
              </w:rPr>
              <w:t>Total service funding (funding with community-based organizations)</w:t>
            </w:r>
          </w:p>
        </w:tc>
        <w:tc>
          <w:tcPr>
            <w:tcW w:w="2656" w:type="dxa"/>
            <w:gridSpan w:val="2"/>
          </w:tcPr>
          <w:p w:rsidR="0010271E" w:rsidRPr="00743A41" w:rsidRDefault="0010271E" w:rsidP="00A37ED6">
            <w:pPr>
              <w:keepLines/>
              <w:rPr>
                <w:rFonts w:asciiTheme="majorHAnsi" w:hAnsiTheme="majorHAnsi" w:cstheme="majorHAnsi"/>
                <w:sz w:val="20"/>
                <w:szCs w:val="20"/>
              </w:rPr>
            </w:pPr>
            <w:r w:rsidRPr="00743A41">
              <w:rPr>
                <w:rFonts w:asciiTheme="majorHAnsi" w:eastAsia="Arial" w:hAnsiTheme="majorHAnsi" w:cstheme="majorHAnsi"/>
                <w:sz w:val="20"/>
                <w:szCs w:val="20"/>
              </w:rPr>
              <w:t>Data are generated by downloading all subcontracts and selecting subcontracts that are with community agencies. Data are generated annually.</w:t>
            </w:r>
          </w:p>
        </w:tc>
        <w:tc>
          <w:tcPr>
            <w:tcW w:w="2070" w:type="dxa"/>
          </w:tcPr>
          <w:p w:rsidR="0010271E" w:rsidRPr="00743A41" w:rsidRDefault="0010271E" w:rsidP="00A37ED6">
            <w:pPr>
              <w:keepLines/>
              <w:rPr>
                <w:rFonts w:asciiTheme="majorHAnsi" w:eastAsia="Arial" w:hAnsiTheme="majorHAnsi" w:cstheme="majorHAnsi"/>
                <w:b/>
                <w:sz w:val="20"/>
                <w:szCs w:val="20"/>
              </w:rPr>
            </w:pPr>
            <w:r w:rsidRPr="00743A41">
              <w:rPr>
                <w:rFonts w:asciiTheme="majorHAnsi" w:eastAsia="Arial" w:hAnsiTheme="majorHAnsi" w:cstheme="majorHAnsi"/>
                <w:sz w:val="20"/>
                <w:szCs w:val="20"/>
              </w:rPr>
              <w:t>Data are reviewed annually by the Research Council and the Practice Council.</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Practice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Research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b/>
                <w:sz w:val="20"/>
                <w:szCs w:val="20"/>
              </w:rPr>
            </w:pPr>
            <w:r w:rsidRPr="00743A41">
              <w:rPr>
                <w:rFonts w:asciiTheme="majorHAnsi" w:eastAsia="Arial" w:hAnsiTheme="majorHAnsi" w:cstheme="majorHAnsi"/>
                <w:sz w:val="20"/>
                <w:szCs w:val="20"/>
              </w:rPr>
              <w:t>SPHEC</w:t>
            </w:r>
          </w:p>
        </w:tc>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chairs/Campus deans</w:t>
            </w:r>
          </w:p>
        </w:tc>
      </w:tr>
      <w:tr w:rsidR="0010271E" w:rsidRPr="00743A41" w:rsidTr="00497457">
        <w:trPr>
          <w:cantSplit/>
        </w:trPr>
        <w:tc>
          <w:tcPr>
            <w:tcW w:w="1574"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Times New Roman" w:hAnsiTheme="majorHAnsi" w:cstheme="majorHAnsi"/>
                <w:color w:val="000000"/>
                <w:sz w:val="20"/>
                <w:szCs w:val="20"/>
              </w:rPr>
              <w:t>Total number of community-based service projects*</w:t>
            </w:r>
          </w:p>
        </w:tc>
        <w:tc>
          <w:tcPr>
            <w:tcW w:w="2656" w:type="dxa"/>
            <w:gridSpan w:val="2"/>
          </w:tcPr>
          <w:p w:rsidR="0010271E" w:rsidRPr="00743A41" w:rsidRDefault="0010271E" w:rsidP="00A37ED6">
            <w:pPr>
              <w:keepLines/>
              <w:rPr>
                <w:rFonts w:asciiTheme="majorHAnsi" w:hAnsiTheme="majorHAnsi" w:cstheme="majorHAnsi"/>
                <w:sz w:val="20"/>
                <w:szCs w:val="20"/>
              </w:rPr>
            </w:pPr>
            <w:r w:rsidRPr="00743A41">
              <w:rPr>
                <w:rFonts w:asciiTheme="majorHAnsi" w:eastAsia="Arial" w:hAnsiTheme="majorHAnsi" w:cstheme="majorHAnsi"/>
                <w:sz w:val="20"/>
                <w:szCs w:val="20"/>
              </w:rPr>
              <w:t>Data are generated by downloading all subcontracts and selecting subcontracts that are with community agencies. Data are generated annually.</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Data are reviewed annually by the Practice Council.</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Practice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Research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chairs/Campus deans</w:t>
            </w:r>
          </w:p>
        </w:tc>
      </w:tr>
      <w:tr w:rsidR="0010271E" w:rsidRPr="00743A41" w:rsidTr="00497457">
        <w:trPr>
          <w:cantSplit/>
        </w:trPr>
        <w:tc>
          <w:tcPr>
            <w:tcW w:w="1574"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hAnsiTheme="majorHAnsi" w:cstheme="majorHAnsi"/>
                <w:bCs/>
                <w:sz w:val="20"/>
                <w:szCs w:val="20"/>
              </w:rPr>
              <w:t>Percentage</w:t>
            </w:r>
            <w:r w:rsidRPr="00743A41">
              <w:rPr>
                <w:rFonts w:asciiTheme="majorHAnsi" w:eastAsia="Arial" w:hAnsiTheme="majorHAnsi" w:cstheme="majorHAnsi"/>
                <w:sz w:val="20"/>
                <w:szCs w:val="20"/>
              </w:rPr>
              <w:t xml:space="preserve"> of faculty involved in extramural service*</w:t>
            </w:r>
          </w:p>
        </w:tc>
        <w:tc>
          <w:tcPr>
            <w:tcW w:w="2656" w:type="dxa"/>
            <w:gridSpan w:val="2"/>
          </w:tcPr>
          <w:p w:rsidR="0010271E" w:rsidRPr="00743A41" w:rsidRDefault="0010271E" w:rsidP="00A37ED6">
            <w:pPr>
              <w:rPr>
                <w:rFonts w:asciiTheme="majorHAnsi" w:hAnsiTheme="majorHAnsi" w:cstheme="majorHAnsi"/>
                <w:sz w:val="20"/>
                <w:szCs w:val="20"/>
              </w:rPr>
            </w:pPr>
            <w:r w:rsidRPr="00743A41">
              <w:rPr>
                <w:rFonts w:asciiTheme="majorHAnsi" w:eastAsia="Arial" w:hAnsiTheme="majorHAnsi" w:cstheme="majorHAnsi"/>
                <w:sz w:val="20"/>
                <w:szCs w:val="20"/>
              </w:rPr>
              <w:t xml:space="preserve">Data are generated through the AAR process.  </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Data are reviewed annually by the Practice Council.</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Practice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chairs/Campus deans</w:t>
            </w:r>
          </w:p>
          <w:p w:rsidR="0010271E" w:rsidRPr="00743A41" w:rsidRDefault="0010271E" w:rsidP="00A37ED6">
            <w:pPr>
              <w:keepLines/>
              <w:rPr>
                <w:rFonts w:asciiTheme="majorHAnsi" w:eastAsia="Arial" w:hAnsiTheme="majorHAnsi" w:cstheme="majorHAnsi"/>
                <w:sz w:val="20"/>
                <w:szCs w:val="20"/>
              </w:rPr>
            </w:pPr>
          </w:p>
        </w:tc>
      </w:tr>
      <w:tr w:rsidR="0010271E" w:rsidRPr="00743A41" w:rsidTr="00497457">
        <w:trPr>
          <w:cantSplit/>
        </w:trPr>
        <w:tc>
          <w:tcPr>
            <w:tcW w:w="1574"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Average number of external service collaborations per faculty*</w:t>
            </w:r>
          </w:p>
        </w:tc>
        <w:tc>
          <w:tcPr>
            <w:tcW w:w="2656" w:type="dxa"/>
            <w:gridSpan w:val="2"/>
          </w:tcPr>
          <w:p w:rsidR="0010271E" w:rsidRPr="00743A41" w:rsidRDefault="0010271E" w:rsidP="00A37ED6">
            <w:pPr>
              <w:keepLines/>
              <w:rPr>
                <w:rFonts w:asciiTheme="majorHAnsi" w:hAnsiTheme="majorHAnsi" w:cstheme="majorHAnsi"/>
                <w:b/>
                <w:sz w:val="20"/>
                <w:szCs w:val="20"/>
              </w:rPr>
            </w:pPr>
            <w:r w:rsidRPr="00743A41">
              <w:rPr>
                <w:rFonts w:asciiTheme="majorHAnsi" w:eastAsia="Arial" w:hAnsiTheme="majorHAnsi" w:cstheme="majorHAnsi"/>
                <w:sz w:val="20"/>
                <w:szCs w:val="20"/>
              </w:rPr>
              <w:t>The Faculty Service Survey is a 17-item survey launched in Summer 2018. The survey assesses previous public health experience, integration of practice into courses, integration of scholarship into courses, and current service activities.</w:t>
            </w:r>
          </w:p>
        </w:tc>
        <w:tc>
          <w:tcPr>
            <w:tcW w:w="2070" w:type="dxa"/>
          </w:tcPr>
          <w:p w:rsidR="0010271E" w:rsidRPr="00743A41" w:rsidRDefault="0010271E" w:rsidP="00A37ED6">
            <w:pPr>
              <w:keepLines/>
              <w:rPr>
                <w:rFonts w:asciiTheme="majorHAnsi" w:eastAsia="Arial" w:hAnsiTheme="majorHAnsi" w:cstheme="majorHAnsi"/>
                <w:b/>
                <w:sz w:val="20"/>
                <w:szCs w:val="20"/>
              </w:rPr>
            </w:pPr>
            <w:r w:rsidRPr="00743A41">
              <w:rPr>
                <w:rFonts w:asciiTheme="majorHAnsi" w:eastAsia="Arial" w:hAnsiTheme="majorHAnsi" w:cstheme="majorHAnsi"/>
                <w:sz w:val="20"/>
                <w:szCs w:val="20"/>
              </w:rPr>
              <w:t>Department chairs and campus deans meet with faculty every fall to review scores.</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Practice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b/>
                <w:sz w:val="20"/>
                <w:szCs w:val="20"/>
              </w:rPr>
            </w:pPr>
            <w:r w:rsidRPr="00743A41">
              <w:rPr>
                <w:rFonts w:asciiTheme="majorHAnsi" w:eastAsia="Arial" w:hAnsiTheme="majorHAnsi" w:cstheme="majorHAnsi"/>
                <w:sz w:val="20"/>
                <w:szCs w:val="20"/>
              </w:rPr>
              <w:t>SPHEC</w:t>
            </w:r>
          </w:p>
        </w:tc>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chairs/Campus deans</w:t>
            </w:r>
          </w:p>
        </w:tc>
      </w:tr>
      <w:tr w:rsidR="0010271E" w:rsidRPr="00743A41" w:rsidTr="00497457">
        <w:trPr>
          <w:cantSplit/>
        </w:trPr>
        <w:tc>
          <w:tcPr>
            <w:tcW w:w="1574"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Average service score on peer review</w:t>
            </w:r>
          </w:p>
        </w:tc>
        <w:tc>
          <w:tcPr>
            <w:tcW w:w="2656" w:type="dxa"/>
            <w:gridSpan w:val="2"/>
          </w:tcPr>
          <w:p w:rsidR="0010271E" w:rsidRPr="00743A41" w:rsidRDefault="0010271E" w:rsidP="00A37ED6">
            <w:pPr>
              <w:keepLines/>
              <w:rPr>
                <w:rFonts w:asciiTheme="majorHAnsi" w:hAnsiTheme="majorHAnsi" w:cstheme="majorHAnsi"/>
                <w:sz w:val="20"/>
                <w:szCs w:val="20"/>
              </w:rPr>
            </w:pPr>
            <w:r w:rsidRPr="00743A41">
              <w:rPr>
                <w:rFonts w:asciiTheme="majorHAnsi" w:eastAsia="Arial" w:hAnsiTheme="majorHAnsi" w:cstheme="majorHAnsi"/>
                <w:sz w:val="20"/>
                <w:szCs w:val="20"/>
              </w:rPr>
              <w:t>Using data reported in the AAR portal,  f</w:t>
            </w:r>
            <w:r w:rsidRPr="00743A41">
              <w:rPr>
                <w:rFonts w:asciiTheme="majorHAnsi" w:eastAsia="Times New Roman" w:hAnsiTheme="majorHAnsi" w:cstheme="majorHAnsi"/>
                <w:sz w:val="20"/>
                <w:szCs w:val="20"/>
              </w:rPr>
              <w:t>aculty peers evaluate service productivity and rate each other on a scale from 1 (“exceptional”) to 5 (“does not meet expectations”). Data are analyzed by the SPH IT team and shared with the associate dean for management.</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 and campus deans meet with faculty every fall to review scores.</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b/>
                <w:sz w:val="20"/>
                <w:szCs w:val="20"/>
              </w:rPr>
            </w:pPr>
            <w:r w:rsidRPr="00743A41">
              <w:rPr>
                <w:rFonts w:asciiTheme="majorHAnsi" w:eastAsia="Arial" w:hAnsiTheme="majorHAnsi" w:cstheme="majorHAnsi"/>
                <w:sz w:val="20"/>
                <w:szCs w:val="20"/>
              </w:rPr>
              <w:t>SPHEC</w:t>
            </w:r>
          </w:p>
        </w:tc>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chairs/Campus deans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Council</w:t>
            </w:r>
          </w:p>
        </w:tc>
      </w:tr>
      <w:tr w:rsidR="0010271E" w:rsidRPr="00743A41" w:rsidTr="00497457">
        <w:trPr>
          <w:cantSplit/>
        </w:trPr>
        <w:tc>
          <w:tcPr>
            <w:tcW w:w="1574"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Percentage of faculty with an average service score on peer review of &gt;3</w:t>
            </w:r>
          </w:p>
        </w:tc>
        <w:tc>
          <w:tcPr>
            <w:tcW w:w="2656"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Using data reported in the AAR portal,  f</w:t>
            </w:r>
            <w:r w:rsidRPr="00743A41">
              <w:rPr>
                <w:rFonts w:asciiTheme="majorHAnsi" w:eastAsia="Times New Roman" w:hAnsiTheme="majorHAnsi" w:cstheme="majorHAnsi"/>
                <w:sz w:val="20"/>
                <w:szCs w:val="20"/>
              </w:rPr>
              <w:t>aculty peers evaluate service productivity and rate each other on a scale from 1 (“exceptional”) to 5 (“does not meet expectations”). Data are analyzed by the SPH IT team and shared with the associate dean for management.</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 and campus deans meet with faculty every fall to review scores.</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chairs/Campus deans</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Council</w:t>
            </w:r>
          </w:p>
        </w:tc>
      </w:tr>
      <w:tr w:rsidR="0010271E" w:rsidRPr="00743A41" w:rsidTr="00497457">
        <w:trPr>
          <w:cantSplit/>
        </w:trPr>
        <w:tc>
          <w:tcPr>
            <w:tcW w:w="1574"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Annual service evaluation by department chair and campus dean</w:t>
            </w:r>
          </w:p>
        </w:tc>
        <w:tc>
          <w:tcPr>
            <w:tcW w:w="2656" w:type="dxa"/>
            <w:gridSpan w:val="2"/>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Form completed by faculty and their department chair/campus dean.</w:t>
            </w:r>
          </w:p>
        </w:tc>
        <w:tc>
          <w:tcPr>
            <w:tcW w:w="207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 and campus deans meet with faculty every fall to review scores. The associate dean for management summarizes the scores for each department and campus, and shares the information with department chairs and the dean.</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Council</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Dean’s Office</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 and Campus deans</w:t>
            </w:r>
          </w:p>
        </w:tc>
      </w:tr>
      <w:tr w:rsidR="0010271E" w:rsidRPr="00743A41" w:rsidTr="00497457">
        <w:trPr>
          <w:cantSplit/>
        </w:trPr>
        <w:tc>
          <w:tcPr>
            <w:tcW w:w="1574"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Three-year faculty review</w:t>
            </w:r>
          </w:p>
        </w:tc>
        <w:tc>
          <w:tcPr>
            <w:tcW w:w="2656" w:type="dxa"/>
            <w:gridSpan w:val="2"/>
          </w:tcPr>
          <w:p w:rsidR="0010271E" w:rsidRPr="00743A41" w:rsidRDefault="0010271E" w:rsidP="00A37ED6">
            <w:pPr>
              <w:rPr>
                <w:rFonts w:asciiTheme="majorHAnsi" w:hAnsiTheme="majorHAnsi" w:cstheme="majorHAnsi"/>
                <w:sz w:val="20"/>
                <w:szCs w:val="20"/>
              </w:rPr>
            </w:pPr>
            <w:r w:rsidRPr="00743A41">
              <w:rPr>
                <w:rFonts w:asciiTheme="majorHAnsi" w:hAnsiTheme="majorHAnsi" w:cstheme="majorHAnsi"/>
                <w:sz w:val="20"/>
                <w:szCs w:val="20"/>
              </w:rPr>
              <w:t>The 3-year review is a formal, evaluative process of tenure-track, non-tenured faculty to assess their progress toward tenure and promotion and to provide candid feedback and recommendations to the candidate and the dean. Each department chair and, if applicable, the campus dean, will implement a full review of the research, teaching, service, and overall progress towards tenure of each tenure-track faculty member after completion of the first 3 full fiscal years of service.  Data consist of written input from the mentoring committee, a 3-page narrative, annual reviews, and peer reviews for the previous 3 years.</w:t>
            </w:r>
          </w:p>
        </w:tc>
        <w:tc>
          <w:tcPr>
            <w:tcW w:w="2070" w:type="dxa"/>
          </w:tcPr>
          <w:p w:rsidR="0010271E" w:rsidRPr="00743A41" w:rsidRDefault="0010271E"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Department chairs and campus deans review the data. The dean reviews the data of those reviewed annually.</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Faculty Council</w:t>
            </w:r>
          </w:p>
        </w:tc>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Dean’s Office and Department chairs</w:t>
            </w:r>
          </w:p>
        </w:tc>
      </w:tr>
      <w:tr w:rsidR="0010271E" w:rsidRPr="00743A41" w:rsidTr="00497457">
        <w:trPr>
          <w:cantSplit/>
        </w:trPr>
        <w:tc>
          <w:tcPr>
            <w:tcW w:w="1574"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Six-year post-tenure review of faculty</w:t>
            </w:r>
          </w:p>
        </w:tc>
        <w:tc>
          <w:tcPr>
            <w:tcW w:w="2656" w:type="dxa"/>
            <w:gridSpan w:val="2"/>
          </w:tcPr>
          <w:p w:rsidR="0010271E" w:rsidRPr="00743A41" w:rsidRDefault="0010271E" w:rsidP="00A37ED6">
            <w:pPr>
              <w:rPr>
                <w:rFonts w:asciiTheme="majorHAnsi" w:hAnsiTheme="majorHAnsi" w:cstheme="majorHAnsi"/>
                <w:sz w:val="20"/>
                <w:szCs w:val="20"/>
              </w:rPr>
            </w:pPr>
            <w:r w:rsidRPr="00743A41">
              <w:rPr>
                <w:rFonts w:asciiTheme="majorHAnsi" w:eastAsia="Times New Roman" w:hAnsiTheme="majorHAnsi" w:cstheme="majorHAnsi"/>
                <w:sz w:val="20"/>
                <w:szCs w:val="20"/>
              </w:rPr>
              <w:t>Data used in the 6</w:t>
            </w:r>
            <w:r w:rsidRPr="00743A41">
              <w:rPr>
                <w:rFonts w:asciiTheme="majorHAnsi" w:eastAsia="Arial" w:hAnsiTheme="majorHAnsi" w:cstheme="majorHAnsi"/>
                <w:sz w:val="20"/>
                <w:szCs w:val="20"/>
              </w:rPr>
              <w:t xml:space="preserve">-year post-tenure </w:t>
            </w:r>
            <w:r w:rsidRPr="00743A41">
              <w:rPr>
                <w:rFonts w:asciiTheme="majorHAnsi" w:eastAsia="Times New Roman" w:hAnsiTheme="majorHAnsi" w:cstheme="majorHAnsi"/>
                <w:sz w:val="20"/>
                <w:szCs w:val="20"/>
              </w:rPr>
              <w:t>evaluations include an updated curriculum vita, AARs for the previous 6 academic years of work at UTHealth, and an optional narrative (1–3 pages long) highlighting accomplishments and/or explaining unique matters that should be considered when conducting the review. Each faculty member submits their data to the 6-year review committee.</w:t>
            </w:r>
          </w:p>
        </w:tc>
        <w:tc>
          <w:tcPr>
            <w:tcW w:w="2070" w:type="dxa"/>
          </w:tcPr>
          <w:p w:rsidR="0010271E" w:rsidRPr="00743A41" w:rsidRDefault="0010271E" w:rsidP="00A37ED6">
            <w:pPr>
              <w:rPr>
                <w:rFonts w:asciiTheme="majorHAnsi" w:eastAsia="Arial" w:hAnsiTheme="majorHAnsi" w:cstheme="majorHAnsi"/>
                <w:sz w:val="20"/>
                <w:szCs w:val="20"/>
              </w:rPr>
            </w:pPr>
            <w:r w:rsidRPr="00743A41">
              <w:rPr>
                <w:rFonts w:asciiTheme="majorHAnsi" w:hAnsiTheme="majorHAnsi" w:cstheme="majorHAnsi"/>
                <w:sz w:val="20"/>
                <w:szCs w:val="20"/>
              </w:rPr>
              <w:t xml:space="preserve">A </w:t>
            </w:r>
            <w:r w:rsidRPr="00743A41">
              <w:rPr>
                <w:rFonts w:asciiTheme="majorHAnsi" w:eastAsia="Times New Roman" w:hAnsiTheme="majorHAnsi" w:cstheme="majorHAnsi"/>
                <w:sz w:val="20"/>
                <w:szCs w:val="20"/>
              </w:rPr>
              <w:t>6-year review committee</w:t>
            </w:r>
            <w:r w:rsidRPr="00743A41">
              <w:rPr>
                <w:rFonts w:asciiTheme="majorHAnsi" w:hAnsiTheme="majorHAnsi" w:cstheme="majorHAnsi"/>
                <w:sz w:val="20"/>
                <w:szCs w:val="20"/>
              </w:rPr>
              <w:t xml:space="preserve"> conducts the review, with the final decision made by the dean. The Faculty Council appoints the chair and members of this </w:t>
            </w:r>
            <w:r w:rsidRPr="00743A41">
              <w:rPr>
                <w:rFonts w:asciiTheme="majorHAnsi" w:eastAsia="Times New Roman" w:hAnsiTheme="majorHAnsi" w:cstheme="majorHAnsi"/>
                <w:sz w:val="20"/>
                <w:szCs w:val="20"/>
              </w:rPr>
              <w:t>committee.</w:t>
            </w:r>
          </w:p>
        </w:tc>
        <w:tc>
          <w:tcPr>
            <w:tcW w:w="135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Faculty Council </w:t>
            </w:r>
          </w:p>
          <w:p w:rsidR="0010271E" w:rsidRPr="00743A41" w:rsidRDefault="0010271E" w:rsidP="00A37ED6">
            <w:pPr>
              <w:keepLines/>
              <w:rPr>
                <w:rFonts w:asciiTheme="majorHAnsi" w:eastAsia="Arial" w:hAnsiTheme="majorHAnsi" w:cstheme="majorHAnsi"/>
                <w:sz w:val="20"/>
                <w:szCs w:val="20"/>
              </w:rPr>
            </w:pPr>
          </w:p>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SPHEC</w:t>
            </w:r>
          </w:p>
        </w:tc>
        <w:tc>
          <w:tcPr>
            <w:tcW w:w="1620" w:type="dxa"/>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Dean’s Office</w:t>
            </w:r>
          </w:p>
        </w:tc>
      </w:tr>
      <w:tr w:rsidR="0010271E" w:rsidRPr="00743A41" w:rsidTr="00497457">
        <w:trPr>
          <w:cantSplit/>
        </w:trPr>
        <w:tc>
          <w:tcPr>
            <w:tcW w:w="9270" w:type="dxa"/>
            <w:gridSpan w:val="6"/>
          </w:tcPr>
          <w:p w:rsidR="0010271E" w:rsidRPr="00743A41" w:rsidRDefault="0010271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*New outcome measure</w:t>
            </w:r>
          </w:p>
        </w:tc>
      </w:tr>
    </w:tbl>
    <w:p w:rsidR="0010271E" w:rsidRPr="00743A41" w:rsidRDefault="0010271E" w:rsidP="00A37ED6">
      <w:pPr>
        <w:jc w:val="both"/>
        <w:rPr>
          <w:rFonts w:asciiTheme="majorHAnsi" w:eastAsia="Arial" w:hAnsiTheme="majorHAnsi" w:cstheme="majorHAnsi"/>
          <w:b/>
          <w:sz w:val="20"/>
          <w:szCs w:val="20"/>
        </w:rPr>
      </w:pPr>
    </w:p>
    <w:p w:rsidR="00784211" w:rsidRPr="00743A41" w:rsidRDefault="00784211" w:rsidP="00A37ED6">
      <w:pPr>
        <w:jc w:val="both"/>
        <w:rPr>
          <w:rFonts w:asciiTheme="majorHAnsi" w:eastAsia="Arial" w:hAnsiTheme="majorHAnsi" w:cstheme="majorHAnsi"/>
          <w:b/>
          <w:sz w:val="20"/>
          <w:szCs w:val="20"/>
        </w:rPr>
      </w:pPr>
    </w:p>
    <w:p w:rsidR="00784211" w:rsidRPr="00743A41" w:rsidRDefault="00784211" w:rsidP="00A37ED6">
      <w:pPr>
        <w:jc w:val="both"/>
        <w:rPr>
          <w:rFonts w:asciiTheme="majorHAnsi" w:eastAsia="Arial" w:hAnsiTheme="majorHAnsi" w:cstheme="majorHAnsi"/>
          <w:b/>
          <w:sz w:val="20"/>
          <w:szCs w:val="20"/>
        </w:rPr>
      </w:pPr>
    </w:p>
    <w:p w:rsidR="00784211" w:rsidRPr="00743A41" w:rsidRDefault="00784211" w:rsidP="00A37ED6">
      <w:pPr>
        <w:jc w:val="both"/>
        <w:rPr>
          <w:rFonts w:asciiTheme="majorHAnsi" w:eastAsia="Arial" w:hAnsiTheme="majorHAnsi" w:cstheme="majorHAnsi"/>
          <w:b/>
          <w:sz w:val="20"/>
          <w:szCs w:val="20"/>
        </w:rPr>
      </w:pPr>
    </w:p>
    <w:p w:rsidR="00784211" w:rsidRPr="00743A41" w:rsidRDefault="00784211" w:rsidP="00A37ED6">
      <w:pPr>
        <w:jc w:val="both"/>
        <w:rPr>
          <w:rFonts w:asciiTheme="majorHAnsi" w:eastAsia="Arial" w:hAnsiTheme="majorHAnsi" w:cstheme="majorHAnsi"/>
          <w:b/>
          <w:sz w:val="20"/>
          <w:szCs w:val="20"/>
        </w:rPr>
      </w:pPr>
    </w:p>
    <w:p w:rsidR="00784211" w:rsidRPr="00743A41" w:rsidRDefault="00784211" w:rsidP="00A37ED6">
      <w:pPr>
        <w:jc w:val="both"/>
        <w:rPr>
          <w:rFonts w:asciiTheme="majorHAnsi" w:eastAsia="Arial" w:hAnsiTheme="majorHAnsi" w:cstheme="majorHAnsi"/>
          <w:b/>
          <w:sz w:val="20"/>
          <w:szCs w:val="20"/>
        </w:rPr>
      </w:pPr>
    </w:p>
    <w:p w:rsidR="0010271E" w:rsidRPr="001921F7" w:rsidRDefault="0010271E" w:rsidP="00A37ED6">
      <w:pPr>
        <w:ind w:left="720" w:hanging="720"/>
        <w:rPr>
          <w:rFonts w:asciiTheme="majorHAnsi" w:eastAsia="Arial" w:hAnsiTheme="majorHAnsi" w:cstheme="majorHAnsi"/>
          <w:b/>
          <w:sz w:val="20"/>
          <w:szCs w:val="20"/>
        </w:rPr>
      </w:pPr>
      <w:r w:rsidRPr="001921F7">
        <w:rPr>
          <w:rFonts w:asciiTheme="majorHAnsi" w:eastAsia="Arial" w:hAnsiTheme="majorHAnsi" w:cstheme="majorHAnsi"/>
          <w:b/>
          <w:sz w:val="20"/>
          <w:szCs w:val="20"/>
        </w:rPr>
        <w:t xml:space="preserve">Data Collection Methods </w:t>
      </w:r>
    </w:p>
    <w:p w:rsidR="0010271E" w:rsidRPr="001921F7" w:rsidRDefault="00712B1B" w:rsidP="006E28EE">
      <w:pPr>
        <w:tabs>
          <w:tab w:val="left" w:pos="8370"/>
        </w:tabs>
        <w:rPr>
          <w:rFonts w:asciiTheme="majorHAnsi" w:eastAsia="Arial" w:hAnsiTheme="majorHAnsi" w:cstheme="majorHAnsi"/>
          <w:sz w:val="20"/>
          <w:szCs w:val="20"/>
        </w:rPr>
      </w:pPr>
      <w:r w:rsidRPr="001921F7">
        <w:rPr>
          <w:rFonts w:asciiTheme="majorHAnsi" w:hAnsiTheme="majorHAnsi" w:cstheme="majorHAnsi"/>
          <w:sz w:val="20"/>
          <w:szCs w:val="20"/>
        </w:rPr>
        <w:t>Table B.5.1.d. Evaluation Measures, Methods, and Dashboards as a Part of the Evaluation Plan</w:t>
      </w:r>
      <w:r w:rsidR="0010271E" w:rsidRPr="001921F7">
        <w:rPr>
          <w:rFonts w:asciiTheme="majorHAnsi" w:eastAsia="Arial" w:hAnsiTheme="majorHAnsi" w:cstheme="majorHAnsi"/>
          <w:sz w:val="20"/>
          <w:szCs w:val="20"/>
        </w:rPr>
        <w:t xml:space="preserve"> </w:t>
      </w:r>
      <w:r w:rsidR="00B53A17" w:rsidRPr="001921F7">
        <w:rPr>
          <w:rFonts w:asciiTheme="majorHAnsi" w:eastAsia="Arial" w:hAnsiTheme="majorHAnsi" w:cstheme="majorHAnsi"/>
          <w:i/>
          <w:sz w:val="20"/>
          <w:szCs w:val="20"/>
        </w:rPr>
        <w:t>(ERF, B5. Defining Evaluation Practices</w:t>
      </w:r>
      <w:r w:rsidR="002B0EE1">
        <w:rPr>
          <w:rFonts w:asciiTheme="majorHAnsi" w:eastAsia="Arial" w:hAnsiTheme="majorHAnsi" w:cstheme="majorHAnsi"/>
          <w:i/>
          <w:sz w:val="20"/>
          <w:szCs w:val="20"/>
        </w:rPr>
        <w:t>)</w:t>
      </w:r>
    </w:p>
    <w:tbl>
      <w:tblPr>
        <w:tblStyle w:val="TableGrid"/>
        <w:tblW w:w="9450" w:type="dxa"/>
        <w:tblInd w:w="-5" w:type="dxa"/>
        <w:tblLook w:val="04A0" w:firstRow="1" w:lastRow="0" w:firstColumn="1" w:lastColumn="0" w:noHBand="0" w:noVBand="1"/>
      </w:tblPr>
      <w:tblGrid>
        <w:gridCol w:w="1849"/>
        <w:gridCol w:w="4451"/>
        <w:gridCol w:w="3150"/>
      </w:tblGrid>
      <w:tr w:rsidR="00D55610" w:rsidRPr="00743A41" w:rsidTr="006E28EE">
        <w:trPr>
          <w:cantSplit/>
          <w:tblHeader/>
        </w:trPr>
        <w:tc>
          <w:tcPr>
            <w:tcW w:w="1849" w:type="dxa"/>
            <w:shd w:val="clear" w:color="auto" w:fill="D9D9D9" w:themeFill="background1" w:themeFillShade="D9"/>
          </w:tcPr>
          <w:p w:rsidR="00D55610" w:rsidRPr="00743A41" w:rsidRDefault="00D55610" w:rsidP="00A37ED6">
            <w:pPr>
              <w:rPr>
                <w:rFonts w:asciiTheme="majorHAnsi" w:eastAsia="Arial" w:hAnsiTheme="majorHAnsi" w:cstheme="majorHAnsi"/>
                <w:b/>
                <w:sz w:val="20"/>
                <w:szCs w:val="20"/>
              </w:rPr>
            </w:pPr>
            <w:r w:rsidRPr="00743A41">
              <w:rPr>
                <w:rFonts w:asciiTheme="majorHAnsi" w:eastAsia="Arial" w:hAnsiTheme="majorHAnsi" w:cstheme="majorHAnsi"/>
                <w:b/>
                <w:sz w:val="20"/>
                <w:szCs w:val="20"/>
              </w:rPr>
              <w:t>Name of Method</w:t>
            </w:r>
          </w:p>
        </w:tc>
        <w:tc>
          <w:tcPr>
            <w:tcW w:w="4451" w:type="dxa"/>
            <w:shd w:val="clear" w:color="auto" w:fill="D9D9D9" w:themeFill="background1" w:themeFillShade="D9"/>
          </w:tcPr>
          <w:p w:rsidR="00D55610" w:rsidRPr="00743A41" w:rsidRDefault="00D55610" w:rsidP="00A37ED6">
            <w:pPr>
              <w:rPr>
                <w:rFonts w:asciiTheme="majorHAnsi" w:eastAsia="Arial" w:hAnsiTheme="majorHAnsi" w:cstheme="majorHAnsi"/>
                <w:b/>
                <w:sz w:val="20"/>
                <w:szCs w:val="20"/>
              </w:rPr>
            </w:pPr>
            <w:r w:rsidRPr="00743A41">
              <w:rPr>
                <w:rFonts w:asciiTheme="majorHAnsi" w:eastAsia="Arial" w:hAnsiTheme="majorHAnsi" w:cstheme="majorHAnsi"/>
                <w:b/>
                <w:sz w:val="20"/>
                <w:szCs w:val="20"/>
              </w:rPr>
              <w:t>Description and Scales</w:t>
            </w:r>
          </w:p>
        </w:tc>
        <w:tc>
          <w:tcPr>
            <w:tcW w:w="3150" w:type="dxa"/>
            <w:shd w:val="clear" w:color="auto" w:fill="D9D9D9" w:themeFill="background1" w:themeFillShade="D9"/>
          </w:tcPr>
          <w:p w:rsidR="00D55610" w:rsidRPr="00743A41" w:rsidRDefault="00D55610" w:rsidP="00A37ED6">
            <w:pPr>
              <w:rPr>
                <w:rFonts w:asciiTheme="majorHAnsi" w:eastAsia="Arial" w:hAnsiTheme="majorHAnsi" w:cstheme="majorHAnsi"/>
                <w:b/>
                <w:sz w:val="20"/>
                <w:szCs w:val="20"/>
              </w:rPr>
            </w:pPr>
            <w:r w:rsidRPr="00743A41">
              <w:rPr>
                <w:rFonts w:asciiTheme="majorHAnsi" w:eastAsia="Arial" w:hAnsiTheme="majorHAnsi" w:cstheme="majorHAnsi"/>
                <w:b/>
                <w:sz w:val="20"/>
                <w:szCs w:val="20"/>
              </w:rPr>
              <w:t>Frequency &amp; Availability</w:t>
            </w:r>
          </w:p>
        </w:tc>
      </w:tr>
      <w:tr w:rsidR="00D55610" w:rsidRPr="00743A41" w:rsidTr="006E28EE">
        <w:trPr>
          <w:cantSplit/>
        </w:trPr>
        <w:tc>
          <w:tcPr>
            <w:tcW w:w="1849"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AAR</w:t>
            </w:r>
          </w:p>
        </w:tc>
        <w:tc>
          <w:tcPr>
            <w:tcW w:w="4451"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Times New Roman" w:hAnsiTheme="majorHAnsi" w:cstheme="majorHAnsi"/>
                <w:sz w:val="20"/>
                <w:szCs w:val="20"/>
              </w:rPr>
              <w:t xml:space="preserve">All full-time faculty are required to complete the AAR regardless of length of employment. The Faculty Council currently manages the AAR. Faculty are notified in early fall about the due dates and timeline of the AAR. The AAR documents information related to teaching, research, and service over the past fiscal year. Information on student credit hours and extramural funding is automatically imported from student records and the research office, respectively. Faculty populate information on publications, service, and other activities. The AAR is used to document annual progress; to inform performance reviews with department chairs (and, if appropriate, campus deans); and to determine incentive plan compensation through the peer review. </w:t>
            </w:r>
          </w:p>
        </w:tc>
        <w:tc>
          <w:tcPr>
            <w:tcW w:w="3150"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Annually, in the fall</w:t>
            </w:r>
          </w:p>
        </w:tc>
      </w:tr>
      <w:tr w:rsidR="00D55610" w:rsidRPr="00743A41" w:rsidTr="006E28EE">
        <w:trPr>
          <w:cantSplit/>
        </w:trPr>
        <w:tc>
          <w:tcPr>
            <w:tcW w:w="1849" w:type="dxa"/>
          </w:tcPr>
          <w:p w:rsidR="00D55610" w:rsidRPr="00743A41" w:rsidRDefault="00D55610"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Alumni Survey</w:t>
            </w:r>
          </w:p>
        </w:tc>
        <w:tc>
          <w:tcPr>
            <w:tcW w:w="4451"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The Alumni Survey is administered using Qualtrics. It consists of 53 questions on knowledge and skill acquisition, employment, satisfaction with degree program, impact of degree on career and advancement, quality of the degree program, and competency attainment. </w:t>
            </w:r>
          </w:p>
        </w:tc>
        <w:tc>
          <w:tcPr>
            <w:tcW w:w="3150"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One year after students graduate</w:t>
            </w:r>
          </w:p>
        </w:tc>
      </w:tr>
      <w:tr w:rsidR="00D55610" w:rsidRPr="00743A41" w:rsidTr="006E28EE">
        <w:trPr>
          <w:cantSplit/>
          <w:trHeight w:val="323"/>
        </w:trPr>
        <w:tc>
          <w:tcPr>
            <w:tcW w:w="1849" w:type="dxa"/>
            <w:shd w:val="clear" w:color="auto" w:fill="FFFFFF" w:themeFill="background1"/>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Annual Faculty Evaluations</w:t>
            </w:r>
          </w:p>
          <w:p w:rsidR="00D55610" w:rsidRPr="00743A41" w:rsidRDefault="00D55610" w:rsidP="00A37ED6">
            <w:pPr>
              <w:rPr>
                <w:rFonts w:asciiTheme="majorHAnsi" w:eastAsia="Arial" w:hAnsiTheme="majorHAnsi" w:cstheme="majorHAnsi"/>
                <w:sz w:val="20"/>
                <w:szCs w:val="20"/>
              </w:rPr>
            </w:pPr>
          </w:p>
          <w:p w:rsidR="00D55610" w:rsidRPr="00743A41" w:rsidRDefault="00D55610" w:rsidP="00A37ED6">
            <w:pPr>
              <w:rPr>
                <w:rFonts w:asciiTheme="majorHAnsi" w:eastAsia="Arial" w:hAnsiTheme="majorHAnsi" w:cstheme="majorHAnsi"/>
                <w:sz w:val="20"/>
                <w:szCs w:val="20"/>
              </w:rPr>
            </w:pPr>
          </w:p>
          <w:p w:rsidR="00D55610" w:rsidRPr="00743A41" w:rsidRDefault="00D55610" w:rsidP="00A37ED6">
            <w:pPr>
              <w:jc w:val="center"/>
              <w:rPr>
                <w:rFonts w:asciiTheme="majorHAnsi" w:eastAsia="Arial" w:hAnsiTheme="majorHAnsi" w:cstheme="majorHAnsi"/>
                <w:sz w:val="20"/>
                <w:szCs w:val="20"/>
              </w:rPr>
            </w:pPr>
          </w:p>
        </w:tc>
        <w:tc>
          <w:tcPr>
            <w:tcW w:w="4451" w:type="dxa"/>
          </w:tcPr>
          <w:p w:rsidR="00D55610" w:rsidRPr="00743A41" w:rsidRDefault="00D55610"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 xml:space="preserve">Faculty complete a form documenting faculty goals, as well as an evaluation of faculty performance in teaching, research, collaboration, institutional and community service, professional goals, and other activities. Faculty rate their performance as “unsatisfactory,” “does not meet expectations,” “meets expectations,” or “exceeds expectations.” Department chairs and campus deans rate faculty using the same scale. </w:t>
            </w:r>
          </w:p>
        </w:tc>
        <w:tc>
          <w:tcPr>
            <w:tcW w:w="3150"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Annually, after each fall semester</w:t>
            </w:r>
          </w:p>
        </w:tc>
      </w:tr>
      <w:tr w:rsidR="00D55610" w:rsidRPr="00743A41" w:rsidTr="006E28EE">
        <w:trPr>
          <w:cantSplit/>
        </w:trPr>
        <w:tc>
          <w:tcPr>
            <w:tcW w:w="1849"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Course Evaluations</w:t>
            </w:r>
          </w:p>
        </w:tc>
        <w:tc>
          <w:tcPr>
            <w:tcW w:w="4451"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Course evaluations are conducted using the software </w:t>
            </w:r>
            <w:r w:rsidR="00B53A17" w:rsidRPr="00743A41">
              <w:rPr>
                <w:rFonts w:asciiTheme="majorHAnsi" w:eastAsia="Arial" w:hAnsiTheme="majorHAnsi" w:cstheme="majorHAnsi"/>
                <w:sz w:val="20"/>
                <w:szCs w:val="20"/>
              </w:rPr>
              <w:t>EvalKIT</w:t>
            </w:r>
            <w:r w:rsidRPr="00743A41">
              <w:rPr>
                <w:rFonts w:asciiTheme="majorHAnsi" w:eastAsia="Arial" w:hAnsiTheme="majorHAnsi" w:cstheme="majorHAnsi"/>
                <w:sz w:val="20"/>
                <w:szCs w:val="20"/>
              </w:rPr>
              <w:t xml:space="preserve">. </w:t>
            </w:r>
          </w:p>
          <w:p w:rsidR="00D55610" w:rsidRPr="00743A41" w:rsidRDefault="00D55610" w:rsidP="00A37ED6">
            <w:pPr>
              <w:rPr>
                <w:rFonts w:asciiTheme="majorHAnsi" w:eastAsia="Arial" w:hAnsiTheme="majorHAnsi" w:cstheme="majorHAnsi"/>
                <w:sz w:val="20"/>
                <w:szCs w:val="20"/>
              </w:rPr>
            </w:pPr>
          </w:p>
          <w:p w:rsidR="00D55610" w:rsidRPr="00743A41" w:rsidRDefault="00D55610" w:rsidP="00A37ED6">
            <w:pPr>
              <w:rPr>
                <w:rFonts w:asciiTheme="majorHAnsi" w:eastAsia="Times New Roman" w:hAnsiTheme="majorHAnsi" w:cstheme="majorHAnsi"/>
                <w:sz w:val="20"/>
                <w:szCs w:val="20"/>
              </w:rPr>
            </w:pPr>
            <w:r w:rsidRPr="00743A41">
              <w:rPr>
                <w:rFonts w:asciiTheme="majorHAnsi" w:eastAsia="Arial" w:hAnsiTheme="majorHAnsi" w:cstheme="majorHAnsi"/>
                <w:sz w:val="20"/>
                <w:szCs w:val="20"/>
              </w:rPr>
              <w:t xml:space="preserve">Course evaluations consist of 27 questions on the </w:t>
            </w:r>
            <w:r w:rsidRPr="00743A41">
              <w:rPr>
                <w:rFonts w:asciiTheme="majorHAnsi" w:eastAsia="Times New Roman" w:hAnsiTheme="majorHAnsi" w:cstheme="majorHAnsi"/>
                <w:sz w:val="20"/>
                <w:szCs w:val="20"/>
              </w:rPr>
              <w:t xml:space="preserve">effectiveness of the course in meeting course objectives, if faculty–student interaction was conducive to learning, the quality of the assessment of student performance and feedback to the student, effectiveness of materials and methods used in the course, and overall rating of instructor effectiveness. Items on course effectiveness and faculty effectiveness are summed and averaged by faculty member, department, and campus. </w:t>
            </w:r>
          </w:p>
          <w:p w:rsidR="00D55610" w:rsidRPr="00743A41" w:rsidRDefault="00D55610" w:rsidP="00A37ED6">
            <w:pPr>
              <w:rPr>
                <w:rFonts w:asciiTheme="majorHAnsi" w:eastAsia="Times New Roman" w:hAnsiTheme="majorHAnsi" w:cstheme="majorHAnsi"/>
                <w:sz w:val="20"/>
                <w:szCs w:val="20"/>
              </w:rPr>
            </w:pPr>
          </w:p>
          <w:p w:rsidR="00D55610" w:rsidRPr="00743A41" w:rsidRDefault="00D55610"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 xml:space="preserve">Individual faculty evaluations are available to faculty and administrators through the faculty information portal.  </w:t>
            </w:r>
          </w:p>
        </w:tc>
        <w:tc>
          <w:tcPr>
            <w:tcW w:w="3150"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Data are collected after each semester. Data are available to faculty, department chairs, and administrators immediately after data collection closes through the </w:t>
            </w:r>
            <w:r w:rsidR="00B53A17" w:rsidRPr="00743A41">
              <w:rPr>
                <w:rFonts w:asciiTheme="majorHAnsi" w:eastAsia="Arial" w:hAnsiTheme="majorHAnsi" w:cstheme="majorHAnsi"/>
                <w:sz w:val="20"/>
                <w:szCs w:val="20"/>
              </w:rPr>
              <w:t>EvalKIT</w:t>
            </w:r>
            <w:r w:rsidRPr="00743A41">
              <w:rPr>
                <w:rFonts w:asciiTheme="majorHAnsi" w:eastAsia="Arial" w:hAnsiTheme="majorHAnsi" w:cstheme="majorHAnsi"/>
                <w:sz w:val="20"/>
                <w:szCs w:val="20"/>
              </w:rPr>
              <w:t xml:space="preserve"> portal. </w:t>
            </w:r>
          </w:p>
          <w:p w:rsidR="00D55610" w:rsidRPr="00743A41" w:rsidRDefault="00D55610" w:rsidP="00A37ED6">
            <w:pPr>
              <w:rPr>
                <w:rFonts w:asciiTheme="majorHAnsi" w:eastAsia="Arial" w:hAnsiTheme="majorHAnsi" w:cstheme="majorHAnsi"/>
                <w:sz w:val="20"/>
                <w:szCs w:val="20"/>
              </w:rPr>
            </w:pPr>
          </w:p>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Summed scores are calculated annually and used in the annual faculty peer-review process. </w:t>
            </w:r>
          </w:p>
        </w:tc>
      </w:tr>
      <w:tr w:rsidR="00D55610" w:rsidRPr="00743A41" w:rsidTr="006E28EE">
        <w:trPr>
          <w:cantSplit/>
        </w:trPr>
        <w:tc>
          <w:tcPr>
            <w:tcW w:w="1849" w:type="dxa"/>
          </w:tcPr>
          <w:p w:rsidR="00D55610" w:rsidRPr="00743A41" w:rsidRDefault="00D55610"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Data Dashboard</w:t>
            </w:r>
          </w:p>
        </w:tc>
        <w:tc>
          <w:tcPr>
            <w:tcW w:w="4451"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The Data Dashboard is a data portal available to administrators, on an as-needed basis, to track student progress, student enrollment, advising ratios, the Texas Higher Education Coordinating Board Report, the Graduation Report, the 5- and 7-year violation report, faculty qualifications and credential report, new student enrollment, graduation rate report, ASPPH reporting, AAR Summary, Six-Year Academic Administrators Evaluation Report, and the Faculty Activity Report. </w:t>
            </w:r>
          </w:p>
        </w:tc>
        <w:tc>
          <w:tcPr>
            <w:tcW w:w="3150"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Ongoing</w:t>
            </w:r>
          </w:p>
        </w:tc>
      </w:tr>
      <w:tr w:rsidR="00D55610" w:rsidRPr="00743A41" w:rsidTr="006E28EE">
        <w:trPr>
          <w:cantSplit/>
          <w:trHeight w:val="80"/>
        </w:trPr>
        <w:tc>
          <w:tcPr>
            <w:tcW w:w="1849"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Dissertation Completion Rubric</w:t>
            </w:r>
          </w:p>
        </w:tc>
        <w:tc>
          <w:tcPr>
            <w:tcW w:w="4451" w:type="dxa"/>
            <w:shd w:val="clear" w:color="auto" w:fill="FFFFFF" w:themeFill="background1"/>
          </w:tcPr>
          <w:p w:rsidR="00D55610" w:rsidRPr="00743A41" w:rsidRDefault="00D55610" w:rsidP="00A37ED6">
            <w:pPr>
              <w:keepLines/>
              <w:rPr>
                <w:rFonts w:asciiTheme="majorHAnsi" w:hAnsiTheme="majorHAnsi" w:cstheme="majorHAnsi"/>
                <w:sz w:val="20"/>
                <w:szCs w:val="20"/>
              </w:rPr>
            </w:pPr>
            <w:r w:rsidRPr="00743A41">
              <w:rPr>
                <w:rFonts w:asciiTheme="majorHAnsi" w:eastAsia="Arial" w:hAnsiTheme="majorHAnsi" w:cstheme="majorHAnsi"/>
                <w:sz w:val="20"/>
                <w:szCs w:val="20"/>
              </w:rPr>
              <w:t>The Dissertation Completion Rubric is a new rubric that scores the quality of the dissertation product. Students are rated using a 3-point scale (“not sufficient,” “sufficient,” and “outstanding”) on knowledge, design, interpretation of results, implication</w:t>
            </w:r>
            <w:r w:rsidR="00E67304" w:rsidRPr="00743A41">
              <w:rPr>
                <w:rFonts w:asciiTheme="majorHAnsi" w:eastAsia="Arial" w:hAnsiTheme="majorHAnsi" w:cstheme="majorHAnsi"/>
                <w:sz w:val="20"/>
                <w:szCs w:val="20"/>
              </w:rPr>
              <w:t>s</w:t>
            </w:r>
            <w:r w:rsidRPr="00743A41">
              <w:rPr>
                <w:rFonts w:asciiTheme="majorHAnsi" w:eastAsia="Arial" w:hAnsiTheme="majorHAnsi" w:cstheme="majorHAnsi"/>
                <w:sz w:val="20"/>
                <w:szCs w:val="20"/>
              </w:rPr>
              <w:t xml:space="preserve"> of findings, communication, and the CEPH expectation for the final product.</w:t>
            </w:r>
          </w:p>
        </w:tc>
        <w:tc>
          <w:tcPr>
            <w:tcW w:w="3150"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At completion of dissertation defense</w:t>
            </w:r>
          </w:p>
        </w:tc>
      </w:tr>
      <w:tr w:rsidR="00D55610" w:rsidRPr="00743A41" w:rsidTr="006E28EE">
        <w:trPr>
          <w:cantSplit/>
        </w:trPr>
        <w:tc>
          <w:tcPr>
            <w:tcW w:w="1849"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Doctoral Preliminary Exam Results</w:t>
            </w:r>
          </w:p>
        </w:tc>
        <w:tc>
          <w:tcPr>
            <w:tcW w:w="4451" w:type="dxa"/>
          </w:tcPr>
          <w:p w:rsidR="00D55610" w:rsidRPr="00743A41" w:rsidRDefault="00D55610" w:rsidP="00A37ED6">
            <w:pPr>
              <w:rPr>
                <w:rFonts w:asciiTheme="majorHAnsi" w:hAnsiTheme="majorHAnsi" w:cstheme="majorHAnsi"/>
                <w:sz w:val="20"/>
                <w:szCs w:val="20"/>
              </w:rPr>
            </w:pPr>
            <w:r w:rsidRPr="00743A41">
              <w:rPr>
                <w:rFonts w:asciiTheme="majorHAnsi" w:hAnsiTheme="majorHAnsi" w:cstheme="majorHAnsi"/>
                <w:sz w:val="20"/>
                <w:szCs w:val="20"/>
              </w:rPr>
              <w:t>Departments maintain spreadsheets of preliminary exam results. These results are summarized and reported through departmental meetings.</w:t>
            </w:r>
          </w:p>
        </w:tc>
        <w:tc>
          <w:tcPr>
            <w:tcW w:w="3150"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After the completion of each preliminary exam period</w:t>
            </w:r>
          </w:p>
        </w:tc>
      </w:tr>
      <w:tr w:rsidR="00D55610" w:rsidRPr="00743A41" w:rsidTr="006E28EE">
        <w:trPr>
          <w:cantSplit/>
        </w:trPr>
        <w:tc>
          <w:tcPr>
            <w:tcW w:w="1849"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Faculty Service Survey</w:t>
            </w:r>
          </w:p>
        </w:tc>
        <w:tc>
          <w:tcPr>
            <w:tcW w:w="4451"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The Faculty Service Survey is a 17-item survey launched in Summer 2018.  The survey assesses previous public health experience, integration of practice into courses, integration of scholarship into courses, and current service activities. </w:t>
            </w:r>
          </w:p>
        </w:tc>
        <w:tc>
          <w:tcPr>
            <w:tcW w:w="3150"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Biennially </w:t>
            </w:r>
          </w:p>
        </w:tc>
      </w:tr>
      <w:tr w:rsidR="00D55610" w:rsidRPr="00743A41" w:rsidTr="006E28EE">
        <w:trPr>
          <w:cantSplit/>
        </w:trPr>
        <w:tc>
          <w:tcPr>
            <w:tcW w:w="1849" w:type="dxa"/>
          </w:tcPr>
          <w:p w:rsidR="00D55610" w:rsidRPr="00743A41" w:rsidRDefault="00D55610"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Graduate Survey</w:t>
            </w:r>
          </w:p>
        </w:tc>
        <w:tc>
          <w:tcPr>
            <w:tcW w:w="4451"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The Graduate Survey is administered using Qualtrics. It consists of 101 questions on graduates’ experience at the UTHealth School of Public Health. Survey items include questions on advisor performance, faculty performance, quality of student services, academic program satisfaction, competency attainment, practicum satisfaction, culminating experience quality and competency attainment, employment history, and employment plans. </w:t>
            </w:r>
          </w:p>
        </w:tc>
        <w:tc>
          <w:tcPr>
            <w:tcW w:w="3150"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Each semester before students graduate</w:t>
            </w:r>
          </w:p>
        </w:tc>
      </w:tr>
      <w:tr w:rsidR="00D55610" w:rsidRPr="00743A41" w:rsidTr="006E28EE">
        <w:trPr>
          <w:cantSplit/>
        </w:trPr>
        <w:tc>
          <w:tcPr>
            <w:tcW w:w="1849"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ILE Completion Form</w:t>
            </w:r>
          </w:p>
        </w:tc>
        <w:tc>
          <w:tcPr>
            <w:tcW w:w="4451" w:type="dxa"/>
          </w:tcPr>
          <w:p w:rsidR="00D55610" w:rsidRPr="00743A41" w:rsidRDefault="00D55610" w:rsidP="00A37ED6">
            <w:pPr>
              <w:rPr>
                <w:rFonts w:asciiTheme="majorHAnsi" w:hAnsiTheme="majorHAnsi" w:cstheme="majorHAnsi"/>
                <w:sz w:val="20"/>
                <w:szCs w:val="20"/>
              </w:rPr>
            </w:pPr>
            <w:r w:rsidRPr="00743A41">
              <w:rPr>
                <w:rFonts w:asciiTheme="majorHAnsi" w:hAnsiTheme="majorHAnsi" w:cstheme="majorHAnsi"/>
                <w:sz w:val="20"/>
                <w:szCs w:val="20"/>
              </w:rPr>
              <w:t xml:space="preserve">The ILE Completion Form records the competencies addressed in the final product and the verification by the faculty mentor that the final product meets requirements. The OAASS monitors completion and verifies that requirements were met. </w:t>
            </w:r>
          </w:p>
        </w:tc>
        <w:tc>
          <w:tcPr>
            <w:tcW w:w="3150"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At the completion of each semester</w:t>
            </w:r>
          </w:p>
        </w:tc>
      </w:tr>
      <w:tr w:rsidR="00D55610" w:rsidRPr="00743A41" w:rsidTr="006E28EE">
        <w:trPr>
          <w:cantSplit/>
        </w:trPr>
        <w:tc>
          <w:tcPr>
            <w:tcW w:w="1849" w:type="dxa"/>
            <w:shd w:val="clear" w:color="auto" w:fill="FFFFFF" w:themeFill="background1"/>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Instruction Characteristics Survey</w:t>
            </w:r>
          </w:p>
        </w:tc>
        <w:tc>
          <w:tcPr>
            <w:tcW w:w="4451"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The Instruction Characteristics Survey is a new email assessment and phone interview with faculty who taught during the past year.</w:t>
            </w:r>
          </w:p>
        </w:tc>
        <w:tc>
          <w:tcPr>
            <w:tcW w:w="3150"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Annually</w:t>
            </w:r>
          </w:p>
        </w:tc>
      </w:tr>
      <w:tr w:rsidR="00D55610" w:rsidRPr="00743A41" w:rsidTr="006E28EE">
        <w:trPr>
          <w:cantSplit/>
        </w:trPr>
        <w:tc>
          <w:tcPr>
            <w:tcW w:w="1849"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Practicum Portal</w:t>
            </w:r>
          </w:p>
        </w:tc>
        <w:tc>
          <w:tcPr>
            <w:tcW w:w="4451" w:type="dxa"/>
          </w:tcPr>
          <w:p w:rsidR="00D55610" w:rsidRPr="00743A41" w:rsidRDefault="00D55610" w:rsidP="00A37ED6">
            <w:pPr>
              <w:rPr>
                <w:rFonts w:asciiTheme="majorHAnsi" w:hAnsiTheme="majorHAnsi" w:cstheme="majorHAnsi"/>
                <w:sz w:val="20"/>
                <w:szCs w:val="20"/>
              </w:rPr>
            </w:pPr>
            <w:r w:rsidRPr="00743A41">
              <w:rPr>
                <w:rFonts w:asciiTheme="majorHAnsi" w:hAnsiTheme="majorHAnsi" w:cstheme="majorHAnsi"/>
                <w:sz w:val="20"/>
                <w:szCs w:val="20"/>
              </w:rPr>
              <w:t xml:space="preserve">The Practicum Portal assists students in completing the practicum learning contract, alignment with foundational competencies and competencies for each degree program, approval of the practicum experience by faculty, uploading of final products, and verification that competencies were met and final products were successfully completed. </w:t>
            </w:r>
          </w:p>
        </w:tc>
        <w:tc>
          <w:tcPr>
            <w:tcW w:w="3150"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Ongoing</w:t>
            </w:r>
          </w:p>
        </w:tc>
      </w:tr>
      <w:tr w:rsidR="00D55610" w:rsidRPr="00743A41" w:rsidTr="006E28EE">
        <w:trPr>
          <w:cantSplit/>
          <w:trHeight w:val="746"/>
        </w:trPr>
        <w:tc>
          <w:tcPr>
            <w:tcW w:w="1849" w:type="dxa"/>
          </w:tcPr>
          <w:p w:rsidR="00D55610" w:rsidRPr="00743A41" w:rsidRDefault="000B78AE"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Practicum Preceptor Survey</w:t>
            </w:r>
          </w:p>
        </w:tc>
        <w:tc>
          <w:tcPr>
            <w:tcW w:w="4451" w:type="dxa"/>
          </w:tcPr>
          <w:p w:rsidR="00D55610" w:rsidRPr="00743A41" w:rsidRDefault="00D55610" w:rsidP="00A37ED6">
            <w:pPr>
              <w:spacing w:after="120"/>
              <w:rPr>
                <w:rFonts w:asciiTheme="majorHAnsi" w:hAnsiTheme="majorHAnsi" w:cstheme="majorHAnsi"/>
                <w:sz w:val="20"/>
                <w:szCs w:val="20"/>
              </w:rPr>
            </w:pPr>
            <w:r w:rsidRPr="00743A41">
              <w:rPr>
                <w:rFonts w:asciiTheme="majorHAnsi" w:hAnsiTheme="majorHAnsi" w:cstheme="majorHAnsi"/>
                <w:sz w:val="20"/>
                <w:szCs w:val="20"/>
              </w:rPr>
              <w:t xml:space="preserve">The Practicum Preceptor Survey asks practicum preceptors whether the student was well prepared to conduct the practicum and how well the </w:t>
            </w:r>
            <w:r w:rsidRPr="00743A41">
              <w:rPr>
                <w:rFonts w:asciiTheme="majorHAnsi" w:eastAsia="Arial" w:hAnsiTheme="majorHAnsi" w:cstheme="majorHAnsi"/>
                <w:sz w:val="20"/>
                <w:szCs w:val="20"/>
              </w:rPr>
              <w:t>UTHealth School of Public Health</w:t>
            </w:r>
            <w:r w:rsidRPr="00743A41">
              <w:rPr>
                <w:rFonts w:asciiTheme="majorHAnsi" w:hAnsiTheme="majorHAnsi" w:cstheme="majorHAnsi"/>
                <w:sz w:val="20"/>
                <w:szCs w:val="20"/>
              </w:rPr>
              <w:t xml:space="preserve"> prepared students for a public health job. </w:t>
            </w:r>
          </w:p>
        </w:tc>
        <w:tc>
          <w:tcPr>
            <w:tcW w:w="3150"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Data are collected at the completion of the student practicum</w:t>
            </w:r>
          </w:p>
        </w:tc>
      </w:tr>
      <w:tr w:rsidR="00D55610" w:rsidRPr="00743A41" w:rsidTr="006E28EE">
        <w:trPr>
          <w:cantSplit/>
        </w:trPr>
        <w:tc>
          <w:tcPr>
            <w:tcW w:w="1849" w:type="dxa"/>
          </w:tcPr>
          <w:p w:rsidR="00D55610" w:rsidRPr="00743A41" w:rsidRDefault="00D55610"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Research Database</w:t>
            </w:r>
          </w:p>
        </w:tc>
        <w:tc>
          <w:tcPr>
            <w:tcW w:w="4451"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Data of grant submissions and grant awards are maintained on an ongoing basis. </w:t>
            </w:r>
          </w:p>
        </w:tc>
        <w:tc>
          <w:tcPr>
            <w:tcW w:w="3150"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Data are populated on an ongoing basis as grants are submitted and awards notices are received. An annual research report that summarizes research productivity is produced after every fall semester</w:t>
            </w:r>
          </w:p>
        </w:tc>
      </w:tr>
      <w:tr w:rsidR="00D55610" w:rsidRPr="00743A41" w:rsidTr="006E28EE">
        <w:trPr>
          <w:cantSplit/>
        </w:trPr>
        <w:tc>
          <w:tcPr>
            <w:tcW w:w="1849" w:type="dxa"/>
          </w:tcPr>
          <w:p w:rsidR="00D55610" w:rsidRPr="00743A41" w:rsidRDefault="00D55610" w:rsidP="00A37ED6">
            <w:pPr>
              <w:rPr>
                <w:rFonts w:asciiTheme="majorHAnsi" w:hAnsiTheme="majorHAnsi" w:cstheme="majorHAnsi"/>
                <w:sz w:val="20"/>
                <w:szCs w:val="20"/>
              </w:rPr>
            </w:pPr>
            <w:r w:rsidRPr="00743A41">
              <w:rPr>
                <w:rFonts w:asciiTheme="majorHAnsi" w:eastAsia="Arial" w:hAnsiTheme="majorHAnsi" w:cstheme="majorHAnsi"/>
                <w:sz w:val="20"/>
                <w:szCs w:val="20"/>
              </w:rPr>
              <w:t>Six-year Post-tenure Review of Faculty</w:t>
            </w:r>
          </w:p>
        </w:tc>
        <w:tc>
          <w:tcPr>
            <w:tcW w:w="4451" w:type="dxa"/>
          </w:tcPr>
          <w:p w:rsidR="00D55610" w:rsidRPr="00743A41" w:rsidRDefault="00D55610" w:rsidP="00A37ED6">
            <w:pPr>
              <w:rPr>
                <w:rStyle w:val="Hyperlink"/>
                <w:rFonts w:asciiTheme="majorHAnsi" w:hAnsiTheme="majorHAnsi" w:cstheme="majorHAnsi"/>
                <w:sz w:val="20"/>
                <w:szCs w:val="20"/>
              </w:rPr>
            </w:pPr>
            <w:r w:rsidRPr="00743A41">
              <w:rPr>
                <w:rFonts w:asciiTheme="majorHAnsi" w:hAnsiTheme="majorHAnsi" w:cstheme="majorHAnsi"/>
                <w:sz w:val="20"/>
                <w:szCs w:val="20"/>
              </w:rPr>
              <w:t xml:space="preserve">The </w:t>
            </w:r>
            <w:hyperlink r:id="rId22" w:history="1">
              <w:r w:rsidRPr="00743A41">
                <w:rPr>
                  <w:rStyle w:val="Hyperlink"/>
                  <w:rFonts w:asciiTheme="majorHAnsi" w:hAnsiTheme="majorHAnsi" w:cstheme="majorHAnsi"/>
                  <w:sz w:val="20"/>
                  <w:szCs w:val="20"/>
                </w:rPr>
                <w:t>HOOP Policy Number 111</w:t>
              </w:r>
            </w:hyperlink>
            <w:r w:rsidRPr="00743A41">
              <w:rPr>
                <w:rFonts w:asciiTheme="majorHAnsi" w:hAnsiTheme="majorHAnsi" w:cstheme="majorHAnsi"/>
                <w:sz w:val="20"/>
                <w:szCs w:val="20"/>
              </w:rPr>
              <w:t xml:space="preserve"> for UTHealth addresses faculty review. It stipulates that </w:t>
            </w:r>
            <w:r w:rsidRPr="00DD07BB">
              <w:rPr>
                <w:rFonts w:asciiTheme="majorHAnsi" w:hAnsiTheme="majorHAnsi" w:cstheme="majorHAnsi"/>
                <w:sz w:val="20"/>
                <w:szCs w:val="20"/>
              </w:rPr>
              <w:t>faculty be reviewed for their performance every 6 years</w:t>
            </w:r>
            <w:r w:rsidRPr="00743A41">
              <w:rPr>
                <w:rFonts w:asciiTheme="majorHAnsi" w:hAnsiTheme="majorHAnsi" w:cstheme="majorHAnsi"/>
                <w:sz w:val="20"/>
                <w:szCs w:val="20"/>
              </w:rPr>
              <w:t xml:space="preserve"> </w:t>
            </w:r>
            <w:r w:rsidR="00DD07BB">
              <w:rPr>
                <w:rFonts w:asciiTheme="majorHAnsi" w:hAnsiTheme="majorHAnsi" w:cstheme="majorHAnsi"/>
                <w:sz w:val="20"/>
                <w:szCs w:val="20"/>
              </w:rPr>
              <w:t>(</w:t>
            </w:r>
            <w:hyperlink r:id="rId23" w:history="1">
              <w:r w:rsidR="00DD07BB" w:rsidRPr="00AD35A0">
                <w:rPr>
                  <w:rStyle w:val="Hyperlink"/>
                  <w:rFonts w:asciiTheme="majorHAnsi" w:hAnsiTheme="majorHAnsi" w:cstheme="majorHAnsi"/>
                  <w:sz w:val="20"/>
                  <w:szCs w:val="20"/>
                </w:rPr>
                <w:t>Six Year Post-Tenure Faculty Review</w:t>
              </w:r>
            </w:hyperlink>
            <w:r w:rsidR="00AD35A0">
              <w:rPr>
                <w:rFonts w:asciiTheme="majorHAnsi" w:hAnsiTheme="majorHAnsi" w:cstheme="majorHAnsi"/>
                <w:sz w:val="20"/>
                <w:szCs w:val="20"/>
              </w:rPr>
              <w:t xml:space="preserve">) </w:t>
            </w:r>
            <w:r w:rsidRPr="00743A41">
              <w:rPr>
                <w:rFonts w:asciiTheme="majorHAnsi" w:hAnsiTheme="majorHAnsi" w:cstheme="majorHAnsi"/>
                <w:sz w:val="20"/>
                <w:szCs w:val="20"/>
              </w:rPr>
              <w:t xml:space="preserve">following their award of tenure and that they are notified at least 6 months before the date of the review. A 6-year review committee conducts the review, with the final decision made by the dean. </w:t>
            </w:r>
          </w:p>
          <w:p w:rsidR="00D55610" w:rsidRPr="00743A41" w:rsidRDefault="00D55610" w:rsidP="00A37ED6">
            <w:pPr>
              <w:rPr>
                <w:rStyle w:val="Hyperlink"/>
                <w:rFonts w:asciiTheme="majorHAnsi" w:hAnsiTheme="majorHAnsi" w:cstheme="majorHAnsi"/>
                <w:sz w:val="20"/>
                <w:szCs w:val="20"/>
              </w:rPr>
            </w:pPr>
          </w:p>
          <w:p w:rsidR="00D55610" w:rsidRPr="00743A41" w:rsidRDefault="00D55610"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Data used in the 6-year post-tenure evaluations include an updated curriculum vita, AARs for the previous 6 academic years of work at UTHealth, and an optional narrative (1–3 pages long) highlighting accomplishments and/or explaining unique matters that should be considered when conducting the review.</w:t>
            </w:r>
          </w:p>
        </w:tc>
        <w:tc>
          <w:tcPr>
            <w:tcW w:w="3150"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Annually for eligible faculty</w:t>
            </w:r>
          </w:p>
        </w:tc>
      </w:tr>
      <w:tr w:rsidR="00D55610" w:rsidRPr="00743A41" w:rsidTr="006E28EE">
        <w:trPr>
          <w:cantSplit/>
        </w:trPr>
        <w:tc>
          <w:tcPr>
            <w:tcW w:w="1849" w:type="dxa"/>
          </w:tcPr>
          <w:p w:rsidR="00D55610" w:rsidRPr="00743A41" w:rsidRDefault="00D55610"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SOPHAS/WebAdMIT Portal</w:t>
            </w:r>
          </w:p>
          <w:p w:rsidR="00D55610" w:rsidRPr="00743A41" w:rsidRDefault="00D55610" w:rsidP="00A37ED6">
            <w:pPr>
              <w:jc w:val="center"/>
              <w:rPr>
                <w:rFonts w:asciiTheme="majorHAnsi" w:eastAsia="Arial" w:hAnsiTheme="majorHAnsi" w:cstheme="majorHAnsi"/>
                <w:sz w:val="20"/>
                <w:szCs w:val="20"/>
              </w:rPr>
            </w:pPr>
          </w:p>
        </w:tc>
        <w:tc>
          <w:tcPr>
            <w:tcW w:w="4451" w:type="dxa"/>
          </w:tcPr>
          <w:p w:rsidR="00D55610" w:rsidRPr="00743A41" w:rsidRDefault="00D55610" w:rsidP="00A37ED6">
            <w:pPr>
              <w:rPr>
                <w:rFonts w:asciiTheme="majorHAnsi" w:eastAsia="Arial" w:hAnsiTheme="majorHAnsi" w:cstheme="majorHAnsi"/>
                <w:sz w:val="20"/>
                <w:szCs w:val="20"/>
              </w:rPr>
            </w:pPr>
            <w:r w:rsidRPr="00743A41">
              <w:rPr>
                <w:rFonts w:asciiTheme="majorHAnsi" w:hAnsiTheme="majorHAnsi" w:cstheme="majorHAnsi"/>
                <w:sz w:val="20"/>
                <w:szCs w:val="20"/>
              </w:rPr>
              <w:t xml:space="preserve">SOPHAS is the Centralized Application Service (CAS) for public health. Data can be downloaded either from WebAdMIT or from the SOPHAS application portal maintained by ASPPH. Data on demographic characteristics, academic history, and admissions decisions for applicants have been maintained since 2012. </w:t>
            </w:r>
          </w:p>
        </w:tc>
        <w:tc>
          <w:tcPr>
            <w:tcW w:w="3150"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Data are tracked and reported monthly from September through May. Final reports are shared with various decision makers each summer after final decisions are made. All admissions coordinators have access to data and report-generation capabilities on an as-needed basis. </w:t>
            </w:r>
          </w:p>
        </w:tc>
      </w:tr>
      <w:tr w:rsidR="00D55610" w:rsidRPr="00743A41" w:rsidTr="006E28EE">
        <w:trPr>
          <w:cantSplit/>
        </w:trPr>
        <w:tc>
          <w:tcPr>
            <w:tcW w:w="1849"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SPH Diversity and Inclusion Climate Survey</w:t>
            </w:r>
          </w:p>
        </w:tc>
        <w:tc>
          <w:tcPr>
            <w:tcW w:w="4451"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The SPH Diversity and Inclusion Climate Survey is a 32-item survey launched in Spring 2019 that replaced a previous diversity survey. The survey assesses faculty, student, and staff perception of the importance of diversity and inclusion; perception of belonging and inclusion; and perception of how faculty, students, and staff treat others who have different cultures, religions, sexual orientations, gender identities, racial and ethnic characteristics, and disabilities. </w:t>
            </w:r>
          </w:p>
        </w:tc>
        <w:tc>
          <w:tcPr>
            <w:tcW w:w="3150"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Annually, each spring semester. Data are available upon completion to the Diversity Committee.</w:t>
            </w:r>
          </w:p>
        </w:tc>
      </w:tr>
      <w:tr w:rsidR="00D55610" w:rsidRPr="00743A41" w:rsidTr="006E28EE">
        <w:trPr>
          <w:cantSplit/>
          <w:trHeight w:val="2024"/>
        </w:trPr>
        <w:tc>
          <w:tcPr>
            <w:tcW w:w="1849"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Student Evaluations</w:t>
            </w:r>
          </w:p>
        </w:tc>
        <w:tc>
          <w:tcPr>
            <w:tcW w:w="4451" w:type="dxa"/>
          </w:tcPr>
          <w:p w:rsidR="00D55610" w:rsidRPr="00743A41" w:rsidRDefault="00D55610" w:rsidP="00A37ED6">
            <w:pPr>
              <w:rPr>
                <w:rFonts w:asciiTheme="majorHAnsi" w:hAnsiTheme="majorHAnsi" w:cstheme="majorHAnsi"/>
                <w:sz w:val="20"/>
                <w:szCs w:val="20"/>
              </w:rPr>
            </w:pPr>
            <w:r w:rsidRPr="00743A41">
              <w:rPr>
                <w:rFonts w:asciiTheme="majorHAnsi" w:hAnsiTheme="majorHAnsi" w:cstheme="majorHAnsi"/>
                <w:sz w:val="20"/>
                <w:szCs w:val="20"/>
              </w:rPr>
              <w:t xml:space="preserve">Student evaluations are conducted by students and their faculty advisor. Students and their faculty advisor complete the student evaluation form for their specific degree. The student evaluation form tracks student success, completion of coursework, and the milestones for degree completion. It also assesses if faculty have provided career counseling and discussed professional development opportunities. </w:t>
            </w:r>
          </w:p>
        </w:tc>
        <w:tc>
          <w:tcPr>
            <w:tcW w:w="3150" w:type="dxa"/>
          </w:tcPr>
          <w:p w:rsidR="00D55610" w:rsidRPr="00743A41" w:rsidRDefault="00D55610" w:rsidP="00A37ED6">
            <w:pPr>
              <w:rPr>
                <w:rFonts w:asciiTheme="majorHAnsi" w:hAnsiTheme="majorHAnsi" w:cstheme="majorHAnsi"/>
                <w:sz w:val="20"/>
                <w:szCs w:val="20"/>
              </w:rPr>
            </w:pPr>
            <w:r w:rsidRPr="00743A41">
              <w:rPr>
                <w:rFonts w:asciiTheme="majorHAnsi" w:hAnsiTheme="majorHAnsi" w:cstheme="majorHAnsi"/>
                <w:sz w:val="20"/>
                <w:szCs w:val="20"/>
              </w:rPr>
              <w:t>Once every fall and spring semesters</w:t>
            </w:r>
          </w:p>
        </w:tc>
      </w:tr>
      <w:tr w:rsidR="00D55610" w:rsidRPr="00743A41" w:rsidTr="006E28EE">
        <w:trPr>
          <w:cantSplit/>
        </w:trPr>
        <w:tc>
          <w:tcPr>
            <w:tcW w:w="1849" w:type="dxa"/>
          </w:tcPr>
          <w:p w:rsidR="00D55610" w:rsidRPr="00743A41" w:rsidRDefault="00D55610" w:rsidP="00A37ED6">
            <w:pPr>
              <w:keepLines/>
              <w:rPr>
                <w:rFonts w:asciiTheme="majorHAnsi" w:eastAsia="Arial" w:hAnsiTheme="majorHAnsi" w:cstheme="majorHAnsi"/>
                <w:sz w:val="20"/>
                <w:szCs w:val="20"/>
              </w:rPr>
            </w:pPr>
            <w:r w:rsidRPr="00743A41">
              <w:rPr>
                <w:rFonts w:asciiTheme="majorHAnsi" w:eastAsia="Arial" w:hAnsiTheme="majorHAnsi" w:cstheme="majorHAnsi"/>
                <w:sz w:val="20"/>
                <w:szCs w:val="20"/>
              </w:rPr>
              <w:t>Student Practicum Perception Survey</w:t>
            </w:r>
          </w:p>
        </w:tc>
        <w:tc>
          <w:tcPr>
            <w:tcW w:w="4451"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The Student Practicum Perception Survey asks students about practicum characteristics, characteristics of their products, if they felt prepared for the practicum experience, competency attainment through the practicum experience, the effectiveness of the practicum in job preparation, and satisfaction with preceptor and faculty mentor.</w:t>
            </w:r>
          </w:p>
        </w:tc>
        <w:tc>
          <w:tcPr>
            <w:tcW w:w="3150"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Data are collected at the completion of the student practicum</w:t>
            </w:r>
          </w:p>
        </w:tc>
      </w:tr>
      <w:tr w:rsidR="00D55610" w:rsidRPr="00743A41" w:rsidTr="006E28EE">
        <w:trPr>
          <w:cantSplit/>
          <w:trHeight w:val="323"/>
        </w:trPr>
        <w:tc>
          <w:tcPr>
            <w:tcW w:w="1849" w:type="dxa"/>
            <w:shd w:val="clear" w:color="auto" w:fill="FFFFFF" w:themeFill="background1"/>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Teaching Peer Review</w:t>
            </w:r>
          </w:p>
        </w:tc>
        <w:tc>
          <w:tcPr>
            <w:tcW w:w="4451"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Times New Roman" w:hAnsiTheme="majorHAnsi" w:cstheme="majorHAnsi"/>
                <w:sz w:val="20"/>
                <w:szCs w:val="20"/>
              </w:rPr>
              <w:t xml:space="preserve">Faculty from each department rate each other on quality and quantity of teaching. Data on courses taught, course evaluations, number of students advised, number of student practicum supervised, number of thesis and dissertations supervised, and teaching summaries are populated into the AAR. Faculty peers evaluate teaching productivity and rate each other on a scale from 1 (“exceptional”) to 5 (“does not meet expectations”). </w:t>
            </w:r>
          </w:p>
        </w:tc>
        <w:tc>
          <w:tcPr>
            <w:tcW w:w="3150" w:type="dxa"/>
          </w:tcPr>
          <w:p w:rsidR="00D55610" w:rsidRPr="00743A41" w:rsidRDefault="00D55610" w:rsidP="00A37ED6">
            <w:pPr>
              <w:rPr>
                <w:rFonts w:asciiTheme="majorHAnsi" w:eastAsia="Arial" w:hAnsiTheme="majorHAnsi" w:cstheme="majorHAnsi"/>
                <w:sz w:val="20"/>
                <w:szCs w:val="20"/>
              </w:rPr>
            </w:pPr>
            <w:r w:rsidRPr="00743A41">
              <w:rPr>
                <w:rFonts w:asciiTheme="majorHAnsi" w:eastAsia="Arial" w:hAnsiTheme="majorHAnsi" w:cstheme="majorHAnsi"/>
                <w:sz w:val="20"/>
                <w:szCs w:val="20"/>
              </w:rPr>
              <w:t>Annually, each fall semester</w:t>
            </w:r>
          </w:p>
        </w:tc>
      </w:tr>
      <w:tr w:rsidR="00D55610" w:rsidRPr="00743A41" w:rsidTr="006E28EE">
        <w:trPr>
          <w:cantSplit/>
          <w:trHeight w:val="2510"/>
        </w:trPr>
        <w:tc>
          <w:tcPr>
            <w:tcW w:w="1849" w:type="dxa"/>
          </w:tcPr>
          <w:p w:rsidR="00D55610" w:rsidRPr="00743A41" w:rsidRDefault="00302D1F" w:rsidP="00A37ED6">
            <w:pPr>
              <w:rPr>
                <w:rFonts w:asciiTheme="majorHAnsi" w:hAnsiTheme="majorHAnsi" w:cstheme="majorHAnsi"/>
                <w:sz w:val="20"/>
                <w:szCs w:val="20"/>
              </w:rPr>
            </w:pPr>
            <w:r w:rsidRPr="00743A41">
              <w:rPr>
                <w:rFonts w:asciiTheme="majorHAnsi" w:eastAsia="Arial" w:hAnsiTheme="majorHAnsi" w:cstheme="majorHAnsi"/>
                <w:sz w:val="20"/>
                <w:szCs w:val="20"/>
              </w:rPr>
              <w:t>Three-year faculty review</w:t>
            </w:r>
          </w:p>
        </w:tc>
        <w:tc>
          <w:tcPr>
            <w:tcW w:w="4451" w:type="dxa"/>
          </w:tcPr>
          <w:p w:rsidR="00D55610" w:rsidRPr="00743A41" w:rsidRDefault="00D55610" w:rsidP="00A37ED6">
            <w:pPr>
              <w:rPr>
                <w:rFonts w:asciiTheme="majorHAnsi" w:eastAsia="Arial" w:hAnsiTheme="majorHAnsi" w:cstheme="majorHAnsi"/>
                <w:sz w:val="20"/>
                <w:szCs w:val="20"/>
              </w:rPr>
            </w:pPr>
            <w:r w:rsidRPr="00743A41">
              <w:rPr>
                <w:rFonts w:asciiTheme="majorHAnsi" w:hAnsiTheme="majorHAnsi" w:cstheme="majorHAnsi"/>
                <w:sz w:val="20"/>
                <w:szCs w:val="20"/>
              </w:rPr>
              <w:t>The 3-year review is a formal, evaluative process of tenure-track, non-tenured faculty in order to assess their progress toward tenure and promotion and to provide candid feedback and recommendations to the candidate and the dean.  Each department chair and, if applicable, the campus dean, will implement a full review of the research, teaching, service, and overall progress towards tenure of each tenure-track faculty member after completion of the first 3 full fiscal years of service. Data consist of written input from the mentoring committee, a 3-page narrative, annual reviews, and peer reviews for the previous 3 years.</w:t>
            </w:r>
          </w:p>
        </w:tc>
        <w:tc>
          <w:tcPr>
            <w:tcW w:w="3150" w:type="dxa"/>
          </w:tcPr>
          <w:p w:rsidR="00D55610" w:rsidRPr="00743A41" w:rsidRDefault="00D55610" w:rsidP="00A37ED6">
            <w:pPr>
              <w:rPr>
                <w:rFonts w:asciiTheme="majorHAnsi" w:eastAsia="Arial" w:hAnsiTheme="majorHAnsi" w:cstheme="majorHAnsi"/>
                <w:sz w:val="20"/>
                <w:szCs w:val="20"/>
              </w:rPr>
            </w:pPr>
            <w:r w:rsidRPr="00743A41">
              <w:rPr>
                <w:rFonts w:asciiTheme="majorHAnsi" w:hAnsiTheme="majorHAnsi" w:cstheme="majorHAnsi"/>
                <w:sz w:val="20"/>
                <w:szCs w:val="20"/>
              </w:rPr>
              <w:t xml:space="preserve">After completion of the first 3 full fiscal years of service  </w:t>
            </w:r>
          </w:p>
        </w:tc>
      </w:tr>
    </w:tbl>
    <w:p w:rsidR="00D55610" w:rsidRPr="00743A41" w:rsidRDefault="00D55610" w:rsidP="00A37ED6">
      <w:pPr>
        <w:tabs>
          <w:tab w:val="left" w:pos="8370"/>
        </w:tabs>
        <w:ind w:left="720"/>
        <w:jc w:val="both"/>
        <w:rPr>
          <w:rFonts w:asciiTheme="majorHAnsi" w:eastAsia="Arial" w:hAnsiTheme="majorHAnsi" w:cstheme="majorHAnsi"/>
          <w:sz w:val="20"/>
          <w:szCs w:val="20"/>
        </w:rPr>
      </w:pPr>
    </w:p>
    <w:p w:rsidR="00933038" w:rsidRPr="00743A41" w:rsidRDefault="00933038" w:rsidP="00A37ED6">
      <w:pPr>
        <w:pStyle w:val="Default"/>
        <w:numPr>
          <w:ilvl w:val="0"/>
          <w:numId w:val="8"/>
        </w:numPr>
        <w:jc w:val="both"/>
        <w:rPr>
          <w:rFonts w:asciiTheme="majorHAnsi" w:hAnsiTheme="majorHAnsi" w:cstheme="majorHAnsi"/>
          <w:color w:val="auto"/>
          <w:szCs w:val="20"/>
        </w:rPr>
      </w:pPr>
      <w:r w:rsidRPr="00743A41">
        <w:rPr>
          <w:rFonts w:asciiTheme="majorHAnsi" w:hAnsiTheme="majorHAnsi" w:cstheme="majorHAnsi"/>
          <w:color w:val="auto"/>
          <w:szCs w:val="20"/>
        </w:rPr>
        <w:t xml:space="preserve">Briefly describe how the chosen evaluation methods and measures track the school’s progress in advancing the field of public health (including instruction, scholarship and service) and promoting student success. </w:t>
      </w:r>
    </w:p>
    <w:p w:rsidR="00933038" w:rsidRPr="00743A41" w:rsidRDefault="00933038" w:rsidP="00A37ED6">
      <w:pPr>
        <w:pStyle w:val="Default"/>
        <w:jc w:val="both"/>
        <w:rPr>
          <w:rFonts w:asciiTheme="majorHAnsi" w:hAnsiTheme="majorHAnsi" w:cstheme="majorHAnsi"/>
          <w:color w:val="auto"/>
          <w:szCs w:val="20"/>
        </w:rPr>
      </w:pPr>
    </w:p>
    <w:p w:rsidR="0010271E" w:rsidRPr="00743A41" w:rsidRDefault="0010271E" w:rsidP="00A37ED6">
      <w:pPr>
        <w:pBdr>
          <w:top w:val="nil"/>
          <w:left w:val="nil"/>
          <w:bottom w:val="nil"/>
          <w:right w:val="nil"/>
          <w:between w:val="nil"/>
        </w:pBdr>
        <w:ind w:left="720"/>
        <w:rPr>
          <w:rFonts w:asciiTheme="majorHAnsi" w:eastAsia="Arial" w:hAnsiTheme="majorHAnsi" w:cstheme="majorHAnsi"/>
          <w:color w:val="000000"/>
          <w:sz w:val="20"/>
          <w:szCs w:val="20"/>
        </w:rPr>
      </w:pPr>
      <w:r w:rsidRPr="00743A41">
        <w:rPr>
          <w:rFonts w:asciiTheme="majorHAnsi" w:eastAsia="Arial" w:hAnsiTheme="majorHAnsi" w:cstheme="majorHAnsi"/>
          <w:b/>
          <w:color w:val="000000"/>
          <w:sz w:val="20"/>
          <w:szCs w:val="20"/>
        </w:rPr>
        <w:t>Instruction.</w:t>
      </w:r>
      <w:r w:rsidRPr="00743A41">
        <w:rPr>
          <w:rFonts w:asciiTheme="majorHAnsi" w:eastAsia="Arial" w:hAnsiTheme="majorHAnsi" w:cstheme="majorHAnsi"/>
          <w:color w:val="000000"/>
          <w:sz w:val="20"/>
          <w:szCs w:val="20"/>
        </w:rPr>
        <w:t xml:space="preserve"> Individual faculty instruction is tracked through annual peer reviews, annual reviews by department chairs and campus deans, and three-year and six-year reviews. The UTHealth School of Public Health’s success in providing high-quality instruction and in recruiting and training high-quality students to contribute to public health in Texas, the United States, and internationally is tracked through summary course evaluation data, the Graduate Survey, the Alumni Survey, time-to-graduation data, the Practicum Preceptor Survey, the Student Practicum Perception Survey, the Doctoral Research Completion Form, advising ratios, and course characteristics report. Data are routinely reviewed by the OAASS, Academic Council, and Practice Council. </w:t>
      </w:r>
    </w:p>
    <w:p w:rsidR="0010271E" w:rsidRPr="00743A41" w:rsidRDefault="0010271E" w:rsidP="00A37ED6">
      <w:pPr>
        <w:pBdr>
          <w:top w:val="nil"/>
          <w:left w:val="nil"/>
          <w:bottom w:val="nil"/>
          <w:right w:val="nil"/>
          <w:between w:val="nil"/>
        </w:pBdr>
        <w:ind w:left="720"/>
        <w:rPr>
          <w:rFonts w:asciiTheme="majorHAnsi" w:eastAsia="Arial" w:hAnsiTheme="majorHAnsi" w:cstheme="majorHAnsi"/>
          <w:color w:val="000000"/>
          <w:sz w:val="20"/>
          <w:szCs w:val="20"/>
        </w:rPr>
      </w:pPr>
    </w:p>
    <w:p w:rsidR="0010271E" w:rsidRPr="00743A41" w:rsidRDefault="0010271E" w:rsidP="00A37ED6">
      <w:pPr>
        <w:pBdr>
          <w:top w:val="nil"/>
          <w:left w:val="nil"/>
          <w:bottom w:val="nil"/>
          <w:right w:val="nil"/>
          <w:between w:val="nil"/>
        </w:pBdr>
        <w:ind w:left="720"/>
        <w:rPr>
          <w:rFonts w:asciiTheme="majorHAnsi" w:eastAsia="Arial" w:hAnsiTheme="majorHAnsi" w:cstheme="majorHAnsi"/>
          <w:color w:val="000000"/>
          <w:sz w:val="20"/>
          <w:szCs w:val="20"/>
        </w:rPr>
      </w:pPr>
      <w:r w:rsidRPr="00743A41">
        <w:rPr>
          <w:rFonts w:asciiTheme="majorHAnsi" w:eastAsia="Arial" w:hAnsiTheme="majorHAnsi" w:cstheme="majorHAnsi"/>
          <w:b/>
          <w:color w:val="000000"/>
          <w:sz w:val="20"/>
          <w:szCs w:val="20"/>
        </w:rPr>
        <w:t>Scholarship.</w:t>
      </w:r>
      <w:r w:rsidRPr="00743A41">
        <w:rPr>
          <w:rFonts w:asciiTheme="majorHAnsi" w:eastAsia="Arial" w:hAnsiTheme="majorHAnsi" w:cstheme="majorHAnsi"/>
          <w:color w:val="000000"/>
          <w:sz w:val="20"/>
          <w:szCs w:val="20"/>
        </w:rPr>
        <w:t xml:space="preserve"> Individual faculty scholarship is tracked through annual peer reviews, annual reviews by department chairs and campus deans, and three-year and six-year reviews. The UTHealth School of Public Health’s success in maintaining a high level of scholarship and in encouraging the discovery and dissemination of scientific knowledge in public health is tracked through an annual research report that delineates the following information by campus, department, rank, and tenure status: the total research funding, percentage of faculty participating in research activities, average number of grant submissions per faculty, average number of grant awards per faculty, portion of funding from federal sources, and percent salary offset. The annual research report is reviewed by the Research Council, department chairs, and campus deans. </w:t>
      </w:r>
    </w:p>
    <w:p w:rsidR="0010271E" w:rsidRPr="00743A41" w:rsidRDefault="0010271E" w:rsidP="00A37ED6">
      <w:pPr>
        <w:pBdr>
          <w:top w:val="nil"/>
          <w:left w:val="nil"/>
          <w:bottom w:val="nil"/>
          <w:right w:val="nil"/>
          <w:between w:val="nil"/>
        </w:pBdr>
        <w:ind w:left="720"/>
        <w:rPr>
          <w:rFonts w:asciiTheme="majorHAnsi" w:eastAsia="Arial" w:hAnsiTheme="majorHAnsi" w:cstheme="majorHAnsi"/>
          <w:color w:val="000000"/>
          <w:sz w:val="20"/>
          <w:szCs w:val="20"/>
        </w:rPr>
      </w:pPr>
    </w:p>
    <w:p w:rsidR="0010271E" w:rsidRPr="00743A41" w:rsidRDefault="0010271E" w:rsidP="00A37ED6">
      <w:pPr>
        <w:pBdr>
          <w:top w:val="nil"/>
          <w:left w:val="nil"/>
          <w:bottom w:val="nil"/>
          <w:right w:val="nil"/>
          <w:between w:val="nil"/>
        </w:pBdr>
        <w:ind w:left="720"/>
        <w:rPr>
          <w:rFonts w:asciiTheme="majorHAnsi" w:eastAsia="Arial" w:hAnsiTheme="majorHAnsi" w:cstheme="majorHAnsi"/>
          <w:color w:val="000000"/>
          <w:sz w:val="20"/>
          <w:szCs w:val="20"/>
        </w:rPr>
      </w:pPr>
      <w:r w:rsidRPr="00743A41">
        <w:rPr>
          <w:rFonts w:asciiTheme="majorHAnsi" w:eastAsia="Arial" w:hAnsiTheme="majorHAnsi" w:cstheme="majorHAnsi"/>
          <w:b/>
          <w:color w:val="000000"/>
          <w:sz w:val="20"/>
          <w:szCs w:val="20"/>
        </w:rPr>
        <w:t>Service.</w:t>
      </w:r>
      <w:r w:rsidRPr="00743A41">
        <w:rPr>
          <w:rFonts w:asciiTheme="majorHAnsi" w:eastAsia="Arial" w:hAnsiTheme="majorHAnsi" w:cstheme="majorHAnsi"/>
          <w:color w:val="000000"/>
          <w:sz w:val="20"/>
          <w:szCs w:val="20"/>
        </w:rPr>
        <w:t xml:space="preserve"> Individual faculty service is tracked through annual peer reviews, annual reviews by department chairs and campus deans, and three-year and six-year reviews. The UTHealth School of Public Health’s success in maintaining a high level of service and in meeting our goal of improving the public’s health through community collaboration, engagement and service has been traditionally tracked through the AAR; however, in Summer 2018, we implemented a faculty survey of service activities. We also recently generated a report of the number of research subcontracts with community partners. UTHealth is implementing a new research information system where we will add a question that assesses collaboration with community partners upon grant submission to allow us to better track community collaboration in research. </w:t>
      </w:r>
    </w:p>
    <w:p w:rsidR="0010271E" w:rsidRPr="00743A41" w:rsidRDefault="0010271E" w:rsidP="00A37ED6">
      <w:pPr>
        <w:pBdr>
          <w:top w:val="nil"/>
          <w:left w:val="nil"/>
          <w:bottom w:val="nil"/>
          <w:right w:val="nil"/>
          <w:between w:val="nil"/>
        </w:pBdr>
        <w:ind w:left="720"/>
        <w:rPr>
          <w:rFonts w:asciiTheme="majorHAnsi" w:eastAsia="Arial" w:hAnsiTheme="majorHAnsi" w:cstheme="majorHAnsi"/>
          <w:color w:val="000000"/>
          <w:sz w:val="20"/>
          <w:szCs w:val="20"/>
        </w:rPr>
      </w:pPr>
    </w:p>
    <w:p w:rsidR="0010271E" w:rsidRPr="00743A41" w:rsidRDefault="0010271E" w:rsidP="00A37ED6">
      <w:pPr>
        <w:pStyle w:val="Default"/>
        <w:ind w:left="720"/>
        <w:rPr>
          <w:rFonts w:asciiTheme="majorHAnsi" w:eastAsia="Arial" w:hAnsiTheme="majorHAnsi" w:cstheme="majorHAnsi"/>
          <w:szCs w:val="20"/>
          <w:highlight w:val="yellow"/>
        </w:rPr>
      </w:pPr>
      <w:r w:rsidRPr="00743A41">
        <w:rPr>
          <w:rFonts w:asciiTheme="majorHAnsi" w:eastAsia="Arial" w:hAnsiTheme="majorHAnsi" w:cstheme="majorHAnsi"/>
          <w:b/>
          <w:szCs w:val="20"/>
        </w:rPr>
        <w:t>Student Success.</w:t>
      </w:r>
      <w:r w:rsidRPr="00743A41">
        <w:rPr>
          <w:rFonts w:asciiTheme="majorHAnsi" w:eastAsia="Arial" w:hAnsiTheme="majorHAnsi" w:cstheme="majorHAnsi"/>
          <w:szCs w:val="20"/>
        </w:rPr>
        <w:t xml:space="preserve"> Student success is tracked through student evaluations conducted by students and their faculty advisor. Students and their faculty advisor complete the student evaluation form for their specific degree. The student evaluation form tracks student success, completion of coursework, and the milestones for degree completion. It also assesses if faculty have provided career counselling and discussed professional development opportunities. OAASS tracks student success by generating reports on student grades and notifying students and advisors if students are struggling with excessive incompletes, withdrawals, or “C”’s. OAASS also monitors success by generating reports on time since matriculation and notifying students and advisors about graduation deadlines. The Office of Public Health Practice monitors successful completion of the practicum and sends advisors and students the results of the preceptor evaluation</w:t>
      </w:r>
      <w:r w:rsidR="005F7340" w:rsidRPr="00743A41">
        <w:rPr>
          <w:rFonts w:asciiTheme="majorHAnsi" w:eastAsia="Arial" w:hAnsiTheme="majorHAnsi" w:cstheme="majorHAnsi"/>
          <w:szCs w:val="20"/>
        </w:rPr>
        <w:t xml:space="preserve"> (</w:t>
      </w:r>
      <w:r w:rsidR="005F7340" w:rsidRPr="006E28EE">
        <w:rPr>
          <w:rFonts w:asciiTheme="majorHAnsi" w:eastAsia="Arial" w:hAnsiTheme="majorHAnsi" w:cstheme="majorHAnsi"/>
          <w:i/>
          <w:szCs w:val="20"/>
        </w:rPr>
        <w:t>ERF</w:t>
      </w:r>
      <w:r w:rsidR="005F7340" w:rsidRPr="00DE25B3">
        <w:rPr>
          <w:rFonts w:asciiTheme="majorHAnsi" w:eastAsia="Arial" w:hAnsiTheme="majorHAnsi" w:cstheme="majorHAnsi"/>
          <w:i/>
          <w:szCs w:val="20"/>
        </w:rPr>
        <w:t xml:space="preserve">, </w:t>
      </w:r>
      <w:r w:rsidR="00124699" w:rsidRPr="00DE25B3">
        <w:rPr>
          <w:rFonts w:asciiTheme="majorHAnsi" w:hAnsiTheme="majorHAnsi" w:cstheme="majorHAnsi"/>
          <w:i/>
        </w:rPr>
        <w:t>B5. Defining Evaluation Practices, Preceptor Survey and Results</w:t>
      </w:r>
      <w:r w:rsidR="005F7340" w:rsidRPr="00DE25B3">
        <w:rPr>
          <w:rFonts w:asciiTheme="majorHAnsi" w:eastAsia="Arial" w:hAnsiTheme="majorHAnsi" w:cstheme="majorHAnsi"/>
          <w:szCs w:val="20"/>
        </w:rPr>
        <w:t>)</w:t>
      </w:r>
      <w:r w:rsidRPr="00DE25B3">
        <w:rPr>
          <w:rFonts w:asciiTheme="majorHAnsi" w:eastAsia="Arial" w:hAnsiTheme="majorHAnsi" w:cstheme="majorHAnsi"/>
          <w:szCs w:val="20"/>
        </w:rPr>
        <w:t xml:space="preserve">. Doctoral students are required to pass a preliminary exam, and preliminary exam results are regularly monitored to analyze student success and passing rates. Doctoral student preparation to conduct, communicate, and defend research is monitored through successful completion of proposal </w:t>
      </w:r>
      <w:r w:rsidR="00AD6820" w:rsidRPr="00DE25B3">
        <w:rPr>
          <w:rFonts w:asciiTheme="majorHAnsi" w:eastAsia="Arial" w:hAnsiTheme="majorHAnsi" w:cstheme="majorHAnsi"/>
          <w:szCs w:val="20"/>
        </w:rPr>
        <w:t xml:space="preserve">and final dissertation </w:t>
      </w:r>
      <w:r w:rsidRPr="00DE25B3">
        <w:rPr>
          <w:rFonts w:asciiTheme="majorHAnsi" w:eastAsia="Arial" w:hAnsiTheme="majorHAnsi" w:cstheme="majorHAnsi"/>
          <w:szCs w:val="20"/>
        </w:rPr>
        <w:t xml:space="preserve">defense </w:t>
      </w:r>
      <w:r w:rsidR="00AD6820" w:rsidRPr="00DE25B3">
        <w:rPr>
          <w:rFonts w:asciiTheme="majorHAnsi" w:eastAsia="Arial" w:hAnsiTheme="majorHAnsi" w:cstheme="majorHAnsi"/>
          <w:szCs w:val="20"/>
        </w:rPr>
        <w:t xml:space="preserve">using the </w:t>
      </w:r>
      <w:r w:rsidR="0021570A" w:rsidRPr="00DE25B3">
        <w:rPr>
          <w:rFonts w:asciiTheme="majorHAnsi" w:hAnsiTheme="majorHAnsi" w:cstheme="majorHAnsi"/>
        </w:rPr>
        <w:t>Doctoral Dissertation Statement of Completion and Evaluation</w:t>
      </w:r>
      <w:r w:rsidR="005216A6" w:rsidRPr="00DE25B3">
        <w:rPr>
          <w:rFonts w:asciiTheme="majorHAnsi" w:eastAsia="Arial" w:hAnsiTheme="majorHAnsi" w:cstheme="majorHAnsi"/>
          <w:szCs w:val="20"/>
        </w:rPr>
        <w:t xml:space="preserve"> (</w:t>
      </w:r>
      <w:r w:rsidR="005216A6" w:rsidRPr="00DE25B3">
        <w:rPr>
          <w:rFonts w:asciiTheme="majorHAnsi" w:eastAsia="Arial" w:hAnsiTheme="majorHAnsi" w:cstheme="majorHAnsi"/>
          <w:i/>
          <w:szCs w:val="20"/>
        </w:rPr>
        <w:t>ERF</w:t>
      </w:r>
      <w:r w:rsidR="005216A6" w:rsidRPr="006E28EE">
        <w:rPr>
          <w:rFonts w:asciiTheme="majorHAnsi" w:eastAsia="Arial" w:hAnsiTheme="majorHAnsi" w:cstheme="majorHAnsi"/>
          <w:i/>
          <w:szCs w:val="20"/>
        </w:rPr>
        <w:t>, B5. Defining Evaluation Practices</w:t>
      </w:r>
      <w:r w:rsidR="005216A6" w:rsidRPr="00743A41">
        <w:rPr>
          <w:rFonts w:asciiTheme="majorHAnsi" w:eastAsia="Arial" w:hAnsiTheme="majorHAnsi" w:cstheme="majorHAnsi"/>
          <w:szCs w:val="20"/>
        </w:rPr>
        <w:t xml:space="preserve">). </w:t>
      </w:r>
    </w:p>
    <w:p w:rsidR="0010271E" w:rsidRPr="00743A41" w:rsidRDefault="0010271E" w:rsidP="00A37ED6">
      <w:pPr>
        <w:pStyle w:val="Default"/>
        <w:ind w:left="720"/>
        <w:rPr>
          <w:rFonts w:asciiTheme="majorHAnsi" w:eastAsia="Arial" w:hAnsiTheme="majorHAnsi" w:cstheme="majorHAnsi"/>
          <w:szCs w:val="20"/>
          <w:highlight w:val="yellow"/>
        </w:rPr>
      </w:pPr>
    </w:p>
    <w:p w:rsidR="00933038" w:rsidRPr="00743A41" w:rsidRDefault="00933038" w:rsidP="00A37ED6">
      <w:pPr>
        <w:pStyle w:val="Default"/>
        <w:numPr>
          <w:ilvl w:val="0"/>
          <w:numId w:val="8"/>
        </w:numPr>
        <w:jc w:val="both"/>
        <w:rPr>
          <w:rFonts w:asciiTheme="majorHAnsi" w:hAnsiTheme="majorHAnsi" w:cstheme="majorHAnsi"/>
          <w:color w:val="auto"/>
          <w:szCs w:val="20"/>
        </w:rPr>
      </w:pPr>
      <w:r w:rsidRPr="00743A41">
        <w:rPr>
          <w:rFonts w:asciiTheme="majorHAnsi" w:hAnsiTheme="majorHAnsi" w:cstheme="majorHAnsi"/>
          <w:color w:val="auto"/>
          <w:szCs w:val="20"/>
        </w:rPr>
        <w:t xml:space="preserve">Provide evidence of implementation of the plan described in Template B5-1. Evidence may include reports or data summaries prepared for review, minutes of meetings at which results were discussed, etc. Evidence must document examination of progress and impact on both public health as a field and student success. </w:t>
      </w:r>
    </w:p>
    <w:p w:rsidR="00933038" w:rsidRPr="00743A41" w:rsidRDefault="00933038" w:rsidP="00A37ED6">
      <w:pPr>
        <w:pStyle w:val="Default"/>
        <w:jc w:val="both"/>
        <w:rPr>
          <w:rFonts w:asciiTheme="majorHAnsi" w:hAnsiTheme="majorHAnsi" w:cstheme="majorHAnsi"/>
          <w:color w:val="auto"/>
          <w:szCs w:val="20"/>
        </w:rPr>
      </w:pPr>
    </w:p>
    <w:p w:rsidR="00AE5920" w:rsidRPr="00DE25B3" w:rsidRDefault="00AE5920" w:rsidP="00A37ED6">
      <w:pPr>
        <w:pStyle w:val="Default"/>
        <w:ind w:left="720"/>
        <w:rPr>
          <w:rFonts w:asciiTheme="majorHAnsi" w:hAnsiTheme="majorHAnsi" w:cstheme="majorHAnsi"/>
          <w:color w:val="auto"/>
          <w:szCs w:val="20"/>
        </w:rPr>
      </w:pPr>
      <w:r w:rsidRPr="00743A41">
        <w:rPr>
          <w:rFonts w:asciiTheme="majorHAnsi" w:hAnsiTheme="majorHAnsi" w:cstheme="majorHAnsi"/>
          <w:color w:val="auto"/>
          <w:szCs w:val="20"/>
        </w:rPr>
        <w:t xml:space="preserve">Meeting minutes documenting formal discussions of data reports and summaries in UTHealth School of </w:t>
      </w:r>
      <w:r w:rsidRPr="00DE25B3">
        <w:rPr>
          <w:rFonts w:asciiTheme="majorHAnsi" w:hAnsiTheme="majorHAnsi" w:cstheme="majorHAnsi"/>
          <w:color w:val="auto"/>
          <w:szCs w:val="20"/>
        </w:rPr>
        <w:t xml:space="preserve">Public Health committees can be found in </w:t>
      </w:r>
      <w:hyperlink w:anchor="_A1._Organization_and_1" w:history="1">
        <w:r w:rsidR="00797290" w:rsidRPr="00DE25B3">
          <w:rPr>
            <w:rStyle w:val="Hyperlink"/>
            <w:rFonts w:asciiTheme="majorHAnsi" w:hAnsiTheme="majorHAnsi" w:cstheme="majorHAnsi"/>
            <w:i/>
            <w:szCs w:val="20"/>
          </w:rPr>
          <w:t>Criterion A1. Organizations and Administrative Processes</w:t>
        </w:r>
      </w:hyperlink>
      <w:r w:rsidRPr="00DE25B3">
        <w:rPr>
          <w:rFonts w:asciiTheme="majorHAnsi" w:hAnsiTheme="majorHAnsi" w:cstheme="majorHAnsi"/>
          <w:i/>
          <w:color w:val="auto"/>
          <w:szCs w:val="20"/>
        </w:rPr>
        <w:t xml:space="preserve"> </w:t>
      </w:r>
      <w:r w:rsidRPr="00DE25B3">
        <w:rPr>
          <w:rFonts w:asciiTheme="majorHAnsi" w:hAnsiTheme="majorHAnsi" w:cstheme="majorHAnsi"/>
          <w:color w:val="auto"/>
          <w:szCs w:val="20"/>
        </w:rPr>
        <w:t>(</w:t>
      </w:r>
      <w:r w:rsidR="00472F4F" w:rsidRPr="00DE25B3">
        <w:rPr>
          <w:rFonts w:asciiTheme="majorHAnsi" w:hAnsiTheme="majorHAnsi" w:cstheme="majorHAnsi"/>
          <w:i/>
          <w:color w:val="auto"/>
          <w:szCs w:val="20"/>
        </w:rPr>
        <w:t xml:space="preserve">ERF, </w:t>
      </w:r>
      <w:r w:rsidR="00797290" w:rsidRPr="00DE25B3">
        <w:rPr>
          <w:rFonts w:asciiTheme="majorHAnsi" w:hAnsiTheme="majorHAnsi" w:cstheme="majorHAnsi"/>
          <w:i/>
        </w:rPr>
        <w:t>A1.1. Organization and Administrative Processes</w:t>
      </w:r>
      <w:r w:rsidRPr="00DE25B3">
        <w:rPr>
          <w:rFonts w:asciiTheme="majorHAnsi" w:hAnsiTheme="majorHAnsi" w:cstheme="majorHAnsi"/>
          <w:color w:val="auto"/>
          <w:szCs w:val="20"/>
        </w:rPr>
        <w:t xml:space="preserve">). </w:t>
      </w:r>
    </w:p>
    <w:p w:rsidR="00AE5920" w:rsidRPr="00DE25B3" w:rsidRDefault="00AE5920" w:rsidP="00A37ED6">
      <w:pPr>
        <w:pStyle w:val="Default"/>
        <w:ind w:left="720"/>
        <w:rPr>
          <w:rFonts w:asciiTheme="majorHAnsi" w:hAnsiTheme="majorHAnsi" w:cstheme="majorHAnsi"/>
          <w:color w:val="auto"/>
          <w:szCs w:val="20"/>
        </w:rPr>
      </w:pPr>
    </w:p>
    <w:p w:rsidR="00933038" w:rsidRPr="00DE25B3" w:rsidRDefault="00E90CE4" w:rsidP="00A37ED6">
      <w:pPr>
        <w:pStyle w:val="Default"/>
        <w:ind w:left="720"/>
        <w:rPr>
          <w:rFonts w:asciiTheme="majorHAnsi" w:hAnsiTheme="majorHAnsi" w:cstheme="majorHAnsi"/>
          <w:color w:val="auto"/>
          <w:szCs w:val="20"/>
        </w:rPr>
      </w:pPr>
      <w:r w:rsidRPr="00DE25B3">
        <w:rPr>
          <w:rFonts w:asciiTheme="majorHAnsi" w:hAnsiTheme="majorHAnsi" w:cstheme="majorHAnsi"/>
          <w:color w:val="auto"/>
          <w:szCs w:val="20"/>
        </w:rPr>
        <w:t>Associated documents in the electronic resource file:</w:t>
      </w:r>
    </w:p>
    <w:p w:rsidR="00C91B51" w:rsidRPr="00DE25B3" w:rsidRDefault="003C0284" w:rsidP="00A37ED6">
      <w:pPr>
        <w:pStyle w:val="Default"/>
        <w:numPr>
          <w:ilvl w:val="0"/>
          <w:numId w:val="138"/>
        </w:numPr>
        <w:rPr>
          <w:rFonts w:asciiTheme="majorHAnsi" w:hAnsiTheme="majorHAnsi" w:cstheme="majorHAnsi"/>
          <w:i/>
          <w:color w:val="auto"/>
          <w:szCs w:val="20"/>
        </w:rPr>
      </w:pPr>
      <w:r w:rsidRPr="00DE25B3">
        <w:rPr>
          <w:rFonts w:asciiTheme="majorHAnsi" w:hAnsiTheme="majorHAnsi" w:cstheme="majorHAnsi"/>
          <w:i/>
        </w:rPr>
        <w:t>B5. Defining Evaluation Practices</w:t>
      </w:r>
    </w:p>
    <w:p w:rsidR="00421F74" w:rsidRPr="00DE25B3" w:rsidRDefault="003C0284" w:rsidP="00A37ED6">
      <w:pPr>
        <w:pStyle w:val="Default"/>
        <w:numPr>
          <w:ilvl w:val="1"/>
          <w:numId w:val="138"/>
        </w:numPr>
        <w:rPr>
          <w:rFonts w:asciiTheme="majorHAnsi" w:hAnsiTheme="majorHAnsi" w:cstheme="majorHAnsi"/>
          <w:i/>
          <w:color w:val="auto"/>
          <w:szCs w:val="20"/>
        </w:rPr>
      </w:pPr>
      <w:r w:rsidRPr="00DE25B3">
        <w:rPr>
          <w:rFonts w:asciiTheme="majorHAnsi" w:hAnsiTheme="majorHAnsi" w:cstheme="majorHAnsi"/>
          <w:i/>
          <w:color w:val="auto"/>
        </w:rPr>
        <w:t>AAR</w:t>
      </w:r>
      <w:r w:rsidR="00D20BFF" w:rsidRPr="00DE25B3">
        <w:rPr>
          <w:rStyle w:val="Hyperlink"/>
          <w:rFonts w:asciiTheme="majorHAnsi" w:hAnsiTheme="majorHAnsi" w:cstheme="majorHAnsi"/>
          <w:i/>
          <w:color w:val="auto"/>
          <w:szCs w:val="20"/>
          <w:u w:val="none"/>
        </w:rPr>
        <w:t xml:space="preserve"> (and Example)</w:t>
      </w:r>
    </w:p>
    <w:p w:rsidR="00421F74" w:rsidRPr="00DE25B3" w:rsidRDefault="003C0284" w:rsidP="00A37ED6">
      <w:pPr>
        <w:pStyle w:val="Default"/>
        <w:numPr>
          <w:ilvl w:val="1"/>
          <w:numId w:val="138"/>
        </w:numPr>
        <w:rPr>
          <w:rFonts w:asciiTheme="majorHAnsi" w:hAnsiTheme="majorHAnsi" w:cstheme="majorHAnsi"/>
          <w:i/>
          <w:color w:val="auto"/>
          <w:szCs w:val="20"/>
        </w:rPr>
      </w:pPr>
      <w:r w:rsidRPr="00DE25B3">
        <w:rPr>
          <w:rFonts w:asciiTheme="majorHAnsi" w:hAnsiTheme="majorHAnsi" w:cstheme="majorHAnsi"/>
          <w:i/>
          <w:color w:val="auto"/>
        </w:rPr>
        <w:t>Alumni Survey</w:t>
      </w:r>
    </w:p>
    <w:p w:rsidR="00421F74" w:rsidRPr="00DE25B3" w:rsidRDefault="003C0284" w:rsidP="00A37ED6">
      <w:pPr>
        <w:pStyle w:val="Default"/>
        <w:numPr>
          <w:ilvl w:val="1"/>
          <w:numId w:val="138"/>
        </w:numPr>
        <w:rPr>
          <w:rFonts w:asciiTheme="majorHAnsi" w:hAnsiTheme="majorHAnsi" w:cstheme="majorHAnsi"/>
          <w:i/>
          <w:color w:val="auto"/>
          <w:szCs w:val="20"/>
        </w:rPr>
      </w:pPr>
      <w:r w:rsidRPr="00DE25B3">
        <w:rPr>
          <w:rFonts w:asciiTheme="majorHAnsi" w:hAnsiTheme="majorHAnsi" w:cstheme="majorHAnsi"/>
          <w:i/>
        </w:rPr>
        <w:t>Course Characteristics Survey, Raw Data</w:t>
      </w:r>
    </w:p>
    <w:p w:rsidR="00421F74" w:rsidRPr="00DE25B3" w:rsidRDefault="003C0284" w:rsidP="00A37ED6">
      <w:pPr>
        <w:pStyle w:val="Default"/>
        <w:numPr>
          <w:ilvl w:val="1"/>
          <w:numId w:val="138"/>
        </w:numPr>
        <w:rPr>
          <w:rFonts w:asciiTheme="majorHAnsi" w:hAnsiTheme="majorHAnsi" w:cstheme="majorHAnsi"/>
          <w:i/>
          <w:color w:val="auto"/>
          <w:szCs w:val="20"/>
        </w:rPr>
      </w:pPr>
      <w:r w:rsidRPr="00DE25B3">
        <w:rPr>
          <w:rFonts w:asciiTheme="majorHAnsi" w:hAnsiTheme="majorHAnsi" w:cstheme="majorHAnsi"/>
          <w:i/>
        </w:rPr>
        <w:t>Course Evaluations Survey</w:t>
      </w:r>
    </w:p>
    <w:p w:rsidR="00C91B51" w:rsidRPr="00DE25B3" w:rsidRDefault="003C0284" w:rsidP="00A37ED6">
      <w:pPr>
        <w:pStyle w:val="Default"/>
        <w:numPr>
          <w:ilvl w:val="1"/>
          <w:numId w:val="138"/>
        </w:numPr>
        <w:rPr>
          <w:rStyle w:val="Hyperlink"/>
          <w:rFonts w:asciiTheme="majorHAnsi" w:hAnsiTheme="majorHAnsi" w:cstheme="majorHAnsi"/>
          <w:i/>
          <w:color w:val="auto"/>
          <w:szCs w:val="20"/>
          <w:u w:val="none"/>
        </w:rPr>
      </w:pPr>
      <w:r w:rsidRPr="00DE25B3">
        <w:rPr>
          <w:rFonts w:asciiTheme="majorHAnsi" w:hAnsiTheme="majorHAnsi" w:cstheme="majorHAnsi"/>
          <w:i/>
        </w:rPr>
        <w:t>Curricular Effectiveness Data from Alumni Survey</w:t>
      </w:r>
    </w:p>
    <w:p w:rsidR="00D20BFF" w:rsidRPr="00DE25B3" w:rsidRDefault="00D20BFF" w:rsidP="00A37ED6">
      <w:pPr>
        <w:pStyle w:val="Default"/>
        <w:numPr>
          <w:ilvl w:val="1"/>
          <w:numId w:val="138"/>
        </w:numPr>
        <w:rPr>
          <w:rStyle w:val="Hyperlink"/>
          <w:rFonts w:asciiTheme="majorHAnsi" w:hAnsiTheme="majorHAnsi" w:cstheme="majorHAnsi"/>
          <w:i/>
          <w:color w:val="auto"/>
          <w:szCs w:val="20"/>
          <w:u w:val="none"/>
        </w:rPr>
      </w:pPr>
      <w:r w:rsidRPr="00DE25B3">
        <w:rPr>
          <w:rStyle w:val="Hyperlink"/>
          <w:rFonts w:asciiTheme="majorHAnsi" w:hAnsiTheme="majorHAnsi" w:cstheme="majorHAnsi"/>
          <w:i/>
          <w:color w:val="auto"/>
          <w:szCs w:val="20"/>
          <w:u w:val="none"/>
        </w:rPr>
        <w:t>Doctoral Dissertation Approval Form</w:t>
      </w:r>
    </w:p>
    <w:p w:rsidR="00D20BFF" w:rsidRPr="00DE25B3" w:rsidRDefault="00D20BFF" w:rsidP="00A37ED6">
      <w:pPr>
        <w:pStyle w:val="Default"/>
        <w:numPr>
          <w:ilvl w:val="1"/>
          <w:numId w:val="138"/>
        </w:numPr>
        <w:rPr>
          <w:rFonts w:asciiTheme="majorHAnsi" w:hAnsiTheme="majorHAnsi" w:cstheme="majorHAnsi"/>
          <w:i/>
          <w:color w:val="auto"/>
          <w:szCs w:val="20"/>
        </w:rPr>
      </w:pPr>
      <w:r w:rsidRPr="00DE25B3">
        <w:rPr>
          <w:rStyle w:val="Hyperlink"/>
          <w:rFonts w:asciiTheme="majorHAnsi" w:hAnsiTheme="majorHAnsi" w:cstheme="majorHAnsi"/>
          <w:i/>
          <w:color w:val="auto"/>
          <w:szCs w:val="20"/>
          <w:u w:val="none"/>
        </w:rPr>
        <w:t xml:space="preserve">Doctoral Dissertation Statement of Completion and Evaluation </w:t>
      </w:r>
    </w:p>
    <w:p w:rsidR="00421F74" w:rsidRPr="00DE25B3" w:rsidRDefault="00637D18" w:rsidP="00A37ED6">
      <w:pPr>
        <w:pStyle w:val="Default"/>
        <w:numPr>
          <w:ilvl w:val="1"/>
          <w:numId w:val="138"/>
        </w:numPr>
        <w:rPr>
          <w:rStyle w:val="Hyperlink"/>
          <w:rFonts w:asciiTheme="majorHAnsi" w:hAnsiTheme="majorHAnsi" w:cstheme="majorHAnsi"/>
          <w:i/>
          <w:color w:val="auto"/>
          <w:szCs w:val="20"/>
          <w:u w:val="none"/>
        </w:rPr>
      </w:pPr>
      <w:r w:rsidRPr="00DE25B3">
        <w:rPr>
          <w:rFonts w:asciiTheme="majorHAnsi" w:hAnsiTheme="majorHAnsi" w:cstheme="majorHAnsi"/>
          <w:i/>
        </w:rPr>
        <w:t>Graduate Exit Survey</w:t>
      </w:r>
    </w:p>
    <w:p w:rsidR="00580BF8" w:rsidRPr="00DE25B3" w:rsidRDefault="00580BF8" w:rsidP="00A37ED6">
      <w:pPr>
        <w:pStyle w:val="Default"/>
        <w:numPr>
          <w:ilvl w:val="1"/>
          <w:numId w:val="138"/>
        </w:numPr>
        <w:rPr>
          <w:rStyle w:val="Hyperlink"/>
          <w:rFonts w:asciiTheme="majorHAnsi" w:hAnsiTheme="majorHAnsi" w:cstheme="majorHAnsi"/>
          <w:i/>
          <w:color w:val="auto"/>
          <w:szCs w:val="20"/>
          <w:u w:val="none"/>
        </w:rPr>
      </w:pPr>
      <w:r w:rsidRPr="00DE25B3">
        <w:rPr>
          <w:rStyle w:val="Hyperlink"/>
          <w:rFonts w:asciiTheme="majorHAnsi" w:hAnsiTheme="majorHAnsi" w:cstheme="majorHAnsi"/>
          <w:i/>
          <w:color w:val="auto"/>
          <w:szCs w:val="20"/>
          <w:u w:val="none"/>
        </w:rPr>
        <w:t xml:space="preserve">Faculty Information </w:t>
      </w:r>
      <w:r w:rsidR="00AA56CA" w:rsidRPr="00DE25B3">
        <w:rPr>
          <w:rStyle w:val="Hyperlink"/>
          <w:rFonts w:asciiTheme="majorHAnsi" w:hAnsiTheme="majorHAnsi" w:cstheme="majorHAnsi"/>
          <w:i/>
          <w:color w:val="auto"/>
          <w:szCs w:val="20"/>
          <w:u w:val="none"/>
        </w:rPr>
        <w:t>Repository</w:t>
      </w:r>
      <w:r w:rsidRPr="00DE25B3">
        <w:rPr>
          <w:rStyle w:val="Hyperlink"/>
          <w:rFonts w:asciiTheme="majorHAnsi" w:hAnsiTheme="majorHAnsi" w:cstheme="majorHAnsi"/>
          <w:i/>
          <w:color w:val="auto"/>
          <w:szCs w:val="20"/>
          <w:u w:val="none"/>
        </w:rPr>
        <w:t xml:space="preserve"> (FIR), Example</w:t>
      </w:r>
    </w:p>
    <w:p w:rsidR="00A4272E" w:rsidRPr="00DE25B3" w:rsidRDefault="00637D18" w:rsidP="00A37ED6">
      <w:pPr>
        <w:pStyle w:val="Default"/>
        <w:numPr>
          <w:ilvl w:val="1"/>
          <w:numId w:val="138"/>
        </w:numPr>
        <w:rPr>
          <w:rStyle w:val="Hyperlink"/>
          <w:rFonts w:asciiTheme="majorHAnsi" w:hAnsiTheme="majorHAnsi" w:cstheme="majorHAnsi"/>
          <w:i/>
          <w:color w:val="auto"/>
          <w:szCs w:val="20"/>
          <w:u w:val="none"/>
        </w:rPr>
      </w:pPr>
      <w:r w:rsidRPr="00DE25B3">
        <w:rPr>
          <w:rFonts w:asciiTheme="majorHAnsi" w:hAnsiTheme="majorHAnsi" w:cstheme="majorHAnsi"/>
          <w:i/>
          <w:color w:val="auto"/>
        </w:rPr>
        <w:t>Practice Council Presentations</w:t>
      </w:r>
    </w:p>
    <w:p w:rsidR="00C5105B" w:rsidRPr="00DE25B3" w:rsidRDefault="00C5105B" w:rsidP="00A37ED6">
      <w:pPr>
        <w:pStyle w:val="Default"/>
        <w:numPr>
          <w:ilvl w:val="1"/>
          <w:numId w:val="138"/>
        </w:numPr>
        <w:rPr>
          <w:rStyle w:val="Hyperlink"/>
          <w:rFonts w:asciiTheme="majorHAnsi" w:hAnsiTheme="majorHAnsi" w:cstheme="majorHAnsi"/>
          <w:i/>
          <w:color w:val="auto"/>
          <w:szCs w:val="20"/>
          <w:u w:val="none"/>
        </w:rPr>
      </w:pPr>
      <w:r w:rsidRPr="00DE25B3">
        <w:rPr>
          <w:rStyle w:val="Hyperlink"/>
          <w:rFonts w:asciiTheme="majorHAnsi" w:hAnsiTheme="majorHAnsi" w:cstheme="majorHAnsi"/>
          <w:i/>
          <w:color w:val="auto"/>
          <w:szCs w:val="20"/>
          <w:u w:val="none"/>
        </w:rPr>
        <w:t>Preceptor Survey and Results</w:t>
      </w:r>
    </w:p>
    <w:p w:rsidR="00A4272E" w:rsidRPr="00DE25B3" w:rsidRDefault="00637D18" w:rsidP="00A37ED6">
      <w:pPr>
        <w:pStyle w:val="Default"/>
        <w:numPr>
          <w:ilvl w:val="1"/>
          <w:numId w:val="138"/>
        </w:numPr>
        <w:rPr>
          <w:rStyle w:val="Hyperlink"/>
          <w:rFonts w:asciiTheme="majorHAnsi" w:hAnsiTheme="majorHAnsi" w:cstheme="majorHAnsi"/>
          <w:i/>
          <w:color w:val="auto"/>
          <w:szCs w:val="20"/>
          <w:u w:val="none"/>
        </w:rPr>
      </w:pPr>
      <w:r w:rsidRPr="00DE25B3">
        <w:rPr>
          <w:rFonts w:asciiTheme="majorHAnsi" w:hAnsiTheme="majorHAnsi" w:cstheme="majorHAnsi"/>
          <w:i/>
        </w:rPr>
        <w:t>Preliminary Exam Data</w:t>
      </w:r>
    </w:p>
    <w:p w:rsidR="00A4272E" w:rsidRPr="00DE25B3" w:rsidRDefault="00637D18" w:rsidP="00A37ED6">
      <w:pPr>
        <w:pStyle w:val="Default"/>
        <w:numPr>
          <w:ilvl w:val="1"/>
          <w:numId w:val="138"/>
        </w:numPr>
        <w:rPr>
          <w:rFonts w:asciiTheme="majorHAnsi" w:hAnsiTheme="majorHAnsi" w:cstheme="majorHAnsi"/>
          <w:i/>
          <w:color w:val="auto"/>
          <w:szCs w:val="20"/>
        </w:rPr>
      </w:pPr>
      <w:r w:rsidRPr="00DE25B3">
        <w:rPr>
          <w:rFonts w:asciiTheme="majorHAnsi" w:hAnsiTheme="majorHAnsi" w:cstheme="majorHAnsi"/>
          <w:i/>
        </w:rPr>
        <w:t>Student Evaluation Reports</w:t>
      </w:r>
    </w:p>
    <w:p w:rsidR="00933038" w:rsidRPr="00DE25B3" w:rsidRDefault="00933038" w:rsidP="00A37ED6">
      <w:pPr>
        <w:pStyle w:val="ListParagraph"/>
        <w:rPr>
          <w:rFonts w:asciiTheme="majorHAnsi" w:hAnsiTheme="majorHAnsi" w:cstheme="majorHAnsi"/>
          <w:szCs w:val="20"/>
        </w:rPr>
      </w:pPr>
    </w:p>
    <w:p w:rsidR="00933038" w:rsidRPr="00743A41" w:rsidRDefault="00933038" w:rsidP="00A37ED6">
      <w:pPr>
        <w:pStyle w:val="Default"/>
        <w:numPr>
          <w:ilvl w:val="0"/>
          <w:numId w:val="8"/>
        </w:numPr>
        <w:jc w:val="both"/>
        <w:rPr>
          <w:rFonts w:asciiTheme="majorHAnsi" w:hAnsiTheme="majorHAnsi" w:cstheme="majorHAnsi"/>
          <w:color w:val="auto"/>
          <w:szCs w:val="20"/>
        </w:rPr>
      </w:pPr>
      <w:r w:rsidRPr="00743A41">
        <w:rPr>
          <w:rFonts w:asciiTheme="majorHAnsi" w:hAnsiTheme="majorHAnsi" w:cstheme="majorHAnsi"/>
          <w:color w:val="auto"/>
          <w:szCs w:val="20"/>
        </w:rPr>
        <w:t xml:space="preserve">If applicable, assess strengths and weaknesses related to this criterion and plans for improvement in this area. </w:t>
      </w:r>
    </w:p>
    <w:p w:rsidR="00933038" w:rsidRPr="00743A41" w:rsidRDefault="00933038" w:rsidP="00A37ED6">
      <w:pPr>
        <w:pStyle w:val="Default"/>
        <w:jc w:val="both"/>
        <w:rPr>
          <w:rFonts w:asciiTheme="majorHAnsi" w:hAnsiTheme="majorHAnsi" w:cstheme="majorHAnsi"/>
          <w:color w:val="auto"/>
          <w:szCs w:val="20"/>
        </w:rPr>
      </w:pPr>
    </w:p>
    <w:p w:rsidR="009A0759" w:rsidRPr="00743A41" w:rsidRDefault="00EE35DB" w:rsidP="00A37ED6">
      <w:pPr>
        <w:ind w:left="720"/>
        <w:contextualSpacing/>
        <w:jc w:val="both"/>
        <w:rPr>
          <w:rFonts w:asciiTheme="majorHAnsi" w:hAnsiTheme="majorHAnsi" w:cstheme="majorHAnsi"/>
          <w:b/>
          <w:sz w:val="20"/>
          <w:szCs w:val="20"/>
        </w:rPr>
      </w:pPr>
      <w:r w:rsidRPr="00743A41">
        <w:rPr>
          <w:rFonts w:asciiTheme="majorHAnsi" w:hAnsiTheme="majorHAnsi" w:cstheme="majorHAnsi"/>
          <w:b/>
          <w:sz w:val="20"/>
          <w:szCs w:val="20"/>
        </w:rPr>
        <w:t>Strengths:</w:t>
      </w:r>
    </w:p>
    <w:p w:rsidR="0010271E" w:rsidRPr="00743A41" w:rsidRDefault="0010271E" w:rsidP="00A37ED6">
      <w:pPr>
        <w:pStyle w:val="ListParagraph"/>
        <w:numPr>
          <w:ilvl w:val="1"/>
          <w:numId w:val="8"/>
        </w:numPr>
        <w:contextualSpacing/>
        <w:rPr>
          <w:rFonts w:asciiTheme="majorHAnsi" w:hAnsiTheme="majorHAnsi" w:cstheme="majorHAnsi"/>
          <w:szCs w:val="20"/>
        </w:rPr>
      </w:pPr>
      <w:r w:rsidRPr="00743A41">
        <w:rPr>
          <w:rFonts w:asciiTheme="majorHAnsi" w:hAnsiTheme="majorHAnsi" w:cstheme="majorHAnsi"/>
          <w:szCs w:val="20"/>
        </w:rPr>
        <w:t>The UTHealth School of Public Health is committed to using data to inform decision making, and has had great success in using data to improve and enhance its policies and practices.</w:t>
      </w:r>
    </w:p>
    <w:p w:rsidR="0010271E" w:rsidRPr="00743A41" w:rsidRDefault="0010271E" w:rsidP="00A37ED6">
      <w:pPr>
        <w:pStyle w:val="ListParagraph"/>
        <w:numPr>
          <w:ilvl w:val="1"/>
          <w:numId w:val="8"/>
        </w:numPr>
        <w:contextualSpacing/>
        <w:rPr>
          <w:rFonts w:asciiTheme="majorHAnsi" w:hAnsiTheme="majorHAnsi" w:cstheme="majorHAnsi"/>
          <w:szCs w:val="20"/>
        </w:rPr>
      </w:pPr>
      <w:r w:rsidRPr="00743A41">
        <w:rPr>
          <w:rFonts w:asciiTheme="majorHAnsi" w:hAnsiTheme="majorHAnsi" w:cstheme="majorHAnsi"/>
          <w:szCs w:val="20"/>
        </w:rPr>
        <w:t>The UTHealth School of Public Health has invested in staff (a business intelligence analyst, instructional designers, and programmers) to ensure that data are readily available to increase process and impact performance. We have developed and purchased tools such as data dashboards, Salesforce platform, and Tableau, and we are continuing to develop easily accessible reports for decision making.</w:t>
      </w:r>
    </w:p>
    <w:p w:rsidR="009A0759" w:rsidRPr="00743A41" w:rsidRDefault="009A0759" w:rsidP="00A37ED6">
      <w:pPr>
        <w:ind w:left="720"/>
        <w:contextualSpacing/>
        <w:jc w:val="both"/>
        <w:rPr>
          <w:rFonts w:asciiTheme="majorHAnsi" w:hAnsiTheme="majorHAnsi" w:cstheme="majorHAnsi"/>
          <w:sz w:val="20"/>
          <w:szCs w:val="20"/>
        </w:rPr>
      </w:pPr>
    </w:p>
    <w:p w:rsidR="009A0759" w:rsidRPr="00743A41" w:rsidRDefault="009A0759" w:rsidP="00A37ED6">
      <w:pPr>
        <w:ind w:left="720"/>
        <w:contextualSpacing/>
        <w:jc w:val="both"/>
        <w:rPr>
          <w:rFonts w:asciiTheme="majorHAnsi" w:hAnsiTheme="majorHAnsi" w:cstheme="majorHAnsi"/>
          <w:b/>
          <w:sz w:val="20"/>
          <w:szCs w:val="20"/>
        </w:rPr>
      </w:pPr>
      <w:r w:rsidRPr="00743A41">
        <w:rPr>
          <w:rFonts w:asciiTheme="majorHAnsi" w:hAnsiTheme="majorHAnsi" w:cstheme="majorHAnsi"/>
          <w:b/>
          <w:sz w:val="20"/>
          <w:szCs w:val="20"/>
        </w:rPr>
        <w:t>Weaknesses:</w:t>
      </w:r>
    </w:p>
    <w:p w:rsidR="0010271E" w:rsidRPr="00743A41" w:rsidRDefault="0010271E" w:rsidP="00A37ED6">
      <w:pPr>
        <w:pStyle w:val="ListParagraph"/>
        <w:numPr>
          <w:ilvl w:val="1"/>
          <w:numId w:val="8"/>
        </w:numPr>
        <w:contextualSpacing/>
        <w:rPr>
          <w:rFonts w:asciiTheme="majorHAnsi" w:hAnsiTheme="majorHAnsi" w:cstheme="majorHAnsi"/>
          <w:szCs w:val="20"/>
        </w:rPr>
      </w:pPr>
      <w:r w:rsidRPr="00743A41">
        <w:rPr>
          <w:rFonts w:asciiTheme="majorHAnsi" w:hAnsiTheme="majorHAnsi" w:cstheme="majorHAnsi"/>
          <w:szCs w:val="20"/>
        </w:rPr>
        <w:t>Although the UTHealth School of Public Health has been using data to inform process improvement and outcomes, it lacks a formal strategic plan with specific SMART objectives. The self-study has provided the school with a platform to obtain input from stakeholders and more clarity towards developing a formal strategic plan.</w:t>
      </w:r>
    </w:p>
    <w:p w:rsidR="0010271E" w:rsidRPr="00743A41" w:rsidRDefault="0010271E" w:rsidP="00A37ED6">
      <w:pPr>
        <w:pStyle w:val="ListParagraph"/>
        <w:numPr>
          <w:ilvl w:val="1"/>
          <w:numId w:val="8"/>
        </w:numPr>
        <w:contextualSpacing/>
        <w:rPr>
          <w:rFonts w:asciiTheme="majorHAnsi" w:hAnsiTheme="majorHAnsi" w:cstheme="majorHAnsi"/>
          <w:szCs w:val="20"/>
        </w:rPr>
      </w:pPr>
      <w:r w:rsidRPr="00743A41">
        <w:rPr>
          <w:rFonts w:asciiTheme="majorHAnsi" w:hAnsiTheme="majorHAnsi" w:cstheme="majorHAnsi"/>
          <w:szCs w:val="20"/>
        </w:rPr>
        <w:t>Some surveys were implemented in the last year as a result of the self-study and, therefore, data cannot be tracked over time.</w:t>
      </w:r>
    </w:p>
    <w:p w:rsidR="0010271E" w:rsidRPr="00743A41" w:rsidRDefault="0010271E" w:rsidP="00A37ED6">
      <w:pPr>
        <w:pStyle w:val="ListParagraph"/>
        <w:numPr>
          <w:ilvl w:val="1"/>
          <w:numId w:val="8"/>
        </w:numPr>
        <w:contextualSpacing/>
        <w:rPr>
          <w:rFonts w:asciiTheme="majorHAnsi" w:hAnsiTheme="majorHAnsi" w:cstheme="majorHAnsi"/>
          <w:szCs w:val="20"/>
        </w:rPr>
      </w:pPr>
      <w:r w:rsidRPr="00743A41">
        <w:rPr>
          <w:rFonts w:asciiTheme="majorHAnsi" w:hAnsiTheme="majorHAnsi" w:cstheme="majorHAnsi"/>
          <w:szCs w:val="20"/>
        </w:rPr>
        <w:t xml:space="preserve">Some outcomes need to be better defined. For example, faculty’s service activities and funded research can overlap, and tracking funded service activities can be challenging. </w:t>
      </w:r>
    </w:p>
    <w:p w:rsidR="009A0759" w:rsidRPr="00743A41" w:rsidRDefault="009A0759" w:rsidP="00A37ED6">
      <w:pPr>
        <w:ind w:left="720"/>
        <w:contextualSpacing/>
        <w:jc w:val="both"/>
        <w:rPr>
          <w:rFonts w:asciiTheme="majorHAnsi" w:hAnsiTheme="majorHAnsi" w:cstheme="majorHAnsi"/>
          <w:sz w:val="20"/>
          <w:szCs w:val="20"/>
        </w:rPr>
      </w:pPr>
    </w:p>
    <w:p w:rsidR="009A0759" w:rsidRPr="00743A41" w:rsidRDefault="009A0759" w:rsidP="00A37ED6">
      <w:pPr>
        <w:ind w:left="720"/>
        <w:contextualSpacing/>
        <w:jc w:val="both"/>
        <w:rPr>
          <w:rFonts w:asciiTheme="majorHAnsi" w:hAnsiTheme="majorHAnsi" w:cstheme="majorHAnsi"/>
          <w:b/>
          <w:sz w:val="20"/>
          <w:szCs w:val="20"/>
        </w:rPr>
      </w:pPr>
      <w:r w:rsidRPr="00743A41">
        <w:rPr>
          <w:rFonts w:asciiTheme="majorHAnsi" w:hAnsiTheme="majorHAnsi" w:cstheme="majorHAnsi"/>
          <w:b/>
          <w:sz w:val="20"/>
          <w:szCs w:val="20"/>
        </w:rPr>
        <w:t>Plans for Improvement</w:t>
      </w:r>
      <w:r w:rsidR="00706582" w:rsidRPr="00743A41">
        <w:rPr>
          <w:rFonts w:asciiTheme="majorHAnsi" w:hAnsiTheme="majorHAnsi" w:cstheme="majorHAnsi"/>
          <w:b/>
          <w:sz w:val="20"/>
          <w:szCs w:val="20"/>
        </w:rPr>
        <w:t xml:space="preserve">: </w:t>
      </w:r>
    </w:p>
    <w:p w:rsidR="0010271E" w:rsidRPr="00743A41" w:rsidRDefault="0010271E" w:rsidP="00A37ED6">
      <w:pPr>
        <w:pStyle w:val="ListParagraph"/>
        <w:numPr>
          <w:ilvl w:val="1"/>
          <w:numId w:val="8"/>
        </w:numPr>
        <w:contextualSpacing/>
        <w:rPr>
          <w:rFonts w:asciiTheme="majorHAnsi" w:hAnsiTheme="majorHAnsi" w:cstheme="majorHAnsi"/>
          <w:szCs w:val="20"/>
        </w:rPr>
      </w:pPr>
      <w:r w:rsidRPr="00743A41">
        <w:rPr>
          <w:rFonts w:asciiTheme="majorHAnsi" w:hAnsiTheme="majorHAnsi" w:cstheme="majorHAnsi"/>
          <w:szCs w:val="20"/>
        </w:rPr>
        <w:t>The UTHealth School of Public Health will continue to work towards developing a comprehensive strategic plan with specific SMART objectives.</w:t>
      </w:r>
    </w:p>
    <w:p w:rsidR="00933038" w:rsidRPr="00743A41" w:rsidRDefault="0010271E" w:rsidP="00A37ED6">
      <w:pPr>
        <w:pStyle w:val="ListParagraph"/>
        <w:numPr>
          <w:ilvl w:val="1"/>
          <w:numId w:val="8"/>
        </w:numPr>
        <w:contextualSpacing/>
        <w:jc w:val="both"/>
        <w:rPr>
          <w:rStyle w:val="Heading1Char"/>
          <w:rFonts w:eastAsia="Times New Roman"/>
          <w:b w:val="0"/>
          <w:bCs w:val="0"/>
          <w:i/>
          <w:kern w:val="0"/>
          <w:lang w:eastAsia="en-US"/>
        </w:rPr>
      </w:pPr>
      <w:r w:rsidRPr="00743A41">
        <w:rPr>
          <w:rFonts w:asciiTheme="majorHAnsi" w:hAnsiTheme="majorHAnsi" w:cstheme="majorHAnsi"/>
          <w:szCs w:val="20"/>
        </w:rPr>
        <w:t>The UTHealth School of Public Health will continue to refine measures and improve the efficiency in the methods to collect and report data.</w:t>
      </w:r>
      <w:r w:rsidRPr="00743A41">
        <w:rPr>
          <w:rFonts w:asciiTheme="majorHAnsi" w:hAnsiTheme="majorHAnsi" w:cstheme="majorHAnsi"/>
          <w:i/>
          <w:szCs w:val="20"/>
        </w:rPr>
        <w:t xml:space="preserve"> </w:t>
      </w:r>
      <w:bookmarkStart w:id="45" w:name="_Toc464487861"/>
      <w:r w:rsidR="00933038" w:rsidRPr="00743A41">
        <w:rPr>
          <w:rStyle w:val="Heading1Char"/>
        </w:rPr>
        <w:br w:type="page"/>
      </w:r>
    </w:p>
    <w:p w:rsidR="00933038" w:rsidRPr="00743A41" w:rsidRDefault="00933038" w:rsidP="007A68BE">
      <w:pPr>
        <w:pStyle w:val="Heading1"/>
      </w:pPr>
      <w:bookmarkStart w:id="46" w:name="_B6._Use_of"/>
      <w:bookmarkStart w:id="47" w:name="_Toc7118194"/>
      <w:bookmarkEnd w:id="46"/>
      <w:r w:rsidRPr="00743A41">
        <w:rPr>
          <w:rStyle w:val="Heading1Char"/>
          <w:b/>
        </w:rPr>
        <w:t>B6. Use of Evaluation Data</w:t>
      </w:r>
      <w:bookmarkEnd w:id="45"/>
      <w:bookmarkEnd w:id="47"/>
      <w:r w:rsidRPr="00743A41">
        <w:t xml:space="preserve"> </w:t>
      </w:r>
    </w:p>
    <w:p w:rsidR="00933038" w:rsidRPr="00743A41" w:rsidRDefault="00933038" w:rsidP="00A37ED6">
      <w:pPr>
        <w:pStyle w:val="Default"/>
        <w:ind w:left="720"/>
        <w:rPr>
          <w:rFonts w:asciiTheme="majorHAnsi" w:hAnsiTheme="majorHAnsi" w:cstheme="majorHAnsi"/>
          <w:b/>
          <w:color w:val="auto"/>
          <w:szCs w:val="20"/>
        </w:rPr>
      </w:pPr>
    </w:p>
    <w:p w:rsidR="00933038" w:rsidRPr="00743A41" w:rsidRDefault="00933038" w:rsidP="00A37ED6">
      <w:pPr>
        <w:pStyle w:val="Default"/>
        <w:jc w:val="both"/>
        <w:rPr>
          <w:rFonts w:asciiTheme="majorHAnsi" w:hAnsiTheme="majorHAnsi" w:cstheme="majorHAnsi"/>
          <w:b/>
          <w:color w:val="auto"/>
          <w:szCs w:val="20"/>
        </w:rPr>
      </w:pPr>
      <w:r w:rsidRPr="00743A41">
        <w:rPr>
          <w:rFonts w:asciiTheme="majorHAnsi" w:hAnsiTheme="majorHAnsi" w:cstheme="majorHAnsi"/>
          <w:b/>
          <w:color w:val="auto"/>
          <w:szCs w:val="20"/>
        </w:rPr>
        <w:t xml:space="preserve">The school engages in regular, substantive review of all evaluation findings, as well as strategic discussions about the implications of evaluation findings. </w:t>
      </w:r>
    </w:p>
    <w:p w:rsidR="00933038" w:rsidRPr="00743A41" w:rsidRDefault="00933038" w:rsidP="00A37ED6">
      <w:pPr>
        <w:pStyle w:val="Default"/>
        <w:jc w:val="both"/>
        <w:rPr>
          <w:rFonts w:asciiTheme="majorHAnsi" w:hAnsiTheme="majorHAnsi" w:cstheme="majorHAnsi"/>
          <w:b/>
          <w:color w:val="auto"/>
          <w:szCs w:val="20"/>
        </w:rPr>
      </w:pPr>
    </w:p>
    <w:p w:rsidR="00933038" w:rsidRPr="00743A41" w:rsidRDefault="00933038" w:rsidP="00A37ED6">
      <w:pPr>
        <w:pStyle w:val="Default"/>
        <w:jc w:val="both"/>
        <w:rPr>
          <w:rFonts w:asciiTheme="majorHAnsi" w:hAnsiTheme="majorHAnsi" w:cstheme="majorHAnsi"/>
          <w:b/>
          <w:color w:val="auto"/>
          <w:szCs w:val="20"/>
        </w:rPr>
      </w:pPr>
      <w:r w:rsidRPr="00743A41">
        <w:rPr>
          <w:rFonts w:asciiTheme="majorHAnsi" w:hAnsiTheme="majorHAnsi" w:cstheme="majorHAnsi"/>
          <w:b/>
          <w:color w:val="auto"/>
          <w:szCs w:val="20"/>
        </w:rPr>
        <w:t xml:space="preserve">The school implements an explicit process for translating evaluation findings into </w:t>
      </w:r>
      <w:r w:rsidR="00C42705" w:rsidRPr="00743A41">
        <w:rPr>
          <w:rFonts w:asciiTheme="majorHAnsi" w:hAnsiTheme="majorHAnsi" w:cstheme="majorHAnsi"/>
          <w:b/>
          <w:color w:val="auto"/>
          <w:szCs w:val="20"/>
        </w:rPr>
        <w:t>programmatic</w:t>
      </w:r>
      <w:r w:rsidRPr="00743A41">
        <w:rPr>
          <w:rFonts w:asciiTheme="majorHAnsi" w:hAnsiTheme="majorHAnsi" w:cstheme="majorHAnsi"/>
          <w:b/>
          <w:color w:val="auto"/>
          <w:szCs w:val="20"/>
        </w:rPr>
        <w:t xml:space="preserve"> plans and changes and provides evidence of changes implemented based on evaluation findings.</w:t>
      </w:r>
    </w:p>
    <w:p w:rsidR="00933038" w:rsidRPr="00743A41" w:rsidRDefault="00933038" w:rsidP="00A37ED6">
      <w:pPr>
        <w:pStyle w:val="Default"/>
        <w:jc w:val="both"/>
        <w:rPr>
          <w:rFonts w:asciiTheme="majorHAnsi" w:hAnsiTheme="majorHAnsi" w:cstheme="majorHAnsi"/>
          <w:color w:val="auto"/>
          <w:szCs w:val="20"/>
        </w:rPr>
      </w:pPr>
    </w:p>
    <w:p w:rsidR="00933038" w:rsidRPr="00743A41" w:rsidRDefault="00933038" w:rsidP="00A37ED6">
      <w:pPr>
        <w:pStyle w:val="Default"/>
        <w:numPr>
          <w:ilvl w:val="0"/>
          <w:numId w:val="9"/>
        </w:numPr>
        <w:jc w:val="both"/>
        <w:rPr>
          <w:rFonts w:asciiTheme="majorHAnsi" w:hAnsiTheme="majorHAnsi" w:cstheme="majorHAnsi"/>
          <w:color w:val="auto"/>
          <w:szCs w:val="20"/>
        </w:rPr>
      </w:pPr>
      <w:r w:rsidRPr="00743A41">
        <w:rPr>
          <w:rFonts w:asciiTheme="majorHAnsi" w:hAnsiTheme="majorHAnsi" w:cstheme="majorHAnsi"/>
          <w:color w:val="auto"/>
          <w:szCs w:val="20"/>
        </w:rPr>
        <w:t xml:space="preserve">Provide two to four specific examples of </w:t>
      </w:r>
      <w:r w:rsidR="00C42705" w:rsidRPr="00743A41">
        <w:rPr>
          <w:rFonts w:asciiTheme="majorHAnsi" w:hAnsiTheme="majorHAnsi" w:cstheme="majorHAnsi"/>
          <w:color w:val="auto"/>
          <w:szCs w:val="20"/>
        </w:rPr>
        <w:t>programmatic</w:t>
      </w:r>
      <w:r w:rsidRPr="00743A41">
        <w:rPr>
          <w:rFonts w:asciiTheme="majorHAnsi" w:hAnsiTheme="majorHAnsi" w:cstheme="majorHAnsi"/>
          <w:color w:val="auto"/>
          <w:szCs w:val="20"/>
        </w:rPr>
        <w:t xml:space="preserve"> changes undertaken in the last three years based on evaluation results. For each example, describe the specific evaluation finding and the groups or individuals responsible for determining the planned change, as well as identifying the change itself. </w:t>
      </w:r>
    </w:p>
    <w:p w:rsidR="00933038" w:rsidRPr="00743A41" w:rsidRDefault="00933038" w:rsidP="00A37ED6">
      <w:pPr>
        <w:pStyle w:val="Default"/>
        <w:jc w:val="both"/>
        <w:rPr>
          <w:rFonts w:asciiTheme="majorHAnsi" w:hAnsiTheme="majorHAnsi" w:cstheme="majorHAnsi"/>
          <w:color w:val="auto"/>
          <w:szCs w:val="20"/>
        </w:rPr>
      </w:pPr>
    </w:p>
    <w:p w:rsidR="0010271E" w:rsidRPr="00743A41" w:rsidRDefault="0010271E" w:rsidP="00A37ED6">
      <w:pPr>
        <w:pBdr>
          <w:top w:val="nil"/>
          <w:left w:val="nil"/>
          <w:bottom w:val="nil"/>
          <w:right w:val="nil"/>
          <w:between w:val="nil"/>
        </w:pBdr>
        <w:tabs>
          <w:tab w:val="left" w:pos="9180"/>
        </w:tabs>
        <w:ind w:left="720" w:right="360"/>
        <w:rPr>
          <w:rFonts w:asciiTheme="majorHAnsi" w:eastAsia="Arial" w:hAnsiTheme="majorHAnsi" w:cstheme="majorHAnsi"/>
          <w:color w:val="000000"/>
          <w:sz w:val="20"/>
          <w:szCs w:val="20"/>
        </w:rPr>
      </w:pPr>
      <w:r w:rsidRPr="00743A41">
        <w:rPr>
          <w:rFonts w:asciiTheme="majorHAnsi" w:eastAsia="Arial" w:hAnsiTheme="majorHAnsi" w:cstheme="majorHAnsi"/>
          <w:b/>
          <w:color w:val="000000"/>
          <w:sz w:val="20"/>
          <w:szCs w:val="20"/>
        </w:rPr>
        <w:t xml:space="preserve">Evaluation Example 1: </w:t>
      </w:r>
      <w:r w:rsidRPr="00743A41">
        <w:rPr>
          <w:rFonts w:asciiTheme="majorHAnsi" w:hAnsiTheme="majorHAnsi" w:cstheme="majorHAnsi"/>
          <w:sz w:val="20"/>
          <w:szCs w:val="20"/>
        </w:rPr>
        <w:t xml:space="preserve"> </w:t>
      </w:r>
      <w:r w:rsidRPr="00743A41">
        <w:rPr>
          <w:rFonts w:asciiTheme="majorHAnsi" w:eastAsia="Arial" w:hAnsiTheme="majorHAnsi" w:cstheme="majorHAnsi"/>
          <w:color w:val="000000"/>
          <w:sz w:val="20"/>
          <w:szCs w:val="20"/>
        </w:rPr>
        <w:t>After reviewing alumni perceptions on how effective the UTHealth School of Public Health prepared students to write clearly and effectively, we developed Writing Support Services to provide free writing instruction for all students at all levels of proficiency at all stages of the writing process. In Fall 2016, two training specialists were hired to provide writing consultations and workshops. Students at all campuses can sign up for one-on-one consultations with a training specialist or a scientific editor, or for mini-courses and workshops. Since 2017, Writing Support Services has averaged 119 writing consultations during the fall semester, 147 during the spring semester, and 64 during the summer semester, with the number of consultations increasing each subsequent year. Since then, Writing Support Services has also offered workshops and mini-courses on the following topics: grammar for academic writing, academic writing for graduate students, English grammar for ESL and international writers, fundamentals of English grammar for academic writers, academic writing style, and advanced English grammar and punctuation for graduate students. Writing Support Services hosts a weekly ESL conversation group on a variety of public health topics. Lastly, Writing Support Services has developed an extensive online research guide (</w:t>
      </w:r>
      <w:hyperlink r:id="rId24" w:history="1">
        <w:r w:rsidR="00C826A6" w:rsidRPr="00743A41">
          <w:rPr>
            <w:rStyle w:val="Hyperlink"/>
            <w:rFonts w:asciiTheme="majorHAnsi" w:eastAsia="Arial" w:hAnsiTheme="majorHAnsi" w:cstheme="majorHAnsi"/>
            <w:sz w:val="20"/>
            <w:szCs w:val="20"/>
          </w:rPr>
          <w:t>SPH Writing Support Services</w:t>
        </w:r>
      </w:hyperlink>
      <w:r w:rsidRPr="00743A41">
        <w:rPr>
          <w:rFonts w:asciiTheme="majorHAnsi" w:eastAsia="Arial" w:hAnsiTheme="majorHAnsi" w:cstheme="majorHAnsi"/>
          <w:color w:val="000000"/>
          <w:sz w:val="20"/>
          <w:szCs w:val="20"/>
        </w:rPr>
        <w:t>) with writing resources for faculty to utilize in courses and for students to use on an as-needed basis that averages 1,000+ views per month.</w:t>
      </w:r>
    </w:p>
    <w:p w:rsidR="0010271E" w:rsidRPr="00743A41" w:rsidRDefault="0010271E" w:rsidP="00A37ED6">
      <w:pPr>
        <w:pBdr>
          <w:top w:val="nil"/>
          <w:left w:val="nil"/>
          <w:bottom w:val="nil"/>
          <w:right w:val="nil"/>
          <w:between w:val="nil"/>
        </w:pBdr>
        <w:tabs>
          <w:tab w:val="left" w:pos="9180"/>
        </w:tabs>
        <w:ind w:left="720" w:right="360"/>
        <w:rPr>
          <w:rFonts w:asciiTheme="majorHAnsi" w:eastAsia="Arial" w:hAnsiTheme="majorHAnsi" w:cstheme="majorHAnsi"/>
          <w:b/>
          <w:color w:val="000000"/>
          <w:sz w:val="20"/>
          <w:szCs w:val="20"/>
        </w:rPr>
      </w:pPr>
    </w:p>
    <w:p w:rsidR="0010271E" w:rsidRPr="00743A41" w:rsidRDefault="0010271E" w:rsidP="00A37ED6">
      <w:pPr>
        <w:tabs>
          <w:tab w:val="left" w:pos="9180"/>
        </w:tabs>
        <w:ind w:left="720" w:right="360"/>
        <w:rPr>
          <w:rFonts w:asciiTheme="majorHAnsi" w:eastAsia="Arial" w:hAnsiTheme="majorHAnsi" w:cstheme="majorHAnsi"/>
          <w:sz w:val="20"/>
          <w:szCs w:val="20"/>
        </w:rPr>
      </w:pPr>
      <w:r w:rsidRPr="00743A41">
        <w:rPr>
          <w:rFonts w:asciiTheme="majorHAnsi" w:eastAsia="Arial" w:hAnsiTheme="majorHAnsi" w:cstheme="majorHAnsi"/>
          <w:b/>
          <w:sz w:val="20"/>
          <w:szCs w:val="20"/>
        </w:rPr>
        <w:t xml:space="preserve">Evaluation Example 2: </w:t>
      </w:r>
      <w:r w:rsidRPr="00743A41">
        <w:rPr>
          <w:rFonts w:asciiTheme="majorHAnsi" w:eastAsia="Arial" w:hAnsiTheme="majorHAnsi" w:cstheme="majorHAnsi"/>
          <w:sz w:val="20"/>
          <w:szCs w:val="20"/>
        </w:rPr>
        <w:t>After reviewing course evaluations and conducting student focus groups in 2017, we discovered that we needed to improve our Introduction to Biostatistics course. Students recommended that the course be more practice-based and more user-friendly. To address this expressed need, we had a steering committee review the syllabus and the topics covered. We also hired an instructional designer to assist in making the course more user-friendly and to use the latest instructional design methodologies. In this case, a working group composed of faculty and students was responsible for reviewing the course and making recommendations for the changes. The new and improved Introduction to Biostatistics in Public Health course debuted in Fall 2018, and course evaluations indicate significantly higher student satisfaction and improved student learning outcomes.</w:t>
      </w:r>
    </w:p>
    <w:p w:rsidR="0010271E" w:rsidRPr="00743A41" w:rsidRDefault="0010271E" w:rsidP="00A37ED6">
      <w:pPr>
        <w:tabs>
          <w:tab w:val="left" w:pos="9180"/>
        </w:tabs>
        <w:ind w:left="720" w:right="360"/>
        <w:rPr>
          <w:rFonts w:asciiTheme="majorHAnsi" w:eastAsia="Arial" w:hAnsiTheme="majorHAnsi" w:cstheme="majorHAnsi"/>
          <w:b/>
          <w:sz w:val="20"/>
          <w:szCs w:val="20"/>
        </w:rPr>
      </w:pPr>
    </w:p>
    <w:p w:rsidR="0010271E" w:rsidRPr="00DE25B3" w:rsidRDefault="0010271E" w:rsidP="00A37ED6">
      <w:pPr>
        <w:tabs>
          <w:tab w:val="left" w:pos="9180"/>
        </w:tabs>
        <w:ind w:left="720" w:right="360"/>
        <w:rPr>
          <w:rFonts w:asciiTheme="majorHAnsi" w:eastAsia="Arial" w:hAnsiTheme="majorHAnsi" w:cstheme="majorHAnsi"/>
          <w:sz w:val="20"/>
          <w:szCs w:val="20"/>
        </w:rPr>
      </w:pPr>
      <w:r w:rsidRPr="00743A41">
        <w:rPr>
          <w:rFonts w:asciiTheme="majorHAnsi" w:eastAsia="Arial" w:hAnsiTheme="majorHAnsi" w:cstheme="majorHAnsi"/>
          <w:b/>
          <w:sz w:val="20"/>
          <w:szCs w:val="20"/>
        </w:rPr>
        <w:t xml:space="preserve">Evaluation Example 3: </w:t>
      </w:r>
      <w:r w:rsidRPr="00743A41">
        <w:rPr>
          <w:rFonts w:asciiTheme="majorHAnsi" w:hAnsiTheme="majorHAnsi" w:cstheme="majorHAnsi"/>
          <w:sz w:val="20"/>
          <w:szCs w:val="20"/>
        </w:rPr>
        <w:t xml:space="preserve"> </w:t>
      </w:r>
      <w:r w:rsidRPr="00743A41">
        <w:rPr>
          <w:rFonts w:asciiTheme="majorHAnsi" w:eastAsia="Arial" w:hAnsiTheme="majorHAnsi" w:cstheme="majorHAnsi"/>
          <w:sz w:val="20"/>
          <w:szCs w:val="20"/>
        </w:rPr>
        <w:t>After reviewing the evaluation measures (percent salary offset, advising loads, and annual faculty evaluations), we noted that there was a wide variation in teaching, research, and service loads among the faculty. This evaluation resulted in extensive conversations about faculty expectations of minimum salary offset for research and expectations of teaching load. Based on these discussions, the Faculty Council and the Dean’s Office undertook a further analysis of faculty workload. Several changes have occurred or are underway based on these analyses. First, a new guideline on how teaching effort is counted (5% per credit hour) was developed. Second, a database and a dashboard that enumerates faculty workload across the areas of service, teaching, and research was developed. Third, a new Professor of Instruction faculty track was created</w:t>
      </w:r>
      <w:r w:rsidR="008C482C" w:rsidRPr="00743A41">
        <w:rPr>
          <w:rFonts w:asciiTheme="majorHAnsi" w:eastAsia="Arial" w:hAnsiTheme="majorHAnsi" w:cstheme="majorHAnsi"/>
          <w:sz w:val="20"/>
          <w:szCs w:val="20"/>
        </w:rPr>
        <w:t xml:space="preserve"> (</w:t>
      </w:r>
      <w:r w:rsidR="008C482C" w:rsidRPr="00DE25B3">
        <w:rPr>
          <w:rFonts w:asciiTheme="majorHAnsi" w:eastAsia="Arial" w:hAnsiTheme="majorHAnsi" w:cstheme="majorHAnsi"/>
          <w:i/>
          <w:sz w:val="20"/>
          <w:szCs w:val="20"/>
        </w:rPr>
        <w:t xml:space="preserve">ERF, </w:t>
      </w:r>
      <w:r w:rsidR="00BB6646" w:rsidRPr="00DE25B3">
        <w:rPr>
          <w:rFonts w:asciiTheme="majorHAnsi" w:hAnsiTheme="majorHAnsi" w:cstheme="majorHAnsi"/>
          <w:i/>
          <w:sz w:val="20"/>
          <w:szCs w:val="20"/>
        </w:rPr>
        <w:t>B6. Use of Evaluation Data, SPH Faculty Educational Track</w:t>
      </w:r>
      <w:r w:rsidR="008C482C" w:rsidRPr="00DE25B3">
        <w:rPr>
          <w:rFonts w:asciiTheme="majorHAnsi" w:eastAsia="Arial" w:hAnsiTheme="majorHAnsi" w:cstheme="majorHAnsi"/>
          <w:sz w:val="20"/>
          <w:szCs w:val="20"/>
        </w:rPr>
        <w:t>)</w:t>
      </w:r>
      <w:r w:rsidRPr="00DE25B3">
        <w:rPr>
          <w:rFonts w:asciiTheme="majorHAnsi" w:eastAsia="Arial" w:hAnsiTheme="majorHAnsi" w:cstheme="majorHAnsi"/>
          <w:sz w:val="20"/>
          <w:szCs w:val="20"/>
        </w:rPr>
        <w:t xml:space="preserve">.  </w:t>
      </w:r>
    </w:p>
    <w:p w:rsidR="0010271E" w:rsidRPr="00DE25B3" w:rsidRDefault="0010271E" w:rsidP="00A37ED6">
      <w:pPr>
        <w:pStyle w:val="Default"/>
        <w:ind w:left="720"/>
        <w:jc w:val="both"/>
        <w:rPr>
          <w:rFonts w:asciiTheme="majorHAnsi" w:hAnsiTheme="majorHAnsi" w:cstheme="majorHAnsi"/>
          <w:color w:val="auto"/>
          <w:szCs w:val="20"/>
        </w:rPr>
      </w:pPr>
    </w:p>
    <w:p w:rsidR="00933038" w:rsidRPr="00743A41" w:rsidRDefault="00933038" w:rsidP="00A37ED6">
      <w:pPr>
        <w:pStyle w:val="Default"/>
        <w:numPr>
          <w:ilvl w:val="0"/>
          <w:numId w:val="9"/>
        </w:numPr>
        <w:jc w:val="both"/>
        <w:rPr>
          <w:rFonts w:asciiTheme="majorHAnsi" w:hAnsiTheme="majorHAnsi" w:cstheme="majorHAnsi"/>
          <w:color w:val="auto"/>
          <w:szCs w:val="20"/>
        </w:rPr>
      </w:pPr>
      <w:r w:rsidRPr="00743A41">
        <w:rPr>
          <w:rFonts w:asciiTheme="majorHAnsi" w:hAnsiTheme="majorHAnsi" w:cstheme="majorHAnsi"/>
          <w:color w:val="auto"/>
          <w:szCs w:val="20"/>
        </w:rPr>
        <w:t>If applicable, assess strengths and weaknesses related to this criterion and plans for improvement in this area.</w:t>
      </w:r>
    </w:p>
    <w:p w:rsidR="00933038" w:rsidRPr="00743A41" w:rsidRDefault="00426BA6" w:rsidP="00A37ED6">
      <w:pPr>
        <w:pStyle w:val="Default"/>
        <w:ind w:firstLine="720"/>
        <w:jc w:val="both"/>
        <w:rPr>
          <w:rStyle w:val="Heading1Char"/>
        </w:rPr>
      </w:pPr>
      <w:r w:rsidRPr="00743A41">
        <w:rPr>
          <w:rFonts w:asciiTheme="majorHAnsi" w:eastAsiaTheme="minorHAnsi" w:hAnsiTheme="majorHAnsi" w:cstheme="majorHAnsi"/>
          <w:i/>
          <w:color w:val="auto"/>
          <w:szCs w:val="20"/>
        </w:rPr>
        <w:t xml:space="preserve">Not applicable. </w:t>
      </w:r>
      <w:bookmarkStart w:id="48" w:name="_Toc464487862"/>
    </w:p>
    <w:p w:rsidR="00933038" w:rsidRPr="00743A41" w:rsidRDefault="00933038" w:rsidP="007A68BE">
      <w:pPr>
        <w:pStyle w:val="Heading1"/>
        <w:rPr>
          <w:rFonts w:eastAsia="Calibri"/>
        </w:rPr>
      </w:pPr>
      <w:bookmarkStart w:id="49" w:name="_Toc7118195"/>
      <w:r w:rsidRPr="00743A41">
        <w:rPr>
          <w:rStyle w:val="Heading1Char"/>
          <w:b/>
        </w:rPr>
        <w:t>C1. Fiscal Resources</w:t>
      </w:r>
      <w:bookmarkEnd w:id="48"/>
      <w:bookmarkEnd w:id="49"/>
      <w:r w:rsidRPr="00743A41">
        <w:rPr>
          <w:rFonts w:eastAsia="Calibri"/>
        </w:rPr>
        <w:t xml:space="preserve">  </w:t>
      </w:r>
    </w:p>
    <w:p w:rsidR="00933038" w:rsidRPr="00743A41" w:rsidRDefault="00933038" w:rsidP="00A37ED6">
      <w:pPr>
        <w:tabs>
          <w:tab w:val="left" w:pos="936"/>
        </w:tabs>
        <w:rPr>
          <w:rFonts w:asciiTheme="majorHAnsi" w:eastAsia="Calibri" w:hAnsiTheme="majorHAnsi" w:cstheme="majorHAnsi"/>
          <w:b/>
          <w:sz w:val="20"/>
          <w:szCs w:val="20"/>
        </w:rPr>
      </w:pPr>
      <w:r w:rsidRPr="00743A41">
        <w:rPr>
          <w:rFonts w:asciiTheme="majorHAnsi" w:eastAsia="Calibri" w:hAnsiTheme="majorHAnsi" w:cstheme="majorHAnsi"/>
          <w:b/>
          <w:sz w:val="20"/>
          <w:szCs w:val="20"/>
        </w:rPr>
        <w:tab/>
      </w:r>
    </w:p>
    <w:p w:rsidR="00933038" w:rsidRPr="00743A41" w:rsidRDefault="00933038" w:rsidP="00A37ED6">
      <w:pPr>
        <w:jc w:val="both"/>
        <w:rPr>
          <w:rFonts w:asciiTheme="majorHAnsi" w:eastAsia="Calibri" w:hAnsiTheme="majorHAnsi" w:cstheme="majorHAnsi"/>
          <w:b/>
          <w:sz w:val="20"/>
          <w:szCs w:val="20"/>
        </w:rPr>
      </w:pPr>
      <w:r w:rsidRPr="00743A41">
        <w:rPr>
          <w:rFonts w:asciiTheme="majorHAnsi" w:eastAsia="Calibri" w:hAnsiTheme="majorHAnsi" w:cstheme="majorHAnsi"/>
          <w:b/>
          <w:sz w:val="20"/>
          <w:szCs w:val="20"/>
        </w:rPr>
        <w:t>The school has financial resources adequate to fulfill its stated mission and goals. Financial support is adequate to sustain all core functions, including offering coursework and other elements necessary to support the full array of degrees and ongoing operations.</w:t>
      </w:r>
    </w:p>
    <w:p w:rsidR="00933038" w:rsidRPr="00743A41" w:rsidRDefault="00933038" w:rsidP="00A37ED6">
      <w:pPr>
        <w:keepNext/>
        <w:jc w:val="both"/>
        <w:rPr>
          <w:rFonts w:asciiTheme="majorHAnsi" w:eastAsia="Calibri" w:hAnsiTheme="majorHAnsi" w:cstheme="majorHAnsi"/>
          <w:sz w:val="20"/>
          <w:szCs w:val="20"/>
        </w:rPr>
      </w:pPr>
    </w:p>
    <w:p w:rsidR="00933038" w:rsidRPr="00743A41" w:rsidRDefault="00933038" w:rsidP="00A37ED6">
      <w:pPr>
        <w:numPr>
          <w:ilvl w:val="0"/>
          <w:numId w:val="10"/>
        </w:numPr>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Describe the school’s budget processes, including all sources of funding. This description addresses the following, as applicable:</w:t>
      </w:r>
    </w:p>
    <w:p w:rsidR="00933038" w:rsidRPr="00743A41" w:rsidRDefault="00933038" w:rsidP="00A37ED6">
      <w:pPr>
        <w:ind w:left="720"/>
        <w:jc w:val="both"/>
        <w:rPr>
          <w:rFonts w:asciiTheme="majorHAnsi" w:eastAsia="Calibri" w:hAnsiTheme="majorHAnsi" w:cstheme="majorHAnsi"/>
          <w:sz w:val="20"/>
          <w:szCs w:val="20"/>
        </w:rPr>
      </w:pPr>
    </w:p>
    <w:p w:rsidR="00933038" w:rsidRPr="00743A41" w:rsidRDefault="00933038" w:rsidP="00A37ED6">
      <w:pPr>
        <w:numPr>
          <w:ilvl w:val="0"/>
          <w:numId w:val="11"/>
        </w:numPr>
        <w:ind w:left="108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 xml:space="preserve">Briefly describe how the school pays for faculty salaries. If this varies by individual or appointment type, indicate this and provide examples. </w:t>
      </w:r>
    </w:p>
    <w:p w:rsidR="00933038" w:rsidRPr="00743A41" w:rsidRDefault="00933038" w:rsidP="00A37ED6">
      <w:pPr>
        <w:ind w:left="1080"/>
        <w:jc w:val="both"/>
        <w:rPr>
          <w:rFonts w:asciiTheme="majorHAnsi" w:eastAsia="Calibri" w:hAnsiTheme="majorHAnsi" w:cstheme="majorHAnsi"/>
          <w:sz w:val="20"/>
          <w:szCs w:val="20"/>
        </w:rPr>
      </w:pPr>
    </w:p>
    <w:p w:rsidR="00217DE6" w:rsidRPr="00743A41" w:rsidRDefault="00217DE6" w:rsidP="00A37ED6">
      <w:pPr>
        <w:ind w:left="1080"/>
        <w:rPr>
          <w:rFonts w:asciiTheme="majorHAnsi" w:eastAsia="Arial" w:hAnsiTheme="majorHAnsi" w:cstheme="majorHAnsi"/>
          <w:sz w:val="20"/>
          <w:szCs w:val="20"/>
        </w:rPr>
      </w:pPr>
      <w:r w:rsidRPr="00743A41">
        <w:rPr>
          <w:rFonts w:asciiTheme="majorHAnsi" w:eastAsia="Arial" w:hAnsiTheme="majorHAnsi" w:cstheme="majorHAnsi"/>
          <w:sz w:val="20"/>
          <w:szCs w:val="20"/>
        </w:rPr>
        <w:t>The UTHealth School of Public Health pays for faculty salaries through a combination of state funds; sponsored research projects; and other funding, such as sales and service accounts and gift funding. The breakdown of individual faculty salary is based on teaching, administrative duties, and sponsored research funding. Generally, tenure-track faculty salaries are funded based on projected sponsored project funding, and are typically budgeted at 60%. The source of tenured and tenure-track faculty salaries is adjusted throughout the year by either increasing or decreasing teaching effort depending on how sponsored project funding changes from the projected amount. Non-tenure track faculty salaries are negotiated annually based on primary activities (teaching or research). Faculty salaries represent the most significant part of the school’s overall budget.</w:t>
      </w:r>
    </w:p>
    <w:p w:rsidR="00231759" w:rsidRPr="00743A41" w:rsidRDefault="00231759" w:rsidP="00A37ED6">
      <w:pPr>
        <w:ind w:left="1080"/>
        <w:jc w:val="both"/>
        <w:rPr>
          <w:rFonts w:asciiTheme="majorHAnsi" w:eastAsia="Calibri" w:hAnsiTheme="majorHAnsi" w:cstheme="majorHAnsi"/>
          <w:sz w:val="20"/>
          <w:szCs w:val="20"/>
        </w:rPr>
      </w:pPr>
    </w:p>
    <w:p w:rsidR="00933038" w:rsidRPr="00743A41" w:rsidRDefault="00933038" w:rsidP="00A37ED6">
      <w:pPr>
        <w:numPr>
          <w:ilvl w:val="0"/>
          <w:numId w:val="11"/>
        </w:numPr>
        <w:ind w:left="108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Briefly describe how the school requests and/or obtains additional faculty or staff (additional = not replacements for individuals who left). If multiple models are possible, indicate this and provide examples.</w:t>
      </w:r>
    </w:p>
    <w:p w:rsidR="00933038" w:rsidRPr="00743A41" w:rsidRDefault="00933038" w:rsidP="00A37ED6">
      <w:pPr>
        <w:ind w:left="1080"/>
        <w:jc w:val="both"/>
        <w:rPr>
          <w:rFonts w:asciiTheme="majorHAnsi" w:eastAsia="Calibri" w:hAnsiTheme="majorHAnsi" w:cstheme="majorHAnsi"/>
          <w:sz w:val="20"/>
          <w:szCs w:val="20"/>
        </w:rPr>
      </w:pPr>
    </w:p>
    <w:p w:rsidR="00217DE6" w:rsidRPr="00743A41" w:rsidRDefault="00217DE6" w:rsidP="00A37ED6">
      <w:pPr>
        <w:ind w:left="1080"/>
        <w:rPr>
          <w:rFonts w:asciiTheme="majorHAnsi" w:eastAsia="Arial" w:hAnsiTheme="majorHAnsi" w:cstheme="majorHAnsi"/>
          <w:sz w:val="20"/>
          <w:szCs w:val="20"/>
        </w:rPr>
      </w:pPr>
      <w:r w:rsidRPr="00743A41">
        <w:rPr>
          <w:rFonts w:asciiTheme="majorHAnsi" w:eastAsia="Arial" w:hAnsiTheme="majorHAnsi" w:cstheme="majorHAnsi"/>
          <w:sz w:val="20"/>
          <w:szCs w:val="20"/>
        </w:rPr>
        <w:t>The UTHealth School of Public Health creates new faculty and staff positions based on priorities, needs, and availability of funds. Faculty positions may be requested by department chairs, campus deans, center directors, or the dean based on school-wide priorities. Staff positions are requested by the supervisor and approved by the head of the unit (department chair, center director, campus dean, office director, or associate dean); the associate dean of management; and the dean. The director of human resources at the school works with university human resources to advertise, recruit, and ensure salaries align with similar positions across UTHealth.</w:t>
      </w:r>
    </w:p>
    <w:p w:rsidR="00933038" w:rsidRPr="00743A41" w:rsidRDefault="00933038" w:rsidP="00A37ED6">
      <w:pPr>
        <w:ind w:left="1080"/>
        <w:jc w:val="both"/>
        <w:rPr>
          <w:rFonts w:asciiTheme="majorHAnsi" w:eastAsia="Calibri" w:hAnsiTheme="majorHAnsi" w:cstheme="majorHAnsi"/>
          <w:sz w:val="20"/>
          <w:szCs w:val="20"/>
        </w:rPr>
      </w:pPr>
    </w:p>
    <w:p w:rsidR="00933038" w:rsidRPr="00743A41" w:rsidRDefault="00933038" w:rsidP="00A37ED6">
      <w:pPr>
        <w:numPr>
          <w:ilvl w:val="0"/>
          <w:numId w:val="11"/>
        </w:numPr>
        <w:ind w:left="108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Describe how the school funds the following:</w:t>
      </w:r>
    </w:p>
    <w:p w:rsidR="00933038" w:rsidRPr="00743A41" w:rsidRDefault="00933038" w:rsidP="00A37ED6">
      <w:pPr>
        <w:numPr>
          <w:ilvl w:val="1"/>
          <w:numId w:val="11"/>
        </w:numPr>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operational costs (schools define “operational” in their own contexts; definition must be included in response)</w:t>
      </w:r>
    </w:p>
    <w:p w:rsidR="00933038" w:rsidRPr="00743A41" w:rsidRDefault="00933038" w:rsidP="00A37ED6">
      <w:pPr>
        <w:ind w:left="1440"/>
        <w:jc w:val="both"/>
        <w:rPr>
          <w:rFonts w:asciiTheme="majorHAnsi" w:eastAsia="Calibri" w:hAnsiTheme="majorHAnsi" w:cstheme="majorHAnsi"/>
          <w:sz w:val="20"/>
          <w:szCs w:val="20"/>
        </w:rPr>
      </w:pPr>
    </w:p>
    <w:p w:rsidR="00217DE6" w:rsidRPr="00743A41" w:rsidRDefault="00217DE6" w:rsidP="00A37ED6">
      <w:pPr>
        <w:ind w:left="1440"/>
        <w:rPr>
          <w:rFonts w:asciiTheme="majorHAnsi" w:eastAsia="Arial" w:hAnsiTheme="majorHAnsi" w:cstheme="majorHAnsi"/>
          <w:sz w:val="20"/>
          <w:szCs w:val="20"/>
        </w:rPr>
      </w:pPr>
      <w:r w:rsidRPr="00743A41">
        <w:rPr>
          <w:rFonts w:asciiTheme="majorHAnsi" w:eastAsia="Arial" w:hAnsiTheme="majorHAnsi" w:cstheme="majorHAnsi"/>
          <w:color w:val="000000"/>
          <w:sz w:val="20"/>
          <w:szCs w:val="20"/>
        </w:rPr>
        <w:t xml:space="preserve">Operational costs are defined as costs related to maintaining the day-to-day activities of the </w:t>
      </w:r>
      <w:r w:rsidRPr="00743A41">
        <w:rPr>
          <w:rFonts w:asciiTheme="majorHAnsi" w:eastAsia="Arial" w:hAnsiTheme="majorHAnsi" w:cstheme="majorHAnsi"/>
          <w:sz w:val="20"/>
          <w:szCs w:val="20"/>
        </w:rPr>
        <w:t>UTHealth School of Public Health</w:t>
      </w:r>
      <w:r w:rsidRPr="00743A41">
        <w:rPr>
          <w:rFonts w:asciiTheme="majorHAnsi" w:eastAsia="Arial" w:hAnsiTheme="majorHAnsi" w:cstheme="majorHAnsi"/>
          <w:color w:val="000000"/>
          <w:sz w:val="20"/>
          <w:szCs w:val="20"/>
        </w:rPr>
        <w:t>. In addition to compensation and benefits, these costs include supplies and general expenses such as equipment, furniture, contracted services, official functions, travel, photocopying service, and telephone service. These non-salary costs are funded through indirect cost recoveries, sales and services, or through external support.</w:t>
      </w:r>
    </w:p>
    <w:p w:rsidR="00933038" w:rsidRPr="00743A41" w:rsidRDefault="00933038" w:rsidP="00A37ED6">
      <w:pPr>
        <w:ind w:left="1440"/>
        <w:jc w:val="both"/>
        <w:rPr>
          <w:rFonts w:asciiTheme="majorHAnsi" w:eastAsia="Calibri" w:hAnsiTheme="majorHAnsi" w:cstheme="majorHAnsi"/>
          <w:sz w:val="20"/>
          <w:szCs w:val="20"/>
        </w:rPr>
      </w:pPr>
    </w:p>
    <w:p w:rsidR="00933038" w:rsidRPr="00743A41" w:rsidRDefault="00933038" w:rsidP="00A37ED6">
      <w:pPr>
        <w:numPr>
          <w:ilvl w:val="1"/>
          <w:numId w:val="11"/>
        </w:numPr>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student support, including scholarships, support for student conference travel, support for student activities, etc.</w:t>
      </w:r>
    </w:p>
    <w:p w:rsidR="00933038" w:rsidRPr="00743A41" w:rsidRDefault="00933038" w:rsidP="00A37ED6">
      <w:pPr>
        <w:ind w:left="720"/>
        <w:jc w:val="both"/>
        <w:rPr>
          <w:rFonts w:asciiTheme="majorHAnsi" w:eastAsia="Calibri" w:hAnsiTheme="majorHAnsi" w:cstheme="majorHAnsi"/>
          <w:sz w:val="20"/>
          <w:szCs w:val="20"/>
        </w:rPr>
      </w:pPr>
    </w:p>
    <w:p w:rsidR="00217DE6" w:rsidRPr="00743A41" w:rsidRDefault="00217DE6" w:rsidP="00A37ED6">
      <w:pPr>
        <w:ind w:left="1440"/>
        <w:rPr>
          <w:rFonts w:asciiTheme="majorHAnsi" w:eastAsia="Arial" w:hAnsiTheme="majorHAnsi" w:cstheme="majorHAnsi"/>
          <w:sz w:val="20"/>
          <w:szCs w:val="20"/>
        </w:rPr>
      </w:pPr>
      <w:r w:rsidRPr="00743A41">
        <w:rPr>
          <w:rFonts w:asciiTheme="majorHAnsi" w:eastAsia="Arial" w:hAnsiTheme="majorHAnsi" w:cstheme="majorHAnsi"/>
          <w:sz w:val="20"/>
          <w:szCs w:val="20"/>
        </w:rPr>
        <w:t>Student support such as scholarships, student conference travel, and student activities are funded through a combination of tuition funds, research funding</w:t>
      </w:r>
      <w:r w:rsidR="00E97B7C" w:rsidRPr="00743A41">
        <w:rPr>
          <w:rFonts w:asciiTheme="majorHAnsi" w:eastAsia="Arial" w:hAnsiTheme="majorHAnsi" w:cstheme="majorHAnsi"/>
          <w:sz w:val="20"/>
          <w:szCs w:val="20"/>
        </w:rPr>
        <w:t>, training grants</w:t>
      </w:r>
      <w:r w:rsidRPr="00743A41">
        <w:rPr>
          <w:rFonts w:asciiTheme="majorHAnsi" w:eastAsia="Arial" w:hAnsiTheme="majorHAnsi" w:cstheme="majorHAnsi"/>
          <w:sz w:val="20"/>
          <w:szCs w:val="20"/>
        </w:rPr>
        <w:t>, and endowed or gift accounts. A mandatory 15% from one component of tuition is withheld for need-based student financial assistance.</w:t>
      </w:r>
      <w:r w:rsidR="00FF1C4D" w:rsidRPr="00743A41">
        <w:rPr>
          <w:rFonts w:asciiTheme="majorHAnsi" w:eastAsia="Arial" w:hAnsiTheme="majorHAnsi" w:cstheme="majorHAnsi"/>
          <w:sz w:val="20"/>
          <w:szCs w:val="20"/>
        </w:rPr>
        <w:t xml:space="preserve"> Students who receive scholarships are eligible for in-state tuition. </w:t>
      </w:r>
    </w:p>
    <w:p w:rsidR="00933038" w:rsidRPr="00743A41" w:rsidRDefault="00933038" w:rsidP="00A37ED6">
      <w:pPr>
        <w:ind w:left="1440"/>
        <w:jc w:val="both"/>
        <w:rPr>
          <w:rFonts w:asciiTheme="majorHAnsi" w:eastAsia="Calibri" w:hAnsiTheme="majorHAnsi" w:cstheme="majorHAnsi"/>
          <w:sz w:val="20"/>
          <w:szCs w:val="20"/>
        </w:rPr>
      </w:pPr>
    </w:p>
    <w:p w:rsidR="00933038" w:rsidRPr="00743A41" w:rsidRDefault="00933038" w:rsidP="00A37ED6">
      <w:pPr>
        <w:numPr>
          <w:ilvl w:val="1"/>
          <w:numId w:val="11"/>
        </w:numPr>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faculty development expenses, including travel support. If this varies by individual or appointment type, indicate this and provide examples</w:t>
      </w:r>
    </w:p>
    <w:p w:rsidR="00933038" w:rsidRPr="00743A41" w:rsidRDefault="00933038" w:rsidP="00A37ED6">
      <w:pPr>
        <w:ind w:left="1440"/>
        <w:jc w:val="both"/>
        <w:rPr>
          <w:rFonts w:asciiTheme="majorHAnsi" w:eastAsia="Calibri" w:hAnsiTheme="majorHAnsi" w:cstheme="majorHAnsi"/>
          <w:sz w:val="20"/>
          <w:szCs w:val="20"/>
        </w:rPr>
      </w:pPr>
    </w:p>
    <w:p w:rsidR="00217DE6" w:rsidRPr="00743A41" w:rsidRDefault="00217DE6" w:rsidP="00A37ED6">
      <w:pPr>
        <w:ind w:left="1440"/>
        <w:rPr>
          <w:rFonts w:asciiTheme="majorHAnsi" w:hAnsiTheme="majorHAnsi" w:cstheme="majorHAnsi"/>
          <w:sz w:val="20"/>
          <w:szCs w:val="20"/>
        </w:rPr>
      </w:pPr>
      <w:r w:rsidRPr="00743A41">
        <w:rPr>
          <w:rFonts w:asciiTheme="majorHAnsi" w:hAnsiTheme="majorHAnsi" w:cstheme="majorHAnsi"/>
          <w:sz w:val="20"/>
          <w:szCs w:val="20"/>
        </w:rPr>
        <w:t xml:space="preserve">The </w:t>
      </w:r>
      <w:r w:rsidRPr="00743A41">
        <w:rPr>
          <w:rFonts w:asciiTheme="majorHAnsi" w:eastAsia="Arial" w:hAnsiTheme="majorHAnsi" w:cstheme="majorHAnsi"/>
          <w:sz w:val="20"/>
          <w:szCs w:val="20"/>
        </w:rPr>
        <w:t>UTHealth School of Public Health</w:t>
      </w:r>
      <w:r w:rsidRPr="00743A41">
        <w:rPr>
          <w:rFonts w:asciiTheme="majorHAnsi" w:hAnsiTheme="majorHAnsi" w:cstheme="majorHAnsi"/>
          <w:sz w:val="20"/>
          <w:szCs w:val="20"/>
        </w:rPr>
        <w:t xml:space="preserve"> funds several types of faculty development and travel. Every full-time faculty member receives an allocation for travel that may be used to pay for conference fees and travel. Faculty whose appointment is 50% or greater are eligible for faculty incentive funds that can be placed in a discretionary account and used for faculty development and travel. Faculty can apply for pilot research funds through the Office of Research. The school and the university provide development training in teaching through the Summer Teaching Institute; university-wide leadership program; Health Educators Fellowship Program; grant preparation workshops; and access to the Magna Commons, an online teaching development resource. Faculty may also request leave for professional development for up to one (1) year at half salary or six (6) months at full salary. </w:t>
      </w:r>
    </w:p>
    <w:p w:rsidR="00933038" w:rsidRPr="00743A41" w:rsidRDefault="00933038" w:rsidP="00A37ED6">
      <w:pPr>
        <w:ind w:left="1440"/>
        <w:jc w:val="both"/>
        <w:rPr>
          <w:rFonts w:asciiTheme="majorHAnsi" w:eastAsia="Calibri" w:hAnsiTheme="majorHAnsi" w:cstheme="majorHAnsi"/>
          <w:sz w:val="20"/>
          <w:szCs w:val="20"/>
        </w:rPr>
      </w:pPr>
    </w:p>
    <w:p w:rsidR="00933038" w:rsidRPr="00743A41" w:rsidRDefault="00933038" w:rsidP="00A37ED6">
      <w:pPr>
        <w:numPr>
          <w:ilvl w:val="0"/>
          <w:numId w:val="11"/>
        </w:numPr>
        <w:ind w:left="108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In general terms, describe how the school requests and/or obtains additional funds for operational costs, student support and faculty development expenses.</w:t>
      </w:r>
    </w:p>
    <w:p w:rsidR="00933038" w:rsidRPr="00743A41" w:rsidRDefault="00933038" w:rsidP="00A37ED6">
      <w:pPr>
        <w:ind w:left="1080"/>
        <w:jc w:val="both"/>
        <w:rPr>
          <w:rFonts w:asciiTheme="majorHAnsi" w:eastAsia="Calibri" w:hAnsiTheme="majorHAnsi" w:cstheme="majorHAnsi"/>
          <w:sz w:val="20"/>
          <w:szCs w:val="20"/>
        </w:rPr>
      </w:pPr>
    </w:p>
    <w:p w:rsidR="00217DE6" w:rsidRPr="00743A41" w:rsidRDefault="00217DE6" w:rsidP="00A37ED6">
      <w:pPr>
        <w:ind w:left="1080"/>
        <w:rPr>
          <w:rFonts w:asciiTheme="majorHAnsi" w:eastAsia="Arial" w:hAnsiTheme="majorHAnsi" w:cstheme="majorHAnsi"/>
          <w:sz w:val="20"/>
          <w:szCs w:val="20"/>
        </w:rPr>
      </w:pPr>
      <w:r w:rsidRPr="00743A41">
        <w:rPr>
          <w:rFonts w:asciiTheme="majorHAnsi" w:hAnsiTheme="majorHAnsi" w:cstheme="majorHAnsi"/>
          <w:sz w:val="20"/>
          <w:szCs w:val="20"/>
        </w:rPr>
        <w:t xml:space="preserve">The </w:t>
      </w:r>
      <w:r w:rsidRPr="00743A41">
        <w:rPr>
          <w:rFonts w:asciiTheme="majorHAnsi" w:eastAsia="Arial" w:hAnsiTheme="majorHAnsi" w:cstheme="majorHAnsi"/>
          <w:sz w:val="20"/>
          <w:szCs w:val="20"/>
        </w:rPr>
        <w:t>UTHealth School of Public Health</w:t>
      </w:r>
      <w:r w:rsidRPr="00743A41">
        <w:rPr>
          <w:rFonts w:asciiTheme="majorHAnsi" w:hAnsiTheme="majorHAnsi" w:cstheme="majorHAnsi"/>
          <w:sz w:val="20"/>
          <w:szCs w:val="20"/>
        </w:rPr>
        <w:t xml:space="preserve"> </w:t>
      </w:r>
      <w:r w:rsidRPr="00743A41">
        <w:rPr>
          <w:rFonts w:asciiTheme="majorHAnsi" w:eastAsia="Arial" w:hAnsiTheme="majorHAnsi" w:cstheme="majorHAnsi"/>
          <w:sz w:val="20"/>
          <w:szCs w:val="20"/>
        </w:rPr>
        <w:t>obtains additional funds for operational costs, student support, and faculty development expenses by increasing its key sources of revenue: indirect cost recovery, gift and endowment funds, and tuition and fees. Additional funds may also be provided by the UTHealth President’s Office, particularly for a new faculty recruit or for a new center or program upon the dean’s written request.</w:t>
      </w:r>
    </w:p>
    <w:p w:rsidR="00933038" w:rsidRPr="00743A41" w:rsidRDefault="00933038" w:rsidP="00A37ED6">
      <w:pPr>
        <w:ind w:left="1080"/>
        <w:jc w:val="both"/>
        <w:rPr>
          <w:rFonts w:asciiTheme="majorHAnsi" w:eastAsia="Calibri" w:hAnsiTheme="majorHAnsi" w:cstheme="majorHAnsi"/>
          <w:sz w:val="20"/>
          <w:szCs w:val="20"/>
        </w:rPr>
      </w:pPr>
    </w:p>
    <w:p w:rsidR="00933038" w:rsidRPr="00743A41" w:rsidRDefault="00933038" w:rsidP="00A37ED6">
      <w:pPr>
        <w:numPr>
          <w:ilvl w:val="0"/>
          <w:numId w:val="11"/>
        </w:numPr>
        <w:ind w:left="108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Explain how tuition and fees paid by students are returned to the school. If the school receives a share rather than the full amount, explain, in general terms, how the share returned is determined. If the school’s funding is allocated in a way that does not bear a relationship to tuition and fees generated, indicate this and explain.</w:t>
      </w:r>
    </w:p>
    <w:p w:rsidR="00933038" w:rsidRPr="00743A41" w:rsidRDefault="00933038" w:rsidP="00A37ED6">
      <w:pPr>
        <w:ind w:left="1080"/>
        <w:jc w:val="both"/>
        <w:rPr>
          <w:rFonts w:asciiTheme="majorHAnsi" w:eastAsia="Calibri" w:hAnsiTheme="majorHAnsi" w:cstheme="majorHAnsi"/>
          <w:sz w:val="20"/>
          <w:szCs w:val="20"/>
        </w:rPr>
      </w:pPr>
    </w:p>
    <w:p w:rsidR="00217DE6" w:rsidRPr="00743A41" w:rsidRDefault="00217DE6" w:rsidP="00A37ED6">
      <w:pPr>
        <w:ind w:left="1080"/>
        <w:rPr>
          <w:rFonts w:asciiTheme="majorHAnsi" w:hAnsiTheme="majorHAnsi" w:cstheme="majorHAnsi"/>
          <w:sz w:val="20"/>
          <w:szCs w:val="20"/>
        </w:rPr>
      </w:pPr>
      <w:r w:rsidRPr="00743A41">
        <w:rPr>
          <w:rFonts w:asciiTheme="majorHAnsi" w:hAnsiTheme="majorHAnsi" w:cstheme="majorHAnsi"/>
          <w:sz w:val="20"/>
          <w:szCs w:val="20"/>
        </w:rPr>
        <w:t xml:space="preserve">Tuition and fees are a substantial source of funding for the </w:t>
      </w:r>
      <w:r w:rsidRPr="00743A41">
        <w:rPr>
          <w:rFonts w:asciiTheme="majorHAnsi" w:eastAsia="Arial" w:hAnsiTheme="majorHAnsi" w:cstheme="majorHAnsi"/>
          <w:sz w:val="20"/>
          <w:szCs w:val="20"/>
        </w:rPr>
        <w:t>UTHealth School of Public Health</w:t>
      </w:r>
      <w:r w:rsidRPr="00743A41">
        <w:rPr>
          <w:rFonts w:asciiTheme="majorHAnsi" w:hAnsiTheme="majorHAnsi" w:cstheme="majorHAnsi"/>
          <w:sz w:val="20"/>
          <w:szCs w:val="20"/>
        </w:rPr>
        <w:t xml:space="preserve">. The majority of tuition and fees are returned to the school. A mandatory 15% deduction from one component of tuition is set aside for need-based student financial assistance, which is administered by UTHealth. A local income assessment by UTHealth is made to maintain the contribution percentage to the retirement plans for new faculty at a higher rate than currently funded by the state of Texas. Overall, more than 85% of tuition and fees are returned to the school. </w:t>
      </w:r>
    </w:p>
    <w:p w:rsidR="00933038" w:rsidRPr="00743A41" w:rsidRDefault="00933038" w:rsidP="00A37ED6">
      <w:pPr>
        <w:ind w:left="1080"/>
        <w:jc w:val="both"/>
        <w:rPr>
          <w:rFonts w:asciiTheme="majorHAnsi" w:eastAsia="Calibri" w:hAnsiTheme="majorHAnsi" w:cstheme="majorHAnsi"/>
          <w:sz w:val="20"/>
          <w:szCs w:val="20"/>
        </w:rPr>
      </w:pPr>
    </w:p>
    <w:p w:rsidR="00933038" w:rsidRPr="00743A41" w:rsidRDefault="00933038" w:rsidP="00A37ED6">
      <w:pPr>
        <w:numPr>
          <w:ilvl w:val="0"/>
          <w:numId w:val="11"/>
        </w:numPr>
        <w:ind w:left="108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Explain how indirect costs associated with grants and contracts are returned to the school and/or individual faculty members. If the school and its faculty do not receive funding through this mechanism, explain.</w:t>
      </w:r>
    </w:p>
    <w:p w:rsidR="00933038" w:rsidRPr="00743A41" w:rsidRDefault="00933038" w:rsidP="00A37ED6">
      <w:pPr>
        <w:ind w:left="1080"/>
        <w:jc w:val="both"/>
        <w:rPr>
          <w:rFonts w:asciiTheme="majorHAnsi" w:eastAsia="Calibri" w:hAnsiTheme="majorHAnsi" w:cstheme="majorHAnsi"/>
          <w:sz w:val="20"/>
          <w:szCs w:val="20"/>
        </w:rPr>
      </w:pPr>
    </w:p>
    <w:p w:rsidR="00217DE6" w:rsidRPr="00743A41" w:rsidRDefault="00217DE6" w:rsidP="00A37ED6">
      <w:pPr>
        <w:ind w:left="1080"/>
        <w:rPr>
          <w:rFonts w:asciiTheme="majorHAnsi" w:eastAsia="Arial" w:hAnsiTheme="majorHAnsi" w:cstheme="majorHAnsi"/>
          <w:sz w:val="20"/>
          <w:szCs w:val="20"/>
        </w:rPr>
      </w:pPr>
      <w:r w:rsidRPr="00743A41">
        <w:rPr>
          <w:rFonts w:asciiTheme="majorHAnsi" w:eastAsia="Arial" w:hAnsiTheme="majorHAnsi" w:cstheme="majorHAnsi"/>
          <w:sz w:val="20"/>
          <w:szCs w:val="20"/>
        </w:rPr>
        <w:t>UTHealth allocates 52.5% of earned indirect cost recoveries from grants and contracts to the UTHealth School of Public Health, and retains 47.5% for support of facilities and other central services. The school, in turn, provides 7.5% (of the 52.5%) to the research centers and 7.5% to the departments or regional campuses. The remaining indirect costs support the operations and startup funds for the departments and the school. Indirect cost recovery and salary offset are both considered in the faculty incentive plan, which is allocated to faculty each year based on peer-review results.</w:t>
      </w:r>
    </w:p>
    <w:p w:rsidR="00933038" w:rsidRPr="00743A41" w:rsidRDefault="00933038" w:rsidP="00A37ED6">
      <w:pPr>
        <w:ind w:left="1080"/>
        <w:jc w:val="both"/>
        <w:rPr>
          <w:rFonts w:asciiTheme="majorHAnsi" w:eastAsia="Calibri" w:hAnsiTheme="majorHAnsi" w:cstheme="majorHAnsi"/>
          <w:sz w:val="20"/>
          <w:szCs w:val="20"/>
        </w:rPr>
      </w:pPr>
    </w:p>
    <w:p w:rsidR="00933038" w:rsidRPr="00743A41" w:rsidRDefault="00933038" w:rsidP="00A37ED6">
      <w:pPr>
        <w:ind w:left="72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If the school is a multi-partner unit sponsored by two or more universities (as defined in Criterion A2), the responses must make clear the financial contributions of each sponsoring university to the overall school budget. The description must explain how tuition and other income is shared, including indirect cost returns for research generated by the school of public health faculty appointed at any institution.</w:t>
      </w:r>
    </w:p>
    <w:p w:rsidR="00933038" w:rsidRPr="00743A41" w:rsidRDefault="00933038" w:rsidP="00A37ED6">
      <w:pPr>
        <w:ind w:left="720"/>
        <w:jc w:val="both"/>
        <w:rPr>
          <w:rFonts w:asciiTheme="majorHAnsi" w:eastAsia="Calibri" w:hAnsiTheme="majorHAnsi" w:cstheme="majorHAnsi"/>
          <w:sz w:val="20"/>
          <w:szCs w:val="20"/>
        </w:rPr>
      </w:pPr>
    </w:p>
    <w:p w:rsidR="00933038" w:rsidRPr="00743A41" w:rsidRDefault="00231759" w:rsidP="00A37ED6">
      <w:pPr>
        <w:ind w:firstLine="720"/>
        <w:jc w:val="both"/>
        <w:rPr>
          <w:rFonts w:asciiTheme="majorHAnsi" w:eastAsia="Calibri" w:hAnsiTheme="majorHAnsi" w:cstheme="majorHAnsi"/>
          <w:i/>
          <w:sz w:val="20"/>
          <w:szCs w:val="20"/>
        </w:rPr>
      </w:pPr>
      <w:r w:rsidRPr="00743A41">
        <w:rPr>
          <w:rFonts w:asciiTheme="majorHAnsi" w:eastAsia="Calibri" w:hAnsiTheme="majorHAnsi" w:cstheme="majorHAnsi"/>
          <w:i/>
          <w:sz w:val="20"/>
          <w:szCs w:val="20"/>
        </w:rPr>
        <w:t>Not applicable.</w:t>
      </w:r>
    </w:p>
    <w:p w:rsidR="00933038" w:rsidRPr="00743A41" w:rsidRDefault="00933038" w:rsidP="00A37ED6">
      <w:pPr>
        <w:ind w:left="720"/>
        <w:jc w:val="both"/>
        <w:rPr>
          <w:rFonts w:asciiTheme="majorHAnsi" w:eastAsia="Calibri" w:hAnsiTheme="majorHAnsi" w:cstheme="majorHAnsi"/>
          <w:sz w:val="20"/>
          <w:szCs w:val="20"/>
        </w:rPr>
      </w:pPr>
    </w:p>
    <w:p w:rsidR="00933038" w:rsidRPr="00743A41" w:rsidRDefault="00933038" w:rsidP="00A37ED6">
      <w:pPr>
        <w:numPr>
          <w:ilvl w:val="0"/>
          <w:numId w:val="10"/>
        </w:numPr>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 xml:space="preserve">A clearly formulated school budget statement in the format of Template C1-1, showing sources of all available funds and expenditures by major categories, for the last five years. </w:t>
      </w:r>
    </w:p>
    <w:p w:rsidR="00933038" w:rsidRPr="00743A41" w:rsidRDefault="00933038" w:rsidP="00A37ED6">
      <w:pPr>
        <w:ind w:left="720"/>
        <w:jc w:val="both"/>
        <w:rPr>
          <w:rFonts w:asciiTheme="majorHAnsi" w:eastAsia="Calibri" w:hAnsiTheme="majorHAnsi" w:cstheme="majorHAnsi"/>
          <w:sz w:val="20"/>
          <w:szCs w:val="20"/>
        </w:rPr>
      </w:pPr>
    </w:p>
    <w:p w:rsidR="00217DE6" w:rsidRPr="00DE25B3" w:rsidRDefault="00DD42C1" w:rsidP="006E28EE">
      <w:pPr>
        <w:ind w:left="720"/>
        <w:rPr>
          <w:rFonts w:asciiTheme="majorHAnsi" w:eastAsia="Calibri" w:hAnsiTheme="majorHAnsi" w:cstheme="majorHAnsi"/>
          <w:sz w:val="20"/>
          <w:szCs w:val="20"/>
        </w:rPr>
      </w:pPr>
      <w:r w:rsidRPr="00DE25B3">
        <w:rPr>
          <w:rFonts w:asciiTheme="majorHAnsi" w:hAnsiTheme="majorHAnsi" w:cstheme="majorHAnsi"/>
          <w:sz w:val="20"/>
          <w:szCs w:val="20"/>
        </w:rPr>
        <w:t>Table C.1.2.a. Sources of Funds and Expenditures by Major Category for FY2014-201</w:t>
      </w:r>
      <w:r w:rsidRPr="00DE25B3">
        <w:rPr>
          <w:rFonts w:asciiTheme="majorHAnsi" w:eastAsia="Calibri" w:hAnsiTheme="majorHAnsi" w:cstheme="majorHAnsi"/>
          <w:sz w:val="20"/>
          <w:szCs w:val="20"/>
        </w:rPr>
        <w:t>9 (</w:t>
      </w:r>
      <w:r w:rsidRPr="00DE25B3">
        <w:rPr>
          <w:rFonts w:asciiTheme="majorHAnsi" w:eastAsia="Calibri" w:hAnsiTheme="majorHAnsi" w:cstheme="majorHAnsi"/>
          <w:i/>
          <w:sz w:val="20"/>
          <w:szCs w:val="20"/>
        </w:rPr>
        <w:t>ERF, C1. Fiscal Resources</w:t>
      </w:r>
      <w:r w:rsidRPr="00DE25B3">
        <w:rPr>
          <w:rFonts w:asciiTheme="majorHAnsi" w:eastAsia="Calibri" w:hAnsiTheme="majorHAnsi" w:cstheme="majorHAnsi"/>
          <w:sz w:val="20"/>
          <w:szCs w:val="20"/>
        </w:rPr>
        <w:t>)</w:t>
      </w:r>
    </w:p>
    <w:tbl>
      <w:tblPr>
        <w:tblW w:w="4668"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1156"/>
        <w:gridCol w:w="1125"/>
        <w:gridCol w:w="1125"/>
        <w:gridCol w:w="1125"/>
        <w:gridCol w:w="1229"/>
      </w:tblGrid>
      <w:tr w:rsidR="00F27A62" w:rsidRPr="00743A41" w:rsidTr="00F026B3">
        <w:trPr>
          <w:trHeight w:val="359"/>
        </w:trPr>
        <w:tc>
          <w:tcPr>
            <w:tcW w:w="5000" w:type="pct"/>
            <w:gridSpan w:val="6"/>
            <w:shd w:val="clear" w:color="000000" w:fill="D9D9D9"/>
            <w:hideMark/>
          </w:tcPr>
          <w:p w:rsidR="00F27A62" w:rsidRPr="00743A41" w:rsidRDefault="00217DE6"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Sources of Funds and Expenditures by Major Category from September 1, 2013, to August 31, 2018</w:t>
            </w:r>
          </w:p>
        </w:tc>
      </w:tr>
      <w:tr w:rsidR="00F27A62" w:rsidRPr="00743A41" w:rsidTr="00F026B3">
        <w:trPr>
          <w:trHeight w:val="197"/>
        </w:trPr>
        <w:tc>
          <w:tcPr>
            <w:tcW w:w="1701" w:type="pct"/>
            <w:shd w:val="clear" w:color="auto" w:fill="D9D9D9" w:themeFill="background1" w:themeFillShade="D9"/>
            <w:hideMark/>
          </w:tcPr>
          <w:p w:rsidR="00F27A62" w:rsidRPr="00743A41" w:rsidRDefault="00F27A62" w:rsidP="00A37ED6">
            <w:pP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 </w:t>
            </w:r>
          </w:p>
        </w:tc>
        <w:tc>
          <w:tcPr>
            <w:tcW w:w="3299" w:type="pct"/>
            <w:gridSpan w:val="5"/>
            <w:shd w:val="clear" w:color="000000" w:fill="D9D9D9"/>
            <w:vAlign w:val="bottom"/>
            <w:hideMark/>
          </w:tcPr>
          <w:p w:rsidR="00F27A62" w:rsidRPr="00743A41" w:rsidRDefault="00F27A62"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Fiscal Year</w:t>
            </w:r>
          </w:p>
        </w:tc>
      </w:tr>
      <w:tr w:rsidR="00F27A62" w:rsidRPr="00743A41" w:rsidTr="00F026B3">
        <w:trPr>
          <w:trHeight w:val="315"/>
        </w:trPr>
        <w:tc>
          <w:tcPr>
            <w:tcW w:w="1701" w:type="pct"/>
            <w:shd w:val="clear" w:color="auto" w:fill="D9D9D9" w:themeFill="background1" w:themeFillShade="D9"/>
            <w:hideMark/>
          </w:tcPr>
          <w:p w:rsidR="00F27A62" w:rsidRPr="00743A41" w:rsidRDefault="00F27A62"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c>
          <w:tcPr>
            <w:tcW w:w="663" w:type="pct"/>
            <w:shd w:val="clear" w:color="auto" w:fill="auto"/>
            <w:hideMark/>
          </w:tcPr>
          <w:p w:rsidR="00F27A62" w:rsidRPr="00743A41" w:rsidRDefault="00F27A62"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2014</w:t>
            </w:r>
          </w:p>
        </w:tc>
        <w:tc>
          <w:tcPr>
            <w:tcW w:w="644" w:type="pct"/>
            <w:shd w:val="clear" w:color="auto" w:fill="auto"/>
            <w:hideMark/>
          </w:tcPr>
          <w:p w:rsidR="00F27A62" w:rsidRPr="00743A41" w:rsidRDefault="00F27A62"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2015</w:t>
            </w:r>
          </w:p>
        </w:tc>
        <w:tc>
          <w:tcPr>
            <w:tcW w:w="644" w:type="pct"/>
            <w:shd w:val="clear" w:color="auto" w:fill="auto"/>
            <w:hideMark/>
          </w:tcPr>
          <w:p w:rsidR="00F27A62" w:rsidRPr="00743A41" w:rsidRDefault="00F27A62"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2016</w:t>
            </w:r>
          </w:p>
        </w:tc>
        <w:tc>
          <w:tcPr>
            <w:tcW w:w="644" w:type="pct"/>
            <w:shd w:val="clear" w:color="auto" w:fill="auto"/>
            <w:hideMark/>
          </w:tcPr>
          <w:p w:rsidR="00F27A62" w:rsidRPr="00743A41" w:rsidRDefault="00F27A62"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2017</w:t>
            </w:r>
          </w:p>
        </w:tc>
        <w:tc>
          <w:tcPr>
            <w:tcW w:w="703" w:type="pct"/>
            <w:shd w:val="clear" w:color="auto" w:fill="auto"/>
            <w:hideMark/>
          </w:tcPr>
          <w:p w:rsidR="00F27A62" w:rsidRPr="00743A41" w:rsidRDefault="00F27A62"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2018</w:t>
            </w:r>
          </w:p>
        </w:tc>
      </w:tr>
      <w:tr w:rsidR="00F27A62" w:rsidRPr="00743A41" w:rsidTr="00F026B3">
        <w:trPr>
          <w:trHeight w:val="300"/>
        </w:trPr>
        <w:tc>
          <w:tcPr>
            <w:tcW w:w="5000" w:type="pct"/>
            <w:gridSpan w:val="6"/>
            <w:shd w:val="clear" w:color="auto" w:fill="auto"/>
            <w:hideMark/>
          </w:tcPr>
          <w:p w:rsidR="00F27A62" w:rsidRPr="00743A41" w:rsidRDefault="00F27A62" w:rsidP="00A37ED6">
            <w:pP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Source of Funds</w:t>
            </w:r>
          </w:p>
        </w:tc>
      </w:tr>
      <w:tr w:rsidR="00F27A62" w:rsidRPr="00743A41" w:rsidTr="00F026B3">
        <w:trPr>
          <w:trHeight w:val="300"/>
        </w:trPr>
        <w:tc>
          <w:tcPr>
            <w:tcW w:w="1701" w:type="pct"/>
            <w:shd w:val="clear" w:color="auto" w:fill="auto"/>
            <w:hideMark/>
          </w:tcPr>
          <w:p w:rsidR="00F27A62" w:rsidRPr="00743A41" w:rsidRDefault="00F27A62"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Tuition &amp; Fees</w:t>
            </w:r>
          </w:p>
        </w:tc>
        <w:tc>
          <w:tcPr>
            <w:tcW w:w="66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8,183,221</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8,987,034</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9,533,148</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10,431,322</w:t>
            </w:r>
          </w:p>
        </w:tc>
        <w:tc>
          <w:tcPr>
            <w:tcW w:w="70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10,560,826</w:t>
            </w:r>
          </w:p>
        </w:tc>
      </w:tr>
      <w:tr w:rsidR="00F27A62" w:rsidRPr="00743A41" w:rsidTr="00F026B3">
        <w:trPr>
          <w:trHeight w:val="300"/>
        </w:trPr>
        <w:tc>
          <w:tcPr>
            <w:tcW w:w="1701" w:type="pct"/>
            <w:shd w:val="clear" w:color="auto" w:fill="auto"/>
            <w:hideMark/>
          </w:tcPr>
          <w:p w:rsidR="00F27A62" w:rsidRPr="00743A41" w:rsidRDefault="00F27A62"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State Appropriation</w:t>
            </w:r>
          </w:p>
        </w:tc>
        <w:tc>
          <w:tcPr>
            <w:tcW w:w="66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24,391,926</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23,450,254</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23,983,349</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22,463,667</w:t>
            </w:r>
          </w:p>
        </w:tc>
        <w:tc>
          <w:tcPr>
            <w:tcW w:w="70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22,614,219</w:t>
            </w:r>
          </w:p>
        </w:tc>
      </w:tr>
      <w:tr w:rsidR="00F27A62" w:rsidRPr="00743A41" w:rsidTr="00F026B3">
        <w:trPr>
          <w:trHeight w:val="300"/>
        </w:trPr>
        <w:tc>
          <w:tcPr>
            <w:tcW w:w="1701" w:type="pct"/>
            <w:shd w:val="clear" w:color="auto" w:fill="auto"/>
            <w:hideMark/>
          </w:tcPr>
          <w:p w:rsidR="00F27A62" w:rsidRPr="00743A41" w:rsidRDefault="00F27A62"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University Funds</w:t>
            </w:r>
          </w:p>
        </w:tc>
        <w:tc>
          <w:tcPr>
            <w:tcW w:w="66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3,544,294</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1,980,269</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3,933,147</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5,200,246</w:t>
            </w:r>
          </w:p>
        </w:tc>
        <w:tc>
          <w:tcPr>
            <w:tcW w:w="70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7,971,171</w:t>
            </w:r>
          </w:p>
        </w:tc>
      </w:tr>
      <w:tr w:rsidR="00F27A62" w:rsidRPr="00743A41" w:rsidTr="00F026B3">
        <w:trPr>
          <w:trHeight w:val="300"/>
        </w:trPr>
        <w:tc>
          <w:tcPr>
            <w:tcW w:w="1701" w:type="pct"/>
            <w:shd w:val="clear" w:color="auto" w:fill="auto"/>
            <w:hideMark/>
          </w:tcPr>
          <w:p w:rsidR="00F27A62" w:rsidRPr="00743A41" w:rsidRDefault="00F27A62"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Grants/Contracts</w:t>
            </w:r>
          </w:p>
        </w:tc>
        <w:tc>
          <w:tcPr>
            <w:tcW w:w="66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42,306,233</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43,017,141</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42,476,889</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40,740,094</w:t>
            </w:r>
          </w:p>
        </w:tc>
        <w:tc>
          <w:tcPr>
            <w:tcW w:w="70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42,118,885</w:t>
            </w:r>
          </w:p>
        </w:tc>
      </w:tr>
      <w:tr w:rsidR="00F27A62" w:rsidRPr="00743A41" w:rsidTr="00F026B3">
        <w:trPr>
          <w:trHeight w:val="300"/>
        </w:trPr>
        <w:tc>
          <w:tcPr>
            <w:tcW w:w="1701" w:type="pct"/>
            <w:shd w:val="clear" w:color="auto" w:fill="auto"/>
            <w:hideMark/>
          </w:tcPr>
          <w:p w:rsidR="00F27A62" w:rsidRPr="00743A41" w:rsidRDefault="00F27A62"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Indirect Cost Recovery</w:t>
            </w:r>
          </w:p>
        </w:tc>
        <w:tc>
          <w:tcPr>
            <w:tcW w:w="66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10,354,147</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9,941,342</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9,196,423</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8,346,405</w:t>
            </w:r>
          </w:p>
        </w:tc>
        <w:tc>
          <w:tcPr>
            <w:tcW w:w="70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8,163,606</w:t>
            </w:r>
          </w:p>
        </w:tc>
      </w:tr>
      <w:tr w:rsidR="00F27A62" w:rsidRPr="00743A41" w:rsidTr="00F026B3">
        <w:trPr>
          <w:trHeight w:val="300"/>
        </w:trPr>
        <w:tc>
          <w:tcPr>
            <w:tcW w:w="1701" w:type="pct"/>
            <w:shd w:val="clear" w:color="auto" w:fill="auto"/>
            <w:hideMark/>
          </w:tcPr>
          <w:p w:rsidR="00F27A62" w:rsidRPr="00743A41" w:rsidRDefault="00F27A62"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Endowment/Investment Revenue</w:t>
            </w:r>
          </w:p>
        </w:tc>
        <w:tc>
          <w:tcPr>
            <w:tcW w:w="66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39,043</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6,407</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8,144</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14,083</w:t>
            </w:r>
          </w:p>
        </w:tc>
        <w:tc>
          <w:tcPr>
            <w:tcW w:w="70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23,849</w:t>
            </w:r>
          </w:p>
        </w:tc>
      </w:tr>
      <w:tr w:rsidR="00F27A62" w:rsidRPr="00743A41" w:rsidTr="00F026B3">
        <w:trPr>
          <w:trHeight w:val="300"/>
        </w:trPr>
        <w:tc>
          <w:tcPr>
            <w:tcW w:w="1701" w:type="pct"/>
            <w:shd w:val="clear" w:color="auto" w:fill="auto"/>
            <w:hideMark/>
          </w:tcPr>
          <w:p w:rsidR="00F27A62" w:rsidRPr="00743A41" w:rsidRDefault="00F27A62"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Gifts</w:t>
            </w:r>
          </w:p>
        </w:tc>
        <w:tc>
          <w:tcPr>
            <w:tcW w:w="66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822,639</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763,515</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1,137,799</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1,771,777</w:t>
            </w:r>
          </w:p>
        </w:tc>
        <w:tc>
          <w:tcPr>
            <w:tcW w:w="70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3,089,110</w:t>
            </w:r>
          </w:p>
        </w:tc>
      </w:tr>
      <w:tr w:rsidR="00F27A62" w:rsidRPr="00743A41" w:rsidTr="00F026B3">
        <w:trPr>
          <w:trHeight w:val="300"/>
        </w:trPr>
        <w:tc>
          <w:tcPr>
            <w:tcW w:w="1701" w:type="pct"/>
            <w:shd w:val="clear" w:color="auto" w:fill="auto"/>
            <w:hideMark/>
          </w:tcPr>
          <w:p w:rsidR="00F27A62" w:rsidRPr="00743A41" w:rsidRDefault="00F27A62"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Other - DSRIP</w:t>
            </w:r>
          </w:p>
        </w:tc>
        <w:tc>
          <w:tcPr>
            <w:tcW w:w="66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417,993</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4,598,987</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5,877,741</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5,136,978</w:t>
            </w:r>
          </w:p>
        </w:tc>
        <w:tc>
          <w:tcPr>
            <w:tcW w:w="70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8,417,833</w:t>
            </w:r>
          </w:p>
        </w:tc>
      </w:tr>
      <w:tr w:rsidR="00F27A62" w:rsidRPr="00743A41" w:rsidTr="00F026B3">
        <w:trPr>
          <w:trHeight w:val="510"/>
        </w:trPr>
        <w:tc>
          <w:tcPr>
            <w:tcW w:w="1701" w:type="pct"/>
            <w:shd w:val="clear" w:color="auto" w:fill="auto"/>
            <w:hideMark/>
          </w:tcPr>
          <w:p w:rsidR="00F27A62" w:rsidRPr="00743A41" w:rsidRDefault="00F27A62"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Other - Unrestricted Revenue and Transfers</w:t>
            </w:r>
          </w:p>
        </w:tc>
        <w:tc>
          <w:tcPr>
            <w:tcW w:w="66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970,799</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-532,191</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1,605,366</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1,073,951</w:t>
            </w:r>
          </w:p>
        </w:tc>
        <w:tc>
          <w:tcPr>
            <w:tcW w:w="70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-1,692,816</w:t>
            </w:r>
          </w:p>
        </w:tc>
      </w:tr>
      <w:tr w:rsidR="00F27A62" w:rsidRPr="00743A41" w:rsidTr="00F026B3">
        <w:trPr>
          <w:trHeight w:val="300"/>
        </w:trPr>
        <w:tc>
          <w:tcPr>
            <w:tcW w:w="1701" w:type="pct"/>
            <w:shd w:val="clear" w:color="auto" w:fill="auto"/>
            <w:hideMark/>
          </w:tcPr>
          <w:p w:rsidR="00F27A62" w:rsidRPr="00743A41" w:rsidRDefault="00F27A62"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Other - Outside Sales and Service</w:t>
            </w:r>
          </w:p>
        </w:tc>
        <w:tc>
          <w:tcPr>
            <w:tcW w:w="66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280,027</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361,693</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680,213</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727,965</w:t>
            </w:r>
          </w:p>
        </w:tc>
        <w:tc>
          <w:tcPr>
            <w:tcW w:w="70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645,877</w:t>
            </w:r>
          </w:p>
        </w:tc>
      </w:tr>
      <w:tr w:rsidR="00F27A62" w:rsidRPr="00743A41" w:rsidTr="00F026B3">
        <w:trPr>
          <w:trHeight w:val="300"/>
        </w:trPr>
        <w:tc>
          <w:tcPr>
            <w:tcW w:w="1701" w:type="pct"/>
            <w:shd w:val="clear" w:color="auto" w:fill="auto"/>
            <w:hideMark/>
          </w:tcPr>
          <w:p w:rsidR="00F27A62" w:rsidRPr="00743A41" w:rsidRDefault="00F27A62"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Other - Continuing Education</w:t>
            </w:r>
          </w:p>
        </w:tc>
        <w:tc>
          <w:tcPr>
            <w:tcW w:w="66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107,993</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116,189</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131,967</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79,616</w:t>
            </w:r>
          </w:p>
        </w:tc>
        <w:tc>
          <w:tcPr>
            <w:tcW w:w="70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89,008</w:t>
            </w:r>
          </w:p>
        </w:tc>
      </w:tr>
      <w:tr w:rsidR="00F27A62" w:rsidRPr="00743A41" w:rsidTr="00F026B3">
        <w:trPr>
          <w:trHeight w:val="300"/>
        </w:trPr>
        <w:tc>
          <w:tcPr>
            <w:tcW w:w="1701" w:type="pct"/>
            <w:shd w:val="clear" w:color="auto" w:fill="auto"/>
            <w:hideMark/>
          </w:tcPr>
          <w:p w:rsidR="00F27A62" w:rsidRPr="00743A41" w:rsidRDefault="00F27A62" w:rsidP="00A37ED6">
            <w:pP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Total</w:t>
            </w:r>
          </w:p>
        </w:tc>
        <w:tc>
          <w:tcPr>
            <w:tcW w:w="66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91,418,315</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92,690,640</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98,564,186</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95,986,104</w:t>
            </w:r>
          </w:p>
        </w:tc>
        <w:tc>
          <w:tcPr>
            <w:tcW w:w="70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102,001,568</w:t>
            </w:r>
          </w:p>
        </w:tc>
      </w:tr>
      <w:tr w:rsidR="00F27A62" w:rsidRPr="00743A41" w:rsidTr="00F026B3">
        <w:trPr>
          <w:trHeight w:val="143"/>
        </w:trPr>
        <w:tc>
          <w:tcPr>
            <w:tcW w:w="5000" w:type="pct"/>
            <w:gridSpan w:val="6"/>
            <w:shd w:val="clear" w:color="000000" w:fill="D9D9D9"/>
            <w:hideMark/>
          </w:tcPr>
          <w:p w:rsidR="00F27A62" w:rsidRPr="00743A41" w:rsidRDefault="00F27A62" w:rsidP="00A37ED6">
            <w:pP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 </w:t>
            </w:r>
          </w:p>
        </w:tc>
      </w:tr>
      <w:tr w:rsidR="00F27A62" w:rsidRPr="00743A41" w:rsidTr="00F026B3">
        <w:trPr>
          <w:trHeight w:val="300"/>
        </w:trPr>
        <w:tc>
          <w:tcPr>
            <w:tcW w:w="5000" w:type="pct"/>
            <w:gridSpan w:val="6"/>
            <w:shd w:val="clear" w:color="auto" w:fill="auto"/>
            <w:hideMark/>
          </w:tcPr>
          <w:p w:rsidR="00F27A62" w:rsidRPr="00743A41" w:rsidRDefault="00F27A62" w:rsidP="00A37ED6">
            <w:pP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Expenditures</w:t>
            </w:r>
          </w:p>
        </w:tc>
      </w:tr>
      <w:tr w:rsidR="00F27A62" w:rsidRPr="00743A41" w:rsidTr="00F026B3">
        <w:trPr>
          <w:trHeight w:val="300"/>
        </w:trPr>
        <w:tc>
          <w:tcPr>
            <w:tcW w:w="1701" w:type="pct"/>
            <w:shd w:val="clear" w:color="auto" w:fill="auto"/>
            <w:hideMark/>
          </w:tcPr>
          <w:p w:rsidR="00F27A62" w:rsidRPr="00743A41" w:rsidRDefault="00F27A62"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Faculty Salaries &amp; Benefits</w:t>
            </w:r>
          </w:p>
        </w:tc>
        <w:tc>
          <w:tcPr>
            <w:tcW w:w="66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23,510,535</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23,867,344</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25,035,472</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25,762,143</w:t>
            </w:r>
          </w:p>
        </w:tc>
        <w:tc>
          <w:tcPr>
            <w:tcW w:w="70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25,719,274</w:t>
            </w:r>
          </w:p>
        </w:tc>
      </w:tr>
      <w:tr w:rsidR="00F27A62" w:rsidRPr="00743A41" w:rsidTr="00F026B3">
        <w:trPr>
          <w:trHeight w:val="300"/>
        </w:trPr>
        <w:tc>
          <w:tcPr>
            <w:tcW w:w="1701" w:type="pct"/>
            <w:shd w:val="clear" w:color="auto" w:fill="auto"/>
            <w:hideMark/>
          </w:tcPr>
          <w:p w:rsidR="00F27A62" w:rsidRPr="00743A41" w:rsidRDefault="00F27A62"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Staff Salaries &amp; Benefits</w:t>
            </w:r>
          </w:p>
        </w:tc>
        <w:tc>
          <w:tcPr>
            <w:tcW w:w="66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18,883,691</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20,798,890</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21,630,729</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22,337,187</w:t>
            </w:r>
          </w:p>
        </w:tc>
        <w:tc>
          <w:tcPr>
            <w:tcW w:w="70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22,248,071</w:t>
            </w:r>
          </w:p>
        </w:tc>
      </w:tr>
      <w:tr w:rsidR="00F27A62" w:rsidRPr="00743A41" w:rsidTr="00F026B3">
        <w:trPr>
          <w:trHeight w:val="300"/>
        </w:trPr>
        <w:tc>
          <w:tcPr>
            <w:tcW w:w="1701" w:type="pct"/>
            <w:shd w:val="clear" w:color="auto" w:fill="auto"/>
            <w:hideMark/>
          </w:tcPr>
          <w:p w:rsidR="00F27A62" w:rsidRPr="00743A41" w:rsidRDefault="00F27A62"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Operations</w:t>
            </w:r>
          </w:p>
        </w:tc>
        <w:tc>
          <w:tcPr>
            <w:tcW w:w="66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12,606,189</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13,865,912</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12,779,271</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12,369,039</w:t>
            </w:r>
          </w:p>
        </w:tc>
        <w:tc>
          <w:tcPr>
            <w:tcW w:w="70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11,834,849</w:t>
            </w:r>
          </w:p>
        </w:tc>
      </w:tr>
      <w:tr w:rsidR="00F27A62" w:rsidRPr="00743A41" w:rsidTr="00F026B3">
        <w:trPr>
          <w:trHeight w:val="300"/>
        </w:trPr>
        <w:tc>
          <w:tcPr>
            <w:tcW w:w="1701" w:type="pct"/>
            <w:shd w:val="clear" w:color="auto" w:fill="auto"/>
            <w:hideMark/>
          </w:tcPr>
          <w:p w:rsidR="00F27A62" w:rsidRPr="00743A41" w:rsidRDefault="00F27A62"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Travel</w:t>
            </w:r>
          </w:p>
        </w:tc>
        <w:tc>
          <w:tcPr>
            <w:tcW w:w="66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1,244,868</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1,276,664</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1,337,218</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1,213,236</w:t>
            </w:r>
          </w:p>
        </w:tc>
        <w:tc>
          <w:tcPr>
            <w:tcW w:w="70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1,072,650</w:t>
            </w:r>
          </w:p>
        </w:tc>
      </w:tr>
      <w:tr w:rsidR="00F27A62" w:rsidRPr="00743A41" w:rsidTr="00F026B3">
        <w:trPr>
          <w:trHeight w:val="300"/>
        </w:trPr>
        <w:tc>
          <w:tcPr>
            <w:tcW w:w="1701" w:type="pct"/>
            <w:shd w:val="clear" w:color="auto" w:fill="auto"/>
            <w:hideMark/>
          </w:tcPr>
          <w:p w:rsidR="00F27A62" w:rsidRPr="00743A41" w:rsidRDefault="00F27A62"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Student Support</w:t>
            </w:r>
          </w:p>
        </w:tc>
        <w:tc>
          <w:tcPr>
            <w:tcW w:w="66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10,428,433</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10,933,555</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11,973,123</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12,364,599</w:t>
            </w:r>
          </w:p>
        </w:tc>
        <w:tc>
          <w:tcPr>
            <w:tcW w:w="70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10,647,316</w:t>
            </w:r>
          </w:p>
        </w:tc>
      </w:tr>
      <w:tr w:rsidR="00F27A62" w:rsidRPr="00743A41" w:rsidTr="00F026B3">
        <w:trPr>
          <w:trHeight w:val="300"/>
        </w:trPr>
        <w:tc>
          <w:tcPr>
            <w:tcW w:w="1701" w:type="pct"/>
            <w:shd w:val="clear" w:color="auto" w:fill="auto"/>
            <w:hideMark/>
          </w:tcPr>
          <w:p w:rsidR="00F27A62" w:rsidRPr="00743A41" w:rsidRDefault="00F27A62"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University Tax</w:t>
            </w:r>
          </w:p>
        </w:tc>
        <w:tc>
          <w:tcPr>
            <w:tcW w:w="66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12,472,613</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11,835,173</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10,924,021</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10,746,200</w:t>
            </w:r>
          </w:p>
        </w:tc>
        <w:tc>
          <w:tcPr>
            <w:tcW w:w="70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10,628,594</w:t>
            </w:r>
          </w:p>
        </w:tc>
      </w:tr>
      <w:tr w:rsidR="00F27A62" w:rsidRPr="00743A41" w:rsidTr="00F026B3">
        <w:trPr>
          <w:trHeight w:val="300"/>
        </w:trPr>
        <w:tc>
          <w:tcPr>
            <w:tcW w:w="1701" w:type="pct"/>
            <w:shd w:val="clear" w:color="auto" w:fill="auto"/>
            <w:hideMark/>
          </w:tcPr>
          <w:p w:rsidR="00F27A62" w:rsidRPr="00743A41" w:rsidRDefault="00F27A62"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Other - Subcontracts</w:t>
            </w:r>
          </w:p>
        </w:tc>
        <w:tc>
          <w:tcPr>
            <w:tcW w:w="66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8,914,000</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9,989,096</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8,818,557</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7,347,492</w:t>
            </w:r>
          </w:p>
        </w:tc>
        <w:tc>
          <w:tcPr>
            <w:tcW w:w="70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9,287,337</w:t>
            </w:r>
          </w:p>
        </w:tc>
      </w:tr>
      <w:tr w:rsidR="00F27A62" w:rsidRPr="00743A41" w:rsidTr="00F026B3">
        <w:trPr>
          <w:trHeight w:val="300"/>
        </w:trPr>
        <w:tc>
          <w:tcPr>
            <w:tcW w:w="1701" w:type="pct"/>
            <w:shd w:val="clear" w:color="auto" w:fill="auto"/>
            <w:hideMark/>
          </w:tcPr>
          <w:p w:rsidR="00F27A62" w:rsidRPr="00743A41" w:rsidRDefault="00F27A62"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Other - Capital</w:t>
            </w:r>
          </w:p>
        </w:tc>
        <w:tc>
          <w:tcPr>
            <w:tcW w:w="66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1,211,025</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500,828</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612,797</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928,779</w:t>
            </w:r>
          </w:p>
        </w:tc>
        <w:tc>
          <w:tcPr>
            <w:tcW w:w="70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704,014</w:t>
            </w:r>
          </w:p>
        </w:tc>
      </w:tr>
      <w:tr w:rsidR="00F27A62" w:rsidRPr="00743A41" w:rsidTr="00F026B3">
        <w:trPr>
          <w:trHeight w:val="300"/>
        </w:trPr>
        <w:tc>
          <w:tcPr>
            <w:tcW w:w="1701" w:type="pct"/>
            <w:shd w:val="clear" w:color="auto" w:fill="auto"/>
            <w:hideMark/>
          </w:tcPr>
          <w:p w:rsidR="00F27A62" w:rsidRPr="00743A41" w:rsidRDefault="00F27A62"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xml:space="preserve">Other - </w:t>
            </w:r>
            <w:r w:rsidR="00D670DF" w:rsidRPr="00743A41">
              <w:rPr>
                <w:rFonts w:asciiTheme="majorHAnsi" w:eastAsia="Times New Roman" w:hAnsiTheme="majorHAnsi" w:cstheme="majorHAnsi"/>
                <w:color w:val="000000"/>
                <w:sz w:val="20"/>
                <w:szCs w:val="20"/>
              </w:rPr>
              <w:t>Miscellaneous</w:t>
            </w:r>
          </w:p>
        </w:tc>
        <w:tc>
          <w:tcPr>
            <w:tcW w:w="66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155,702</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2,661,191</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1,996,268</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3,216,409</w:t>
            </w:r>
          </w:p>
        </w:tc>
        <w:tc>
          <w:tcPr>
            <w:tcW w:w="70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1,705,975</w:t>
            </w:r>
          </w:p>
        </w:tc>
      </w:tr>
      <w:tr w:rsidR="00F27A62" w:rsidRPr="00743A41" w:rsidTr="00F026B3">
        <w:trPr>
          <w:trHeight w:val="300"/>
        </w:trPr>
        <w:tc>
          <w:tcPr>
            <w:tcW w:w="1701" w:type="pct"/>
            <w:shd w:val="clear" w:color="auto" w:fill="auto"/>
            <w:hideMark/>
          </w:tcPr>
          <w:p w:rsidR="00F27A62" w:rsidRPr="00743A41" w:rsidRDefault="00F27A62" w:rsidP="00A37ED6">
            <w:pP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Total</w:t>
            </w:r>
          </w:p>
        </w:tc>
        <w:tc>
          <w:tcPr>
            <w:tcW w:w="66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89,427,056</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95,728,653</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95,107,456</w:t>
            </w:r>
          </w:p>
        </w:tc>
        <w:tc>
          <w:tcPr>
            <w:tcW w:w="644"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96,285,084</w:t>
            </w:r>
          </w:p>
        </w:tc>
        <w:tc>
          <w:tcPr>
            <w:tcW w:w="703" w:type="pct"/>
            <w:shd w:val="clear" w:color="auto" w:fill="auto"/>
            <w:hideMark/>
          </w:tcPr>
          <w:p w:rsidR="00F27A62" w:rsidRPr="00743A41" w:rsidRDefault="00F27A62" w:rsidP="00A37ED6">
            <w:pPr>
              <w:jc w:val="right"/>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93,848,080</w:t>
            </w:r>
          </w:p>
        </w:tc>
      </w:tr>
    </w:tbl>
    <w:p w:rsidR="00077996" w:rsidRPr="00743A41" w:rsidRDefault="00077996" w:rsidP="00A37ED6">
      <w:pPr>
        <w:jc w:val="both"/>
        <w:rPr>
          <w:rFonts w:asciiTheme="majorHAnsi" w:eastAsia="Calibri" w:hAnsiTheme="majorHAnsi" w:cstheme="majorHAnsi"/>
          <w:sz w:val="20"/>
          <w:szCs w:val="20"/>
        </w:rPr>
      </w:pPr>
    </w:p>
    <w:p w:rsidR="00933038" w:rsidRPr="00743A41" w:rsidRDefault="00933038" w:rsidP="00A37ED6">
      <w:pPr>
        <w:ind w:left="72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 xml:space="preserve">If the school is a multi-partner unit sponsored by two or more universities (as defined in Criterion A2), the budget statement must make clear the financial contributions of each sponsoring university to the overall school budget. </w:t>
      </w:r>
    </w:p>
    <w:p w:rsidR="007A68BE" w:rsidRPr="00743A41" w:rsidRDefault="007A68BE" w:rsidP="00A37ED6">
      <w:pPr>
        <w:ind w:left="720"/>
        <w:jc w:val="both"/>
        <w:rPr>
          <w:rFonts w:asciiTheme="majorHAnsi" w:hAnsiTheme="majorHAnsi" w:cstheme="majorHAnsi"/>
          <w:i/>
          <w:sz w:val="20"/>
          <w:szCs w:val="20"/>
        </w:rPr>
      </w:pPr>
    </w:p>
    <w:p w:rsidR="00933038" w:rsidRPr="00743A41" w:rsidRDefault="000D47FF" w:rsidP="00A37ED6">
      <w:pPr>
        <w:ind w:left="720"/>
        <w:jc w:val="both"/>
        <w:rPr>
          <w:rFonts w:asciiTheme="majorHAnsi" w:eastAsia="Calibri" w:hAnsiTheme="majorHAnsi" w:cstheme="majorHAnsi"/>
          <w:i/>
          <w:sz w:val="20"/>
          <w:szCs w:val="20"/>
        </w:rPr>
      </w:pPr>
      <w:r w:rsidRPr="00743A41">
        <w:rPr>
          <w:rFonts w:asciiTheme="majorHAnsi" w:hAnsiTheme="majorHAnsi" w:cstheme="majorHAnsi"/>
          <w:i/>
          <w:sz w:val="20"/>
          <w:szCs w:val="20"/>
        </w:rPr>
        <w:t>Not applicable.</w:t>
      </w:r>
    </w:p>
    <w:p w:rsidR="00933038" w:rsidRPr="00743A41" w:rsidRDefault="00933038" w:rsidP="00A37ED6">
      <w:pPr>
        <w:ind w:left="720"/>
        <w:jc w:val="both"/>
        <w:rPr>
          <w:rFonts w:asciiTheme="majorHAnsi" w:eastAsia="Calibri" w:hAnsiTheme="majorHAnsi" w:cstheme="majorHAnsi"/>
          <w:sz w:val="20"/>
          <w:szCs w:val="20"/>
        </w:rPr>
      </w:pPr>
    </w:p>
    <w:p w:rsidR="007A68BE" w:rsidRPr="00743A41" w:rsidRDefault="007A68BE" w:rsidP="00A37ED6">
      <w:pPr>
        <w:ind w:left="720"/>
        <w:jc w:val="both"/>
        <w:rPr>
          <w:rFonts w:asciiTheme="majorHAnsi" w:eastAsia="Calibri" w:hAnsiTheme="majorHAnsi" w:cstheme="majorHAnsi"/>
          <w:sz w:val="20"/>
          <w:szCs w:val="20"/>
        </w:rPr>
      </w:pPr>
    </w:p>
    <w:p w:rsidR="007A68BE" w:rsidRPr="00743A41" w:rsidRDefault="007A68BE" w:rsidP="00A37ED6">
      <w:pPr>
        <w:ind w:left="720"/>
        <w:jc w:val="both"/>
        <w:rPr>
          <w:rFonts w:asciiTheme="majorHAnsi" w:eastAsia="Calibri" w:hAnsiTheme="majorHAnsi" w:cstheme="majorHAnsi"/>
          <w:sz w:val="20"/>
          <w:szCs w:val="20"/>
        </w:rPr>
      </w:pPr>
    </w:p>
    <w:p w:rsidR="007A68BE" w:rsidRPr="00743A41" w:rsidRDefault="007A68BE" w:rsidP="00A37ED6">
      <w:pPr>
        <w:ind w:left="720"/>
        <w:jc w:val="both"/>
        <w:rPr>
          <w:rFonts w:asciiTheme="majorHAnsi" w:eastAsia="Calibri" w:hAnsiTheme="majorHAnsi" w:cstheme="majorHAnsi"/>
          <w:sz w:val="20"/>
          <w:szCs w:val="20"/>
        </w:rPr>
      </w:pPr>
    </w:p>
    <w:p w:rsidR="007A68BE" w:rsidRPr="00743A41" w:rsidRDefault="007A68BE" w:rsidP="00A37ED6">
      <w:pPr>
        <w:ind w:left="720"/>
        <w:jc w:val="both"/>
        <w:rPr>
          <w:rFonts w:asciiTheme="majorHAnsi" w:eastAsia="Calibri" w:hAnsiTheme="majorHAnsi" w:cstheme="majorHAnsi"/>
          <w:sz w:val="20"/>
          <w:szCs w:val="20"/>
        </w:rPr>
      </w:pPr>
    </w:p>
    <w:p w:rsidR="00933038" w:rsidRPr="00743A41" w:rsidRDefault="00933038" w:rsidP="00A37ED6">
      <w:pPr>
        <w:numPr>
          <w:ilvl w:val="0"/>
          <w:numId w:val="10"/>
        </w:numPr>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 xml:space="preserve">If applicable, assess strengths and weaknesses related to this criterion and plans for improvement in this area. </w:t>
      </w:r>
    </w:p>
    <w:p w:rsidR="005F216B" w:rsidRPr="00743A41" w:rsidRDefault="005F216B" w:rsidP="00A37ED6">
      <w:pPr>
        <w:ind w:left="720"/>
        <w:jc w:val="both"/>
        <w:rPr>
          <w:rFonts w:asciiTheme="majorHAnsi" w:eastAsia="Calibri" w:hAnsiTheme="majorHAnsi" w:cstheme="majorHAnsi"/>
          <w:sz w:val="20"/>
          <w:szCs w:val="20"/>
        </w:rPr>
      </w:pPr>
    </w:p>
    <w:p w:rsidR="00863478" w:rsidRPr="00743A41" w:rsidRDefault="00863478" w:rsidP="00A37ED6">
      <w:pPr>
        <w:ind w:firstLine="720"/>
        <w:rPr>
          <w:rFonts w:asciiTheme="majorHAnsi" w:hAnsiTheme="majorHAnsi" w:cstheme="majorHAnsi"/>
          <w:b/>
          <w:sz w:val="20"/>
          <w:szCs w:val="20"/>
        </w:rPr>
      </w:pPr>
      <w:r w:rsidRPr="00743A41">
        <w:rPr>
          <w:rFonts w:asciiTheme="majorHAnsi" w:hAnsiTheme="majorHAnsi" w:cstheme="majorHAnsi"/>
          <w:b/>
          <w:sz w:val="20"/>
          <w:szCs w:val="20"/>
        </w:rPr>
        <w:t xml:space="preserve">Strengths: </w:t>
      </w:r>
    </w:p>
    <w:p w:rsidR="00EB3655" w:rsidRPr="00743A41" w:rsidRDefault="008C482C" w:rsidP="00A37ED6">
      <w:pPr>
        <w:pStyle w:val="ListParagraph"/>
        <w:numPr>
          <w:ilvl w:val="0"/>
          <w:numId w:val="180"/>
        </w:numPr>
        <w:spacing w:after="160"/>
        <w:ind w:left="1440"/>
        <w:contextualSpacing/>
        <w:rPr>
          <w:rStyle w:val="Heading1Char"/>
          <w:bCs w:val="0"/>
        </w:rPr>
      </w:pPr>
      <w:r w:rsidRPr="00743A41">
        <w:rPr>
          <w:rFonts w:asciiTheme="majorHAnsi" w:hAnsiTheme="majorHAnsi" w:cstheme="majorHAnsi"/>
          <w:szCs w:val="20"/>
        </w:rPr>
        <w:t xml:space="preserve">The UTHealth School of Public Health has robust financial resources to fulfill its mission and goals.  The school has maintained annual research funding in excess of $40 million, providing a rich and thriving environment in which to train the public health workforce. </w:t>
      </w:r>
      <w:bookmarkStart w:id="50" w:name="_Toc464487863"/>
      <w:bookmarkStart w:id="51" w:name="_Toc7118196"/>
    </w:p>
    <w:p w:rsidR="007A68BE" w:rsidRPr="00743A41" w:rsidRDefault="007A68BE">
      <w:pPr>
        <w:rPr>
          <w:rStyle w:val="Heading1Char"/>
          <w:bCs w:val="0"/>
        </w:rPr>
      </w:pPr>
      <w:r w:rsidRPr="00743A41">
        <w:rPr>
          <w:rStyle w:val="Heading1Char"/>
          <w:b w:val="0"/>
        </w:rPr>
        <w:br w:type="page"/>
      </w:r>
    </w:p>
    <w:p w:rsidR="00933038" w:rsidRPr="00743A41" w:rsidRDefault="00933038" w:rsidP="007A68BE">
      <w:pPr>
        <w:pStyle w:val="Heading1"/>
        <w:rPr>
          <w:rFonts w:eastAsia="Calibri"/>
        </w:rPr>
      </w:pPr>
      <w:r w:rsidRPr="00743A41">
        <w:rPr>
          <w:rStyle w:val="Heading1Char"/>
          <w:b/>
        </w:rPr>
        <w:t>C2. Faculty Resources</w:t>
      </w:r>
      <w:bookmarkEnd w:id="50"/>
      <w:bookmarkEnd w:id="51"/>
      <w:r w:rsidRPr="00743A41">
        <w:rPr>
          <w:rFonts w:eastAsia="Calibri"/>
        </w:rPr>
        <w:t xml:space="preserve">  </w:t>
      </w:r>
    </w:p>
    <w:p w:rsidR="00933038" w:rsidRPr="00743A41" w:rsidRDefault="00933038" w:rsidP="00A37ED6">
      <w:pPr>
        <w:rPr>
          <w:rFonts w:asciiTheme="majorHAnsi" w:eastAsia="Calibri" w:hAnsiTheme="majorHAnsi" w:cstheme="majorHAnsi"/>
          <w:sz w:val="20"/>
          <w:szCs w:val="20"/>
        </w:rPr>
      </w:pPr>
    </w:p>
    <w:p w:rsidR="00933038" w:rsidRPr="00743A41" w:rsidRDefault="00933038" w:rsidP="00A37ED6">
      <w:pPr>
        <w:jc w:val="both"/>
        <w:rPr>
          <w:rFonts w:asciiTheme="majorHAnsi" w:eastAsia="Calibri" w:hAnsiTheme="majorHAnsi" w:cstheme="majorHAnsi"/>
          <w:b/>
          <w:sz w:val="20"/>
          <w:szCs w:val="20"/>
        </w:rPr>
      </w:pPr>
      <w:r w:rsidRPr="00743A41">
        <w:rPr>
          <w:rFonts w:asciiTheme="majorHAnsi" w:eastAsia="Calibri" w:hAnsiTheme="majorHAnsi" w:cstheme="majorHAnsi"/>
          <w:b/>
          <w:sz w:val="20"/>
          <w:szCs w:val="20"/>
        </w:rPr>
        <w:t xml:space="preserve">The school has adequate faculty, including primary instructional faculty and non-primary instructional faculty, to fulfill its stated mission and goals. This support is adequate to sustain all core functions, including offering coursework and advising students. The stability of resources is a factor in evaluating resource adequacy. </w:t>
      </w:r>
    </w:p>
    <w:p w:rsidR="00933038" w:rsidRPr="00743A41" w:rsidRDefault="00933038" w:rsidP="00A37ED6">
      <w:pPr>
        <w:jc w:val="both"/>
        <w:rPr>
          <w:rFonts w:asciiTheme="majorHAnsi" w:eastAsia="Calibri" w:hAnsiTheme="majorHAnsi" w:cstheme="majorHAnsi"/>
          <w:b/>
          <w:sz w:val="20"/>
          <w:szCs w:val="20"/>
        </w:rPr>
      </w:pPr>
    </w:p>
    <w:p w:rsidR="00933038" w:rsidRPr="00743A41" w:rsidRDefault="00933038" w:rsidP="00A37ED6">
      <w:pPr>
        <w:jc w:val="both"/>
        <w:rPr>
          <w:rFonts w:asciiTheme="majorHAnsi" w:eastAsia="Calibri" w:hAnsiTheme="majorHAnsi" w:cstheme="majorHAnsi"/>
          <w:b/>
          <w:sz w:val="20"/>
          <w:szCs w:val="20"/>
        </w:rPr>
      </w:pPr>
      <w:r w:rsidRPr="00743A41">
        <w:rPr>
          <w:rFonts w:asciiTheme="majorHAnsi" w:eastAsia="Calibri" w:hAnsiTheme="majorHAnsi" w:cstheme="majorHAnsi"/>
          <w:b/>
          <w:sz w:val="20"/>
          <w:szCs w:val="20"/>
        </w:rPr>
        <w:t xml:space="preserve">Students’ access to a range of intellectual perspectives and to breadth of thought in their chosen fields of study is an important component of quality, as is faculty access to colleagues with shared interests and expertise. </w:t>
      </w:r>
    </w:p>
    <w:p w:rsidR="00933038" w:rsidRPr="00743A41" w:rsidRDefault="00933038" w:rsidP="00A37ED6">
      <w:pPr>
        <w:jc w:val="both"/>
        <w:rPr>
          <w:rFonts w:asciiTheme="majorHAnsi" w:eastAsia="Calibri" w:hAnsiTheme="majorHAnsi" w:cstheme="majorHAnsi"/>
          <w:b/>
          <w:sz w:val="20"/>
          <w:szCs w:val="20"/>
        </w:rPr>
      </w:pPr>
    </w:p>
    <w:p w:rsidR="00933038" w:rsidRPr="00743A41" w:rsidRDefault="00933038" w:rsidP="00A37ED6">
      <w:pPr>
        <w:jc w:val="both"/>
        <w:rPr>
          <w:rFonts w:asciiTheme="majorHAnsi" w:eastAsia="Calibri" w:hAnsiTheme="majorHAnsi" w:cstheme="majorHAnsi"/>
          <w:b/>
          <w:sz w:val="20"/>
          <w:szCs w:val="20"/>
        </w:rPr>
      </w:pPr>
      <w:r w:rsidRPr="00743A41">
        <w:rPr>
          <w:rFonts w:asciiTheme="majorHAnsi" w:eastAsia="Calibri" w:hAnsiTheme="majorHAnsi" w:cstheme="majorHAnsi"/>
          <w:b/>
          <w:sz w:val="20"/>
          <w:szCs w:val="20"/>
        </w:rPr>
        <w:t>All identified faculty must have regular instructional responsibility in the area. Individuals who perform research in a given area but do not have some regular expectations for instruction cannot serve as one of the three to five listed members.</w:t>
      </w:r>
    </w:p>
    <w:p w:rsidR="00933038" w:rsidRPr="00743A41" w:rsidRDefault="00933038" w:rsidP="00A37ED6">
      <w:pPr>
        <w:jc w:val="both"/>
        <w:rPr>
          <w:rFonts w:asciiTheme="majorHAnsi" w:eastAsia="Calibri" w:hAnsiTheme="majorHAnsi" w:cstheme="majorHAnsi"/>
          <w:sz w:val="20"/>
          <w:szCs w:val="20"/>
          <w:highlight w:val="yellow"/>
        </w:rPr>
      </w:pPr>
    </w:p>
    <w:p w:rsidR="00933038" w:rsidRPr="00743A41" w:rsidRDefault="00933038" w:rsidP="00A37ED6">
      <w:pPr>
        <w:numPr>
          <w:ilvl w:val="0"/>
          <w:numId w:val="12"/>
        </w:numPr>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 xml:space="preserve">A table demonstrating the adequacy of the school’s instructional faculty resources in the format of Template C2-1. </w:t>
      </w:r>
    </w:p>
    <w:p w:rsidR="00933038" w:rsidRPr="00743A41" w:rsidRDefault="00933038" w:rsidP="00A37ED6">
      <w:pPr>
        <w:jc w:val="both"/>
        <w:rPr>
          <w:rFonts w:asciiTheme="majorHAnsi" w:eastAsia="Calibri" w:hAnsiTheme="majorHAnsi" w:cstheme="majorHAnsi"/>
          <w:sz w:val="20"/>
          <w:szCs w:val="20"/>
        </w:rPr>
      </w:pPr>
    </w:p>
    <w:p w:rsidR="00D670DF" w:rsidRPr="00743A41" w:rsidRDefault="00D670DF" w:rsidP="00A37ED6">
      <w:pPr>
        <w:ind w:left="720"/>
        <w:rPr>
          <w:rFonts w:asciiTheme="majorHAnsi" w:eastAsia="Arial" w:hAnsiTheme="majorHAnsi" w:cstheme="majorHAnsi"/>
          <w:sz w:val="20"/>
          <w:szCs w:val="20"/>
        </w:rPr>
      </w:pPr>
      <w:bookmarkStart w:id="52" w:name="tablec21"/>
      <w:r w:rsidRPr="00743A41">
        <w:rPr>
          <w:rFonts w:asciiTheme="majorHAnsi" w:eastAsia="Arial" w:hAnsiTheme="majorHAnsi" w:cstheme="majorHAnsi"/>
          <w:sz w:val="20"/>
          <w:szCs w:val="20"/>
        </w:rPr>
        <w:t>Table C</w:t>
      </w:r>
      <w:r w:rsidR="007A68BE" w:rsidRPr="00743A41">
        <w:rPr>
          <w:rFonts w:asciiTheme="majorHAnsi" w:eastAsia="Arial" w:hAnsiTheme="majorHAnsi" w:cstheme="majorHAnsi"/>
          <w:sz w:val="20"/>
          <w:szCs w:val="20"/>
        </w:rPr>
        <w:t>.</w:t>
      </w:r>
      <w:r w:rsidRPr="00743A41">
        <w:rPr>
          <w:rFonts w:asciiTheme="majorHAnsi" w:eastAsia="Arial" w:hAnsiTheme="majorHAnsi" w:cstheme="majorHAnsi"/>
          <w:sz w:val="20"/>
          <w:szCs w:val="20"/>
        </w:rPr>
        <w:t xml:space="preserve">2.1. </w:t>
      </w:r>
      <w:bookmarkEnd w:id="52"/>
      <w:r w:rsidRPr="00743A41">
        <w:rPr>
          <w:rFonts w:asciiTheme="majorHAnsi" w:eastAsia="Arial" w:hAnsiTheme="majorHAnsi" w:cstheme="majorHAnsi"/>
          <w:sz w:val="20"/>
          <w:szCs w:val="20"/>
        </w:rPr>
        <w:t xml:space="preserve">UTHealth School of Public Health’s Instructional Faculty Resources  </w:t>
      </w:r>
    </w:p>
    <w:tbl>
      <w:tblPr>
        <w:tblW w:w="873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1311"/>
        <w:gridCol w:w="1350"/>
        <w:gridCol w:w="1440"/>
        <w:gridCol w:w="1620"/>
        <w:gridCol w:w="1170"/>
        <w:gridCol w:w="1350"/>
        <w:gridCol w:w="8"/>
      </w:tblGrid>
      <w:tr w:rsidR="000C4F99" w:rsidRPr="00743A41" w:rsidTr="00F026B3">
        <w:trPr>
          <w:gridAfter w:val="1"/>
          <w:wAfter w:w="8" w:type="dxa"/>
          <w:trHeight w:val="645"/>
          <w:tblHeader/>
        </w:trPr>
        <w:tc>
          <w:tcPr>
            <w:tcW w:w="1800" w:type="dxa"/>
            <w:gridSpan w:val="2"/>
            <w:shd w:val="clear" w:color="auto" w:fill="auto"/>
            <w:noWrap/>
            <w:vAlign w:val="center"/>
            <w:hideMark/>
          </w:tcPr>
          <w:p w:rsidR="000C4F99" w:rsidRPr="00743A41" w:rsidRDefault="000C4F99" w:rsidP="00A37ED6">
            <w:pPr>
              <w:jc w:val="center"/>
              <w:rPr>
                <w:rFonts w:asciiTheme="majorHAnsi" w:eastAsia="Times New Roman" w:hAnsiTheme="majorHAnsi" w:cstheme="majorHAnsi"/>
                <w:sz w:val="20"/>
                <w:szCs w:val="20"/>
              </w:rPr>
            </w:pPr>
          </w:p>
        </w:tc>
        <w:tc>
          <w:tcPr>
            <w:tcW w:w="4410" w:type="dxa"/>
            <w:gridSpan w:val="3"/>
            <w:shd w:val="clear" w:color="000000" w:fill="DDEBF7"/>
            <w:vAlign w:val="center"/>
            <w:hideMark/>
          </w:tcPr>
          <w:p w:rsidR="000C4F99" w:rsidRPr="00743A41" w:rsidRDefault="000C4F99"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MASTER'S</w:t>
            </w:r>
          </w:p>
        </w:tc>
        <w:tc>
          <w:tcPr>
            <w:tcW w:w="1170" w:type="dxa"/>
            <w:shd w:val="clear" w:color="000000" w:fill="BDD7EE"/>
            <w:vAlign w:val="center"/>
            <w:hideMark/>
          </w:tcPr>
          <w:p w:rsidR="000C4F99" w:rsidRPr="00743A41" w:rsidRDefault="000C4F99"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DOCTORAL</w:t>
            </w:r>
          </w:p>
        </w:tc>
        <w:tc>
          <w:tcPr>
            <w:tcW w:w="1350" w:type="dxa"/>
            <w:shd w:val="clear" w:color="000000" w:fill="EDEDED"/>
            <w:vAlign w:val="center"/>
            <w:hideMark/>
          </w:tcPr>
          <w:p w:rsidR="000C4F99" w:rsidRPr="00743A41" w:rsidRDefault="000C4F99"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ADDITIONAL FACULTY</w:t>
            </w:r>
          </w:p>
        </w:tc>
      </w:tr>
      <w:tr w:rsidR="000C4F99" w:rsidRPr="00743A41" w:rsidTr="00F026B3">
        <w:trPr>
          <w:gridAfter w:val="1"/>
          <w:wAfter w:w="8" w:type="dxa"/>
          <w:trHeight w:val="300"/>
          <w:tblHeader/>
        </w:trPr>
        <w:tc>
          <w:tcPr>
            <w:tcW w:w="1800" w:type="dxa"/>
            <w:gridSpan w:val="2"/>
            <w:shd w:val="clear" w:color="auto" w:fill="auto"/>
            <w:noWrap/>
            <w:vAlign w:val="center"/>
            <w:hideMark/>
          </w:tcPr>
          <w:p w:rsidR="000C4F99" w:rsidRPr="00743A41" w:rsidRDefault="000C4F99"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MAJOR</w:t>
            </w:r>
          </w:p>
        </w:tc>
        <w:tc>
          <w:tcPr>
            <w:tcW w:w="1350" w:type="dxa"/>
            <w:shd w:val="clear" w:color="000000" w:fill="DDEBF7"/>
            <w:noWrap/>
            <w:vAlign w:val="center"/>
            <w:hideMark/>
          </w:tcPr>
          <w:p w:rsidR="000C4F99" w:rsidRPr="00743A41" w:rsidRDefault="000C4F99"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PIF 1</w:t>
            </w:r>
          </w:p>
        </w:tc>
        <w:tc>
          <w:tcPr>
            <w:tcW w:w="1440" w:type="dxa"/>
            <w:shd w:val="clear" w:color="000000" w:fill="DDEBF7"/>
            <w:noWrap/>
            <w:vAlign w:val="center"/>
            <w:hideMark/>
          </w:tcPr>
          <w:p w:rsidR="000C4F99" w:rsidRPr="00743A41" w:rsidRDefault="000C4F99"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PIF 2</w:t>
            </w:r>
          </w:p>
        </w:tc>
        <w:tc>
          <w:tcPr>
            <w:tcW w:w="1620" w:type="dxa"/>
            <w:shd w:val="clear" w:color="000000" w:fill="DDEBF7"/>
            <w:noWrap/>
            <w:vAlign w:val="center"/>
            <w:hideMark/>
          </w:tcPr>
          <w:p w:rsidR="000C4F99" w:rsidRPr="00743A41" w:rsidRDefault="000C4F99"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FACULTY 3</w:t>
            </w:r>
          </w:p>
        </w:tc>
        <w:tc>
          <w:tcPr>
            <w:tcW w:w="1170" w:type="dxa"/>
            <w:shd w:val="clear" w:color="000000" w:fill="BDD7EE"/>
            <w:noWrap/>
            <w:vAlign w:val="center"/>
            <w:hideMark/>
          </w:tcPr>
          <w:p w:rsidR="000C4F99" w:rsidRPr="00743A41" w:rsidRDefault="000C4F99"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PIF 4</w:t>
            </w:r>
          </w:p>
        </w:tc>
        <w:tc>
          <w:tcPr>
            <w:tcW w:w="1350" w:type="dxa"/>
            <w:shd w:val="clear" w:color="000000" w:fill="EDEDED"/>
            <w:noWrap/>
            <w:vAlign w:val="center"/>
            <w:hideMark/>
          </w:tcPr>
          <w:p w:rsidR="000C4F99" w:rsidRPr="00743A41" w:rsidRDefault="000C4F99" w:rsidP="00A37ED6">
            <w:pPr>
              <w:jc w:val="center"/>
              <w:rPr>
                <w:rFonts w:asciiTheme="majorHAnsi" w:eastAsia="Times New Roman" w:hAnsiTheme="majorHAnsi" w:cstheme="majorHAnsi"/>
                <w:b/>
                <w:bCs/>
                <w:color w:val="000000"/>
                <w:sz w:val="20"/>
                <w:szCs w:val="20"/>
              </w:rPr>
            </w:pPr>
          </w:p>
        </w:tc>
      </w:tr>
      <w:tr w:rsidR="000C4F99" w:rsidRPr="00743A41" w:rsidTr="000C4F99">
        <w:trPr>
          <w:cantSplit/>
          <w:trHeight w:val="300"/>
        </w:trPr>
        <w:tc>
          <w:tcPr>
            <w:tcW w:w="8738" w:type="dxa"/>
            <w:gridSpan w:val="8"/>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r>
      <w:tr w:rsidR="000C4F99" w:rsidRPr="00743A41" w:rsidTr="000C4F99">
        <w:trPr>
          <w:gridAfter w:val="1"/>
          <w:wAfter w:w="8" w:type="dxa"/>
          <w:cantSplit/>
          <w:trHeight w:val="300"/>
        </w:trPr>
        <w:tc>
          <w:tcPr>
            <w:tcW w:w="1800" w:type="dxa"/>
            <w:gridSpan w:val="2"/>
            <w:shd w:val="clear" w:color="auto" w:fill="auto"/>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xml:space="preserve">BIOSTATISTICS </w:t>
            </w:r>
            <w:r w:rsidR="00633E12" w:rsidRPr="00743A41">
              <w:rPr>
                <w:rFonts w:asciiTheme="majorHAnsi" w:eastAsia="Times New Roman" w:hAnsiTheme="majorHAnsi" w:cstheme="majorHAnsi"/>
                <w:color w:val="000000"/>
                <w:sz w:val="20"/>
                <w:szCs w:val="20"/>
              </w:rPr>
              <w:t xml:space="preserve"> </w:t>
            </w:r>
          </w:p>
        </w:tc>
        <w:tc>
          <w:tcPr>
            <w:tcW w:w="135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Jose-Miguel Yamal</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44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Stacia DeSantis</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62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Michael Swartz</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170" w:type="dxa"/>
            <w:vMerge w:val="restart"/>
            <w:shd w:val="clear" w:color="000000" w:fill="BDD7EE"/>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Wenyaw Chan</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p w:rsidR="000C4F99" w:rsidRPr="00743A41" w:rsidRDefault="000C4F99" w:rsidP="00A37ED6">
            <w:pPr>
              <w:rPr>
                <w:rFonts w:asciiTheme="majorHAnsi" w:eastAsia="Times New Roman" w:hAnsiTheme="majorHAnsi" w:cstheme="majorHAnsi"/>
                <w:color w:val="000000"/>
                <w:sz w:val="20"/>
                <w:szCs w:val="20"/>
              </w:rPr>
            </w:pPr>
          </w:p>
        </w:tc>
        <w:tc>
          <w:tcPr>
            <w:tcW w:w="1350" w:type="dxa"/>
            <w:vMerge w:val="restart"/>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PIF: 2</w:t>
            </w:r>
            <w:r w:rsidR="00CD4CD3" w:rsidRPr="00743A41">
              <w:rPr>
                <w:rFonts w:asciiTheme="majorHAnsi" w:eastAsia="Times New Roman" w:hAnsiTheme="majorHAnsi" w:cstheme="majorHAnsi"/>
                <w:color w:val="000000"/>
                <w:sz w:val="20"/>
                <w:szCs w:val="20"/>
              </w:rPr>
              <w:t>1</w:t>
            </w:r>
          </w:p>
        </w:tc>
      </w:tr>
      <w:tr w:rsidR="000C4F99" w:rsidRPr="00743A41" w:rsidTr="000C4F99">
        <w:trPr>
          <w:gridAfter w:val="1"/>
          <w:wAfter w:w="8" w:type="dxa"/>
          <w:cantSplit/>
          <w:trHeight w:val="300"/>
        </w:trPr>
        <w:tc>
          <w:tcPr>
            <w:tcW w:w="489" w:type="dxa"/>
            <w:vMerge w:val="restart"/>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c>
          <w:tcPr>
            <w:tcW w:w="1311" w:type="dxa"/>
            <w:shd w:val="clear" w:color="auto" w:fill="auto"/>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MPH</w:t>
            </w:r>
          </w:p>
        </w:tc>
        <w:tc>
          <w:tcPr>
            <w:tcW w:w="1350" w:type="dxa"/>
            <w:vMerge/>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440" w:type="dxa"/>
            <w:vMerge/>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620" w:type="dxa"/>
            <w:vMerge/>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170" w:type="dxa"/>
            <w:vMerge/>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350" w:type="dxa"/>
            <w:vMerge/>
            <w:vAlign w:val="center"/>
            <w:hideMark/>
          </w:tcPr>
          <w:p w:rsidR="000C4F99" w:rsidRPr="00743A41" w:rsidRDefault="000C4F99" w:rsidP="00A37ED6">
            <w:pPr>
              <w:rPr>
                <w:rFonts w:asciiTheme="majorHAnsi" w:eastAsia="Times New Roman" w:hAnsiTheme="majorHAnsi" w:cstheme="majorHAnsi"/>
                <w:color w:val="000000"/>
                <w:sz w:val="20"/>
                <w:szCs w:val="20"/>
              </w:rPr>
            </w:pPr>
          </w:p>
        </w:tc>
      </w:tr>
      <w:tr w:rsidR="000C4F99" w:rsidRPr="00743A41" w:rsidTr="000C4F99">
        <w:trPr>
          <w:gridAfter w:val="1"/>
          <w:wAfter w:w="8" w:type="dxa"/>
          <w:cantSplit/>
          <w:trHeight w:val="300"/>
        </w:trPr>
        <w:tc>
          <w:tcPr>
            <w:tcW w:w="489" w:type="dxa"/>
            <w:vMerge/>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311" w:type="dxa"/>
            <w:shd w:val="clear" w:color="auto" w:fill="auto"/>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MS</w:t>
            </w:r>
          </w:p>
        </w:tc>
        <w:tc>
          <w:tcPr>
            <w:tcW w:w="135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44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62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170" w:type="dxa"/>
            <w:vMerge/>
            <w:shd w:val="clear" w:color="000000" w:fill="BDD7EE"/>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350" w:type="dxa"/>
            <w:vMerge w:val="restart"/>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xml:space="preserve">Non-PIF: </w:t>
            </w:r>
            <w:r w:rsidR="0007751D" w:rsidRPr="00743A41">
              <w:rPr>
                <w:rFonts w:asciiTheme="majorHAnsi" w:eastAsia="Times New Roman" w:hAnsiTheme="majorHAnsi" w:cstheme="majorHAnsi"/>
                <w:color w:val="000000"/>
                <w:sz w:val="20"/>
                <w:szCs w:val="20"/>
              </w:rPr>
              <w:t>2</w:t>
            </w:r>
          </w:p>
        </w:tc>
      </w:tr>
      <w:tr w:rsidR="000C4F99" w:rsidRPr="00743A41" w:rsidTr="000C4F99">
        <w:trPr>
          <w:gridAfter w:val="1"/>
          <w:wAfter w:w="8" w:type="dxa"/>
          <w:cantSplit/>
          <w:trHeight w:val="300"/>
        </w:trPr>
        <w:tc>
          <w:tcPr>
            <w:tcW w:w="489" w:type="dxa"/>
            <w:vMerge/>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311" w:type="dxa"/>
            <w:shd w:val="clear" w:color="auto" w:fill="auto"/>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PhD</w:t>
            </w:r>
          </w:p>
        </w:tc>
        <w:tc>
          <w:tcPr>
            <w:tcW w:w="135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44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62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170" w:type="dxa"/>
            <w:vMerge/>
            <w:shd w:val="clear" w:color="000000" w:fill="BDD7EE"/>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350" w:type="dxa"/>
            <w:vMerge/>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r>
      <w:tr w:rsidR="000C4F99" w:rsidRPr="00743A41" w:rsidTr="000C4F99">
        <w:trPr>
          <w:cantSplit/>
          <w:trHeight w:val="300"/>
        </w:trPr>
        <w:tc>
          <w:tcPr>
            <w:tcW w:w="489" w:type="dxa"/>
            <w:vMerge/>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8249" w:type="dxa"/>
            <w:gridSpan w:val="7"/>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r>
      <w:tr w:rsidR="000C4F99" w:rsidRPr="00743A41" w:rsidTr="000C4F99">
        <w:trPr>
          <w:gridAfter w:val="1"/>
          <w:wAfter w:w="8" w:type="dxa"/>
          <w:cantSplit/>
          <w:trHeight w:val="300"/>
        </w:trPr>
        <w:tc>
          <w:tcPr>
            <w:tcW w:w="1800" w:type="dxa"/>
            <w:gridSpan w:val="2"/>
            <w:shd w:val="clear" w:color="auto" w:fill="auto"/>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EPIDEMIOLOGY</w:t>
            </w:r>
          </w:p>
        </w:tc>
        <w:tc>
          <w:tcPr>
            <w:tcW w:w="135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Shreela Sharma</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44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Melissa Harrell</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62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Xianglin Du</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170" w:type="dxa"/>
            <w:vMerge w:val="restart"/>
            <w:shd w:val="clear" w:color="000000" w:fill="BDD7EE"/>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Susie Day</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350" w:type="dxa"/>
            <w:vMerge w:val="restart"/>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xml:space="preserve">PIF: </w:t>
            </w:r>
            <w:r w:rsidR="001D5424" w:rsidRPr="00743A41">
              <w:rPr>
                <w:rFonts w:asciiTheme="majorHAnsi" w:eastAsia="Times New Roman" w:hAnsiTheme="majorHAnsi" w:cstheme="majorHAnsi"/>
                <w:color w:val="000000"/>
                <w:sz w:val="20"/>
                <w:szCs w:val="20"/>
              </w:rPr>
              <w:t>49</w:t>
            </w:r>
          </w:p>
        </w:tc>
      </w:tr>
      <w:tr w:rsidR="000C4F99" w:rsidRPr="00743A41" w:rsidTr="000C4F99">
        <w:trPr>
          <w:gridAfter w:val="1"/>
          <w:wAfter w:w="8" w:type="dxa"/>
          <w:cantSplit/>
          <w:trHeight w:val="300"/>
        </w:trPr>
        <w:tc>
          <w:tcPr>
            <w:tcW w:w="489" w:type="dxa"/>
            <w:vMerge w:val="restart"/>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c>
          <w:tcPr>
            <w:tcW w:w="1311" w:type="dxa"/>
            <w:shd w:val="clear" w:color="auto" w:fill="auto"/>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MPH</w:t>
            </w:r>
          </w:p>
        </w:tc>
        <w:tc>
          <w:tcPr>
            <w:tcW w:w="1350" w:type="dxa"/>
            <w:vMerge/>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440" w:type="dxa"/>
            <w:vMerge/>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620" w:type="dxa"/>
            <w:vMerge/>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170" w:type="dxa"/>
            <w:vMerge/>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350" w:type="dxa"/>
            <w:vMerge/>
            <w:vAlign w:val="center"/>
            <w:hideMark/>
          </w:tcPr>
          <w:p w:rsidR="000C4F99" w:rsidRPr="00743A41" w:rsidRDefault="000C4F99" w:rsidP="00A37ED6">
            <w:pPr>
              <w:rPr>
                <w:rFonts w:asciiTheme="majorHAnsi" w:eastAsia="Times New Roman" w:hAnsiTheme="majorHAnsi" w:cstheme="majorHAnsi"/>
                <w:color w:val="000000"/>
                <w:sz w:val="20"/>
                <w:szCs w:val="20"/>
              </w:rPr>
            </w:pPr>
          </w:p>
        </w:tc>
      </w:tr>
      <w:tr w:rsidR="000C4F99" w:rsidRPr="00743A41" w:rsidTr="000C4F99">
        <w:trPr>
          <w:gridAfter w:val="1"/>
          <w:wAfter w:w="8" w:type="dxa"/>
          <w:cantSplit/>
          <w:trHeight w:val="300"/>
        </w:trPr>
        <w:tc>
          <w:tcPr>
            <w:tcW w:w="489" w:type="dxa"/>
            <w:vMerge/>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311" w:type="dxa"/>
            <w:shd w:val="clear" w:color="auto" w:fill="auto"/>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MS</w:t>
            </w:r>
          </w:p>
        </w:tc>
        <w:tc>
          <w:tcPr>
            <w:tcW w:w="1350" w:type="dxa"/>
            <w:vMerge/>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440" w:type="dxa"/>
            <w:vMerge/>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620" w:type="dxa"/>
            <w:vMerge/>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170" w:type="dxa"/>
            <w:vMerge/>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350" w:type="dxa"/>
            <w:vMerge w:val="restart"/>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xml:space="preserve">Non-PIF: </w:t>
            </w:r>
            <w:r w:rsidR="001D5424" w:rsidRPr="00743A41">
              <w:rPr>
                <w:rFonts w:asciiTheme="majorHAnsi" w:eastAsia="Times New Roman" w:hAnsiTheme="majorHAnsi" w:cstheme="majorHAnsi"/>
                <w:color w:val="000000"/>
                <w:sz w:val="20"/>
                <w:szCs w:val="20"/>
              </w:rPr>
              <w:t>8</w:t>
            </w:r>
          </w:p>
        </w:tc>
      </w:tr>
      <w:tr w:rsidR="000C4F99" w:rsidRPr="00743A41" w:rsidTr="000C4F99">
        <w:trPr>
          <w:gridAfter w:val="1"/>
          <w:wAfter w:w="8" w:type="dxa"/>
          <w:cantSplit/>
          <w:trHeight w:val="300"/>
        </w:trPr>
        <w:tc>
          <w:tcPr>
            <w:tcW w:w="489" w:type="dxa"/>
            <w:vMerge/>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311" w:type="dxa"/>
            <w:shd w:val="clear" w:color="auto" w:fill="auto"/>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PhD</w:t>
            </w:r>
          </w:p>
        </w:tc>
        <w:tc>
          <w:tcPr>
            <w:tcW w:w="135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44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62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170" w:type="dxa"/>
            <w:vMerge/>
            <w:shd w:val="clear" w:color="000000" w:fill="BDD7EE"/>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350" w:type="dxa"/>
            <w:vMerge/>
            <w:vAlign w:val="center"/>
            <w:hideMark/>
          </w:tcPr>
          <w:p w:rsidR="000C4F99" w:rsidRPr="00743A41" w:rsidRDefault="000C4F99" w:rsidP="00A37ED6">
            <w:pPr>
              <w:rPr>
                <w:rFonts w:asciiTheme="majorHAnsi" w:eastAsia="Times New Roman" w:hAnsiTheme="majorHAnsi" w:cstheme="majorHAnsi"/>
                <w:color w:val="000000"/>
                <w:sz w:val="20"/>
                <w:szCs w:val="20"/>
              </w:rPr>
            </w:pPr>
          </w:p>
        </w:tc>
      </w:tr>
      <w:tr w:rsidR="000C4F99" w:rsidRPr="00743A41" w:rsidTr="000C4F99">
        <w:trPr>
          <w:cantSplit/>
          <w:trHeight w:val="300"/>
        </w:trPr>
        <w:tc>
          <w:tcPr>
            <w:tcW w:w="489" w:type="dxa"/>
            <w:vMerge/>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8249" w:type="dxa"/>
            <w:gridSpan w:val="7"/>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r>
      <w:tr w:rsidR="000C4F99" w:rsidRPr="00743A41" w:rsidTr="000C4F99">
        <w:trPr>
          <w:gridAfter w:val="1"/>
          <w:wAfter w:w="8" w:type="dxa"/>
          <w:cantSplit/>
          <w:trHeight w:val="900"/>
        </w:trPr>
        <w:tc>
          <w:tcPr>
            <w:tcW w:w="1800" w:type="dxa"/>
            <w:gridSpan w:val="2"/>
            <w:shd w:val="clear" w:color="auto" w:fill="auto"/>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HEALTH PROMOTION/HEALTH EDUCATION</w:t>
            </w:r>
          </w:p>
        </w:tc>
        <w:tc>
          <w:tcPr>
            <w:tcW w:w="135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Melissa Peskin</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44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Christine Markham</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62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Andrew Springer</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170" w:type="dxa"/>
            <w:vMerge w:val="restart"/>
            <w:shd w:val="clear" w:color="000000" w:fill="BDD7EE"/>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Wendell Taylor</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350" w:type="dxa"/>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xml:space="preserve">PIF: </w:t>
            </w:r>
            <w:r w:rsidR="001D5424" w:rsidRPr="00743A41">
              <w:rPr>
                <w:rFonts w:asciiTheme="majorHAnsi" w:eastAsia="Times New Roman" w:hAnsiTheme="majorHAnsi" w:cstheme="majorHAnsi"/>
                <w:color w:val="000000"/>
                <w:sz w:val="20"/>
                <w:szCs w:val="20"/>
              </w:rPr>
              <w:t>37</w:t>
            </w:r>
          </w:p>
        </w:tc>
      </w:tr>
      <w:tr w:rsidR="000C4F99" w:rsidRPr="00743A41" w:rsidTr="000C4F99">
        <w:trPr>
          <w:gridAfter w:val="1"/>
          <w:wAfter w:w="8" w:type="dxa"/>
          <w:cantSplit/>
          <w:trHeight w:val="300"/>
        </w:trPr>
        <w:tc>
          <w:tcPr>
            <w:tcW w:w="489" w:type="dxa"/>
            <w:vMerge w:val="restart"/>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c>
          <w:tcPr>
            <w:tcW w:w="1311" w:type="dxa"/>
            <w:shd w:val="clear" w:color="auto" w:fill="auto"/>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MPH</w:t>
            </w:r>
          </w:p>
        </w:tc>
        <w:tc>
          <w:tcPr>
            <w:tcW w:w="1350" w:type="dxa"/>
            <w:vMerge/>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440" w:type="dxa"/>
            <w:vMerge/>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620" w:type="dxa"/>
            <w:vMerge/>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170" w:type="dxa"/>
            <w:vMerge/>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350" w:type="dxa"/>
            <w:vMerge w:val="restart"/>
            <w:shd w:val="clear" w:color="000000" w:fill="EDEDED"/>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xml:space="preserve">Non-PIF: </w:t>
            </w:r>
            <w:r w:rsidR="001D5424" w:rsidRPr="00743A41">
              <w:rPr>
                <w:rFonts w:asciiTheme="majorHAnsi" w:eastAsia="Times New Roman" w:hAnsiTheme="majorHAnsi" w:cstheme="majorHAnsi"/>
                <w:color w:val="000000"/>
                <w:sz w:val="20"/>
                <w:szCs w:val="20"/>
              </w:rPr>
              <w:t>2</w:t>
            </w:r>
          </w:p>
        </w:tc>
      </w:tr>
      <w:tr w:rsidR="000C4F99" w:rsidRPr="00743A41" w:rsidTr="000C4F99">
        <w:trPr>
          <w:gridAfter w:val="1"/>
          <w:wAfter w:w="8" w:type="dxa"/>
          <w:cantSplit/>
          <w:trHeight w:val="300"/>
        </w:trPr>
        <w:tc>
          <w:tcPr>
            <w:tcW w:w="489" w:type="dxa"/>
            <w:vMerge/>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311" w:type="dxa"/>
            <w:shd w:val="clear" w:color="auto" w:fill="auto"/>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DrPH</w:t>
            </w:r>
          </w:p>
        </w:tc>
        <w:tc>
          <w:tcPr>
            <w:tcW w:w="135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44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62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170" w:type="dxa"/>
            <w:vMerge/>
            <w:shd w:val="clear" w:color="000000" w:fill="BDD7EE"/>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350" w:type="dxa"/>
            <w:vMerge/>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r>
      <w:tr w:rsidR="000C4F99" w:rsidRPr="00743A41" w:rsidTr="000C4F99">
        <w:trPr>
          <w:cantSplit/>
          <w:trHeight w:val="300"/>
        </w:trPr>
        <w:tc>
          <w:tcPr>
            <w:tcW w:w="489" w:type="dxa"/>
            <w:vMerge/>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8249" w:type="dxa"/>
            <w:gridSpan w:val="7"/>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r>
      <w:tr w:rsidR="000C4F99" w:rsidRPr="00743A41" w:rsidTr="000C4F99">
        <w:trPr>
          <w:gridAfter w:val="1"/>
          <w:wAfter w:w="8" w:type="dxa"/>
          <w:cantSplit/>
          <w:trHeight w:val="675"/>
        </w:trPr>
        <w:tc>
          <w:tcPr>
            <w:tcW w:w="1800" w:type="dxa"/>
            <w:gridSpan w:val="2"/>
            <w:shd w:val="clear" w:color="auto" w:fill="auto"/>
            <w:vAlign w:val="center"/>
            <w:hideMark/>
          </w:tcPr>
          <w:p w:rsidR="007107E6" w:rsidRPr="00743A41" w:rsidRDefault="00633E12"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HEALTH PROMOTION</w:t>
            </w:r>
            <w:r w:rsidR="007430A5" w:rsidRPr="00743A41">
              <w:rPr>
                <w:rFonts w:asciiTheme="majorHAnsi" w:eastAsia="Times New Roman" w:hAnsiTheme="majorHAnsi" w:cstheme="majorHAnsi"/>
                <w:color w:val="000000"/>
                <w:sz w:val="20"/>
                <w:szCs w:val="20"/>
              </w:rPr>
              <w:t>/</w:t>
            </w:r>
          </w:p>
          <w:p w:rsidR="000C4F99" w:rsidRPr="00743A41" w:rsidRDefault="00633E12"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xml:space="preserve">HEALTH EDUCATION, </w:t>
            </w:r>
            <w:r w:rsidR="000C4F99" w:rsidRPr="00743A41">
              <w:rPr>
                <w:rFonts w:asciiTheme="majorHAnsi" w:eastAsia="Times New Roman" w:hAnsiTheme="majorHAnsi" w:cstheme="majorHAnsi"/>
                <w:color w:val="000000"/>
                <w:sz w:val="20"/>
                <w:szCs w:val="20"/>
              </w:rPr>
              <w:t xml:space="preserve">DIETETIC INTERNSHIP </w:t>
            </w:r>
            <w:r w:rsidRPr="00743A41">
              <w:rPr>
                <w:rFonts w:asciiTheme="majorHAnsi" w:eastAsia="Times New Roman" w:hAnsiTheme="majorHAnsi" w:cstheme="majorHAnsi"/>
                <w:color w:val="000000"/>
                <w:sz w:val="20"/>
                <w:szCs w:val="20"/>
              </w:rPr>
              <w:t>TRACK</w:t>
            </w:r>
          </w:p>
        </w:tc>
        <w:tc>
          <w:tcPr>
            <w:tcW w:w="135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Jeanne Piga-Plunkett</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44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Deanna Hoelscher</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62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Shreela Sharma</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170" w:type="dxa"/>
            <w:vMerge w:val="restart"/>
            <w:shd w:val="clear" w:color="000000" w:fill="BDD7EE"/>
            <w:noWrap/>
            <w:vAlign w:val="center"/>
          </w:tcPr>
          <w:p w:rsidR="000C4F99" w:rsidRPr="00743A41" w:rsidRDefault="000C4F99" w:rsidP="00A37ED6">
            <w:pPr>
              <w:rPr>
                <w:rFonts w:asciiTheme="majorHAnsi" w:eastAsia="Times New Roman" w:hAnsiTheme="majorHAnsi" w:cstheme="majorHAnsi"/>
                <w:color w:val="000000"/>
                <w:sz w:val="20"/>
                <w:szCs w:val="20"/>
              </w:rPr>
            </w:pPr>
          </w:p>
        </w:tc>
        <w:tc>
          <w:tcPr>
            <w:tcW w:w="1350" w:type="dxa"/>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xml:space="preserve">PIF: </w:t>
            </w:r>
            <w:r w:rsidR="001D5424" w:rsidRPr="00743A41">
              <w:rPr>
                <w:rFonts w:asciiTheme="majorHAnsi" w:eastAsia="Times New Roman" w:hAnsiTheme="majorHAnsi" w:cstheme="majorHAnsi"/>
                <w:color w:val="000000"/>
                <w:sz w:val="20"/>
                <w:szCs w:val="20"/>
              </w:rPr>
              <w:t>13</w:t>
            </w:r>
          </w:p>
        </w:tc>
      </w:tr>
      <w:tr w:rsidR="000C4F99" w:rsidRPr="00743A41" w:rsidTr="000C4F99">
        <w:trPr>
          <w:gridAfter w:val="1"/>
          <w:wAfter w:w="8" w:type="dxa"/>
          <w:cantSplit/>
          <w:trHeight w:val="242"/>
        </w:trPr>
        <w:tc>
          <w:tcPr>
            <w:tcW w:w="489" w:type="dxa"/>
            <w:vMerge w:val="restart"/>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c>
          <w:tcPr>
            <w:tcW w:w="1311" w:type="dxa"/>
            <w:shd w:val="clear" w:color="auto" w:fill="auto"/>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MPH</w:t>
            </w:r>
          </w:p>
        </w:tc>
        <w:tc>
          <w:tcPr>
            <w:tcW w:w="135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44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62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170" w:type="dxa"/>
            <w:vMerge/>
            <w:shd w:val="clear" w:color="000000" w:fill="BDD7EE"/>
            <w:noWrap/>
            <w:vAlign w:val="center"/>
          </w:tcPr>
          <w:p w:rsidR="000C4F99" w:rsidRPr="00743A41" w:rsidRDefault="000C4F99" w:rsidP="00A37ED6">
            <w:pPr>
              <w:rPr>
                <w:rFonts w:asciiTheme="majorHAnsi" w:eastAsia="Times New Roman" w:hAnsiTheme="majorHAnsi" w:cstheme="majorHAnsi"/>
                <w:color w:val="000000"/>
                <w:sz w:val="20"/>
                <w:szCs w:val="20"/>
              </w:rPr>
            </w:pPr>
          </w:p>
        </w:tc>
        <w:tc>
          <w:tcPr>
            <w:tcW w:w="1350" w:type="dxa"/>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xml:space="preserve">Non-PIF: </w:t>
            </w:r>
            <w:r w:rsidR="001D5424" w:rsidRPr="00743A41">
              <w:rPr>
                <w:rFonts w:asciiTheme="majorHAnsi" w:eastAsia="Times New Roman" w:hAnsiTheme="majorHAnsi" w:cstheme="majorHAnsi"/>
                <w:color w:val="000000"/>
                <w:sz w:val="20"/>
                <w:szCs w:val="20"/>
              </w:rPr>
              <w:t>1</w:t>
            </w:r>
          </w:p>
        </w:tc>
      </w:tr>
      <w:tr w:rsidR="000C4F99" w:rsidRPr="00743A41" w:rsidTr="000C4F99">
        <w:trPr>
          <w:cantSplit/>
          <w:trHeight w:val="300"/>
        </w:trPr>
        <w:tc>
          <w:tcPr>
            <w:tcW w:w="489" w:type="dxa"/>
            <w:vMerge/>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8249" w:type="dxa"/>
            <w:gridSpan w:val="7"/>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r>
      <w:tr w:rsidR="000C4F99" w:rsidRPr="00743A41" w:rsidTr="000C4F99">
        <w:trPr>
          <w:gridAfter w:val="1"/>
          <w:wAfter w:w="8" w:type="dxa"/>
          <w:cantSplit/>
          <w:trHeight w:val="300"/>
        </w:trPr>
        <w:tc>
          <w:tcPr>
            <w:tcW w:w="1800" w:type="dxa"/>
            <w:gridSpan w:val="2"/>
            <w:shd w:val="clear" w:color="auto" w:fill="auto"/>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BEHAVIORAL SCIENCE</w:t>
            </w:r>
            <w:r w:rsidR="0007751D" w:rsidRPr="00743A41">
              <w:rPr>
                <w:rFonts w:asciiTheme="majorHAnsi" w:eastAsia="Times New Roman" w:hAnsiTheme="majorHAnsi" w:cstheme="majorHAnsi"/>
                <w:color w:val="000000"/>
                <w:sz w:val="20"/>
                <w:szCs w:val="20"/>
              </w:rPr>
              <w:t>S AND HEALTH PROMOTION</w:t>
            </w:r>
          </w:p>
        </w:tc>
        <w:tc>
          <w:tcPr>
            <w:tcW w:w="135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Christine Markham</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44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Melissa Peskin</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62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Maria Fernandez-Esquer</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170" w:type="dxa"/>
            <w:vMerge w:val="restart"/>
            <w:shd w:val="clear" w:color="000000" w:fill="BDD7EE"/>
            <w:noWrap/>
            <w:vAlign w:val="center"/>
          </w:tcPr>
          <w:p w:rsidR="000C4F99" w:rsidRPr="00743A41" w:rsidRDefault="000C4F99" w:rsidP="00A37ED6">
            <w:pPr>
              <w:rPr>
                <w:rFonts w:asciiTheme="majorHAnsi" w:eastAsia="Times New Roman" w:hAnsiTheme="majorHAnsi" w:cstheme="majorHAnsi"/>
                <w:color w:val="000000"/>
                <w:sz w:val="20"/>
                <w:szCs w:val="20"/>
              </w:rPr>
            </w:pPr>
          </w:p>
        </w:tc>
        <w:tc>
          <w:tcPr>
            <w:tcW w:w="1350" w:type="dxa"/>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xml:space="preserve">PIF: </w:t>
            </w:r>
            <w:r w:rsidR="004E46D4" w:rsidRPr="00743A41">
              <w:rPr>
                <w:rFonts w:asciiTheme="majorHAnsi" w:eastAsia="Times New Roman" w:hAnsiTheme="majorHAnsi" w:cstheme="majorHAnsi"/>
                <w:color w:val="000000"/>
                <w:sz w:val="20"/>
                <w:szCs w:val="20"/>
              </w:rPr>
              <w:t>32</w:t>
            </w:r>
          </w:p>
        </w:tc>
      </w:tr>
      <w:tr w:rsidR="000C4F99" w:rsidRPr="00743A41" w:rsidTr="000C4F99">
        <w:trPr>
          <w:gridAfter w:val="1"/>
          <w:wAfter w:w="8" w:type="dxa"/>
          <w:cantSplit/>
          <w:trHeight w:val="300"/>
        </w:trPr>
        <w:tc>
          <w:tcPr>
            <w:tcW w:w="489" w:type="dxa"/>
            <w:vMerge w:val="restart"/>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c>
          <w:tcPr>
            <w:tcW w:w="1311" w:type="dxa"/>
            <w:shd w:val="clear" w:color="auto" w:fill="auto"/>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PhD</w:t>
            </w:r>
          </w:p>
        </w:tc>
        <w:tc>
          <w:tcPr>
            <w:tcW w:w="135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44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62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170" w:type="dxa"/>
            <w:vMerge/>
            <w:shd w:val="clear" w:color="000000" w:fill="BDD7EE"/>
            <w:noWrap/>
            <w:vAlign w:val="center"/>
          </w:tcPr>
          <w:p w:rsidR="000C4F99" w:rsidRPr="00743A41" w:rsidRDefault="000C4F99" w:rsidP="00A37ED6">
            <w:pPr>
              <w:rPr>
                <w:rFonts w:asciiTheme="majorHAnsi" w:eastAsia="Times New Roman" w:hAnsiTheme="majorHAnsi" w:cstheme="majorHAnsi"/>
                <w:color w:val="000000"/>
                <w:sz w:val="20"/>
                <w:szCs w:val="20"/>
              </w:rPr>
            </w:pPr>
          </w:p>
        </w:tc>
        <w:tc>
          <w:tcPr>
            <w:tcW w:w="1350" w:type="dxa"/>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xml:space="preserve">Non-PIF: </w:t>
            </w:r>
            <w:r w:rsidR="004E46D4" w:rsidRPr="00743A41">
              <w:rPr>
                <w:rFonts w:asciiTheme="majorHAnsi" w:eastAsia="Times New Roman" w:hAnsiTheme="majorHAnsi" w:cstheme="majorHAnsi"/>
                <w:color w:val="000000"/>
                <w:sz w:val="20"/>
                <w:szCs w:val="20"/>
              </w:rPr>
              <w:t>2</w:t>
            </w:r>
          </w:p>
        </w:tc>
      </w:tr>
      <w:tr w:rsidR="000C4F99" w:rsidRPr="00743A41" w:rsidTr="000C4F99">
        <w:trPr>
          <w:cantSplit/>
          <w:trHeight w:val="300"/>
        </w:trPr>
        <w:tc>
          <w:tcPr>
            <w:tcW w:w="489" w:type="dxa"/>
            <w:vMerge/>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8249" w:type="dxa"/>
            <w:gridSpan w:val="7"/>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r>
      <w:tr w:rsidR="000C4F99" w:rsidRPr="00743A41" w:rsidTr="000C4F99">
        <w:trPr>
          <w:gridAfter w:val="1"/>
          <w:wAfter w:w="8" w:type="dxa"/>
          <w:cantSplit/>
          <w:trHeight w:val="300"/>
        </w:trPr>
        <w:tc>
          <w:tcPr>
            <w:tcW w:w="1800" w:type="dxa"/>
            <w:gridSpan w:val="2"/>
            <w:shd w:val="clear" w:color="auto" w:fill="auto"/>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ENVIRONMENTAL HEALTH</w:t>
            </w:r>
          </w:p>
        </w:tc>
        <w:tc>
          <w:tcPr>
            <w:tcW w:w="135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Mary Ann Smith</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44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Larry Whitehead</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62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George Delclos</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170" w:type="dxa"/>
            <w:vMerge w:val="restart"/>
            <w:shd w:val="clear" w:color="000000" w:fill="BDD7EE"/>
            <w:noWrap/>
            <w:vAlign w:val="center"/>
          </w:tcPr>
          <w:p w:rsidR="000C4F99" w:rsidRPr="00743A41" w:rsidRDefault="000C4F99" w:rsidP="00A37ED6">
            <w:pPr>
              <w:rPr>
                <w:rFonts w:asciiTheme="majorHAnsi" w:eastAsia="Times New Roman" w:hAnsiTheme="majorHAnsi" w:cstheme="majorHAnsi"/>
                <w:color w:val="000000"/>
                <w:sz w:val="20"/>
                <w:szCs w:val="20"/>
              </w:rPr>
            </w:pPr>
          </w:p>
        </w:tc>
        <w:tc>
          <w:tcPr>
            <w:tcW w:w="1350" w:type="dxa"/>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xml:space="preserve">PIF: </w:t>
            </w:r>
            <w:r w:rsidR="0077288B" w:rsidRPr="00743A41">
              <w:rPr>
                <w:rFonts w:asciiTheme="majorHAnsi" w:eastAsia="Times New Roman" w:hAnsiTheme="majorHAnsi" w:cstheme="majorHAnsi"/>
                <w:color w:val="000000"/>
                <w:sz w:val="20"/>
                <w:szCs w:val="20"/>
              </w:rPr>
              <w:t>10</w:t>
            </w:r>
          </w:p>
        </w:tc>
      </w:tr>
      <w:tr w:rsidR="000C4F99" w:rsidRPr="00743A41" w:rsidTr="000C4F99">
        <w:trPr>
          <w:gridAfter w:val="1"/>
          <w:wAfter w:w="8" w:type="dxa"/>
          <w:cantSplit/>
          <w:trHeight w:val="440"/>
        </w:trPr>
        <w:tc>
          <w:tcPr>
            <w:tcW w:w="489" w:type="dxa"/>
            <w:vMerge w:val="restart"/>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c>
          <w:tcPr>
            <w:tcW w:w="1311" w:type="dxa"/>
            <w:shd w:val="clear" w:color="auto" w:fill="auto"/>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MPH</w:t>
            </w:r>
          </w:p>
        </w:tc>
        <w:tc>
          <w:tcPr>
            <w:tcW w:w="135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44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62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170" w:type="dxa"/>
            <w:vMerge/>
            <w:shd w:val="clear" w:color="000000" w:fill="BDD7EE"/>
            <w:noWrap/>
            <w:vAlign w:val="center"/>
          </w:tcPr>
          <w:p w:rsidR="000C4F99" w:rsidRPr="00743A41" w:rsidRDefault="000C4F99" w:rsidP="00A37ED6">
            <w:pPr>
              <w:rPr>
                <w:rFonts w:asciiTheme="majorHAnsi" w:eastAsia="Times New Roman" w:hAnsiTheme="majorHAnsi" w:cstheme="majorHAnsi"/>
                <w:color w:val="000000"/>
                <w:sz w:val="20"/>
                <w:szCs w:val="20"/>
              </w:rPr>
            </w:pPr>
          </w:p>
        </w:tc>
        <w:tc>
          <w:tcPr>
            <w:tcW w:w="1350" w:type="dxa"/>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xml:space="preserve">Non-PIF: </w:t>
            </w:r>
            <w:r w:rsidR="0077288B" w:rsidRPr="00743A41">
              <w:rPr>
                <w:rFonts w:asciiTheme="majorHAnsi" w:eastAsia="Times New Roman" w:hAnsiTheme="majorHAnsi" w:cstheme="majorHAnsi"/>
                <w:color w:val="000000"/>
                <w:sz w:val="20"/>
                <w:szCs w:val="20"/>
              </w:rPr>
              <w:t>4</w:t>
            </w:r>
          </w:p>
        </w:tc>
      </w:tr>
      <w:tr w:rsidR="000C4F99" w:rsidRPr="00743A41" w:rsidTr="000C4F99">
        <w:trPr>
          <w:cantSplit/>
          <w:trHeight w:val="300"/>
        </w:trPr>
        <w:tc>
          <w:tcPr>
            <w:tcW w:w="489" w:type="dxa"/>
            <w:vMerge/>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8249" w:type="dxa"/>
            <w:gridSpan w:val="7"/>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r>
      <w:tr w:rsidR="000C4F99" w:rsidRPr="00743A41" w:rsidTr="000C4F99">
        <w:trPr>
          <w:gridAfter w:val="1"/>
          <w:wAfter w:w="8" w:type="dxa"/>
          <w:cantSplit/>
          <w:trHeight w:val="510"/>
        </w:trPr>
        <w:tc>
          <w:tcPr>
            <w:tcW w:w="1800" w:type="dxa"/>
            <w:gridSpan w:val="2"/>
            <w:shd w:val="clear" w:color="auto" w:fill="auto"/>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TOTAL WORKER HEALTH</w:t>
            </w:r>
          </w:p>
        </w:tc>
        <w:tc>
          <w:tcPr>
            <w:tcW w:w="135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David Gimeno</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44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George Delclos</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62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William Perkison</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170" w:type="dxa"/>
            <w:vMerge w:val="restart"/>
            <w:shd w:val="clear" w:color="000000" w:fill="BDD7EE"/>
            <w:noWrap/>
            <w:vAlign w:val="center"/>
          </w:tcPr>
          <w:p w:rsidR="000C4F99" w:rsidRPr="00743A41" w:rsidRDefault="000C4F99" w:rsidP="00A37ED6">
            <w:pPr>
              <w:rPr>
                <w:rFonts w:asciiTheme="majorHAnsi" w:eastAsia="Times New Roman" w:hAnsiTheme="majorHAnsi" w:cstheme="majorHAnsi"/>
                <w:color w:val="000000"/>
                <w:sz w:val="20"/>
                <w:szCs w:val="20"/>
              </w:rPr>
            </w:pPr>
          </w:p>
        </w:tc>
        <w:tc>
          <w:tcPr>
            <w:tcW w:w="1350" w:type="dxa"/>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xml:space="preserve">PIF: </w:t>
            </w:r>
            <w:r w:rsidR="0077288B" w:rsidRPr="00743A41">
              <w:rPr>
                <w:rFonts w:asciiTheme="majorHAnsi" w:eastAsia="Times New Roman" w:hAnsiTheme="majorHAnsi" w:cstheme="majorHAnsi"/>
                <w:color w:val="000000"/>
                <w:sz w:val="20"/>
                <w:szCs w:val="20"/>
              </w:rPr>
              <w:t>7</w:t>
            </w:r>
          </w:p>
        </w:tc>
      </w:tr>
      <w:tr w:rsidR="000C4F99" w:rsidRPr="00743A41" w:rsidTr="000C4F99">
        <w:trPr>
          <w:gridAfter w:val="1"/>
          <w:wAfter w:w="8" w:type="dxa"/>
          <w:cantSplit/>
          <w:trHeight w:val="300"/>
        </w:trPr>
        <w:tc>
          <w:tcPr>
            <w:tcW w:w="489" w:type="dxa"/>
            <w:vMerge w:val="restart"/>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c>
          <w:tcPr>
            <w:tcW w:w="1311" w:type="dxa"/>
            <w:shd w:val="clear" w:color="auto" w:fill="auto"/>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PhD</w:t>
            </w:r>
          </w:p>
        </w:tc>
        <w:tc>
          <w:tcPr>
            <w:tcW w:w="135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44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62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170" w:type="dxa"/>
            <w:vMerge/>
            <w:shd w:val="clear" w:color="000000" w:fill="BDD7EE"/>
            <w:noWrap/>
            <w:vAlign w:val="center"/>
          </w:tcPr>
          <w:p w:rsidR="000C4F99" w:rsidRPr="00743A41" w:rsidRDefault="000C4F99" w:rsidP="00A37ED6">
            <w:pPr>
              <w:rPr>
                <w:rFonts w:asciiTheme="majorHAnsi" w:eastAsia="Times New Roman" w:hAnsiTheme="majorHAnsi" w:cstheme="majorHAnsi"/>
                <w:color w:val="000000"/>
                <w:sz w:val="20"/>
                <w:szCs w:val="20"/>
              </w:rPr>
            </w:pPr>
          </w:p>
        </w:tc>
        <w:tc>
          <w:tcPr>
            <w:tcW w:w="1350" w:type="dxa"/>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xml:space="preserve">Non-PIF: </w:t>
            </w:r>
            <w:r w:rsidR="0077288B" w:rsidRPr="00743A41">
              <w:rPr>
                <w:rFonts w:asciiTheme="majorHAnsi" w:eastAsia="Times New Roman" w:hAnsiTheme="majorHAnsi" w:cstheme="majorHAnsi"/>
                <w:color w:val="000000"/>
                <w:sz w:val="20"/>
                <w:szCs w:val="20"/>
              </w:rPr>
              <w:t>0</w:t>
            </w:r>
          </w:p>
        </w:tc>
      </w:tr>
      <w:tr w:rsidR="000C4F99" w:rsidRPr="00743A41" w:rsidTr="000C4F99">
        <w:trPr>
          <w:cantSplit/>
          <w:trHeight w:val="585"/>
        </w:trPr>
        <w:tc>
          <w:tcPr>
            <w:tcW w:w="489" w:type="dxa"/>
            <w:vMerge/>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8249" w:type="dxa"/>
            <w:gridSpan w:val="7"/>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r>
      <w:tr w:rsidR="000C4F99" w:rsidRPr="00743A41" w:rsidTr="000C4F99">
        <w:trPr>
          <w:gridAfter w:val="1"/>
          <w:wAfter w:w="8" w:type="dxa"/>
          <w:cantSplit/>
          <w:trHeight w:val="300"/>
        </w:trPr>
        <w:tc>
          <w:tcPr>
            <w:tcW w:w="1800" w:type="dxa"/>
            <w:gridSpan w:val="2"/>
            <w:shd w:val="clear" w:color="auto" w:fill="auto"/>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ENVIRONMENTAL DISEASE PREVENTION</w:t>
            </w:r>
          </w:p>
        </w:tc>
        <w:tc>
          <w:tcPr>
            <w:tcW w:w="135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Kristina Mena</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44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Elaine Symanski</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62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Kai Zhang</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170" w:type="dxa"/>
            <w:vMerge w:val="restart"/>
            <w:shd w:val="clear" w:color="000000" w:fill="BDD7EE"/>
            <w:noWrap/>
            <w:vAlign w:val="center"/>
          </w:tcPr>
          <w:p w:rsidR="000C4F99" w:rsidRPr="00743A41" w:rsidRDefault="000C4F99" w:rsidP="00A37ED6">
            <w:pPr>
              <w:rPr>
                <w:rFonts w:asciiTheme="majorHAnsi" w:eastAsia="Times New Roman" w:hAnsiTheme="majorHAnsi" w:cstheme="majorHAnsi"/>
                <w:color w:val="000000"/>
                <w:sz w:val="20"/>
                <w:szCs w:val="20"/>
              </w:rPr>
            </w:pPr>
          </w:p>
        </w:tc>
        <w:tc>
          <w:tcPr>
            <w:tcW w:w="1350" w:type="dxa"/>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xml:space="preserve">PIF: </w:t>
            </w:r>
            <w:r w:rsidR="0077288B" w:rsidRPr="00743A41">
              <w:rPr>
                <w:rFonts w:asciiTheme="majorHAnsi" w:eastAsia="Times New Roman" w:hAnsiTheme="majorHAnsi" w:cstheme="majorHAnsi"/>
                <w:color w:val="000000"/>
                <w:sz w:val="20"/>
                <w:szCs w:val="20"/>
              </w:rPr>
              <w:t>8</w:t>
            </w:r>
          </w:p>
        </w:tc>
      </w:tr>
      <w:tr w:rsidR="000C4F99" w:rsidRPr="00743A41" w:rsidTr="000C4F99">
        <w:trPr>
          <w:gridAfter w:val="1"/>
          <w:wAfter w:w="8" w:type="dxa"/>
          <w:cantSplit/>
          <w:trHeight w:val="300"/>
        </w:trPr>
        <w:tc>
          <w:tcPr>
            <w:tcW w:w="489" w:type="dxa"/>
            <w:vMerge w:val="restart"/>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c>
          <w:tcPr>
            <w:tcW w:w="1311" w:type="dxa"/>
            <w:shd w:val="clear" w:color="auto" w:fill="auto"/>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PhD</w:t>
            </w:r>
          </w:p>
        </w:tc>
        <w:tc>
          <w:tcPr>
            <w:tcW w:w="135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44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62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170" w:type="dxa"/>
            <w:vMerge/>
            <w:shd w:val="clear" w:color="000000" w:fill="BDD7EE"/>
            <w:noWrap/>
            <w:vAlign w:val="center"/>
          </w:tcPr>
          <w:p w:rsidR="000C4F99" w:rsidRPr="00743A41" w:rsidRDefault="000C4F99" w:rsidP="00A37ED6">
            <w:pPr>
              <w:rPr>
                <w:rFonts w:asciiTheme="majorHAnsi" w:eastAsia="Times New Roman" w:hAnsiTheme="majorHAnsi" w:cstheme="majorHAnsi"/>
                <w:color w:val="000000"/>
                <w:sz w:val="20"/>
                <w:szCs w:val="20"/>
              </w:rPr>
            </w:pPr>
          </w:p>
        </w:tc>
        <w:tc>
          <w:tcPr>
            <w:tcW w:w="1350" w:type="dxa"/>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Non-PIF: 1</w:t>
            </w:r>
          </w:p>
        </w:tc>
      </w:tr>
      <w:tr w:rsidR="000C4F99" w:rsidRPr="00743A41" w:rsidTr="000C4F99">
        <w:trPr>
          <w:cantSplit/>
          <w:trHeight w:val="300"/>
        </w:trPr>
        <w:tc>
          <w:tcPr>
            <w:tcW w:w="489" w:type="dxa"/>
            <w:vMerge/>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8249" w:type="dxa"/>
            <w:gridSpan w:val="7"/>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r>
      <w:tr w:rsidR="000C4F99" w:rsidRPr="00743A41" w:rsidTr="000C4F99">
        <w:trPr>
          <w:gridAfter w:val="1"/>
          <w:wAfter w:w="8" w:type="dxa"/>
          <w:cantSplit/>
          <w:trHeight w:val="300"/>
        </w:trPr>
        <w:tc>
          <w:tcPr>
            <w:tcW w:w="1800" w:type="dxa"/>
            <w:gridSpan w:val="2"/>
            <w:shd w:val="clear" w:color="auto" w:fill="auto"/>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COMMUNITY HEALTH PRACTICE</w:t>
            </w:r>
          </w:p>
        </w:tc>
        <w:tc>
          <w:tcPr>
            <w:tcW w:w="135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Cathy Troisi</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44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Vanessa Schick</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62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Paige Wermuth</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170" w:type="dxa"/>
            <w:vMerge w:val="restart"/>
            <w:shd w:val="clear" w:color="000000" w:fill="BDD7EE"/>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Linda Highfield</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350" w:type="dxa"/>
            <w:vMerge w:val="restart"/>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xml:space="preserve">PIF: </w:t>
            </w:r>
            <w:r w:rsidR="0077288B" w:rsidRPr="00743A41">
              <w:rPr>
                <w:rFonts w:asciiTheme="majorHAnsi" w:eastAsia="Times New Roman" w:hAnsiTheme="majorHAnsi" w:cstheme="majorHAnsi"/>
                <w:color w:val="000000"/>
                <w:sz w:val="20"/>
                <w:szCs w:val="20"/>
              </w:rPr>
              <w:t>15</w:t>
            </w:r>
          </w:p>
        </w:tc>
      </w:tr>
      <w:tr w:rsidR="000C4F99" w:rsidRPr="00743A41" w:rsidTr="000C4F99">
        <w:trPr>
          <w:gridAfter w:val="1"/>
          <w:wAfter w:w="8" w:type="dxa"/>
          <w:cantSplit/>
          <w:trHeight w:val="300"/>
        </w:trPr>
        <w:tc>
          <w:tcPr>
            <w:tcW w:w="489" w:type="dxa"/>
            <w:vMerge w:val="restart"/>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c>
          <w:tcPr>
            <w:tcW w:w="1311" w:type="dxa"/>
            <w:shd w:val="clear" w:color="auto" w:fill="auto"/>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MPH</w:t>
            </w:r>
          </w:p>
        </w:tc>
        <w:tc>
          <w:tcPr>
            <w:tcW w:w="1350" w:type="dxa"/>
            <w:vMerge/>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440" w:type="dxa"/>
            <w:vMerge/>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620" w:type="dxa"/>
            <w:vMerge/>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170" w:type="dxa"/>
            <w:vMerge/>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350" w:type="dxa"/>
            <w:vMerge/>
            <w:vAlign w:val="center"/>
            <w:hideMark/>
          </w:tcPr>
          <w:p w:rsidR="000C4F99" w:rsidRPr="00743A41" w:rsidRDefault="000C4F99" w:rsidP="00A37ED6">
            <w:pPr>
              <w:rPr>
                <w:rFonts w:asciiTheme="majorHAnsi" w:eastAsia="Times New Roman" w:hAnsiTheme="majorHAnsi" w:cstheme="majorHAnsi"/>
                <w:color w:val="000000"/>
                <w:sz w:val="20"/>
                <w:szCs w:val="20"/>
              </w:rPr>
            </w:pPr>
          </w:p>
        </w:tc>
      </w:tr>
      <w:tr w:rsidR="000C4F99" w:rsidRPr="00743A41" w:rsidTr="000C4F99">
        <w:trPr>
          <w:gridAfter w:val="1"/>
          <w:wAfter w:w="8" w:type="dxa"/>
          <w:cantSplit/>
          <w:trHeight w:val="300"/>
        </w:trPr>
        <w:tc>
          <w:tcPr>
            <w:tcW w:w="489" w:type="dxa"/>
            <w:vMerge/>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311" w:type="dxa"/>
            <w:shd w:val="clear" w:color="auto" w:fill="auto"/>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DrPH</w:t>
            </w:r>
          </w:p>
        </w:tc>
        <w:tc>
          <w:tcPr>
            <w:tcW w:w="135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44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62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170" w:type="dxa"/>
            <w:vMerge/>
            <w:shd w:val="clear" w:color="000000" w:fill="BDD7EE"/>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350" w:type="dxa"/>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Non-PIF: 2</w:t>
            </w:r>
          </w:p>
        </w:tc>
      </w:tr>
      <w:tr w:rsidR="000C4F99" w:rsidRPr="00743A41" w:rsidTr="000C4F99">
        <w:trPr>
          <w:cantSplit/>
          <w:trHeight w:val="300"/>
        </w:trPr>
        <w:tc>
          <w:tcPr>
            <w:tcW w:w="489" w:type="dxa"/>
            <w:vMerge/>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8249" w:type="dxa"/>
            <w:gridSpan w:val="7"/>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r>
      <w:tr w:rsidR="000C4F99" w:rsidRPr="00743A41" w:rsidTr="000C4F99">
        <w:trPr>
          <w:gridAfter w:val="1"/>
          <w:wAfter w:w="8" w:type="dxa"/>
          <w:cantSplit/>
          <w:trHeight w:val="600"/>
        </w:trPr>
        <w:tc>
          <w:tcPr>
            <w:tcW w:w="1800" w:type="dxa"/>
            <w:gridSpan w:val="2"/>
            <w:shd w:val="clear" w:color="auto" w:fill="auto"/>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HEALTHCARE MANAGEMENT</w:t>
            </w:r>
          </w:p>
        </w:tc>
        <w:tc>
          <w:tcPr>
            <w:tcW w:w="135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Lee Revere</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44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Gretchen Gemeinhardt</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62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Rebecca Wells</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170" w:type="dxa"/>
            <w:vMerge w:val="restart"/>
            <w:shd w:val="clear" w:color="000000" w:fill="BDD7EE"/>
            <w:noWrap/>
            <w:vAlign w:val="center"/>
          </w:tcPr>
          <w:p w:rsidR="000C4F99" w:rsidRPr="00743A41" w:rsidRDefault="000C4F99" w:rsidP="00A37ED6">
            <w:pPr>
              <w:rPr>
                <w:rFonts w:asciiTheme="majorHAnsi" w:eastAsia="Times New Roman" w:hAnsiTheme="majorHAnsi" w:cstheme="majorHAnsi"/>
                <w:color w:val="000000"/>
                <w:sz w:val="20"/>
                <w:szCs w:val="20"/>
              </w:rPr>
            </w:pPr>
          </w:p>
        </w:tc>
        <w:tc>
          <w:tcPr>
            <w:tcW w:w="1350" w:type="dxa"/>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xml:space="preserve">PIF: </w:t>
            </w:r>
            <w:r w:rsidR="0077288B" w:rsidRPr="00743A41">
              <w:rPr>
                <w:rFonts w:asciiTheme="majorHAnsi" w:eastAsia="Times New Roman" w:hAnsiTheme="majorHAnsi" w:cstheme="majorHAnsi"/>
                <w:color w:val="000000"/>
                <w:sz w:val="20"/>
                <w:szCs w:val="20"/>
              </w:rPr>
              <w:t>13</w:t>
            </w:r>
          </w:p>
        </w:tc>
      </w:tr>
      <w:tr w:rsidR="000C4F99" w:rsidRPr="00743A41" w:rsidTr="000C4F99">
        <w:trPr>
          <w:gridAfter w:val="1"/>
          <w:wAfter w:w="8" w:type="dxa"/>
          <w:cantSplit/>
          <w:trHeight w:val="300"/>
        </w:trPr>
        <w:tc>
          <w:tcPr>
            <w:tcW w:w="489" w:type="dxa"/>
            <w:vMerge w:val="restart"/>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c>
          <w:tcPr>
            <w:tcW w:w="1311" w:type="dxa"/>
            <w:shd w:val="clear" w:color="auto" w:fill="auto"/>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MPH</w:t>
            </w:r>
          </w:p>
        </w:tc>
        <w:tc>
          <w:tcPr>
            <w:tcW w:w="135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44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62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170" w:type="dxa"/>
            <w:vMerge/>
            <w:shd w:val="clear" w:color="000000" w:fill="BDD7EE"/>
            <w:noWrap/>
            <w:vAlign w:val="center"/>
          </w:tcPr>
          <w:p w:rsidR="000C4F99" w:rsidRPr="00743A41" w:rsidRDefault="000C4F99" w:rsidP="00A37ED6">
            <w:pPr>
              <w:rPr>
                <w:rFonts w:asciiTheme="majorHAnsi" w:eastAsia="Times New Roman" w:hAnsiTheme="majorHAnsi" w:cstheme="majorHAnsi"/>
                <w:color w:val="000000"/>
                <w:sz w:val="20"/>
                <w:szCs w:val="20"/>
              </w:rPr>
            </w:pPr>
          </w:p>
        </w:tc>
        <w:tc>
          <w:tcPr>
            <w:tcW w:w="1350" w:type="dxa"/>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xml:space="preserve">Non-PIF: </w:t>
            </w:r>
            <w:r w:rsidR="0077288B" w:rsidRPr="00743A41">
              <w:rPr>
                <w:rFonts w:asciiTheme="majorHAnsi" w:eastAsia="Times New Roman" w:hAnsiTheme="majorHAnsi" w:cstheme="majorHAnsi"/>
                <w:color w:val="000000"/>
                <w:sz w:val="20"/>
                <w:szCs w:val="20"/>
              </w:rPr>
              <w:t>6</w:t>
            </w:r>
          </w:p>
        </w:tc>
      </w:tr>
      <w:tr w:rsidR="000C4F99" w:rsidRPr="00743A41" w:rsidTr="000C4F99">
        <w:trPr>
          <w:cantSplit/>
          <w:trHeight w:val="300"/>
        </w:trPr>
        <w:tc>
          <w:tcPr>
            <w:tcW w:w="489" w:type="dxa"/>
            <w:vMerge/>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8249" w:type="dxa"/>
            <w:gridSpan w:val="7"/>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r>
      <w:tr w:rsidR="000C4F99" w:rsidRPr="00743A41" w:rsidTr="000C4F99">
        <w:trPr>
          <w:gridAfter w:val="1"/>
          <w:wAfter w:w="8" w:type="dxa"/>
          <w:cantSplit/>
          <w:trHeight w:val="300"/>
        </w:trPr>
        <w:tc>
          <w:tcPr>
            <w:tcW w:w="1800" w:type="dxa"/>
            <w:gridSpan w:val="2"/>
            <w:shd w:val="clear" w:color="auto" w:fill="auto"/>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HEALTH SERVICES ORGANIZATIONS</w:t>
            </w:r>
          </w:p>
        </w:tc>
        <w:tc>
          <w:tcPr>
            <w:tcW w:w="135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David Lairson</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44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Suja Rajan</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62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Paul Rowan</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170" w:type="dxa"/>
            <w:vMerge w:val="restart"/>
            <w:shd w:val="clear" w:color="000000" w:fill="BDD7EE"/>
            <w:noWrap/>
            <w:vAlign w:val="center"/>
          </w:tcPr>
          <w:p w:rsidR="000C4F99" w:rsidRPr="00743A41" w:rsidRDefault="000C4F99" w:rsidP="00A37ED6">
            <w:pPr>
              <w:rPr>
                <w:rFonts w:asciiTheme="majorHAnsi" w:eastAsia="Times New Roman" w:hAnsiTheme="majorHAnsi" w:cstheme="majorHAnsi"/>
                <w:color w:val="000000"/>
                <w:sz w:val="20"/>
                <w:szCs w:val="20"/>
              </w:rPr>
            </w:pPr>
          </w:p>
        </w:tc>
        <w:tc>
          <w:tcPr>
            <w:tcW w:w="1350" w:type="dxa"/>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xml:space="preserve">PIF: </w:t>
            </w:r>
            <w:r w:rsidR="0077288B" w:rsidRPr="00743A41">
              <w:rPr>
                <w:rFonts w:asciiTheme="majorHAnsi" w:eastAsia="Times New Roman" w:hAnsiTheme="majorHAnsi" w:cstheme="majorHAnsi"/>
                <w:color w:val="000000"/>
                <w:sz w:val="20"/>
                <w:szCs w:val="20"/>
              </w:rPr>
              <w:t>13</w:t>
            </w:r>
          </w:p>
        </w:tc>
      </w:tr>
      <w:tr w:rsidR="000C4F99" w:rsidRPr="00743A41" w:rsidTr="000C4F99">
        <w:trPr>
          <w:gridAfter w:val="1"/>
          <w:wAfter w:w="8" w:type="dxa"/>
          <w:cantSplit/>
          <w:trHeight w:val="300"/>
        </w:trPr>
        <w:tc>
          <w:tcPr>
            <w:tcW w:w="489" w:type="dxa"/>
            <w:vMerge w:val="restart"/>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c>
          <w:tcPr>
            <w:tcW w:w="1311" w:type="dxa"/>
            <w:shd w:val="clear" w:color="auto" w:fill="auto"/>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MPH</w:t>
            </w:r>
          </w:p>
        </w:tc>
        <w:tc>
          <w:tcPr>
            <w:tcW w:w="135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44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62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170" w:type="dxa"/>
            <w:vMerge/>
            <w:shd w:val="clear" w:color="000000" w:fill="BDD7EE"/>
            <w:noWrap/>
            <w:vAlign w:val="center"/>
          </w:tcPr>
          <w:p w:rsidR="000C4F99" w:rsidRPr="00743A41" w:rsidRDefault="000C4F99" w:rsidP="00A37ED6">
            <w:pPr>
              <w:rPr>
                <w:rFonts w:asciiTheme="majorHAnsi" w:eastAsia="Times New Roman" w:hAnsiTheme="majorHAnsi" w:cstheme="majorHAnsi"/>
                <w:color w:val="000000"/>
                <w:sz w:val="20"/>
                <w:szCs w:val="20"/>
              </w:rPr>
            </w:pPr>
          </w:p>
        </w:tc>
        <w:tc>
          <w:tcPr>
            <w:tcW w:w="1350" w:type="dxa"/>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Non-PIF: 2</w:t>
            </w:r>
          </w:p>
        </w:tc>
      </w:tr>
      <w:tr w:rsidR="000C4F99" w:rsidRPr="00743A41" w:rsidTr="000C4F99">
        <w:trPr>
          <w:cantSplit/>
          <w:trHeight w:val="300"/>
        </w:trPr>
        <w:tc>
          <w:tcPr>
            <w:tcW w:w="489" w:type="dxa"/>
            <w:vMerge/>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8249" w:type="dxa"/>
            <w:gridSpan w:val="7"/>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r>
      <w:tr w:rsidR="000C4F99" w:rsidRPr="00743A41" w:rsidTr="000C4F99">
        <w:trPr>
          <w:gridAfter w:val="1"/>
          <w:wAfter w:w="8" w:type="dxa"/>
          <w:cantSplit/>
          <w:trHeight w:val="300"/>
        </w:trPr>
        <w:tc>
          <w:tcPr>
            <w:tcW w:w="1800" w:type="dxa"/>
            <w:gridSpan w:val="2"/>
            <w:shd w:val="clear" w:color="auto" w:fill="auto"/>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HEALTH ECONOMICS AND HEALTH SERVICES RESEARCH</w:t>
            </w:r>
          </w:p>
        </w:tc>
        <w:tc>
          <w:tcPr>
            <w:tcW w:w="135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Suja Rajan</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44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David Lairson</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62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Paul Rowan</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170" w:type="dxa"/>
            <w:vMerge w:val="restart"/>
            <w:shd w:val="clear" w:color="000000" w:fill="BDD7EE"/>
            <w:noWrap/>
            <w:vAlign w:val="center"/>
          </w:tcPr>
          <w:p w:rsidR="000C4F99" w:rsidRPr="00743A41" w:rsidRDefault="000C4F99" w:rsidP="00A37ED6">
            <w:pPr>
              <w:rPr>
                <w:rFonts w:asciiTheme="majorHAnsi" w:eastAsia="Times New Roman" w:hAnsiTheme="majorHAnsi" w:cstheme="majorHAnsi"/>
                <w:color w:val="000000"/>
                <w:sz w:val="20"/>
                <w:szCs w:val="20"/>
              </w:rPr>
            </w:pPr>
          </w:p>
        </w:tc>
        <w:tc>
          <w:tcPr>
            <w:tcW w:w="1350" w:type="dxa"/>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xml:space="preserve">PIF: </w:t>
            </w:r>
            <w:r w:rsidR="0077288B" w:rsidRPr="00743A41">
              <w:rPr>
                <w:rFonts w:asciiTheme="majorHAnsi" w:eastAsia="Times New Roman" w:hAnsiTheme="majorHAnsi" w:cstheme="majorHAnsi"/>
                <w:color w:val="000000"/>
                <w:sz w:val="20"/>
                <w:szCs w:val="20"/>
              </w:rPr>
              <w:t>16</w:t>
            </w:r>
          </w:p>
        </w:tc>
      </w:tr>
      <w:tr w:rsidR="000C4F99" w:rsidRPr="00743A41" w:rsidTr="000C4F99">
        <w:trPr>
          <w:gridAfter w:val="1"/>
          <w:wAfter w:w="8" w:type="dxa"/>
          <w:cantSplit/>
          <w:trHeight w:val="300"/>
        </w:trPr>
        <w:tc>
          <w:tcPr>
            <w:tcW w:w="489" w:type="dxa"/>
            <w:vMerge w:val="restart"/>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c>
          <w:tcPr>
            <w:tcW w:w="1311" w:type="dxa"/>
            <w:shd w:val="clear" w:color="auto" w:fill="auto"/>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PhD</w:t>
            </w:r>
          </w:p>
        </w:tc>
        <w:tc>
          <w:tcPr>
            <w:tcW w:w="135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44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62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170" w:type="dxa"/>
            <w:vMerge/>
            <w:shd w:val="clear" w:color="000000" w:fill="BDD7EE"/>
            <w:noWrap/>
            <w:vAlign w:val="center"/>
          </w:tcPr>
          <w:p w:rsidR="000C4F99" w:rsidRPr="00743A41" w:rsidRDefault="000C4F99" w:rsidP="00A37ED6">
            <w:pPr>
              <w:rPr>
                <w:rFonts w:asciiTheme="majorHAnsi" w:eastAsia="Times New Roman" w:hAnsiTheme="majorHAnsi" w:cstheme="majorHAnsi"/>
                <w:color w:val="000000"/>
                <w:sz w:val="20"/>
                <w:szCs w:val="20"/>
              </w:rPr>
            </w:pPr>
          </w:p>
        </w:tc>
        <w:tc>
          <w:tcPr>
            <w:tcW w:w="1350" w:type="dxa"/>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Non-PIF: 2</w:t>
            </w:r>
          </w:p>
        </w:tc>
      </w:tr>
      <w:tr w:rsidR="000C4F99" w:rsidRPr="00743A41" w:rsidTr="000C4F99">
        <w:trPr>
          <w:cantSplit/>
          <w:trHeight w:val="300"/>
        </w:trPr>
        <w:tc>
          <w:tcPr>
            <w:tcW w:w="489" w:type="dxa"/>
            <w:vMerge/>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8249" w:type="dxa"/>
            <w:gridSpan w:val="7"/>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r>
      <w:tr w:rsidR="000C4F99" w:rsidRPr="00743A41" w:rsidTr="000C4F99">
        <w:trPr>
          <w:gridAfter w:val="1"/>
          <w:wAfter w:w="8" w:type="dxa"/>
          <w:cantSplit/>
          <w:trHeight w:val="630"/>
        </w:trPr>
        <w:tc>
          <w:tcPr>
            <w:tcW w:w="1800" w:type="dxa"/>
            <w:gridSpan w:val="2"/>
            <w:shd w:val="clear" w:color="auto" w:fill="auto"/>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HEALTHCARE MANAGEMENT AND HEALTH POLICY</w:t>
            </w:r>
          </w:p>
        </w:tc>
        <w:tc>
          <w:tcPr>
            <w:tcW w:w="135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Lee Revere</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44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Gretchen Gemeinhardt</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62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Rebecca Wells</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170" w:type="dxa"/>
            <w:vMerge w:val="restart"/>
            <w:shd w:val="clear" w:color="000000" w:fill="BDD7EE"/>
            <w:noWrap/>
            <w:vAlign w:val="center"/>
          </w:tcPr>
          <w:p w:rsidR="000C4F99" w:rsidRPr="00743A41" w:rsidRDefault="000C4F99" w:rsidP="00A37ED6">
            <w:pPr>
              <w:rPr>
                <w:rFonts w:asciiTheme="majorHAnsi" w:eastAsia="Times New Roman" w:hAnsiTheme="majorHAnsi" w:cstheme="majorHAnsi"/>
                <w:color w:val="000000"/>
                <w:sz w:val="20"/>
                <w:szCs w:val="20"/>
              </w:rPr>
            </w:pPr>
          </w:p>
        </w:tc>
        <w:tc>
          <w:tcPr>
            <w:tcW w:w="1350" w:type="dxa"/>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xml:space="preserve">PIF: </w:t>
            </w:r>
            <w:r w:rsidR="0077288B" w:rsidRPr="00743A41">
              <w:rPr>
                <w:rFonts w:asciiTheme="majorHAnsi" w:eastAsia="Times New Roman" w:hAnsiTheme="majorHAnsi" w:cstheme="majorHAnsi"/>
                <w:color w:val="000000"/>
                <w:sz w:val="20"/>
                <w:szCs w:val="20"/>
              </w:rPr>
              <w:t>12</w:t>
            </w:r>
          </w:p>
        </w:tc>
      </w:tr>
      <w:tr w:rsidR="000C4F99" w:rsidRPr="00743A41" w:rsidTr="000C4F99">
        <w:trPr>
          <w:gridAfter w:val="1"/>
          <w:wAfter w:w="8" w:type="dxa"/>
          <w:cantSplit/>
          <w:trHeight w:val="300"/>
        </w:trPr>
        <w:tc>
          <w:tcPr>
            <w:tcW w:w="489" w:type="dxa"/>
            <w:vMerge w:val="restart"/>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c>
          <w:tcPr>
            <w:tcW w:w="1311" w:type="dxa"/>
            <w:shd w:val="clear" w:color="auto" w:fill="auto"/>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PhD</w:t>
            </w:r>
          </w:p>
        </w:tc>
        <w:tc>
          <w:tcPr>
            <w:tcW w:w="135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44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62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170" w:type="dxa"/>
            <w:vMerge/>
            <w:shd w:val="clear" w:color="000000" w:fill="BDD7EE"/>
            <w:noWrap/>
            <w:vAlign w:val="center"/>
          </w:tcPr>
          <w:p w:rsidR="000C4F99" w:rsidRPr="00743A41" w:rsidRDefault="000C4F99" w:rsidP="00A37ED6">
            <w:pPr>
              <w:rPr>
                <w:rFonts w:asciiTheme="majorHAnsi" w:eastAsia="Times New Roman" w:hAnsiTheme="majorHAnsi" w:cstheme="majorHAnsi"/>
                <w:color w:val="000000"/>
                <w:sz w:val="20"/>
                <w:szCs w:val="20"/>
              </w:rPr>
            </w:pPr>
          </w:p>
        </w:tc>
        <w:tc>
          <w:tcPr>
            <w:tcW w:w="1350" w:type="dxa"/>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xml:space="preserve">Non-PIF: </w:t>
            </w:r>
            <w:r w:rsidR="0077288B" w:rsidRPr="00743A41">
              <w:rPr>
                <w:rFonts w:asciiTheme="majorHAnsi" w:eastAsia="Times New Roman" w:hAnsiTheme="majorHAnsi" w:cstheme="majorHAnsi"/>
                <w:color w:val="000000"/>
                <w:sz w:val="20"/>
                <w:szCs w:val="20"/>
              </w:rPr>
              <w:t>7</w:t>
            </w:r>
          </w:p>
        </w:tc>
      </w:tr>
      <w:tr w:rsidR="000C4F99" w:rsidRPr="00743A41" w:rsidTr="000C4F99">
        <w:trPr>
          <w:cantSplit/>
          <w:trHeight w:val="300"/>
        </w:trPr>
        <w:tc>
          <w:tcPr>
            <w:tcW w:w="489" w:type="dxa"/>
            <w:vMerge/>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8249" w:type="dxa"/>
            <w:gridSpan w:val="7"/>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r>
      <w:tr w:rsidR="000C4F99" w:rsidRPr="00743A41" w:rsidTr="000C4F99">
        <w:trPr>
          <w:gridAfter w:val="1"/>
          <w:wAfter w:w="8" w:type="dxa"/>
          <w:cantSplit/>
          <w:trHeight w:val="570"/>
        </w:trPr>
        <w:tc>
          <w:tcPr>
            <w:tcW w:w="1800" w:type="dxa"/>
            <w:gridSpan w:val="2"/>
            <w:shd w:val="clear" w:color="auto" w:fill="auto"/>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CUSTOMIZED</w:t>
            </w:r>
          </w:p>
        </w:tc>
        <w:tc>
          <w:tcPr>
            <w:tcW w:w="135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Linda Piller</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44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Melissa Valerio</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620" w:type="dxa"/>
            <w:vMerge w:val="restart"/>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Bijal Balasubramanian</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1.0</w:t>
            </w:r>
          </w:p>
        </w:tc>
        <w:tc>
          <w:tcPr>
            <w:tcW w:w="1170" w:type="dxa"/>
            <w:vMerge w:val="restart"/>
            <w:shd w:val="clear" w:color="000000" w:fill="BDD7EE"/>
            <w:noWrap/>
            <w:vAlign w:val="center"/>
          </w:tcPr>
          <w:p w:rsidR="000C4F99" w:rsidRPr="00743A41" w:rsidRDefault="000C4F99" w:rsidP="00A37ED6">
            <w:pPr>
              <w:rPr>
                <w:rFonts w:asciiTheme="majorHAnsi" w:eastAsia="Times New Roman" w:hAnsiTheme="majorHAnsi" w:cstheme="majorHAnsi"/>
                <w:color w:val="000000"/>
                <w:sz w:val="20"/>
                <w:szCs w:val="20"/>
              </w:rPr>
            </w:pPr>
          </w:p>
        </w:tc>
        <w:tc>
          <w:tcPr>
            <w:tcW w:w="1350" w:type="dxa"/>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xml:space="preserve">PIF: </w:t>
            </w:r>
            <w:r w:rsidR="0007751D" w:rsidRPr="00743A41">
              <w:rPr>
                <w:rFonts w:asciiTheme="majorHAnsi" w:eastAsia="Times New Roman" w:hAnsiTheme="majorHAnsi" w:cstheme="majorHAnsi"/>
                <w:color w:val="000000"/>
                <w:sz w:val="20"/>
                <w:szCs w:val="20"/>
              </w:rPr>
              <w:t>132</w:t>
            </w:r>
          </w:p>
        </w:tc>
      </w:tr>
      <w:tr w:rsidR="000C4F99" w:rsidRPr="00743A41" w:rsidTr="000C4F99">
        <w:trPr>
          <w:gridAfter w:val="1"/>
          <w:wAfter w:w="8" w:type="dxa"/>
          <w:cantSplit/>
          <w:trHeight w:val="300"/>
        </w:trPr>
        <w:tc>
          <w:tcPr>
            <w:tcW w:w="489" w:type="dxa"/>
            <w:vMerge w:val="restart"/>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c>
          <w:tcPr>
            <w:tcW w:w="1311" w:type="dxa"/>
            <w:shd w:val="clear" w:color="auto" w:fill="auto"/>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MPH</w:t>
            </w:r>
          </w:p>
        </w:tc>
        <w:tc>
          <w:tcPr>
            <w:tcW w:w="135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44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620" w:type="dxa"/>
            <w:vMerge/>
            <w:shd w:val="clear" w:color="000000" w:fill="DDEBF7"/>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1170" w:type="dxa"/>
            <w:vMerge/>
            <w:shd w:val="clear" w:color="000000" w:fill="BDD7EE"/>
            <w:noWrap/>
            <w:vAlign w:val="center"/>
          </w:tcPr>
          <w:p w:rsidR="000C4F99" w:rsidRPr="00743A41" w:rsidRDefault="000C4F99" w:rsidP="00A37ED6">
            <w:pPr>
              <w:rPr>
                <w:rFonts w:asciiTheme="majorHAnsi" w:eastAsia="Times New Roman" w:hAnsiTheme="majorHAnsi" w:cstheme="majorHAnsi"/>
                <w:color w:val="000000"/>
                <w:sz w:val="20"/>
                <w:szCs w:val="20"/>
              </w:rPr>
            </w:pPr>
          </w:p>
        </w:tc>
        <w:tc>
          <w:tcPr>
            <w:tcW w:w="1350" w:type="dxa"/>
            <w:shd w:val="clear" w:color="000000" w:fill="EDEDED"/>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xml:space="preserve">Non-PIF: </w:t>
            </w:r>
            <w:r w:rsidR="0007751D" w:rsidRPr="00743A41">
              <w:rPr>
                <w:rFonts w:asciiTheme="majorHAnsi" w:eastAsia="Times New Roman" w:hAnsiTheme="majorHAnsi" w:cstheme="majorHAnsi"/>
                <w:color w:val="000000"/>
                <w:sz w:val="20"/>
                <w:szCs w:val="20"/>
              </w:rPr>
              <w:t>24</w:t>
            </w:r>
          </w:p>
        </w:tc>
      </w:tr>
      <w:tr w:rsidR="000C4F99" w:rsidRPr="00743A41" w:rsidTr="000C4F99">
        <w:trPr>
          <w:cantSplit/>
          <w:trHeight w:val="300"/>
        </w:trPr>
        <w:tc>
          <w:tcPr>
            <w:tcW w:w="489" w:type="dxa"/>
            <w:vMerge/>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p>
        </w:tc>
        <w:tc>
          <w:tcPr>
            <w:tcW w:w="8249" w:type="dxa"/>
            <w:gridSpan w:val="7"/>
            <w:shd w:val="clear" w:color="000000" w:fill="808080"/>
            <w:noWrap/>
            <w:vAlign w:val="center"/>
            <w:hideMark/>
          </w:tcPr>
          <w:p w:rsidR="000C4F99"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p>
        </w:tc>
      </w:tr>
    </w:tbl>
    <w:p w:rsidR="00933038" w:rsidRPr="00743A41" w:rsidRDefault="00933038" w:rsidP="00A37ED6">
      <w:pPr>
        <w:ind w:left="720"/>
        <w:jc w:val="both"/>
        <w:rPr>
          <w:rFonts w:asciiTheme="majorHAnsi" w:eastAsia="Calibri" w:hAnsiTheme="majorHAnsi" w:cstheme="majorHAnsi"/>
          <w:sz w:val="20"/>
          <w:szCs w:val="20"/>
        </w:rPr>
      </w:pPr>
    </w:p>
    <w:tbl>
      <w:tblPr>
        <w:tblW w:w="3150" w:type="dxa"/>
        <w:tblInd w:w="720" w:type="dxa"/>
        <w:tblLook w:val="04A0" w:firstRow="1" w:lastRow="0" w:firstColumn="1" w:lastColumn="0" w:noHBand="0" w:noVBand="1"/>
      </w:tblPr>
      <w:tblGrid>
        <w:gridCol w:w="990"/>
        <w:gridCol w:w="1440"/>
        <w:gridCol w:w="720"/>
      </w:tblGrid>
      <w:tr w:rsidR="00996E07" w:rsidRPr="00743A41" w:rsidTr="000C4F99">
        <w:trPr>
          <w:trHeight w:val="318"/>
        </w:trPr>
        <w:tc>
          <w:tcPr>
            <w:tcW w:w="990" w:type="dxa"/>
            <w:tcBorders>
              <w:top w:val="nil"/>
              <w:left w:val="nil"/>
              <w:bottom w:val="nil"/>
              <w:right w:val="nil"/>
            </w:tcBorders>
            <w:shd w:val="clear" w:color="auto" w:fill="auto"/>
            <w:noWrap/>
            <w:vAlign w:val="bottom"/>
            <w:hideMark/>
          </w:tcPr>
          <w:p w:rsidR="00996E07" w:rsidRPr="00743A41" w:rsidRDefault="00996E07" w:rsidP="00A37ED6">
            <w:pP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TOTALS: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E07"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NAMED PIF</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96E07" w:rsidRPr="00743A41" w:rsidRDefault="00996E07"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r w:rsidR="0033483E" w:rsidRPr="00743A41">
              <w:rPr>
                <w:rFonts w:asciiTheme="majorHAnsi" w:eastAsia="Times New Roman" w:hAnsiTheme="majorHAnsi" w:cstheme="majorHAnsi"/>
                <w:color w:val="000000"/>
                <w:sz w:val="20"/>
                <w:szCs w:val="20"/>
              </w:rPr>
              <w:t>36</w:t>
            </w:r>
          </w:p>
        </w:tc>
      </w:tr>
      <w:tr w:rsidR="00996E07" w:rsidRPr="00743A41" w:rsidTr="000C4F99">
        <w:trPr>
          <w:trHeight w:val="318"/>
        </w:trPr>
        <w:tc>
          <w:tcPr>
            <w:tcW w:w="990" w:type="dxa"/>
            <w:tcBorders>
              <w:top w:val="nil"/>
              <w:left w:val="nil"/>
              <w:bottom w:val="nil"/>
              <w:right w:val="nil"/>
            </w:tcBorders>
            <w:shd w:val="clear" w:color="auto" w:fill="auto"/>
            <w:noWrap/>
            <w:vAlign w:val="bottom"/>
            <w:hideMark/>
          </w:tcPr>
          <w:p w:rsidR="00996E07" w:rsidRPr="00743A41" w:rsidRDefault="00996E07" w:rsidP="00A37ED6">
            <w:pPr>
              <w:rPr>
                <w:rFonts w:asciiTheme="majorHAnsi" w:eastAsia="Times New Roman" w:hAnsiTheme="majorHAnsi" w:cstheme="majorHAnsi"/>
                <w:color w:val="000000"/>
                <w:sz w:val="20"/>
                <w:szCs w:val="20"/>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96E07"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TOTAL</w:t>
            </w:r>
            <w:r w:rsidR="00996E07" w:rsidRPr="00743A41">
              <w:rPr>
                <w:rFonts w:asciiTheme="majorHAnsi" w:eastAsia="Times New Roman" w:hAnsiTheme="majorHAnsi" w:cstheme="majorHAnsi"/>
                <w:color w:val="000000"/>
                <w:sz w:val="20"/>
                <w:szCs w:val="20"/>
              </w:rPr>
              <w:t xml:space="preserve"> PIF</w:t>
            </w:r>
          </w:p>
        </w:tc>
        <w:tc>
          <w:tcPr>
            <w:tcW w:w="720" w:type="dxa"/>
            <w:tcBorders>
              <w:top w:val="nil"/>
              <w:left w:val="nil"/>
              <w:bottom w:val="single" w:sz="4" w:space="0" w:color="auto"/>
              <w:right w:val="single" w:sz="4" w:space="0" w:color="auto"/>
            </w:tcBorders>
            <w:shd w:val="clear" w:color="auto" w:fill="auto"/>
            <w:noWrap/>
            <w:vAlign w:val="bottom"/>
            <w:hideMark/>
          </w:tcPr>
          <w:p w:rsidR="00996E07" w:rsidRPr="00743A41" w:rsidRDefault="00996E07"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r w:rsidR="001D7734" w:rsidRPr="00743A41">
              <w:rPr>
                <w:rFonts w:asciiTheme="majorHAnsi" w:eastAsia="Times New Roman" w:hAnsiTheme="majorHAnsi" w:cstheme="majorHAnsi"/>
                <w:color w:val="000000"/>
                <w:sz w:val="20"/>
                <w:szCs w:val="20"/>
              </w:rPr>
              <w:t>13</w:t>
            </w:r>
            <w:r w:rsidR="00CD4CD3" w:rsidRPr="00743A41">
              <w:rPr>
                <w:rFonts w:asciiTheme="majorHAnsi" w:eastAsia="Times New Roman" w:hAnsiTheme="majorHAnsi" w:cstheme="majorHAnsi"/>
                <w:color w:val="000000"/>
                <w:sz w:val="20"/>
                <w:szCs w:val="20"/>
              </w:rPr>
              <w:t>1</w:t>
            </w:r>
          </w:p>
        </w:tc>
      </w:tr>
      <w:tr w:rsidR="00996E07" w:rsidRPr="00743A41" w:rsidTr="000C4F99">
        <w:trPr>
          <w:trHeight w:val="318"/>
        </w:trPr>
        <w:tc>
          <w:tcPr>
            <w:tcW w:w="990" w:type="dxa"/>
            <w:tcBorders>
              <w:top w:val="nil"/>
              <w:left w:val="nil"/>
              <w:bottom w:val="nil"/>
              <w:right w:val="nil"/>
            </w:tcBorders>
            <w:shd w:val="clear" w:color="auto" w:fill="auto"/>
            <w:noWrap/>
            <w:vAlign w:val="bottom"/>
            <w:hideMark/>
          </w:tcPr>
          <w:p w:rsidR="00996E07" w:rsidRPr="00743A41" w:rsidRDefault="00996E07" w:rsidP="00A37ED6">
            <w:pPr>
              <w:rPr>
                <w:rFonts w:asciiTheme="majorHAnsi" w:eastAsia="Times New Roman" w:hAnsiTheme="majorHAnsi" w:cstheme="majorHAnsi"/>
                <w:color w:val="000000"/>
                <w:sz w:val="20"/>
                <w:szCs w:val="20"/>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96E07" w:rsidRPr="00743A41" w:rsidRDefault="000C4F99"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NON</w:t>
            </w:r>
            <w:r w:rsidR="00996E07" w:rsidRPr="00743A41">
              <w:rPr>
                <w:rFonts w:asciiTheme="majorHAnsi" w:eastAsia="Times New Roman" w:hAnsiTheme="majorHAnsi" w:cstheme="majorHAnsi"/>
                <w:color w:val="000000"/>
                <w:sz w:val="20"/>
                <w:szCs w:val="20"/>
              </w:rPr>
              <w:t>-PIF</w:t>
            </w:r>
          </w:p>
        </w:tc>
        <w:tc>
          <w:tcPr>
            <w:tcW w:w="720" w:type="dxa"/>
            <w:tcBorders>
              <w:top w:val="nil"/>
              <w:left w:val="nil"/>
              <w:bottom w:val="single" w:sz="4" w:space="0" w:color="auto"/>
              <w:right w:val="single" w:sz="4" w:space="0" w:color="auto"/>
            </w:tcBorders>
            <w:shd w:val="clear" w:color="auto" w:fill="auto"/>
            <w:noWrap/>
            <w:vAlign w:val="bottom"/>
            <w:hideMark/>
          </w:tcPr>
          <w:p w:rsidR="00996E07" w:rsidRPr="00743A41" w:rsidRDefault="00996E07"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 </w:t>
            </w:r>
            <w:r w:rsidR="001D7734" w:rsidRPr="00743A41">
              <w:rPr>
                <w:rFonts w:asciiTheme="majorHAnsi" w:eastAsia="Times New Roman" w:hAnsiTheme="majorHAnsi" w:cstheme="majorHAnsi"/>
                <w:color w:val="000000"/>
                <w:sz w:val="20"/>
                <w:szCs w:val="20"/>
              </w:rPr>
              <w:t>24</w:t>
            </w:r>
          </w:p>
        </w:tc>
      </w:tr>
    </w:tbl>
    <w:p w:rsidR="00933038" w:rsidRPr="00743A41" w:rsidRDefault="00933038" w:rsidP="00A37ED6">
      <w:pPr>
        <w:jc w:val="both"/>
        <w:rPr>
          <w:rFonts w:asciiTheme="majorHAnsi" w:eastAsia="Calibri" w:hAnsiTheme="majorHAnsi" w:cstheme="majorHAnsi"/>
          <w:sz w:val="20"/>
          <w:szCs w:val="20"/>
        </w:rPr>
      </w:pPr>
    </w:p>
    <w:p w:rsidR="00933038" w:rsidRPr="00743A41" w:rsidRDefault="00414350" w:rsidP="00A37ED6">
      <w:pPr>
        <w:numPr>
          <w:ilvl w:val="0"/>
          <w:numId w:val="12"/>
        </w:numPr>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All primary instructional faculty, by definition, are allocated 1.0 FTE. Schools must explain the method for calculating FTE for any non-primary instructional faculty presented in C2-1.</w:t>
      </w:r>
      <w:r w:rsidR="00933038" w:rsidRPr="00743A41">
        <w:rPr>
          <w:rFonts w:asciiTheme="majorHAnsi" w:eastAsia="Calibri" w:hAnsiTheme="majorHAnsi" w:cstheme="majorHAnsi"/>
          <w:sz w:val="20"/>
          <w:szCs w:val="20"/>
        </w:rPr>
        <w:t xml:space="preserve"> </w:t>
      </w:r>
    </w:p>
    <w:p w:rsidR="00933038" w:rsidRPr="00743A41" w:rsidRDefault="00933038" w:rsidP="00A37ED6">
      <w:pPr>
        <w:ind w:left="720"/>
        <w:jc w:val="both"/>
        <w:rPr>
          <w:rFonts w:asciiTheme="majorHAnsi" w:eastAsia="Calibri" w:hAnsiTheme="majorHAnsi" w:cstheme="majorHAnsi"/>
          <w:sz w:val="20"/>
          <w:szCs w:val="20"/>
        </w:rPr>
      </w:pPr>
    </w:p>
    <w:p w:rsidR="00D670DF" w:rsidRPr="00743A41" w:rsidRDefault="00D670DF" w:rsidP="00A37ED6">
      <w:pPr>
        <w:ind w:left="720"/>
        <w:rPr>
          <w:rFonts w:asciiTheme="majorHAnsi" w:eastAsia="Calibri" w:hAnsiTheme="majorHAnsi" w:cstheme="majorHAnsi"/>
          <w:i/>
          <w:sz w:val="20"/>
          <w:szCs w:val="20"/>
        </w:rPr>
      </w:pPr>
      <w:r w:rsidRPr="00743A41">
        <w:rPr>
          <w:rFonts w:asciiTheme="majorHAnsi" w:eastAsia="Arial" w:hAnsiTheme="majorHAnsi" w:cstheme="majorHAnsi"/>
          <w:sz w:val="20"/>
          <w:szCs w:val="20"/>
        </w:rPr>
        <w:t>All full-time faculty that are appointed to the UTHealth School of Public Health at 1.0 FTE are considered primary instructional faculty and, thus, are included in the calculation based on their primary teaching appointment. Primary instructional faculty are expected to teach a minimum of 2–3 courses each academic year. Faculty from all departments and campuses contribute to the teaching of customized MPH students. Non-primary instructional faculty are those who hold faculty appointments at less than 1.0 FTE.</w:t>
      </w:r>
    </w:p>
    <w:p w:rsidR="00933038" w:rsidRPr="00743A41" w:rsidRDefault="00933038" w:rsidP="00A37ED6">
      <w:pPr>
        <w:ind w:left="720"/>
        <w:jc w:val="both"/>
        <w:rPr>
          <w:rFonts w:asciiTheme="majorHAnsi" w:eastAsia="Calibri" w:hAnsiTheme="majorHAnsi" w:cstheme="majorHAnsi"/>
          <w:sz w:val="20"/>
          <w:szCs w:val="20"/>
        </w:rPr>
      </w:pPr>
    </w:p>
    <w:p w:rsidR="00933038" w:rsidRPr="00743A41" w:rsidRDefault="00933038" w:rsidP="00A37ED6">
      <w:pPr>
        <w:numPr>
          <w:ilvl w:val="0"/>
          <w:numId w:val="12"/>
        </w:numPr>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 xml:space="preserve">If applicable, provide a narrative explanation that supplements reviewers’ understanding of data in the templates. </w:t>
      </w:r>
    </w:p>
    <w:p w:rsidR="00933038" w:rsidRPr="00743A41" w:rsidRDefault="00933038" w:rsidP="00A37ED6">
      <w:pPr>
        <w:jc w:val="both"/>
        <w:rPr>
          <w:rFonts w:asciiTheme="majorHAnsi" w:eastAsia="Calibri" w:hAnsiTheme="majorHAnsi" w:cstheme="majorHAnsi"/>
          <w:sz w:val="20"/>
          <w:szCs w:val="20"/>
        </w:rPr>
      </w:pPr>
    </w:p>
    <w:p w:rsidR="00933038" w:rsidRPr="00743A41" w:rsidRDefault="00753A2E" w:rsidP="00A37ED6">
      <w:pPr>
        <w:ind w:left="720"/>
        <w:jc w:val="both"/>
        <w:rPr>
          <w:rFonts w:asciiTheme="majorHAnsi" w:eastAsia="Calibri" w:hAnsiTheme="majorHAnsi" w:cstheme="majorHAnsi"/>
          <w:i/>
          <w:sz w:val="20"/>
          <w:szCs w:val="20"/>
        </w:rPr>
      </w:pPr>
      <w:r w:rsidRPr="00743A41">
        <w:rPr>
          <w:rFonts w:asciiTheme="majorHAnsi" w:eastAsia="Calibri" w:hAnsiTheme="majorHAnsi" w:cstheme="majorHAnsi"/>
          <w:i/>
          <w:sz w:val="20"/>
          <w:szCs w:val="20"/>
        </w:rPr>
        <w:t>Not applicable.</w:t>
      </w:r>
    </w:p>
    <w:p w:rsidR="00933038" w:rsidRPr="00743A41" w:rsidRDefault="00933038" w:rsidP="00A37ED6">
      <w:pPr>
        <w:ind w:left="720"/>
        <w:jc w:val="both"/>
        <w:rPr>
          <w:rFonts w:asciiTheme="majorHAnsi" w:eastAsia="Calibri" w:hAnsiTheme="majorHAnsi" w:cstheme="majorHAnsi"/>
          <w:sz w:val="20"/>
          <w:szCs w:val="20"/>
        </w:rPr>
      </w:pPr>
    </w:p>
    <w:p w:rsidR="00933038" w:rsidRPr="00743A41" w:rsidRDefault="00933038" w:rsidP="00A37ED6">
      <w:pPr>
        <w:numPr>
          <w:ilvl w:val="0"/>
          <w:numId w:val="12"/>
        </w:numPr>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Data on the following for the most recent year in the format of Template C2-2. See Template C2</w:t>
      </w:r>
      <w:r w:rsidRPr="00743A41">
        <w:rPr>
          <w:rFonts w:asciiTheme="majorHAnsi" w:eastAsia="Calibri" w:hAnsiTheme="majorHAnsi" w:cstheme="majorHAnsi"/>
          <w:sz w:val="20"/>
          <w:szCs w:val="20"/>
        </w:rPr>
        <w:noBreakHyphen/>
        <w:t>2 for additional definitions and parameters.</w:t>
      </w:r>
    </w:p>
    <w:p w:rsidR="00933038" w:rsidRPr="00743A41" w:rsidRDefault="00933038" w:rsidP="00A37ED6">
      <w:pPr>
        <w:ind w:left="720"/>
        <w:jc w:val="both"/>
        <w:rPr>
          <w:rFonts w:asciiTheme="majorHAnsi" w:eastAsia="Calibri" w:hAnsiTheme="majorHAnsi" w:cstheme="majorHAnsi"/>
          <w:sz w:val="20"/>
          <w:szCs w:val="20"/>
        </w:rPr>
      </w:pPr>
    </w:p>
    <w:p w:rsidR="00C623D2" w:rsidRPr="00743A41" w:rsidRDefault="00C623D2" w:rsidP="006E28EE">
      <w:pPr>
        <w:ind w:left="720"/>
        <w:rPr>
          <w:rFonts w:asciiTheme="majorHAnsi" w:eastAsia="Calibri" w:hAnsiTheme="majorHAnsi" w:cstheme="majorHAnsi"/>
          <w:sz w:val="20"/>
          <w:szCs w:val="20"/>
        </w:rPr>
      </w:pPr>
      <w:r w:rsidRPr="00743A41">
        <w:rPr>
          <w:rFonts w:asciiTheme="majorHAnsi" w:eastAsia="Calibri" w:hAnsiTheme="majorHAnsi" w:cstheme="majorHAnsi"/>
          <w:sz w:val="20"/>
          <w:szCs w:val="20"/>
        </w:rPr>
        <w:t xml:space="preserve">Data on faculty advising and mentoring, including on MPH integrative learning experiences, DrPH integrative learning </w:t>
      </w:r>
      <w:r w:rsidR="00082569" w:rsidRPr="00743A41">
        <w:rPr>
          <w:rFonts w:asciiTheme="majorHAnsi" w:eastAsia="Calibri" w:hAnsiTheme="majorHAnsi" w:cstheme="majorHAnsi"/>
          <w:sz w:val="20"/>
          <w:szCs w:val="20"/>
        </w:rPr>
        <w:t xml:space="preserve">experiences, MS theses and PhD dissertations </w:t>
      </w:r>
      <w:r w:rsidR="00CE5676">
        <w:rPr>
          <w:rFonts w:asciiTheme="majorHAnsi" w:eastAsia="Calibri" w:hAnsiTheme="majorHAnsi" w:cstheme="majorHAnsi"/>
          <w:sz w:val="20"/>
          <w:szCs w:val="20"/>
        </w:rPr>
        <w:t>is available in the electronic resource file</w:t>
      </w:r>
      <w:r w:rsidR="00082569" w:rsidRPr="00743A41">
        <w:rPr>
          <w:rFonts w:asciiTheme="majorHAnsi" w:eastAsia="Calibri" w:hAnsiTheme="majorHAnsi" w:cstheme="majorHAnsi"/>
          <w:sz w:val="20"/>
          <w:szCs w:val="20"/>
        </w:rPr>
        <w:t>s (</w:t>
      </w:r>
      <w:r w:rsidR="00082569" w:rsidRPr="006E28EE">
        <w:rPr>
          <w:rFonts w:asciiTheme="majorHAnsi" w:eastAsia="Calibri" w:hAnsiTheme="majorHAnsi" w:cstheme="majorHAnsi"/>
          <w:i/>
          <w:sz w:val="20"/>
          <w:szCs w:val="20"/>
        </w:rPr>
        <w:t>ERF, C2. Faculty Resources</w:t>
      </w:r>
      <w:r w:rsidR="00082569" w:rsidRPr="00743A41">
        <w:rPr>
          <w:rFonts w:asciiTheme="majorHAnsi" w:eastAsia="Calibri" w:hAnsiTheme="majorHAnsi" w:cstheme="majorHAnsi"/>
          <w:sz w:val="20"/>
          <w:szCs w:val="20"/>
        </w:rPr>
        <w:t xml:space="preserve">). </w:t>
      </w:r>
    </w:p>
    <w:p w:rsidR="00C623D2" w:rsidRPr="00743A41" w:rsidRDefault="00C623D2" w:rsidP="006E28EE">
      <w:pPr>
        <w:ind w:left="720"/>
        <w:rPr>
          <w:rFonts w:asciiTheme="majorHAnsi" w:eastAsia="Calibri" w:hAnsiTheme="majorHAnsi" w:cstheme="majorHAnsi"/>
          <w:sz w:val="20"/>
          <w:szCs w:val="20"/>
        </w:rPr>
      </w:pPr>
    </w:p>
    <w:p w:rsidR="00D670DF" w:rsidRPr="00743A41" w:rsidRDefault="00D670DF" w:rsidP="00A37ED6">
      <w:pPr>
        <w:ind w:left="720"/>
        <w:jc w:val="both"/>
        <w:rPr>
          <w:rFonts w:asciiTheme="majorHAnsi" w:eastAsia="Calibri" w:hAnsiTheme="majorHAnsi" w:cstheme="majorHAnsi"/>
          <w:sz w:val="20"/>
          <w:szCs w:val="20"/>
        </w:rPr>
      </w:pPr>
      <w:r w:rsidRPr="00D923BA">
        <w:rPr>
          <w:rFonts w:asciiTheme="majorHAnsi" w:eastAsia="Calibri" w:hAnsiTheme="majorHAnsi" w:cstheme="majorHAnsi"/>
          <w:sz w:val="20"/>
          <w:szCs w:val="20"/>
        </w:rPr>
        <w:t>Table C</w:t>
      </w:r>
      <w:r w:rsidR="00132C7B" w:rsidRPr="00D923BA">
        <w:rPr>
          <w:rFonts w:asciiTheme="majorHAnsi" w:eastAsia="Calibri" w:hAnsiTheme="majorHAnsi" w:cstheme="majorHAnsi"/>
          <w:sz w:val="20"/>
          <w:szCs w:val="20"/>
        </w:rPr>
        <w:t>.</w:t>
      </w:r>
      <w:r w:rsidRPr="00D923BA">
        <w:rPr>
          <w:rFonts w:asciiTheme="majorHAnsi" w:eastAsia="Calibri" w:hAnsiTheme="majorHAnsi" w:cstheme="majorHAnsi"/>
          <w:sz w:val="20"/>
          <w:szCs w:val="20"/>
        </w:rPr>
        <w:t>2.4. Faculty Regularly Involved in Advising, Mentoring, and the Integrative Experience, Spring 2019</w:t>
      </w:r>
    </w:p>
    <w:tbl>
      <w:tblPr>
        <w:tblW w:w="66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665"/>
        <w:gridCol w:w="1665"/>
        <w:gridCol w:w="1665"/>
      </w:tblGrid>
      <w:tr w:rsidR="00D670DF" w:rsidRPr="00743A41" w:rsidTr="00C273E7">
        <w:trPr>
          <w:trHeight w:val="144"/>
        </w:trPr>
        <w:tc>
          <w:tcPr>
            <w:tcW w:w="6660" w:type="dxa"/>
            <w:gridSpan w:val="4"/>
            <w:shd w:val="clear" w:color="auto" w:fill="BFBFBF" w:themeFill="background1" w:themeFillShade="BF"/>
            <w:vAlign w:val="center"/>
            <w:hideMark/>
          </w:tcPr>
          <w:p w:rsidR="00D670DF" w:rsidRPr="00743A41" w:rsidRDefault="00D670DF" w:rsidP="00A37ED6">
            <w:pP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General advising &amp; career counseling for Spring 2019</w:t>
            </w:r>
          </w:p>
        </w:tc>
      </w:tr>
      <w:tr w:rsidR="00D670DF" w:rsidRPr="00743A41" w:rsidTr="00C273E7">
        <w:trPr>
          <w:trHeight w:val="144"/>
        </w:trPr>
        <w:tc>
          <w:tcPr>
            <w:tcW w:w="1665" w:type="dxa"/>
            <w:shd w:val="clear" w:color="auto" w:fill="D9D9D9" w:themeFill="background1" w:themeFillShade="D9"/>
            <w:vAlign w:val="center"/>
            <w:hideMark/>
          </w:tcPr>
          <w:p w:rsidR="00D670DF" w:rsidRPr="00743A41" w:rsidRDefault="00D670DF" w:rsidP="00A37ED6">
            <w:pP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Degree</w:t>
            </w:r>
          </w:p>
        </w:tc>
        <w:tc>
          <w:tcPr>
            <w:tcW w:w="1665" w:type="dxa"/>
            <w:shd w:val="clear" w:color="auto" w:fill="D9D9D9" w:themeFill="background1" w:themeFillShade="D9"/>
            <w:vAlign w:val="center"/>
            <w:hideMark/>
          </w:tcPr>
          <w:p w:rsidR="00D670DF" w:rsidRPr="00743A41" w:rsidRDefault="00D670DF" w:rsidP="00A37ED6">
            <w:pP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Average</w:t>
            </w:r>
          </w:p>
        </w:tc>
        <w:tc>
          <w:tcPr>
            <w:tcW w:w="1665" w:type="dxa"/>
            <w:shd w:val="clear" w:color="auto" w:fill="D9D9D9" w:themeFill="background1" w:themeFillShade="D9"/>
            <w:vAlign w:val="center"/>
            <w:hideMark/>
          </w:tcPr>
          <w:p w:rsidR="00D670DF" w:rsidRPr="00743A41" w:rsidRDefault="00D670DF" w:rsidP="00A37ED6">
            <w:pP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Min</w:t>
            </w:r>
          </w:p>
        </w:tc>
        <w:tc>
          <w:tcPr>
            <w:tcW w:w="1665" w:type="dxa"/>
            <w:shd w:val="clear" w:color="auto" w:fill="D9D9D9" w:themeFill="background1" w:themeFillShade="D9"/>
            <w:vAlign w:val="center"/>
            <w:hideMark/>
          </w:tcPr>
          <w:p w:rsidR="00D670DF" w:rsidRPr="00743A41" w:rsidRDefault="00D670DF" w:rsidP="00A37ED6">
            <w:pP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Max</w:t>
            </w:r>
          </w:p>
        </w:tc>
      </w:tr>
      <w:tr w:rsidR="005F25E6" w:rsidRPr="00743A41" w:rsidTr="00C273E7">
        <w:trPr>
          <w:trHeight w:val="144"/>
        </w:trPr>
        <w:tc>
          <w:tcPr>
            <w:tcW w:w="1665" w:type="dxa"/>
            <w:vAlign w:val="center"/>
            <w:hideMark/>
          </w:tcPr>
          <w:p w:rsidR="005F25E6" w:rsidRPr="00743A41" w:rsidRDefault="005F25E6"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MPH</w:t>
            </w:r>
          </w:p>
        </w:tc>
        <w:tc>
          <w:tcPr>
            <w:tcW w:w="1665" w:type="dxa"/>
            <w:vAlign w:val="center"/>
          </w:tcPr>
          <w:p w:rsidR="005F25E6" w:rsidRPr="00743A41" w:rsidRDefault="005F25E6" w:rsidP="00A37ED6">
            <w:pP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5</w:t>
            </w:r>
          </w:p>
        </w:tc>
        <w:tc>
          <w:tcPr>
            <w:tcW w:w="1665" w:type="dxa"/>
            <w:vAlign w:val="center"/>
          </w:tcPr>
          <w:p w:rsidR="005F25E6" w:rsidRPr="00743A41" w:rsidRDefault="005F25E6" w:rsidP="00A37ED6">
            <w:pP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1</w:t>
            </w:r>
          </w:p>
        </w:tc>
        <w:tc>
          <w:tcPr>
            <w:tcW w:w="1665" w:type="dxa"/>
            <w:vAlign w:val="center"/>
          </w:tcPr>
          <w:p w:rsidR="005F25E6" w:rsidRPr="00743A41" w:rsidRDefault="005F25E6" w:rsidP="00A37ED6">
            <w:pP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41</w:t>
            </w:r>
          </w:p>
        </w:tc>
      </w:tr>
      <w:tr w:rsidR="005F25E6" w:rsidRPr="00743A41" w:rsidTr="00C273E7">
        <w:trPr>
          <w:trHeight w:val="144"/>
        </w:trPr>
        <w:tc>
          <w:tcPr>
            <w:tcW w:w="1665" w:type="dxa"/>
            <w:vAlign w:val="center"/>
          </w:tcPr>
          <w:p w:rsidR="005F25E6" w:rsidRPr="00743A41" w:rsidRDefault="005F25E6"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MS</w:t>
            </w:r>
          </w:p>
        </w:tc>
        <w:tc>
          <w:tcPr>
            <w:tcW w:w="1665" w:type="dxa"/>
            <w:vAlign w:val="center"/>
          </w:tcPr>
          <w:p w:rsidR="005F25E6" w:rsidRPr="00743A41" w:rsidDel="00D10530" w:rsidRDefault="005F25E6" w:rsidP="00A37ED6">
            <w:pP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1</w:t>
            </w:r>
          </w:p>
        </w:tc>
        <w:tc>
          <w:tcPr>
            <w:tcW w:w="1665" w:type="dxa"/>
            <w:vAlign w:val="center"/>
          </w:tcPr>
          <w:p w:rsidR="005F25E6" w:rsidRPr="00743A41" w:rsidDel="00D10530" w:rsidRDefault="005F25E6" w:rsidP="00A37ED6">
            <w:pP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1</w:t>
            </w:r>
          </w:p>
        </w:tc>
        <w:tc>
          <w:tcPr>
            <w:tcW w:w="1665" w:type="dxa"/>
            <w:vAlign w:val="center"/>
          </w:tcPr>
          <w:p w:rsidR="005F25E6" w:rsidRPr="00743A41" w:rsidDel="00D10530" w:rsidRDefault="005F25E6" w:rsidP="00A37ED6">
            <w:pP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3</w:t>
            </w:r>
          </w:p>
        </w:tc>
      </w:tr>
      <w:tr w:rsidR="005F25E6" w:rsidRPr="00743A41" w:rsidTr="00C273E7">
        <w:trPr>
          <w:trHeight w:val="144"/>
        </w:trPr>
        <w:tc>
          <w:tcPr>
            <w:tcW w:w="1665" w:type="dxa"/>
            <w:vAlign w:val="center"/>
            <w:hideMark/>
          </w:tcPr>
          <w:p w:rsidR="005F25E6" w:rsidRPr="00743A41" w:rsidRDefault="005F25E6"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DrPH</w:t>
            </w:r>
          </w:p>
        </w:tc>
        <w:tc>
          <w:tcPr>
            <w:tcW w:w="1665" w:type="dxa"/>
            <w:vAlign w:val="center"/>
          </w:tcPr>
          <w:p w:rsidR="005F25E6" w:rsidRPr="00743A41" w:rsidRDefault="005F25E6" w:rsidP="00A37ED6">
            <w:pP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2</w:t>
            </w:r>
          </w:p>
        </w:tc>
        <w:tc>
          <w:tcPr>
            <w:tcW w:w="1665" w:type="dxa"/>
            <w:vAlign w:val="center"/>
          </w:tcPr>
          <w:p w:rsidR="005F25E6" w:rsidRPr="00743A41" w:rsidRDefault="005F25E6" w:rsidP="00A37ED6">
            <w:pP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1</w:t>
            </w:r>
          </w:p>
        </w:tc>
        <w:tc>
          <w:tcPr>
            <w:tcW w:w="1665" w:type="dxa"/>
            <w:vAlign w:val="center"/>
          </w:tcPr>
          <w:p w:rsidR="005F25E6" w:rsidRPr="00743A41" w:rsidRDefault="005F25E6" w:rsidP="00A37ED6">
            <w:pP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7</w:t>
            </w:r>
          </w:p>
        </w:tc>
      </w:tr>
      <w:tr w:rsidR="005F25E6" w:rsidRPr="00743A41" w:rsidTr="00C273E7">
        <w:trPr>
          <w:trHeight w:val="144"/>
        </w:trPr>
        <w:tc>
          <w:tcPr>
            <w:tcW w:w="1665" w:type="dxa"/>
            <w:vAlign w:val="center"/>
          </w:tcPr>
          <w:p w:rsidR="005F25E6" w:rsidRPr="00743A41" w:rsidRDefault="005F25E6"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PhD</w:t>
            </w:r>
          </w:p>
        </w:tc>
        <w:tc>
          <w:tcPr>
            <w:tcW w:w="1665" w:type="dxa"/>
            <w:vAlign w:val="center"/>
          </w:tcPr>
          <w:p w:rsidR="005F25E6" w:rsidRPr="00743A41" w:rsidDel="00D10530" w:rsidRDefault="005F25E6" w:rsidP="00A37ED6">
            <w:pP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3</w:t>
            </w:r>
          </w:p>
        </w:tc>
        <w:tc>
          <w:tcPr>
            <w:tcW w:w="1665" w:type="dxa"/>
            <w:vAlign w:val="center"/>
          </w:tcPr>
          <w:p w:rsidR="005F25E6" w:rsidRPr="00743A41" w:rsidDel="00D10530" w:rsidRDefault="005F25E6" w:rsidP="00A37ED6">
            <w:pP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1</w:t>
            </w:r>
          </w:p>
        </w:tc>
        <w:tc>
          <w:tcPr>
            <w:tcW w:w="1665" w:type="dxa"/>
            <w:vAlign w:val="center"/>
          </w:tcPr>
          <w:p w:rsidR="005F25E6" w:rsidRPr="00743A41" w:rsidDel="00D10530" w:rsidRDefault="005F25E6" w:rsidP="00A37ED6">
            <w:pPr>
              <w:rPr>
                <w:rFonts w:asciiTheme="majorHAnsi" w:eastAsia="Times New Roman" w:hAnsiTheme="majorHAnsi" w:cstheme="majorHAnsi"/>
                <w:color w:val="000000"/>
                <w:sz w:val="20"/>
                <w:szCs w:val="20"/>
              </w:rPr>
            </w:pPr>
            <w:r w:rsidRPr="00743A41">
              <w:rPr>
                <w:rFonts w:asciiTheme="majorHAnsi" w:hAnsiTheme="majorHAnsi" w:cstheme="majorHAnsi"/>
                <w:color w:val="000000"/>
                <w:sz w:val="20"/>
                <w:szCs w:val="20"/>
              </w:rPr>
              <w:t>10</w:t>
            </w:r>
          </w:p>
        </w:tc>
      </w:tr>
    </w:tbl>
    <w:p w:rsidR="005F25E6" w:rsidRPr="00743A41" w:rsidRDefault="005F25E6" w:rsidP="00A37ED6">
      <w:pPr>
        <w:ind w:left="720"/>
        <w:jc w:val="both"/>
        <w:rPr>
          <w:rFonts w:asciiTheme="majorHAnsi" w:eastAsia="Calibri" w:hAnsiTheme="majorHAnsi" w:cstheme="majorHAnsi"/>
          <w:i/>
          <w:sz w:val="20"/>
          <w:szCs w:val="20"/>
        </w:rPr>
      </w:pPr>
      <w:r w:rsidRPr="00743A41">
        <w:rPr>
          <w:rFonts w:asciiTheme="majorHAnsi" w:eastAsia="Calibri" w:hAnsiTheme="majorHAnsi" w:cstheme="majorHAnsi"/>
          <w:i/>
          <w:sz w:val="20"/>
          <w:szCs w:val="20"/>
        </w:rPr>
        <w:t>Table</w:t>
      </w:r>
      <w:r w:rsidR="00961518" w:rsidRPr="00743A41">
        <w:rPr>
          <w:rFonts w:asciiTheme="majorHAnsi" w:eastAsia="Calibri" w:hAnsiTheme="majorHAnsi" w:cstheme="majorHAnsi"/>
          <w:i/>
          <w:sz w:val="20"/>
          <w:szCs w:val="20"/>
        </w:rPr>
        <w:t xml:space="preserve"> </w:t>
      </w:r>
      <w:r w:rsidRPr="00743A41">
        <w:rPr>
          <w:rFonts w:asciiTheme="majorHAnsi" w:eastAsia="Calibri" w:hAnsiTheme="majorHAnsi" w:cstheme="majorHAnsi"/>
          <w:i/>
          <w:sz w:val="20"/>
          <w:szCs w:val="20"/>
        </w:rPr>
        <w:t>C.2.4 displays data on general advising and career couns</w:t>
      </w:r>
      <w:r w:rsidR="00804987" w:rsidRPr="00743A41">
        <w:rPr>
          <w:rFonts w:asciiTheme="majorHAnsi" w:eastAsia="Calibri" w:hAnsiTheme="majorHAnsi" w:cstheme="majorHAnsi"/>
          <w:i/>
          <w:sz w:val="20"/>
          <w:szCs w:val="20"/>
        </w:rPr>
        <w:t xml:space="preserve">eling for each degree program. </w:t>
      </w:r>
      <w:r w:rsidRPr="00743A41">
        <w:rPr>
          <w:rFonts w:asciiTheme="majorHAnsi" w:eastAsia="Calibri" w:hAnsiTheme="majorHAnsi" w:cstheme="majorHAnsi"/>
          <w:i/>
          <w:sz w:val="20"/>
          <w:szCs w:val="20"/>
        </w:rPr>
        <w:t xml:space="preserve">The large advising load for the MPH degree as is attributable to the MD/MPH programs in San Antonio and Dallas. These students have an advising team consisting of a full-time staff member, a primary faculty advisor, and a faculty advisor from the medical school who provides adequate advising support for these students. </w:t>
      </w:r>
    </w:p>
    <w:p w:rsidR="00BC0B57" w:rsidRPr="00743A41" w:rsidRDefault="00BC0B57" w:rsidP="00A37ED6">
      <w:pPr>
        <w:ind w:left="720"/>
        <w:jc w:val="both"/>
        <w:rPr>
          <w:rFonts w:asciiTheme="majorHAnsi" w:eastAsia="Calibri" w:hAnsiTheme="majorHAnsi" w:cstheme="majorHAnsi"/>
          <w:i/>
          <w:sz w:val="20"/>
          <w:szCs w:val="20"/>
        </w:rPr>
      </w:pPr>
    </w:p>
    <w:tbl>
      <w:tblPr>
        <w:tblW w:w="66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218"/>
        <w:gridCol w:w="2219"/>
      </w:tblGrid>
      <w:tr w:rsidR="00D670DF" w:rsidRPr="00743A41" w:rsidTr="00C273E7">
        <w:trPr>
          <w:trHeight w:val="144"/>
        </w:trPr>
        <w:tc>
          <w:tcPr>
            <w:tcW w:w="6655" w:type="dxa"/>
            <w:gridSpan w:val="3"/>
            <w:shd w:val="clear" w:color="auto" w:fill="BFBFBF" w:themeFill="background1" w:themeFillShade="BF"/>
            <w:hideMark/>
          </w:tcPr>
          <w:p w:rsidR="00D670DF" w:rsidRPr="00743A41" w:rsidRDefault="00D670DF" w:rsidP="00A37ED6">
            <w:pP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Advising in MPH integrative experience for Spring 2019</w:t>
            </w:r>
          </w:p>
        </w:tc>
      </w:tr>
      <w:tr w:rsidR="00D670DF" w:rsidRPr="00743A41" w:rsidTr="00C273E7">
        <w:trPr>
          <w:trHeight w:val="305"/>
        </w:trPr>
        <w:tc>
          <w:tcPr>
            <w:tcW w:w="2218" w:type="dxa"/>
            <w:shd w:val="clear" w:color="auto" w:fill="D9D9D9" w:themeFill="background1" w:themeFillShade="D9"/>
            <w:hideMark/>
          </w:tcPr>
          <w:p w:rsidR="00D670DF" w:rsidRPr="00743A41" w:rsidRDefault="00D670DF" w:rsidP="00A37ED6">
            <w:pP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Average</w:t>
            </w:r>
          </w:p>
        </w:tc>
        <w:tc>
          <w:tcPr>
            <w:tcW w:w="2218" w:type="dxa"/>
            <w:shd w:val="clear" w:color="auto" w:fill="D9D9D9" w:themeFill="background1" w:themeFillShade="D9"/>
            <w:hideMark/>
          </w:tcPr>
          <w:p w:rsidR="00D670DF" w:rsidRPr="00743A41" w:rsidRDefault="00D670DF" w:rsidP="00A37ED6">
            <w:pP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Min</w:t>
            </w:r>
          </w:p>
        </w:tc>
        <w:tc>
          <w:tcPr>
            <w:tcW w:w="2219" w:type="dxa"/>
            <w:shd w:val="clear" w:color="auto" w:fill="D9D9D9" w:themeFill="background1" w:themeFillShade="D9"/>
            <w:hideMark/>
          </w:tcPr>
          <w:p w:rsidR="00D670DF" w:rsidRPr="00743A41" w:rsidRDefault="00D670DF" w:rsidP="00A37ED6">
            <w:pP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Max</w:t>
            </w:r>
          </w:p>
        </w:tc>
      </w:tr>
      <w:tr w:rsidR="00D670DF" w:rsidRPr="00743A41" w:rsidTr="00C273E7">
        <w:trPr>
          <w:trHeight w:val="144"/>
        </w:trPr>
        <w:tc>
          <w:tcPr>
            <w:tcW w:w="2218" w:type="dxa"/>
          </w:tcPr>
          <w:p w:rsidR="00D670DF" w:rsidRPr="00743A41" w:rsidRDefault="004A2248" w:rsidP="00A37ED6">
            <w:pP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color w:val="000000"/>
                <w:sz w:val="20"/>
                <w:szCs w:val="20"/>
              </w:rPr>
              <w:t>4</w:t>
            </w:r>
          </w:p>
        </w:tc>
        <w:tc>
          <w:tcPr>
            <w:tcW w:w="2218" w:type="dxa"/>
          </w:tcPr>
          <w:p w:rsidR="00D670DF" w:rsidRPr="00743A41" w:rsidRDefault="00D670DF"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w:t>
            </w:r>
          </w:p>
        </w:tc>
        <w:tc>
          <w:tcPr>
            <w:tcW w:w="2219" w:type="dxa"/>
          </w:tcPr>
          <w:p w:rsidR="00D670DF" w:rsidRPr="00743A41" w:rsidRDefault="00D670DF"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20</w:t>
            </w:r>
          </w:p>
        </w:tc>
      </w:tr>
    </w:tbl>
    <w:p w:rsidR="00A52D93" w:rsidRPr="00743A41" w:rsidRDefault="00A52D93" w:rsidP="00A37ED6">
      <w:pPr>
        <w:ind w:left="720"/>
        <w:jc w:val="both"/>
        <w:rPr>
          <w:rFonts w:asciiTheme="majorHAnsi" w:eastAsia="Calibri" w:hAnsiTheme="majorHAnsi" w:cstheme="majorHAnsi"/>
          <w:i/>
          <w:sz w:val="20"/>
          <w:szCs w:val="20"/>
        </w:rPr>
      </w:pPr>
      <w:r w:rsidRPr="00743A41">
        <w:rPr>
          <w:rFonts w:asciiTheme="majorHAnsi" w:eastAsia="Calibri" w:hAnsiTheme="majorHAnsi" w:cstheme="majorHAnsi"/>
          <w:i/>
          <w:sz w:val="20"/>
          <w:szCs w:val="20"/>
        </w:rPr>
        <w:t>The advising load for the MPH integrative learning experience also reflects students who are enrolled in a capstone course.</w:t>
      </w:r>
    </w:p>
    <w:p w:rsidR="00D670DF" w:rsidRPr="00743A41" w:rsidRDefault="00D670DF" w:rsidP="00A37ED6">
      <w:pPr>
        <w:ind w:left="720"/>
        <w:jc w:val="both"/>
        <w:rPr>
          <w:rFonts w:asciiTheme="majorHAnsi" w:eastAsia="Calibri" w:hAnsiTheme="majorHAnsi" w:cstheme="majorHAnsi"/>
          <w:i/>
          <w:sz w:val="20"/>
          <w:szCs w:val="20"/>
        </w:rPr>
      </w:pPr>
    </w:p>
    <w:tbl>
      <w:tblPr>
        <w:tblW w:w="66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64"/>
        <w:gridCol w:w="1664"/>
        <w:gridCol w:w="1664"/>
      </w:tblGrid>
      <w:tr w:rsidR="00D670DF" w:rsidRPr="00743A41" w:rsidTr="00C273E7">
        <w:trPr>
          <w:trHeight w:val="144"/>
        </w:trPr>
        <w:tc>
          <w:tcPr>
            <w:tcW w:w="6655" w:type="dxa"/>
            <w:gridSpan w:val="4"/>
            <w:shd w:val="clear" w:color="auto" w:fill="BFBFBF" w:themeFill="background1" w:themeFillShade="BF"/>
            <w:hideMark/>
          </w:tcPr>
          <w:p w:rsidR="00D670DF" w:rsidRPr="00743A41" w:rsidRDefault="00D670DF" w:rsidP="00A37ED6">
            <w:pP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Mentoring/primary advising on thesis, dissertation, or DrPH integrative project for Spring 2019</w:t>
            </w:r>
          </w:p>
        </w:tc>
      </w:tr>
      <w:tr w:rsidR="00D670DF" w:rsidRPr="00743A41" w:rsidTr="00C273E7">
        <w:trPr>
          <w:trHeight w:val="144"/>
        </w:trPr>
        <w:tc>
          <w:tcPr>
            <w:tcW w:w="1663" w:type="dxa"/>
            <w:shd w:val="clear" w:color="auto" w:fill="D9D9D9" w:themeFill="background1" w:themeFillShade="D9"/>
            <w:hideMark/>
          </w:tcPr>
          <w:p w:rsidR="00D670DF" w:rsidRPr="00743A41" w:rsidRDefault="00D670DF" w:rsidP="00A37ED6">
            <w:pP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Degree</w:t>
            </w:r>
          </w:p>
        </w:tc>
        <w:tc>
          <w:tcPr>
            <w:tcW w:w="1664" w:type="dxa"/>
            <w:shd w:val="clear" w:color="auto" w:fill="D9D9D9" w:themeFill="background1" w:themeFillShade="D9"/>
            <w:hideMark/>
          </w:tcPr>
          <w:p w:rsidR="00D670DF" w:rsidRPr="00743A41" w:rsidRDefault="00D670DF" w:rsidP="00A37ED6">
            <w:pP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Average</w:t>
            </w:r>
          </w:p>
        </w:tc>
        <w:tc>
          <w:tcPr>
            <w:tcW w:w="1664" w:type="dxa"/>
            <w:shd w:val="clear" w:color="auto" w:fill="D9D9D9" w:themeFill="background1" w:themeFillShade="D9"/>
            <w:hideMark/>
          </w:tcPr>
          <w:p w:rsidR="00D670DF" w:rsidRPr="00743A41" w:rsidRDefault="00D670DF" w:rsidP="00A37ED6">
            <w:pP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Min</w:t>
            </w:r>
          </w:p>
        </w:tc>
        <w:tc>
          <w:tcPr>
            <w:tcW w:w="1664" w:type="dxa"/>
            <w:shd w:val="clear" w:color="auto" w:fill="D9D9D9" w:themeFill="background1" w:themeFillShade="D9"/>
            <w:hideMark/>
          </w:tcPr>
          <w:p w:rsidR="00D670DF" w:rsidRPr="00743A41" w:rsidRDefault="00D670DF" w:rsidP="00A37ED6">
            <w:pP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Max</w:t>
            </w:r>
          </w:p>
        </w:tc>
      </w:tr>
      <w:tr w:rsidR="00071B13" w:rsidRPr="00743A41" w:rsidTr="00C273E7">
        <w:trPr>
          <w:trHeight w:val="144"/>
        </w:trPr>
        <w:tc>
          <w:tcPr>
            <w:tcW w:w="1663" w:type="dxa"/>
            <w:hideMark/>
          </w:tcPr>
          <w:p w:rsidR="00071B13" w:rsidRPr="00743A41" w:rsidRDefault="00071B13"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MS</w:t>
            </w:r>
          </w:p>
        </w:tc>
        <w:tc>
          <w:tcPr>
            <w:tcW w:w="1664" w:type="dxa"/>
          </w:tcPr>
          <w:p w:rsidR="00071B13" w:rsidRPr="00743A41" w:rsidRDefault="000232C2"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w:t>
            </w:r>
          </w:p>
        </w:tc>
        <w:tc>
          <w:tcPr>
            <w:tcW w:w="1664" w:type="dxa"/>
          </w:tcPr>
          <w:p w:rsidR="00071B13" w:rsidRPr="00743A41" w:rsidRDefault="00071B13"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w:t>
            </w:r>
          </w:p>
        </w:tc>
        <w:tc>
          <w:tcPr>
            <w:tcW w:w="1664" w:type="dxa"/>
          </w:tcPr>
          <w:p w:rsidR="00071B13" w:rsidRPr="00743A41" w:rsidRDefault="00071B13"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w:t>
            </w:r>
          </w:p>
        </w:tc>
      </w:tr>
      <w:tr w:rsidR="00071B13" w:rsidRPr="00743A41" w:rsidTr="00C273E7">
        <w:trPr>
          <w:trHeight w:val="144"/>
        </w:trPr>
        <w:tc>
          <w:tcPr>
            <w:tcW w:w="1663" w:type="dxa"/>
          </w:tcPr>
          <w:p w:rsidR="00071B13" w:rsidRPr="00743A41" w:rsidRDefault="00071B13"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DrPH</w:t>
            </w:r>
          </w:p>
        </w:tc>
        <w:tc>
          <w:tcPr>
            <w:tcW w:w="1664" w:type="dxa"/>
          </w:tcPr>
          <w:p w:rsidR="00071B13" w:rsidRPr="00743A41" w:rsidRDefault="000232C2"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w:t>
            </w:r>
          </w:p>
        </w:tc>
        <w:tc>
          <w:tcPr>
            <w:tcW w:w="1664" w:type="dxa"/>
          </w:tcPr>
          <w:p w:rsidR="00071B13" w:rsidRPr="00743A41" w:rsidRDefault="00071B13"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w:t>
            </w:r>
          </w:p>
        </w:tc>
        <w:tc>
          <w:tcPr>
            <w:tcW w:w="1664" w:type="dxa"/>
          </w:tcPr>
          <w:p w:rsidR="00071B13" w:rsidRPr="00743A41" w:rsidRDefault="00DB4F22"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5</w:t>
            </w:r>
          </w:p>
        </w:tc>
      </w:tr>
      <w:tr w:rsidR="00D670DF" w:rsidRPr="00743A41" w:rsidTr="00C273E7">
        <w:trPr>
          <w:trHeight w:val="144"/>
        </w:trPr>
        <w:tc>
          <w:tcPr>
            <w:tcW w:w="1663" w:type="dxa"/>
            <w:hideMark/>
          </w:tcPr>
          <w:p w:rsidR="00D670DF" w:rsidRPr="00743A41" w:rsidRDefault="00D670DF"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PhD</w:t>
            </w:r>
          </w:p>
        </w:tc>
        <w:tc>
          <w:tcPr>
            <w:tcW w:w="1664" w:type="dxa"/>
          </w:tcPr>
          <w:p w:rsidR="00D670DF" w:rsidRPr="00743A41" w:rsidRDefault="00D670DF"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w:t>
            </w:r>
          </w:p>
        </w:tc>
        <w:tc>
          <w:tcPr>
            <w:tcW w:w="1664" w:type="dxa"/>
          </w:tcPr>
          <w:p w:rsidR="00D670DF" w:rsidRPr="00743A41" w:rsidRDefault="00D670DF"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w:t>
            </w:r>
          </w:p>
        </w:tc>
        <w:tc>
          <w:tcPr>
            <w:tcW w:w="1664" w:type="dxa"/>
          </w:tcPr>
          <w:p w:rsidR="00D670DF" w:rsidRPr="00743A41" w:rsidRDefault="00D670DF"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8</w:t>
            </w:r>
          </w:p>
        </w:tc>
      </w:tr>
    </w:tbl>
    <w:p w:rsidR="008B3A17" w:rsidRPr="00743A41" w:rsidRDefault="008B3A17" w:rsidP="008B3A17">
      <w:pPr>
        <w:ind w:left="720"/>
        <w:rPr>
          <w:rFonts w:asciiTheme="majorHAnsi" w:eastAsia="Calibri" w:hAnsiTheme="majorHAnsi" w:cstheme="majorHAnsi"/>
          <w:sz w:val="20"/>
          <w:szCs w:val="20"/>
        </w:rPr>
      </w:pPr>
    </w:p>
    <w:p w:rsidR="008B3A17" w:rsidRPr="00743A41" w:rsidRDefault="008B3A17" w:rsidP="008B3A17">
      <w:pPr>
        <w:ind w:left="720"/>
        <w:rPr>
          <w:rFonts w:asciiTheme="majorHAnsi" w:eastAsia="Calibri" w:hAnsiTheme="majorHAnsi" w:cstheme="majorHAnsi"/>
          <w:sz w:val="20"/>
          <w:szCs w:val="20"/>
        </w:rPr>
      </w:pPr>
      <w:r w:rsidRPr="00743A41">
        <w:rPr>
          <w:rFonts w:asciiTheme="majorHAnsi" w:eastAsia="Calibri" w:hAnsiTheme="majorHAnsi" w:cstheme="majorHAnsi"/>
          <w:sz w:val="20"/>
          <w:szCs w:val="20"/>
        </w:rPr>
        <w:t>Associated documents in the electronic resource file:</w:t>
      </w:r>
    </w:p>
    <w:p w:rsidR="008B3A17" w:rsidRPr="00743A41" w:rsidRDefault="008B3A17" w:rsidP="008B3A17">
      <w:pPr>
        <w:pStyle w:val="ListParagraph"/>
        <w:numPr>
          <w:ilvl w:val="0"/>
          <w:numId w:val="138"/>
        </w:numPr>
        <w:rPr>
          <w:rFonts w:asciiTheme="majorHAnsi" w:eastAsia="Calibri" w:hAnsiTheme="majorHAnsi" w:cstheme="majorHAnsi"/>
          <w:i/>
          <w:szCs w:val="20"/>
        </w:rPr>
      </w:pPr>
      <w:r w:rsidRPr="00743A41">
        <w:rPr>
          <w:rFonts w:asciiTheme="majorHAnsi" w:eastAsia="Calibri" w:hAnsiTheme="majorHAnsi" w:cstheme="majorHAnsi"/>
          <w:i/>
          <w:szCs w:val="20"/>
        </w:rPr>
        <w:t>C2. Faculty Resources</w:t>
      </w:r>
    </w:p>
    <w:p w:rsidR="008B3A17" w:rsidRPr="00743A41" w:rsidRDefault="008B3A17" w:rsidP="008B3A17">
      <w:pPr>
        <w:pStyle w:val="ListParagraph"/>
        <w:numPr>
          <w:ilvl w:val="1"/>
          <w:numId w:val="138"/>
        </w:numPr>
        <w:rPr>
          <w:rFonts w:asciiTheme="majorHAnsi" w:eastAsia="Calibri" w:hAnsiTheme="majorHAnsi" w:cstheme="majorHAnsi"/>
          <w:i/>
          <w:szCs w:val="20"/>
        </w:rPr>
      </w:pPr>
      <w:r w:rsidRPr="00743A41">
        <w:rPr>
          <w:rFonts w:asciiTheme="majorHAnsi" w:eastAsia="Calibri" w:hAnsiTheme="majorHAnsi" w:cstheme="majorHAnsi"/>
          <w:i/>
          <w:szCs w:val="20"/>
        </w:rPr>
        <w:t>General Faculty Advising Data</w:t>
      </w:r>
    </w:p>
    <w:p w:rsidR="008B3A17" w:rsidRPr="00743A41" w:rsidRDefault="008B3A17" w:rsidP="008B3A17">
      <w:pPr>
        <w:pStyle w:val="ListParagraph"/>
        <w:numPr>
          <w:ilvl w:val="1"/>
          <w:numId w:val="138"/>
        </w:numPr>
        <w:rPr>
          <w:rFonts w:asciiTheme="majorHAnsi" w:eastAsia="Calibri" w:hAnsiTheme="majorHAnsi" w:cstheme="majorHAnsi"/>
          <w:i/>
          <w:szCs w:val="20"/>
        </w:rPr>
      </w:pPr>
      <w:r w:rsidRPr="00743A41">
        <w:rPr>
          <w:rFonts w:asciiTheme="majorHAnsi" w:eastAsia="Calibri" w:hAnsiTheme="majorHAnsi" w:cstheme="majorHAnsi"/>
          <w:i/>
          <w:szCs w:val="20"/>
        </w:rPr>
        <w:t>ILE, Thesis and Dissertation Advising Data</w:t>
      </w:r>
    </w:p>
    <w:p w:rsidR="00933038" w:rsidRPr="00743A41" w:rsidRDefault="00933038" w:rsidP="00A37ED6">
      <w:pPr>
        <w:jc w:val="both"/>
        <w:rPr>
          <w:rFonts w:asciiTheme="majorHAnsi" w:eastAsia="Calibri" w:hAnsiTheme="majorHAnsi" w:cstheme="majorHAnsi"/>
          <w:sz w:val="20"/>
          <w:szCs w:val="20"/>
        </w:rPr>
      </w:pPr>
    </w:p>
    <w:p w:rsidR="00933038" w:rsidRPr="00743A41" w:rsidRDefault="00933038" w:rsidP="00A37ED6">
      <w:pPr>
        <w:keepNext/>
        <w:numPr>
          <w:ilvl w:val="0"/>
          <w:numId w:val="12"/>
        </w:numPr>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 xml:space="preserve">Quantitative data on student perceptions of the following </w:t>
      </w:r>
      <w:r w:rsidR="00480933" w:rsidRPr="00743A41">
        <w:rPr>
          <w:rFonts w:asciiTheme="majorHAnsi" w:eastAsia="Calibri" w:hAnsiTheme="majorHAnsi" w:cstheme="majorHAnsi"/>
          <w:sz w:val="20"/>
          <w:szCs w:val="20"/>
        </w:rPr>
        <w:t xml:space="preserve">for the most recent year. Schools should only present data on public health degrees and concentrations. </w:t>
      </w:r>
    </w:p>
    <w:p w:rsidR="00933038" w:rsidRPr="00743A41" w:rsidRDefault="00933038" w:rsidP="00A37ED6">
      <w:pPr>
        <w:keepNext/>
        <w:ind w:left="720"/>
        <w:jc w:val="both"/>
        <w:rPr>
          <w:rFonts w:asciiTheme="majorHAnsi" w:eastAsia="Calibri" w:hAnsiTheme="majorHAnsi" w:cstheme="majorHAnsi"/>
          <w:sz w:val="20"/>
          <w:szCs w:val="20"/>
        </w:rPr>
      </w:pPr>
    </w:p>
    <w:p w:rsidR="00D670DF" w:rsidRPr="00743A41" w:rsidRDefault="00D670DF" w:rsidP="00A37ED6">
      <w:pPr>
        <w:numPr>
          <w:ilvl w:val="1"/>
          <w:numId w:val="12"/>
        </w:numPr>
        <w:ind w:left="108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Class size and its relation to quality of learning (e.g., The class size was conducive to my learning)</w:t>
      </w:r>
    </w:p>
    <w:p w:rsidR="00933038" w:rsidRPr="00743A41" w:rsidRDefault="00933038" w:rsidP="00A37ED6">
      <w:pPr>
        <w:ind w:left="1080"/>
        <w:jc w:val="both"/>
        <w:rPr>
          <w:rFonts w:asciiTheme="majorHAnsi" w:eastAsia="Calibri" w:hAnsiTheme="majorHAnsi" w:cstheme="majorHAnsi"/>
          <w:sz w:val="20"/>
          <w:szCs w:val="20"/>
        </w:rPr>
      </w:pPr>
    </w:p>
    <w:p w:rsidR="00D670DF" w:rsidRPr="00743A41" w:rsidRDefault="00D670DF" w:rsidP="006E28EE">
      <w:pPr>
        <w:ind w:left="1080"/>
        <w:rPr>
          <w:rFonts w:asciiTheme="majorHAnsi" w:eastAsia="Calibri" w:hAnsiTheme="majorHAnsi" w:cstheme="majorHAnsi"/>
          <w:sz w:val="20"/>
          <w:szCs w:val="20"/>
        </w:rPr>
      </w:pPr>
      <w:r w:rsidRPr="00743A41">
        <w:rPr>
          <w:rFonts w:asciiTheme="majorHAnsi" w:eastAsia="Calibri" w:hAnsiTheme="majorHAnsi" w:cstheme="majorHAnsi"/>
          <w:sz w:val="20"/>
          <w:szCs w:val="20"/>
        </w:rPr>
        <w:t>As part of the course evaluation process that is conducted each semester, students are asked their perception of class size and its relation to quality of learning in the form of a yes-no question.</w:t>
      </w:r>
      <w:r w:rsidR="00CF4D83" w:rsidRPr="00743A41">
        <w:rPr>
          <w:rFonts w:asciiTheme="majorHAnsi" w:eastAsia="Calibri" w:hAnsiTheme="majorHAnsi" w:cstheme="majorHAnsi"/>
          <w:sz w:val="20"/>
          <w:szCs w:val="20"/>
        </w:rPr>
        <w:t xml:space="preserve"> Quantitative data on student perceptions of class size and its relation to quality of learning </w:t>
      </w:r>
      <w:r w:rsidR="00CE5676">
        <w:rPr>
          <w:rFonts w:asciiTheme="majorHAnsi" w:eastAsia="Calibri" w:hAnsiTheme="majorHAnsi" w:cstheme="majorHAnsi"/>
          <w:sz w:val="20"/>
          <w:szCs w:val="20"/>
        </w:rPr>
        <w:t>is available in the electronic resource file</w:t>
      </w:r>
      <w:r w:rsidR="00CF4D83" w:rsidRPr="00743A41">
        <w:rPr>
          <w:rFonts w:asciiTheme="majorHAnsi" w:eastAsia="Calibri" w:hAnsiTheme="majorHAnsi" w:cstheme="majorHAnsi"/>
          <w:sz w:val="20"/>
          <w:szCs w:val="20"/>
        </w:rPr>
        <w:t xml:space="preserve"> (</w:t>
      </w:r>
      <w:r w:rsidR="00CF4D83" w:rsidRPr="006E28EE">
        <w:rPr>
          <w:rFonts w:asciiTheme="majorHAnsi" w:eastAsia="Calibri" w:hAnsiTheme="majorHAnsi" w:cstheme="majorHAnsi"/>
          <w:i/>
          <w:sz w:val="20"/>
          <w:szCs w:val="20"/>
        </w:rPr>
        <w:t>ERF, C2. Faculty Resources</w:t>
      </w:r>
      <w:r w:rsidR="00CF4D83" w:rsidRPr="00743A41">
        <w:rPr>
          <w:rFonts w:asciiTheme="majorHAnsi" w:eastAsia="Calibri" w:hAnsiTheme="majorHAnsi" w:cstheme="majorHAnsi"/>
          <w:sz w:val="20"/>
          <w:szCs w:val="20"/>
        </w:rPr>
        <w:t xml:space="preserve">). </w:t>
      </w:r>
    </w:p>
    <w:p w:rsidR="00D670DF" w:rsidRPr="00743A41" w:rsidRDefault="00D670DF" w:rsidP="00A37ED6">
      <w:pPr>
        <w:ind w:left="1080"/>
        <w:jc w:val="both"/>
        <w:rPr>
          <w:rFonts w:asciiTheme="majorHAnsi" w:eastAsia="Calibri" w:hAnsiTheme="majorHAnsi" w:cstheme="majorHAnsi"/>
          <w:sz w:val="20"/>
          <w:szCs w:val="20"/>
        </w:rPr>
      </w:pPr>
    </w:p>
    <w:p w:rsidR="00D670DF" w:rsidRPr="00743A41" w:rsidRDefault="00D670DF" w:rsidP="006E28EE">
      <w:pPr>
        <w:ind w:left="1080"/>
        <w:rPr>
          <w:rFonts w:asciiTheme="majorHAnsi" w:eastAsia="Calibri" w:hAnsiTheme="majorHAnsi" w:cstheme="majorHAnsi"/>
          <w:sz w:val="20"/>
          <w:szCs w:val="20"/>
        </w:rPr>
      </w:pPr>
      <w:r w:rsidRPr="00743A41">
        <w:rPr>
          <w:rFonts w:asciiTheme="majorHAnsi" w:eastAsia="Calibri" w:hAnsiTheme="majorHAnsi" w:cstheme="majorHAnsi"/>
          <w:sz w:val="20"/>
          <w:szCs w:val="20"/>
        </w:rPr>
        <w:t>In Academic Year 2018, students reported the following:</w:t>
      </w:r>
    </w:p>
    <w:p w:rsidR="00D670DF" w:rsidRPr="00743A41" w:rsidRDefault="00D670DF" w:rsidP="00A37ED6">
      <w:pPr>
        <w:pStyle w:val="ListParagraph"/>
        <w:numPr>
          <w:ilvl w:val="0"/>
          <w:numId w:val="53"/>
        </w:numPr>
        <w:jc w:val="both"/>
        <w:rPr>
          <w:rFonts w:asciiTheme="majorHAnsi" w:eastAsia="Calibri" w:hAnsiTheme="majorHAnsi" w:cstheme="majorHAnsi"/>
          <w:szCs w:val="20"/>
        </w:rPr>
      </w:pPr>
      <w:r w:rsidRPr="00743A41">
        <w:rPr>
          <w:rFonts w:asciiTheme="majorHAnsi" w:eastAsia="Calibri" w:hAnsiTheme="majorHAnsi" w:cstheme="majorHAnsi"/>
          <w:szCs w:val="20"/>
        </w:rPr>
        <w:t>94.5% of students reported that their course size was conducive to learning</w:t>
      </w:r>
    </w:p>
    <w:p w:rsidR="00D670DF" w:rsidRPr="00743A41" w:rsidRDefault="00D670DF" w:rsidP="00A37ED6">
      <w:pPr>
        <w:pStyle w:val="ListParagraph"/>
        <w:numPr>
          <w:ilvl w:val="1"/>
          <w:numId w:val="53"/>
        </w:numPr>
        <w:jc w:val="both"/>
        <w:rPr>
          <w:rFonts w:asciiTheme="majorHAnsi" w:eastAsia="Calibri" w:hAnsiTheme="majorHAnsi" w:cstheme="majorHAnsi"/>
          <w:szCs w:val="20"/>
        </w:rPr>
      </w:pPr>
      <w:r w:rsidRPr="00743A41">
        <w:rPr>
          <w:rFonts w:asciiTheme="majorHAnsi" w:eastAsia="Calibri" w:hAnsiTheme="majorHAnsi" w:cstheme="majorHAnsi"/>
          <w:szCs w:val="20"/>
        </w:rPr>
        <w:t>Master’s level – 94.4%</w:t>
      </w:r>
    </w:p>
    <w:p w:rsidR="00D670DF" w:rsidRPr="00743A41" w:rsidRDefault="00D670DF" w:rsidP="00A37ED6">
      <w:pPr>
        <w:pStyle w:val="ListParagraph"/>
        <w:numPr>
          <w:ilvl w:val="1"/>
          <w:numId w:val="53"/>
        </w:numPr>
        <w:jc w:val="both"/>
        <w:rPr>
          <w:rFonts w:asciiTheme="majorHAnsi" w:eastAsia="Calibri" w:hAnsiTheme="majorHAnsi" w:cstheme="majorHAnsi"/>
          <w:szCs w:val="20"/>
        </w:rPr>
      </w:pPr>
      <w:r w:rsidRPr="00743A41">
        <w:rPr>
          <w:rFonts w:asciiTheme="majorHAnsi" w:eastAsia="Calibri" w:hAnsiTheme="majorHAnsi" w:cstheme="majorHAnsi"/>
          <w:szCs w:val="20"/>
        </w:rPr>
        <w:t>Doctoral level – 95.5%</w:t>
      </w:r>
    </w:p>
    <w:p w:rsidR="00D670DF" w:rsidRPr="00743A41" w:rsidRDefault="00D670DF" w:rsidP="00A37ED6">
      <w:pPr>
        <w:ind w:left="1080"/>
        <w:jc w:val="both"/>
        <w:rPr>
          <w:rFonts w:asciiTheme="majorHAnsi" w:eastAsia="Calibri" w:hAnsiTheme="majorHAnsi" w:cstheme="majorHAnsi"/>
          <w:sz w:val="20"/>
          <w:szCs w:val="20"/>
        </w:rPr>
      </w:pPr>
    </w:p>
    <w:p w:rsidR="00D670DF" w:rsidRPr="00743A41" w:rsidRDefault="00D670DF" w:rsidP="006E28EE">
      <w:pPr>
        <w:ind w:left="1080"/>
        <w:rPr>
          <w:rFonts w:asciiTheme="majorHAnsi" w:eastAsia="Calibri" w:hAnsiTheme="majorHAnsi" w:cstheme="majorHAnsi"/>
          <w:sz w:val="20"/>
          <w:szCs w:val="20"/>
        </w:rPr>
      </w:pPr>
      <w:r w:rsidRPr="00743A41">
        <w:rPr>
          <w:rFonts w:asciiTheme="majorHAnsi" w:eastAsia="Calibri" w:hAnsiTheme="majorHAnsi" w:cstheme="majorHAnsi"/>
          <w:sz w:val="20"/>
          <w:szCs w:val="20"/>
        </w:rPr>
        <w:t xml:space="preserve">In Academic Year 2019, students reported the following: </w:t>
      </w:r>
    </w:p>
    <w:p w:rsidR="00D670DF" w:rsidRPr="00743A41" w:rsidRDefault="00D670DF" w:rsidP="00A37ED6">
      <w:pPr>
        <w:pStyle w:val="ListParagraph"/>
        <w:numPr>
          <w:ilvl w:val="0"/>
          <w:numId w:val="53"/>
        </w:numPr>
        <w:jc w:val="both"/>
        <w:rPr>
          <w:rFonts w:asciiTheme="majorHAnsi" w:eastAsia="Calibri" w:hAnsiTheme="majorHAnsi" w:cstheme="majorHAnsi"/>
          <w:szCs w:val="20"/>
        </w:rPr>
      </w:pPr>
      <w:r w:rsidRPr="00743A41">
        <w:rPr>
          <w:rFonts w:asciiTheme="majorHAnsi" w:eastAsia="Calibri" w:hAnsiTheme="majorHAnsi" w:cstheme="majorHAnsi"/>
          <w:szCs w:val="20"/>
        </w:rPr>
        <w:t>96.5% of students reported that their course size was conducive to learning</w:t>
      </w:r>
    </w:p>
    <w:p w:rsidR="00D670DF" w:rsidRPr="00743A41" w:rsidRDefault="00D670DF" w:rsidP="00A37ED6">
      <w:pPr>
        <w:pStyle w:val="ListParagraph"/>
        <w:numPr>
          <w:ilvl w:val="1"/>
          <w:numId w:val="53"/>
        </w:numPr>
        <w:jc w:val="both"/>
        <w:rPr>
          <w:rFonts w:asciiTheme="majorHAnsi" w:eastAsia="Calibri" w:hAnsiTheme="majorHAnsi" w:cstheme="majorHAnsi"/>
          <w:szCs w:val="20"/>
        </w:rPr>
      </w:pPr>
      <w:r w:rsidRPr="00743A41">
        <w:rPr>
          <w:rFonts w:asciiTheme="majorHAnsi" w:eastAsia="Calibri" w:hAnsiTheme="majorHAnsi" w:cstheme="majorHAnsi"/>
          <w:szCs w:val="20"/>
        </w:rPr>
        <w:t>Master’s level – 96.9%</w:t>
      </w:r>
    </w:p>
    <w:p w:rsidR="00D670DF" w:rsidRPr="00743A41" w:rsidRDefault="00D670DF" w:rsidP="00A37ED6">
      <w:pPr>
        <w:pStyle w:val="ListParagraph"/>
        <w:numPr>
          <w:ilvl w:val="1"/>
          <w:numId w:val="53"/>
        </w:numPr>
        <w:jc w:val="both"/>
        <w:rPr>
          <w:rFonts w:asciiTheme="majorHAnsi" w:eastAsia="Calibri" w:hAnsiTheme="majorHAnsi" w:cstheme="majorHAnsi"/>
          <w:szCs w:val="20"/>
        </w:rPr>
      </w:pPr>
      <w:r w:rsidRPr="00743A41">
        <w:rPr>
          <w:rFonts w:asciiTheme="majorHAnsi" w:eastAsia="Calibri" w:hAnsiTheme="majorHAnsi" w:cstheme="majorHAnsi"/>
          <w:szCs w:val="20"/>
        </w:rPr>
        <w:t>Doctoral level – 95.4%</w:t>
      </w:r>
    </w:p>
    <w:p w:rsidR="00933038" w:rsidRPr="00743A41" w:rsidRDefault="00933038" w:rsidP="00A37ED6">
      <w:pPr>
        <w:ind w:left="1080"/>
        <w:jc w:val="both"/>
        <w:rPr>
          <w:rFonts w:asciiTheme="majorHAnsi" w:eastAsia="Calibri" w:hAnsiTheme="majorHAnsi" w:cstheme="majorHAnsi"/>
          <w:sz w:val="20"/>
          <w:szCs w:val="20"/>
        </w:rPr>
      </w:pPr>
    </w:p>
    <w:p w:rsidR="00D670DF" w:rsidRPr="00743A41" w:rsidRDefault="00D670DF" w:rsidP="00A37ED6">
      <w:pPr>
        <w:numPr>
          <w:ilvl w:val="1"/>
          <w:numId w:val="12"/>
        </w:numPr>
        <w:ind w:left="108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Availability of faculty (i.e., Likert scale of 1-5, with 5 being very satisfied)</w:t>
      </w:r>
    </w:p>
    <w:p w:rsidR="00933038" w:rsidRPr="00743A41" w:rsidRDefault="00933038" w:rsidP="00A37ED6">
      <w:pPr>
        <w:ind w:left="1080"/>
        <w:jc w:val="both"/>
        <w:rPr>
          <w:rFonts w:asciiTheme="majorHAnsi" w:eastAsia="Calibri" w:hAnsiTheme="majorHAnsi" w:cstheme="majorHAnsi"/>
          <w:sz w:val="20"/>
          <w:szCs w:val="20"/>
        </w:rPr>
      </w:pPr>
    </w:p>
    <w:p w:rsidR="00D670DF" w:rsidRPr="00743A41" w:rsidRDefault="00D670DF" w:rsidP="006E28EE">
      <w:pPr>
        <w:ind w:left="1080"/>
        <w:rPr>
          <w:rFonts w:asciiTheme="majorHAnsi" w:eastAsia="Calibri" w:hAnsiTheme="majorHAnsi" w:cstheme="majorHAnsi"/>
          <w:sz w:val="20"/>
          <w:szCs w:val="20"/>
        </w:rPr>
      </w:pPr>
      <w:r w:rsidRPr="00743A41">
        <w:rPr>
          <w:rFonts w:asciiTheme="majorHAnsi" w:eastAsia="Calibri" w:hAnsiTheme="majorHAnsi" w:cstheme="majorHAnsi"/>
          <w:sz w:val="20"/>
          <w:szCs w:val="20"/>
        </w:rPr>
        <w:t>As part of the course evaluation process that is conducted each semester, students are also asked about the availability of their faculty on a 5-point Likert scale.</w:t>
      </w:r>
      <w:r w:rsidR="00CF4D83" w:rsidRPr="00743A41">
        <w:rPr>
          <w:rFonts w:asciiTheme="majorHAnsi" w:eastAsia="Calibri" w:hAnsiTheme="majorHAnsi" w:cstheme="majorHAnsi"/>
          <w:sz w:val="20"/>
          <w:szCs w:val="20"/>
        </w:rPr>
        <w:t xml:space="preserve"> Quantitative data on availability of faculty </w:t>
      </w:r>
      <w:r w:rsidR="00CE5676">
        <w:rPr>
          <w:rFonts w:asciiTheme="majorHAnsi" w:eastAsia="Calibri" w:hAnsiTheme="majorHAnsi" w:cstheme="majorHAnsi"/>
          <w:sz w:val="20"/>
          <w:szCs w:val="20"/>
        </w:rPr>
        <w:t>is available in the electronic resource file</w:t>
      </w:r>
      <w:r w:rsidR="00CF4D83" w:rsidRPr="00743A41">
        <w:rPr>
          <w:rFonts w:asciiTheme="majorHAnsi" w:eastAsia="Calibri" w:hAnsiTheme="majorHAnsi" w:cstheme="majorHAnsi"/>
          <w:sz w:val="20"/>
          <w:szCs w:val="20"/>
        </w:rPr>
        <w:t xml:space="preserve"> (</w:t>
      </w:r>
      <w:r w:rsidR="00CF4D83" w:rsidRPr="00743A41">
        <w:rPr>
          <w:rFonts w:asciiTheme="majorHAnsi" w:eastAsia="Calibri" w:hAnsiTheme="majorHAnsi" w:cstheme="majorHAnsi"/>
          <w:i/>
          <w:sz w:val="20"/>
          <w:szCs w:val="20"/>
        </w:rPr>
        <w:t>ERF, C2. Faculty Resources</w:t>
      </w:r>
      <w:r w:rsidR="00CF4D83" w:rsidRPr="00743A41">
        <w:rPr>
          <w:rFonts w:asciiTheme="majorHAnsi" w:eastAsia="Calibri" w:hAnsiTheme="majorHAnsi" w:cstheme="majorHAnsi"/>
          <w:sz w:val="20"/>
          <w:szCs w:val="20"/>
        </w:rPr>
        <w:t>).</w:t>
      </w:r>
    </w:p>
    <w:p w:rsidR="00D670DF" w:rsidRPr="00743A41" w:rsidRDefault="00D670DF" w:rsidP="00A37ED6">
      <w:pPr>
        <w:ind w:left="1080"/>
        <w:jc w:val="both"/>
        <w:rPr>
          <w:rFonts w:asciiTheme="majorHAnsi" w:eastAsia="Calibri" w:hAnsiTheme="majorHAnsi" w:cstheme="majorHAnsi"/>
          <w:sz w:val="20"/>
          <w:szCs w:val="20"/>
        </w:rPr>
      </w:pPr>
    </w:p>
    <w:p w:rsidR="00D670DF" w:rsidRPr="00743A41" w:rsidRDefault="00D670DF" w:rsidP="00A37ED6">
      <w:pPr>
        <w:ind w:left="108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In Academic Year 2018, students reported the following:</w:t>
      </w:r>
    </w:p>
    <w:p w:rsidR="00D670DF" w:rsidRPr="00743A41" w:rsidRDefault="00D670DF" w:rsidP="00A37ED6">
      <w:pPr>
        <w:pStyle w:val="ListParagraph"/>
        <w:numPr>
          <w:ilvl w:val="0"/>
          <w:numId w:val="53"/>
        </w:numPr>
        <w:jc w:val="both"/>
        <w:rPr>
          <w:rFonts w:asciiTheme="majorHAnsi" w:eastAsia="Calibri" w:hAnsiTheme="majorHAnsi" w:cstheme="majorHAnsi"/>
          <w:szCs w:val="20"/>
        </w:rPr>
      </w:pPr>
      <w:r w:rsidRPr="00743A41">
        <w:rPr>
          <w:rFonts w:asciiTheme="majorHAnsi" w:eastAsia="Calibri" w:hAnsiTheme="majorHAnsi" w:cstheme="majorHAnsi"/>
          <w:szCs w:val="20"/>
        </w:rPr>
        <w:t>77.4% of students somewhat agreed, agreed, or strongly agreed that their faculty were accessible to students</w:t>
      </w:r>
    </w:p>
    <w:p w:rsidR="00D670DF" w:rsidRPr="00743A41" w:rsidRDefault="00D670DF" w:rsidP="00A37ED6">
      <w:pPr>
        <w:pStyle w:val="ListParagraph"/>
        <w:numPr>
          <w:ilvl w:val="1"/>
          <w:numId w:val="53"/>
        </w:numPr>
        <w:jc w:val="both"/>
        <w:rPr>
          <w:rFonts w:asciiTheme="majorHAnsi" w:eastAsia="Calibri" w:hAnsiTheme="majorHAnsi" w:cstheme="majorHAnsi"/>
          <w:szCs w:val="20"/>
        </w:rPr>
      </w:pPr>
      <w:r w:rsidRPr="00743A41">
        <w:rPr>
          <w:rFonts w:asciiTheme="majorHAnsi" w:eastAsia="Calibri" w:hAnsiTheme="majorHAnsi" w:cstheme="majorHAnsi"/>
          <w:szCs w:val="20"/>
        </w:rPr>
        <w:t>Master’s level – 77.4%</w:t>
      </w:r>
    </w:p>
    <w:p w:rsidR="00D670DF" w:rsidRPr="00743A41" w:rsidRDefault="00D670DF" w:rsidP="00A37ED6">
      <w:pPr>
        <w:pStyle w:val="ListParagraph"/>
        <w:numPr>
          <w:ilvl w:val="1"/>
          <w:numId w:val="53"/>
        </w:numPr>
        <w:jc w:val="both"/>
        <w:rPr>
          <w:rFonts w:asciiTheme="majorHAnsi" w:eastAsia="Calibri" w:hAnsiTheme="majorHAnsi" w:cstheme="majorHAnsi"/>
          <w:szCs w:val="20"/>
        </w:rPr>
      </w:pPr>
      <w:r w:rsidRPr="00743A41">
        <w:rPr>
          <w:rFonts w:asciiTheme="majorHAnsi" w:eastAsia="Calibri" w:hAnsiTheme="majorHAnsi" w:cstheme="majorHAnsi"/>
          <w:szCs w:val="20"/>
        </w:rPr>
        <w:t>Doctoral level – 88.3%</w:t>
      </w:r>
    </w:p>
    <w:p w:rsidR="00D670DF" w:rsidRPr="00743A41" w:rsidRDefault="00D670DF" w:rsidP="00A37ED6">
      <w:pPr>
        <w:ind w:left="1080"/>
        <w:jc w:val="both"/>
        <w:rPr>
          <w:rFonts w:asciiTheme="majorHAnsi" w:eastAsia="Calibri" w:hAnsiTheme="majorHAnsi" w:cstheme="majorHAnsi"/>
          <w:sz w:val="20"/>
          <w:szCs w:val="20"/>
        </w:rPr>
      </w:pPr>
    </w:p>
    <w:p w:rsidR="00D670DF" w:rsidRPr="00743A41" w:rsidRDefault="00D670DF" w:rsidP="00A37ED6">
      <w:pPr>
        <w:ind w:left="108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 xml:space="preserve">In Academic Year 2019, students reported the following: </w:t>
      </w:r>
    </w:p>
    <w:p w:rsidR="00D670DF" w:rsidRPr="00743A41" w:rsidRDefault="00D670DF" w:rsidP="00A37ED6">
      <w:pPr>
        <w:pStyle w:val="ListParagraph"/>
        <w:numPr>
          <w:ilvl w:val="0"/>
          <w:numId w:val="53"/>
        </w:numPr>
        <w:jc w:val="both"/>
        <w:rPr>
          <w:rFonts w:asciiTheme="majorHAnsi" w:eastAsia="Calibri" w:hAnsiTheme="majorHAnsi" w:cstheme="majorHAnsi"/>
          <w:szCs w:val="20"/>
        </w:rPr>
      </w:pPr>
      <w:r w:rsidRPr="00743A41">
        <w:rPr>
          <w:rFonts w:asciiTheme="majorHAnsi" w:eastAsia="Calibri" w:hAnsiTheme="majorHAnsi" w:cstheme="majorHAnsi"/>
          <w:szCs w:val="20"/>
        </w:rPr>
        <w:t xml:space="preserve">84.6% of students somewhat agreed, agreed, or strongly agreed that their faculty were accessible to students </w:t>
      </w:r>
    </w:p>
    <w:p w:rsidR="00D670DF" w:rsidRPr="00743A41" w:rsidRDefault="00D670DF" w:rsidP="00A37ED6">
      <w:pPr>
        <w:pStyle w:val="ListParagraph"/>
        <w:numPr>
          <w:ilvl w:val="1"/>
          <w:numId w:val="53"/>
        </w:numPr>
        <w:jc w:val="both"/>
        <w:rPr>
          <w:rFonts w:asciiTheme="majorHAnsi" w:eastAsia="Calibri" w:hAnsiTheme="majorHAnsi" w:cstheme="majorHAnsi"/>
          <w:szCs w:val="20"/>
        </w:rPr>
      </w:pPr>
      <w:r w:rsidRPr="00743A41">
        <w:rPr>
          <w:rFonts w:asciiTheme="majorHAnsi" w:eastAsia="Calibri" w:hAnsiTheme="majorHAnsi" w:cstheme="majorHAnsi"/>
          <w:szCs w:val="20"/>
        </w:rPr>
        <w:t>Master’s level – 83.3%</w:t>
      </w:r>
    </w:p>
    <w:p w:rsidR="00D670DF" w:rsidRPr="00743A41" w:rsidRDefault="00D670DF" w:rsidP="00A37ED6">
      <w:pPr>
        <w:pStyle w:val="ListParagraph"/>
        <w:numPr>
          <w:ilvl w:val="1"/>
          <w:numId w:val="53"/>
        </w:numPr>
        <w:jc w:val="both"/>
        <w:rPr>
          <w:rFonts w:asciiTheme="majorHAnsi" w:eastAsia="Calibri" w:hAnsiTheme="majorHAnsi" w:cstheme="majorHAnsi"/>
          <w:szCs w:val="20"/>
        </w:rPr>
      </w:pPr>
      <w:r w:rsidRPr="00743A41">
        <w:rPr>
          <w:rFonts w:asciiTheme="majorHAnsi" w:eastAsia="Calibri" w:hAnsiTheme="majorHAnsi" w:cstheme="majorHAnsi"/>
          <w:szCs w:val="20"/>
        </w:rPr>
        <w:t>Doctoral level – 94.7%</w:t>
      </w:r>
    </w:p>
    <w:p w:rsidR="002D612B" w:rsidRPr="00743A41" w:rsidRDefault="002D612B" w:rsidP="002D612B">
      <w:pPr>
        <w:ind w:left="720"/>
        <w:rPr>
          <w:rFonts w:asciiTheme="majorHAnsi" w:eastAsia="Calibri" w:hAnsiTheme="majorHAnsi" w:cstheme="majorHAnsi"/>
          <w:sz w:val="20"/>
          <w:szCs w:val="20"/>
        </w:rPr>
      </w:pPr>
    </w:p>
    <w:p w:rsidR="002D612B" w:rsidRPr="00743A41" w:rsidRDefault="002D612B" w:rsidP="002D612B">
      <w:pPr>
        <w:ind w:left="720"/>
        <w:rPr>
          <w:rFonts w:asciiTheme="majorHAnsi" w:eastAsia="Calibri" w:hAnsiTheme="majorHAnsi" w:cstheme="majorHAnsi"/>
          <w:sz w:val="20"/>
          <w:szCs w:val="20"/>
        </w:rPr>
      </w:pPr>
      <w:r w:rsidRPr="00743A41">
        <w:rPr>
          <w:rFonts w:asciiTheme="majorHAnsi" w:eastAsia="Calibri" w:hAnsiTheme="majorHAnsi" w:cstheme="majorHAnsi"/>
          <w:sz w:val="20"/>
          <w:szCs w:val="20"/>
        </w:rPr>
        <w:t>Associated documents in the electronic resource file:</w:t>
      </w:r>
    </w:p>
    <w:p w:rsidR="002D612B" w:rsidRPr="00743A41" w:rsidRDefault="002D612B" w:rsidP="002D612B">
      <w:pPr>
        <w:pStyle w:val="ListParagraph"/>
        <w:numPr>
          <w:ilvl w:val="0"/>
          <w:numId w:val="138"/>
        </w:numPr>
        <w:rPr>
          <w:rFonts w:asciiTheme="majorHAnsi" w:eastAsia="Calibri" w:hAnsiTheme="majorHAnsi" w:cstheme="majorHAnsi"/>
          <w:i/>
          <w:szCs w:val="20"/>
        </w:rPr>
      </w:pPr>
      <w:r w:rsidRPr="00743A41">
        <w:rPr>
          <w:rFonts w:asciiTheme="majorHAnsi" w:eastAsia="Calibri" w:hAnsiTheme="majorHAnsi" w:cstheme="majorHAnsi"/>
          <w:i/>
          <w:szCs w:val="20"/>
        </w:rPr>
        <w:t>C2. Faculty Resources</w:t>
      </w:r>
    </w:p>
    <w:p w:rsidR="002D612B" w:rsidRPr="00743A41" w:rsidRDefault="002D612B" w:rsidP="002D612B">
      <w:pPr>
        <w:pStyle w:val="ListParagraph"/>
        <w:numPr>
          <w:ilvl w:val="1"/>
          <w:numId w:val="138"/>
        </w:numPr>
        <w:rPr>
          <w:rFonts w:asciiTheme="majorHAnsi" w:eastAsia="Calibri" w:hAnsiTheme="majorHAnsi" w:cstheme="majorHAnsi"/>
          <w:i/>
          <w:szCs w:val="20"/>
        </w:rPr>
      </w:pPr>
      <w:r w:rsidRPr="00743A41">
        <w:rPr>
          <w:rFonts w:asciiTheme="majorHAnsi" w:eastAsia="Calibri" w:hAnsiTheme="majorHAnsi" w:cstheme="majorHAnsi"/>
          <w:i/>
          <w:szCs w:val="20"/>
        </w:rPr>
        <w:t>Fall 2018 Quantitative Raw Data</w:t>
      </w:r>
    </w:p>
    <w:p w:rsidR="002D612B" w:rsidRPr="00743A41" w:rsidRDefault="002D612B" w:rsidP="002D612B">
      <w:pPr>
        <w:pStyle w:val="ListParagraph"/>
        <w:numPr>
          <w:ilvl w:val="1"/>
          <w:numId w:val="138"/>
        </w:numPr>
        <w:rPr>
          <w:rFonts w:asciiTheme="majorHAnsi" w:eastAsia="Calibri" w:hAnsiTheme="majorHAnsi" w:cstheme="majorHAnsi"/>
          <w:i/>
          <w:szCs w:val="20"/>
        </w:rPr>
      </w:pPr>
      <w:r w:rsidRPr="00743A41">
        <w:rPr>
          <w:rFonts w:asciiTheme="majorHAnsi" w:eastAsia="Calibri" w:hAnsiTheme="majorHAnsi" w:cstheme="majorHAnsi"/>
          <w:i/>
          <w:szCs w:val="20"/>
        </w:rPr>
        <w:t>Spring 2019 Quantitative Raw Data</w:t>
      </w:r>
    </w:p>
    <w:p w:rsidR="002D612B" w:rsidRPr="00743A41" w:rsidRDefault="002D612B" w:rsidP="002D612B">
      <w:pPr>
        <w:pStyle w:val="ListParagraph"/>
        <w:numPr>
          <w:ilvl w:val="1"/>
          <w:numId w:val="138"/>
        </w:numPr>
        <w:rPr>
          <w:rFonts w:asciiTheme="majorHAnsi" w:eastAsia="Calibri" w:hAnsiTheme="majorHAnsi" w:cstheme="majorHAnsi"/>
          <w:i/>
          <w:szCs w:val="20"/>
        </w:rPr>
      </w:pPr>
      <w:r w:rsidRPr="00743A41">
        <w:rPr>
          <w:rFonts w:asciiTheme="majorHAnsi" w:eastAsia="Calibri" w:hAnsiTheme="majorHAnsi" w:cstheme="majorHAnsi"/>
          <w:i/>
          <w:szCs w:val="20"/>
        </w:rPr>
        <w:t>Summer 2019 6W1 Quantitative Raw Data</w:t>
      </w:r>
    </w:p>
    <w:p w:rsidR="002D612B" w:rsidRPr="00743A41" w:rsidRDefault="002D612B" w:rsidP="002D612B">
      <w:pPr>
        <w:pStyle w:val="ListParagraph"/>
        <w:numPr>
          <w:ilvl w:val="1"/>
          <w:numId w:val="138"/>
        </w:numPr>
        <w:rPr>
          <w:rFonts w:asciiTheme="majorHAnsi" w:eastAsia="Calibri" w:hAnsiTheme="majorHAnsi" w:cstheme="majorHAnsi"/>
          <w:i/>
          <w:szCs w:val="20"/>
        </w:rPr>
      </w:pPr>
      <w:r w:rsidRPr="00743A41">
        <w:rPr>
          <w:rFonts w:asciiTheme="majorHAnsi" w:eastAsia="Calibri" w:hAnsiTheme="majorHAnsi" w:cstheme="majorHAnsi"/>
          <w:i/>
          <w:szCs w:val="20"/>
        </w:rPr>
        <w:t>Summer 2019 6W2 and 12W Quantitative Raw Data</w:t>
      </w:r>
    </w:p>
    <w:p w:rsidR="00933038" w:rsidRPr="00743A41" w:rsidRDefault="00933038" w:rsidP="00A37ED6">
      <w:pPr>
        <w:ind w:left="1080"/>
        <w:jc w:val="both"/>
        <w:rPr>
          <w:rFonts w:asciiTheme="majorHAnsi" w:eastAsia="Calibri" w:hAnsiTheme="majorHAnsi" w:cstheme="majorHAnsi"/>
          <w:sz w:val="20"/>
          <w:szCs w:val="20"/>
        </w:rPr>
      </w:pPr>
    </w:p>
    <w:p w:rsidR="00933038" w:rsidRPr="00743A41" w:rsidRDefault="00933038" w:rsidP="00A37ED6">
      <w:pPr>
        <w:numPr>
          <w:ilvl w:val="0"/>
          <w:numId w:val="12"/>
        </w:numPr>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Qualitative data on student perceptions of class size and availability of faculty.</w:t>
      </w:r>
      <w:r w:rsidR="00EB29FA" w:rsidRPr="00743A41">
        <w:rPr>
          <w:rFonts w:asciiTheme="majorHAnsi" w:eastAsia="Calibri" w:hAnsiTheme="majorHAnsi" w:cstheme="majorHAnsi"/>
          <w:sz w:val="20"/>
          <w:szCs w:val="20"/>
        </w:rPr>
        <w:t xml:space="preserve"> </w:t>
      </w:r>
      <w:r w:rsidR="00164A8A" w:rsidRPr="00743A41">
        <w:rPr>
          <w:rFonts w:asciiTheme="majorHAnsi" w:eastAsia="Calibri" w:hAnsiTheme="majorHAnsi" w:cstheme="majorHAnsi"/>
          <w:sz w:val="20"/>
          <w:szCs w:val="20"/>
        </w:rPr>
        <w:t>Only data on public health degrees and concentrations are presented.</w:t>
      </w:r>
    </w:p>
    <w:p w:rsidR="00933038" w:rsidRPr="00743A41" w:rsidRDefault="00933038" w:rsidP="00A37ED6">
      <w:pPr>
        <w:ind w:left="720"/>
        <w:jc w:val="both"/>
        <w:rPr>
          <w:rFonts w:asciiTheme="majorHAnsi" w:eastAsia="Calibri" w:hAnsiTheme="majorHAnsi" w:cstheme="majorHAnsi"/>
          <w:sz w:val="20"/>
          <w:szCs w:val="20"/>
        </w:rPr>
      </w:pPr>
    </w:p>
    <w:p w:rsidR="00164A8A" w:rsidRPr="00743A41" w:rsidRDefault="00164A8A" w:rsidP="00FC4AEF">
      <w:pPr>
        <w:ind w:left="720"/>
        <w:rPr>
          <w:rFonts w:asciiTheme="majorHAnsi" w:eastAsia="Calibri" w:hAnsiTheme="majorHAnsi" w:cstheme="majorHAnsi"/>
          <w:sz w:val="20"/>
          <w:szCs w:val="20"/>
        </w:rPr>
      </w:pPr>
      <w:r w:rsidRPr="00743A41">
        <w:rPr>
          <w:rFonts w:asciiTheme="majorHAnsi" w:eastAsia="Calibri" w:hAnsiTheme="majorHAnsi" w:cstheme="majorHAnsi"/>
          <w:sz w:val="20"/>
          <w:szCs w:val="20"/>
        </w:rPr>
        <w:t xml:space="preserve">Qualitative data on class size were obtained by analyzing open-ended questions from end-of-semester course evaluations. The relevant item states, “Please provide any comments you have about the class size for this course.” Data were coded into positive comments, negative comments, and unrelated comments. </w:t>
      </w:r>
      <w:hyperlink w:anchor="Table_C26" w:history="1">
        <w:r w:rsidRPr="00743A41">
          <w:rPr>
            <w:rStyle w:val="Hyperlink"/>
            <w:rFonts w:asciiTheme="majorHAnsi" w:eastAsia="Calibri" w:hAnsiTheme="majorHAnsi" w:cstheme="majorHAnsi"/>
            <w:sz w:val="20"/>
            <w:szCs w:val="20"/>
          </w:rPr>
          <w:t>Table C</w:t>
        </w:r>
        <w:r w:rsidR="00E27870" w:rsidRPr="00743A41">
          <w:rPr>
            <w:rStyle w:val="Hyperlink"/>
            <w:rFonts w:asciiTheme="majorHAnsi" w:eastAsia="Calibri" w:hAnsiTheme="majorHAnsi" w:cstheme="majorHAnsi"/>
            <w:sz w:val="20"/>
            <w:szCs w:val="20"/>
          </w:rPr>
          <w:t>.</w:t>
        </w:r>
        <w:r w:rsidRPr="00743A41">
          <w:rPr>
            <w:rStyle w:val="Hyperlink"/>
            <w:rFonts w:asciiTheme="majorHAnsi" w:eastAsia="Calibri" w:hAnsiTheme="majorHAnsi" w:cstheme="majorHAnsi"/>
            <w:sz w:val="20"/>
            <w:szCs w:val="20"/>
          </w:rPr>
          <w:t>2.6.</w:t>
        </w:r>
      </w:hyperlink>
      <w:r w:rsidRPr="00743A41">
        <w:rPr>
          <w:rFonts w:asciiTheme="majorHAnsi" w:eastAsia="Calibri" w:hAnsiTheme="majorHAnsi" w:cstheme="majorHAnsi"/>
          <w:sz w:val="20"/>
          <w:szCs w:val="20"/>
        </w:rPr>
        <w:t xml:space="preserve"> summarizes the data. Overall, of 2,195 course evaluations, only 39 included a comment on course size. Of these comments, 89% were positive. </w:t>
      </w:r>
    </w:p>
    <w:p w:rsidR="00164A8A" w:rsidRPr="00743A41" w:rsidRDefault="00164A8A" w:rsidP="00FC4AEF">
      <w:pPr>
        <w:ind w:left="720"/>
        <w:rPr>
          <w:rFonts w:asciiTheme="majorHAnsi" w:eastAsia="Calibri" w:hAnsiTheme="majorHAnsi" w:cstheme="majorHAnsi"/>
          <w:sz w:val="20"/>
          <w:szCs w:val="20"/>
        </w:rPr>
      </w:pPr>
    </w:p>
    <w:p w:rsidR="00164A8A" w:rsidRPr="00743A41" w:rsidRDefault="00164A8A" w:rsidP="00FC4AEF">
      <w:pPr>
        <w:ind w:left="720"/>
        <w:rPr>
          <w:rFonts w:asciiTheme="majorHAnsi" w:eastAsia="Calibri" w:hAnsiTheme="majorHAnsi" w:cstheme="majorHAnsi"/>
          <w:sz w:val="20"/>
          <w:szCs w:val="20"/>
        </w:rPr>
      </w:pPr>
      <w:r w:rsidRPr="00743A41">
        <w:rPr>
          <w:rFonts w:asciiTheme="majorHAnsi" w:eastAsia="Calibri" w:hAnsiTheme="majorHAnsi" w:cstheme="majorHAnsi"/>
          <w:sz w:val="20"/>
          <w:szCs w:val="20"/>
        </w:rPr>
        <w:t>Qualitative data on faculty availability were obtained by analyzing open-ended questions from end-of-semester course evaluations. The relevant item states, “Please comment about the availability of the instructor.” Data were entered into a spreadsheet. Each comment was coded as being positive, negative, or not applicable. Overall, of 2,195 course evaluations, 540 included a comment on instructor availability. Of these comments, 92% were positive.</w:t>
      </w:r>
    </w:p>
    <w:p w:rsidR="00622B06" w:rsidRPr="00743A41" w:rsidRDefault="00622B06" w:rsidP="00FC4AEF">
      <w:pPr>
        <w:ind w:left="720"/>
        <w:rPr>
          <w:rFonts w:asciiTheme="majorHAnsi" w:eastAsia="Calibri" w:hAnsiTheme="majorHAnsi" w:cstheme="majorHAnsi"/>
          <w:sz w:val="20"/>
          <w:szCs w:val="20"/>
        </w:rPr>
      </w:pPr>
    </w:p>
    <w:p w:rsidR="00622B06" w:rsidRPr="00743A41" w:rsidRDefault="00622B06" w:rsidP="00FC4AEF">
      <w:pPr>
        <w:ind w:left="720"/>
        <w:rPr>
          <w:rFonts w:asciiTheme="majorHAnsi" w:eastAsia="Calibri" w:hAnsiTheme="majorHAnsi" w:cstheme="majorHAnsi"/>
          <w:sz w:val="20"/>
          <w:szCs w:val="20"/>
        </w:rPr>
      </w:pPr>
      <w:r w:rsidRPr="00743A41">
        <w:rPr>
          <w:rFonts w:asciiTheme="majorHAnsi" w:eastAsia="Calibri" w:hAnsiTheme="majorHAnsi" w:cstheme="majorHAnsi"/>
          <w:sz w:val="20"/>
          <w:szCs w:val="20"/>
        </w:rPr>
        <w:t xml:space="preserve">Qualitative data on student perceptions of class size and </w:t>
      </w:r>
      <w:r w:rsidR="0092735C" w:rsidRPr="00743A41">
        <w:rPr>
          <w:rFonts w:asciiTheme="majorHAnsi" w:eastAsia="Calibri" w:hAnsiTheme="majorHAnsi" w:cstheme="majorHAnsi"/>
          <w:sz w:val="20"/>
          <w:szCs w:val="20"/>
        </w:rPr>
        <w:t>availability of faculty</w:t>
      </w:r>
      <w:r w:rsidRPr="00743A41">
        <w:rPr>
          <w:rFonts w:asciiTheme="majorHAnsi" w:eastAsia="Calibri" w:hAnsiTheme="majorHAnsi" w:cstheme="majorHAnsi"/>
          <w:sz w:val="20"/>
          <w:szCs w:val="20"/>
        </w:rPr>
        <w:t xml:space="preserve"> </w:t>
      </w:r>
      <w:r w:rsidR="00CE5676">
        <w:rPr>
          <w:rFonts w:asciiTheme="majorHAnsi" w:eastAsia="Calibri" w:hAnsiTheme="majorHAnsi" w:cstheme="majorHAnsi"/>
          <w:sz w:val="20"/>
          <w:szCs w:val="20"/>
        </w:rPr>
        <w:t>is available in the electronic resource file</w:t>
      </w:r>
      <w:r w:rsidRPr="00743A41">
        <w:rPr>
          <w:rFonts w:asciiTheme="majorHAnsi" w:eastAsia="Calibri" w:hAnsiTheme="majorHAnsi" w:cstheme="majorHAnsi"/>
          <w:sz w:val="20"/>
          <w:szCs w:val="20"/>
        </w:rPr>
        <w:t xml:space="preserve"> (</w:t>
      </w:r>
      <w:r w:rsidRPr="00743A41">
        <w:rPr>
          <w:rFonts w:asciiTheme="majorHAnsi" w:eastAsia="Calibri" w:hAnsiTheme="majorHAnsi" w:cstheme="majorHAnsi"/>
          <w:i/>
          <w:sz w:val="20"/>
          <w:szCs w:val="20"/>
        </w:rPr>
        <w:t>ERF, C2. Faculty Resources</w:t>
      </w:r>
      <w:r w:rsidRPr="00743A41">
        <w:rPr>
          <w:rFonts w:asciiTheme="majorHAnsi" w:eastAsia="Calibri" w:hAnsiTheme="majorHAnsi" w:cstheme="majorHAnsi"/>
          <w:sz w:val="20"/>
          <w:szCs w:val="20"/>
        </w:rPr>
        <w:t>).</w:t>
      </w:r>
    </w:p>
    <w:p w:rsidR="00164A8A" w:rsidRPr="00743A41" w:rsidRDefault="00164A8A" w:rsidP="00A37ED6">
      <w:pPr>
        <w:ind w:left="720"/>
        <w:rPr>
          <w:rFonts w:asciiTheme="majorHAnsi" w:eastAsia="Calibri" w:hAnsiTheme="majorHAnsi" w:cstheme="majorHAnsi"/>
          <w:sz w:val="20"/>
          <w:szCs w:val="20"/>
          <w:highlight w:val="yellow"/>
        </w:rPr>
      </w:pPr>
    </w:p>
    <w:p w:rsidR="00164A8A" w:rsidRPr="00743A41" w:rsidRDefault="00AB1973" w:rsidP="00A37ED6">
      <w:pPr>
        <w:ind w:left="720"/>
        <w:rPr>
          <w:rFonts w:asciiTheme="majorHAnsi" w:eastAsia="Calibri" w:hAnsiTheme="majorHAnsi" w:cstheme="majorHAnsi"/>
          <w:sz w:val="20"/>
          <w:szCs w:val="20"/>
        </w:rPr>
      </w:pPr>
      <w:r w:rsidRPr="00D923BA">
        <w:rPr>
          <w:rFonts w:asciiTheme="majorHAnsi" w:eastAsia="Calibri" w:hAnsiTheme="majorHAnsi" w:cstheme="majorHAnsi"/>
          <w:sz w:val="20"/>
          <w:szCs w:val="20"/>
        </w:rPr>
        <w:t>Table C.2.6. Qualitative Responses on Course Evaluation – Class Size and Instructor Availability</w:t>
      </w:r>
      <w:r w:rsidR="00164A8A" w:rsidRPr="00743A41">
        <w:rPr>
          <w:rFonts w:asciiTheme="majorHAnsi" w:eastAsia="Calibri" w:hAnsiTheme="majorHAnsi" w:cstheme="majorHAnsi"/>
          <w:sz w:val="20"/>
          <w:szCs w:val="20"/>
        </w:rPr>
        <w:t xml:space="preserve"> </w:t>
      </w:r>
    </w:p>
    <w:tbl>
      <w:tblPr>
        <w:tblStyle w:val="TableGrid"/>
        <w:tblW w:w="8635" w:type="dxa"/>
        <w:tblInd w:w="720" w:type="dxa"/>
        <w:tblLook w:val="04A0" w:firstRow="1" w:lastRow="0" w:firstColumn="1" w:lastColumn="0" w:noHBand="0" w:noVBand="1"/>
      </w:tblPr>
      <w:tblGrid>
        <w:gridCol w:w="6385"/>
        <w:gridCol w:w="2250"/>
      </w:tblGrid>
      <w:tr w:rsidR="00164A8A" w:rsidRPr="00743A41" w:rsidTr="006E28EE">
        <w:tc>
          <w:tcPr>
            <w:tcW w:w="6385" w:type="dxa"/>
            <w:shd w:val="clear" w:color="auto" w:fill="D9D9D9" w:themeFill="background1" w:themeFillShade="D9"/>
          </w:tcPr>
          <w:p w:rsidR="00164A8A" w:rsidRPr="00743A41" w:rsidRDefault="00164A8A" w:rsidP="00A37ED6">
            <w:pPr>
              <w:rPr>
                <w:rFonts w:asciiTheme="majorHAnsi" w:eastAsia="Calibri" w:hAnsiTheme="majorHAnsi" w:cstheme="majorHAnsi"/>
                <w:sz w:val="20"/>
                <w:szCs w:val="20"/>
              </w:rPr>
            </w:pPr>
          </w:p>
        </w:tc>
        <w:tc>
          <w:tcPr>
            <w:tcW w:w="2250" w:type="dxa"/>
            <w:shd w:val="clear" w:color="auto" w:fill="D9D9D9" w:themeFill="background1" w:themeFillShade="D9"/>
          </w:tcPr>
          <w:p w:rsidR="00164A8A" w:rsidRPr="00743A41" w:rsidRDefault="00164A8A" w:rsidP="00A37ED6">
            <w:pPr>
              <w:jc w:val="center"/>
              <w:rPr>
                <w:rFonts w:asciiTheme="majorHAnsi" w:eastAsia="Calibri" w:hAnsiTheme="majorHAnsi" w:cstheme="majorHAnsi"/>
                <w:sz w:val="20"/>
                <w:szCs w:val="20"/>
              </w:rPr>
            </w:pPr>
            <w:r w:rsidRPr="00743A41">
              <w:rPr>
                <w:rFonts w:asciiTheme="majorHAnsi" w:eastAsia="Calibri" w:hAnsiTheme="majorHAnsi" w:cstheme="majorHAnsi"/>
                <w:sz w:val="20"/>
                <w:szCs w:val="20"/>
              </w:rPr>
              <w:t>Spring 2019*</w:t>
            </w:r>
          </w:p>
        </w:tc>
      </w:tr>
      <w:tr w:rsidR="00164A8A" w:rsidRPr="00743A41" w:rsidTr="006E28EE">
        <w:trPr>
          <w:trHeight w:val="188"/>
        </w:trPr>
        <w:tc>
          <w:tcPr>
            <w:tcW w:w="6385" w:type="dxa"/>
            <w:shd w:val="clear" w:color="auto" w:fill="D9D9D9" w:themeFill="background1" w:themeFillShade="D9"/>
          </w:tcPr>
          <w:p w:rsidR="00164A8A" w:rsidRPr="00743A41" w:rsidRDefault="00164A8A" w:rsidP="00A37ED6">
            <w:pPr>
              <w:rPr>
                <w:rFonts w:asciiTheme="majorHAnsi" w:eastAsia="Calibri" w:hAnsiTheme="majorHAnsi" w:cstheme="majorHAnsi"/>
                <w:sz w:val="20"/>
                <w:szCs w:val="20"/>
              </w:rPr>
            </w:pPr>
            <w:r w:rsidRPr="00743A41">
              <w:rPr>
                <w:rFonts w:asciiTheme="majorHAnsi" w:eastAsia="Calibri" w:hAnsiTheme="majorHAnsi" w:cstheme="majorHAnsi"/>
                <w:sz w:val="20"/>
                <w:szCs w:val="20"/>
              </w:rPr>
              <w:t>Total course evaluation responses</w:t>
            </w:r>
          </w:p>
        </w:tc>
        <w:tc>
          <w:tcPr>
            <w:tcW w:w="2250" w:type="dxa"/>
            <w:shd w:val="clear" w:color="auto" w:fill="D9D9D9" w:themeFill="background1" w:themeFillShade="D9"/>
          </w:tcPr>
          <w:p w:rsidR="00164A8A" w:rsidRPr="00743A41" w:rsidRDefault="00164A8A" w:rsidP="00A37ED6">
            <w:pPr>
              <w:jc w:val="center"/>
              <w:rPr>
                <w:rFonts w:asciiTheme="majorHAnsi" w:eastAsia="Calibri" w:hAnsiTheme="majorHAnsi" w:cstheme="majorHAnsi"/>
                <w:sz w:val="20"/>
                <w:szCs w:val="20"/>
              </w:rPr>
            </w:pPr>
            <w:r w:rsidRPr="00743A41">
              <w:rPr>
                <w:rFonts w:asciiTheme="majorHAnsi" w:eastAsia="Calibri" w:hAnsiTheme="majorHAnsi" w:cstheme="majorHAnsi"/>
                <w:sz w:val="20"/>
                <w:szCs w:val="20"/>
              </w:rPr>
              <w:t>N=2,195</w:t>
            </w:r>
          </w:p>
        </w:tc>
      </w:tr>
      <w:tr w:rsidR="00164A8A" w:rsidRPr="00743A41" w:rsidTr="006E28EE">
        <w:tc>
          <w:tcPr>
            <w:tcW w:w="6385" w:type="dxa"/>
          </w:tcPr>
          <w:p w:rsidR="00164A8A" w:rsidRPr="00743A41" w:rsidRDefault="00164A8A" w:rsidP="00A37ED6">
            <w:pPr>
              <w:rPr>
                <w:rFonts w:asciiTheme="majorHAnsi" w:eastAsia="Calibri" w:hAnsiTheme="majorHAnsi" w:cstheme="majorHAnsi"/>
                <w:sz w:val="20"/>
                <w:szCs w:val="20"/>
              </w:rPr>
            </w:pPr>
            <w:r w:rsidRPr="00743A41">
              <w:rPr>
                <w:rFonts w:asciiTheme="majorHAnsi" w:eastAsia="Calibri" w:hAnsiTheme="majorHAnsi" w:cstheme="majorHAnsi"/>
                <w:sz w:val="20"/>
                <w:szCs w:val="20"/>
              </w:rPr>
              <w:t>Number of  student comments about course size</w:t>
            </w:r>
          </w:p>
        </w:tc>
        <w:tc>
          <w:tcPr>
            <w:tcW w:w="2250" w:type="dxa"/>
          </w:tcPr>
          <w:p w:rsidR="00164A8A" w:rsidRPr="00743A41" w:rsidRDefault="00164A8A" w:rsidP="00A37ED6">
            <w:pPr>
              <w:jc w:val="center"/>
              <w:rPr>
                <w:rFonts w:asciiTheme="majorHAnsi" w:eastAsia="Calibri" w:hAnsiTheme="majorHAnsi" w:cstheme="majorHAnsi"/>
                <w:sz w:val="20"/>
                <w:szCs w:val="20"/>
              </w:rPr>
            </w:pPr>
            <w:r w:rsidRPr="00743A41">
              <w:rPr>
                <w:rFonts w:asciiTheme="majorHAnsi" w:eastAsia="Calibri" w:hAnsiTheme="majorHAnsi" w:cstheme="majorHAnsi"/>
                <w:sz w:val="20"/>
                <w:szCs w:val="20"/>
              </w:rPr>
              <w:t>n=39</w:t>
            </w:r>
          </w:p>
        </w:tc>
      </w:tr>
      <w:tr w:rsidR="00164A8A" w:rsidRPr="00743A41" w:rsidTr="006E28EE">
        <w:tc>
          <w:tcPr>
            <w:tcW w:w="6385" w:type="dxa"/>
          </w:tcPr>
          <w:p w:rsidR="00164A8A" w:rsidRPr="006E28EE" w:rsidRDefault="00164A8A" w:rsidP="00A37ED6">
            <w:pPr>
              <w:ind w:firstLine="420"/>
              <w:rPr>
                <w:rFonts w:asciiTheme="majorHAnsi" w:eastAsia="Calibri" w:hAnsiTheme="majorHAnsi" w:cstheme="majorHAnsi"/>
                <w:i/>
                <w:sz w:val="20"/>
                <w:szCs w:val="20"/>
              </w:rPr>
            </w:pPr>
            <w:r w:rsidRPr="006E28EE">
              <w:rPr>
                <w:rFonts w:asciiTheme="majorHAnsi" w:eastAsia="Calibri" w:hAnsiTheme="majorHAnsi" w:cstheme="majorHAnsi"/>
                <w:i/>
                <w:sz w:val="20"/>
                <w:szCs w:val="20"/>
              </w:rPr>
              <w:t>Number of  positive comments about course size</w:t>
            </w:r>
          </w:p>
        </w:tc>
        <w:tc>
          <w:tcPr>
            <w:tcW w:w="2250" w:type="dxa"/>
          </w:tcPr>
          <w:p w:rsidR="00164A8A" w:rsidRPr="00743A41" w:rsidRDefault="00164A8A" w:rsidP="00A37ED6">
            <w:pPr>
              <w:jc w:val="center"/>
              <w:rPr>
                <w:rFonts w:asciiTheme="majorHAnsi" w:eastAsia="Calibri" w:hAnsiTheme="majorHAnsi" w:cstheme="majorHAnsi"/>
                <w:sz w:val="20"/>
                <w:szCs w:val="20"/>
              </w:rPr>
            </w:pPr>
            <w:r w:rsidRPr="00743A41">
              <w:rPr>
                <w:rFonts w:asciiTheme="majorHAnsi" w:eastAsia="Calibri" w:hAnsiTheme="majorHAnsi" w:cstheme="majorHAnsi"/>
                <w:sz w:val="20"/>
                <w:szCs w:val="20"/>
              </w:rPr>
              <w:t>35 (89%)</w:t>
            </w:r>
          </w:p>
        </w:tc>
      </w:tr>
      <w:tr w:rsidR="00164A8A" w:rsidRPr="00743A41" w:rsidTr="006E28EE">
        <w:tc>
          <w:tcPr>
            <w:tcW w:w="6385" w:type="dxa"/>
          </w:tcPr>
          <w:p w:rsidR="00164A8A" w:rsidRPr="006E28EE" w:rsidRDefault="00164A8A" w:rsidP="00A37ED6">
            <w:pPr>
              <w:ind w:firstLine="420"/>
              <w:rPr>
                <w:rFonts w:asciiTheme="majorHAnsi" w:eastAsia="Calibri" w:hAnsiTheme="majorHAnsi" w:cstheme="majorHAnsi"/>
                <w:i/>
                <w:sz w:val="20"/>
                <w:szCs w:val="20"/>
              </w:rPr>
            </w:pPr>
            <w:r w:rsidRPr="006E28EE">
              <w:rPr>
                <w:rFonts w:asciiTheme="majorHAnsi" w:eastAsia="Calibri" w:hAnsiTheme="majorHAnsi" w:cstheme="majorHAnsi"/>
                <w:i/>
                <w:sz w:val="20"/>
                <w:szCs w:val="20"/>
              </w:rPr>
              <w:t>Number of negative comments about course size</w:t>
            </w:r>
          </w:p>
        </w:tc>
        <w:tc>
          <w:tcPr>
            <w:tcW w:w="2250" w:type="dxa"/>
          </w:tcPr>
          <w:p w:rsidR="00164A8A" w:rsidRPr="00743A41" w:rsidRDefault="00164A8A" w:rsidP="00A37ED6">
            <w:pPr>
              <w:jc w:val="center"/>
              <w:rPr>
                <w:rFonts w:asciiTheme="majorHAnsi" w:eastAsia="Calibri" w:hAnsiTheme="majorHAnsi" w:cstheme="majorHAnsi"/>
                <w:sz w:val="20"/>
                <w:szCs w:val="20"/>
              </w:rPr>
            </w:pPr>
            <w:r w:rsidRPr="00743A41">
              <w:rPr>
                <w:rFonts w:asciiTheme="majorHAnsi" w:eastAsia="Calibri" w:hAnsiTheme="majorHAnsi" w:cstheme="majorHAnsi"/>
                <w:sz w:val="20"/>
                <w:szCs w:val="20"/>
              </w:rPr>
              <w:t>4 (11%)</w:t>
            </w:r>
          </w:p>
        </w:tc>
      </w:tr>
      <w:tr w:rsidR="00164A8A" w:rsidRPr="00743A41" w:rsidTr="006E28EE">
        <w:tc>
          <w:tcPr>
            <w:tcW w:w="6385" w:type="dxa"/>
          </w:tcPr>
          <w:p w:rsidR="00164A8A" w:rsidRPr="00743A41" w:rsidRDefault="00164A8A" w:rsidP="00A37ED6">
            <w:pPr>
              <w:rPr>
                <w:rFonts w:asciiTheme="majorHAnsi" w:eastAsia="Calibri" w:hAnsiTheme="majorHAnsi" w:cstheme="majorHAnsi"/>
                <w:sz w:val="20"/>
                <w:szCs w:val="20"/>
              </w:rPr>
            </w:pPr>
            <w:r w:rsidRPr="00743A41">
              <w:rPr>
                <w:rFonts w:asciiTheme="majorHAnsi" w:eastAsia="Calibri" w:hAnsiTheme="majorHAnsi" w:cstheme="majorHAnsi"/>
                <w:sz w:val="20"/>
                <w:szCs w:val="20"/>
              </w:rPr>
              <w:t>Number of students who provided comments about instructor availability</w:t>
            </w:r>
          </w:p>
        </w:tc>
        <w:tc>
          <w:tcPr>
            <w:tcW w:w="2250" w:type="dxa"/>
          </w:tcPr>
          <w:p w:rsidR="00164A8A" w:rsidRPr="00743A41" w:rsidRDefault="00164A8A" w:rsidP="00A37ED6">
            <w:pPr>
              <w:jc w:val="center"/>
              <w:rPr>
                <w:rFonts w:asciiTheme="majorHAnsi" w:eastAsia="Calibri" w:hAnsiTheme="majorHAnsi" w:cstheme="majorHAnsi"/>
                <w:sz w:val="20"/>
                <w:szCs w:val="20"/>
              </w:rPr>
            </w:pPr>
            <w:r w:rsidRPr="00743A41">
              <w:rPr>
                <w:rFonts w:asciiTheme="majorHAnsi" w:eastAsia="Calibri" w:hAnsiTheme="majorHAnsi" w:cstheme="majorHAnsi"/>
                <w:sz w:val="20"/>
                <w:szCs w:val="20"/>
              </w:rPr>
              <w:t>n=540</w:t>
            </w:r>
          </w:p>
        </w:tc>
      </w:tr>
      <w:tr w:rsidR="00164A8A" w:rsidRPr="00743A41" w:rsidTr="006E28EE">
        <w:tc>
          <w:tcPr>
            <w:tcW w:w="6385" w:type="dxa"/>
          </w:tcPr>
          <w:p w:rsidR="00164A8A" w:rsidRPr="006E28EE" w:rsidRDefault="00164A8A" w:rsidP="00A37ED6">
            <w:pPr>
              <w:ind w:firstLine="420"/>
              <w:rPr>
                <w:rFonts w:asciiTheme="majorHAnsi" w:eastAsia="Calibri" w:hAnsiTheme="majorHAnsi" w:cstheme="majorHAnsi"/>
                <w:i/>
                <w:sz w:val="20"/>
                <w:szCs w:val="20"/>
              </w:rPr>
            </w:pPr>
            <w:r w:rsidRPr="006E28EE">
              <w:rPr>
                <w:rFonts w:asciiTheme="majorHAnsi" w:eastAsia="Calibri" w:hAnsiTheme="majorHAnsi" w:cstheme="majorHAnsi"/>
                <w:i/>
                <w:sz w:val="20"/>
                <w:szCs w:val="20"/>
              </w:rPr>
              <w:t>Number of positive comments about instructor availability</w:t>
            </w:r>
          </w:p>
        </w:tc>
        <w:tc>
          <w:tcPr>
            <w:tcW w:w="2250" w:type="dxa"/>
          </w:tcPr>
          <w:p w:rsidR="00164A8A" w:rsidRPr="00743A41" w:rsidRDefault="00164A8A" w:rsidP="00A37ED6">
            <w:pPr>
              <w:jc w:val="center"/>
              <w:rPr>
                <w:rFonts w:asciiTheme="majorHAnsi" w:eastAsia="Calibri" w:hAnsiTheme="majorHAnsi" w:cstheme="majorHAnsi"/>
                <w:sz w:val="20"/>
                <w:szCs w:val="20"/>
              </w:rPr>
            </w:pPr>
            <w:r w:rsidRPr="00743A41">
              <w:rPr>
                <w:rFonts w:asciiTheme="majorHAnsi" w:eastAsia="Calibri" w:hAnsiTheme="majorHAnsi" w:cstheme="majorHAnsi"/>
                <w:sz w:val="20"/>
                <w:szCs w:val="20"/>
              </w:rPr>
              <w:t>498 (92%)</w:t>
            </w:r>
          </w:p>
        </w:tc>
      </w:tr>
      <w:tr w:rsidR="00164A8A" w:rsidRPr="00743A41" w:rsidTr="006E28EE">
        <w:tc>
          <w:tcPr>
            <w:tcW w:w="6385" w:type="dxa"/>
          </w:tcPr>
          <w:p w:rsidR="00164A8A" w:rsidRPr="006E28EE" w:rsidRDefault="00164A8A" w:rsidP="00A37ED6">
            <w:pPr>
              <w:ind w:firstLine="420"/>
              <w:rPr>
                <w:rFonts w:asciiTheme="majorHAnsi" w:eastAsia="Calibri" w:hAnsiTheme="majorHAnsi" w:cstheme="majorHAnsi"/>
                <w:i/>
                <w:sz w:val="20"/>
                <w:szCs w:val="20"/>
              </w:rPr>
            </w:pPr>
            <w:r w:rsidRPr="006E28EE">
              <w:rPr>
                <w:rFonts w:asciiTheme="majorHAnsi" w:eastAsia="Calibri" w:hAnsiTheme="majorHAnsi" w:cstheme="majorHAnsi"/>
                <w:i/>
                <w:sz w:val="20"/>
                <w:szCs w:val="20"/>
              </w:rPr>
              <w:t>Number of negative comments about instructor availability</w:t>
            </w:r>
          </w:p>
        </w:tc>
        <w:tc>
          <w:tcPr>
            <w:tcW w:w="2250" w:type="dxa"/>
          </w:tcPr>
          <w:p w:rsidR="00164A8A" w:rsidRPr="00743A41" w:rsidRDefault="00164A8A" w:rsidP="00A37ED6">
            <w:pPr>
              <w:jc w:val="center"/>
              <w:rPr>
                <w:rFonts w:asciiTheme="majorHAnsi" w:eastAsia="Calibri" w:hAnsiTheme="majorHAnsi" w:cstheme="majorHAnsi"/>
                <w:sz w:val="20"/>
                <w:szCs w:val="20"/>
              </w:rPr>
            </w:pPr>
            <w:r w:rsidRPr="00743A41">
              <w:rPr>
                <w:rFonts w:asciiTheme="majorHAnsi" w:eastAsia="Calibri" w:hAnsiTheme="majorHAnsi" w:cstheme="majorHAnsi"/>
                <w:sz w:val="20"/>
                <w:szCs w:val="20"/>
              </w:rPr>
              <w:t>42 (8%)</w:t>
            </w:r>
          </w:p>
        </w:tc>
      </w:tr>
    </w:tbl>
    <w:p w:rsidR="00AB7649" w:rsidRPr="00743A41" w:rsidRDefault="00AB7649" w:rsidP="00A37ED6">
      <w:pPr>
        <w:ind w:left="720"/>
        <w:rPr>
          <w:rFonts w:asciiTheme="majorHAnsi" w:eastAsia="Calibri" w:hAnsiTheme="majorHAnsi" w:cstheme="majorHAnsi"/>
          <w:sz w:val="20"/>
          <w:szCs w:val="20"/>
        </w:rPr>
      </w:pPr>
    </w:p>
    <w:p w:rsidR="00404B6A" w:rsidRPr="00743A41" w:rsidRDefault="00404B6A" w:rsidP="00A37ED6">
      <w:pPr>
        <w:ind w:left="720"/>
        <w:rPr>
          <w:rFonts w:asciiTheme="majorHAnsi" w:eastAsia="Calibri" w:hAnsiTheme="majorHAnsi" w:cstheme="majorHAnsi"/>
          <w:sz w:val="20"/>
          <w:szCs w:val="20"/>
        </w:rPr>
      </w:pPr>
      <w:r w:rsidRPr="00743A41">
        <w:rPr>
          <w:rFonts w:asciiTheme="majorHAnsi" w:eastAsia="Calibri" w:hAnsiTheme="majorHAnsi" w:cstheme="majorHAnsi"/>
          <w:sz w:val="20"/>
          <w:szCs w:val="20"/>
        </w:rPr>
        <w:t>Associated documents in the electronic resource file:</w:t>
      </w:r>
    </w:p>
    <w:p w:rsidR="00404B6A" w:rsidRPr="00D923BA" w:rsidRDefault="00C07412" w:rsidP="00A37ED6">
      <w:pPr>
        <w:pStyle w:val="ListParagraph"/>
        <w:numPr>
          <w:ilvl w:val="0"/>
          <w:numId w:val="138"/>
        </w:numPr>
        <w:rPr>
          <w:rFonts w:asciiTheme="majorHAnsi" w:eastAsia="Calibri" w:hAnsiTheme="majorHAnsi" w:cstheme="majorHAnsi"/>
          <w:i/>
          <w:szCs w:val="20"/>
        </w:rPr>
      </w:pPr>
      <w:r w:rsidRPr="00D923BA">
        <w:rPr>
          <w:rFonts w:asciiTheme="majorHAnsi" w:eastAsia="Calibri" w:hAnsiTheme="majorHAnsi" w:cstheme="majorHAnsi"/>
          <w:i/>
        </w:rPr>
        <w:t>C2. Faculty Resources</w:t>
      </w:r>
    </w:p>
    <w:p w:rsidR="00812E7E" w:rsidRPr="00D923BA" w:rsidRDefault="00C07412" w:rsidP="00A37ED6">
      <w:pPr>
        <w:pStyle w:val="ListParagraph"/>
        <w:numPr>
          <w:ilvl w:val="1"/>
          <w:numId w:val="138"/>
        </w:numPr>
        <w:rPr>
          <w:rFonts w:asciiTheme="majorHAnsi" w:eastAsia="Calibri" w:hAnsiTheme="majorHAnsi" w:cstheme="majorHAnsi"/>
          <w:i/>
          <w:szCs w:val="20"/>
        </w:rPr>
      </w:pPr>
      <w:r w:rsidRPr="00D923BA">
        <w:rPr>
          <w:rFonts w:asciiTheme="majorHAnsi" w:eastAsia="Calibri" w:hAnsiTheme="majorHAnsi" w:cstheme="majorHAnsi"/>
          <w:i/>
        </w:rPr>
        <w:t>Spring 2019 Qualitative Raw Data</w:t>
      </w:r>
    </w:p>
    <w:p w:rsidR="00365638" w:rsidRPr="00D923BA" w:rsidRDefault="00365638" w:rsidP="00A37ED6">
      <w:pPr>
        <w:ind w:left="720"/>
        <w:jc w:val="both"/>
        <w:rPr>
          <w:rFonts w:asciiTheme="majorHAnsi" w:eastAsia="Calibri" w:hAnsiTheme="majorHAnsi" w:cstheme="majorHAnsi"/>
          <w:sz w:val="20"/>
          <w:szCs w:val="20"/>
        </w:rPr>
      </w:pPr>
    </w:p>
    <w:p w:rsidR="00933038" w:rsidRPr="00743A41" w:rsidRDefault="00933038" w:rsidP="00A37ED6">
      <w:pPr>
        <w:numPr>
          <w:ilvl w:val="0"/>
          <w:numId w:val="12"/>
        </w:numPr>
        <w:jc w:val="both"/>
        <w:rPr>
          <w:rFonts w:asciiTheme="majorHAnsi" w:hAnsiTheme="majorHAnsi" w:cstheme="majorHAnsi"/>
          <w:sz w:val="20"/>
          <w:szCs w:val="20"/>
        </w:rPr>
      </w:pPr>
      <w:r w:rsidRPr="00743A41">
        <w:rPr>
          <w:rFonts w:asciiTheme="majorHAnsi" w:eastAsia="Calibri" w:hAnsiTheme="majorHAnsi" w:cstheme="majorHAnsi"/>
          <w:sz w:val="20"/>
          <w:szCs w:val="20"/>
        </w:rPr>
        <w:t xml:space="preserve">If applicable, assess strengths and weaknesses related to this criterion and plans for improvement in this area. </w:t>
      </w:r>
    </w:p>
    <w:p w:rsidR="00933038" w:rsidRPr="00743A41" w:rsidRDefault="00933038" w:rsidP="00A37ED6">
      <w:pPr>
        <w:jc w:val="both"/>
        <w:rPr>
          <w:rFonts w:asciiTheme="majorHAnsi" w:eastAsia="Calibri" w:hAnsiTheme="majorHAnsi" w:cstheme="majorHAnsi"/>
          <w:sz w:val="20"/>
          <w:szCs w:val="20"/>
        </w:rPr>
      </w:pPr>
    </w:p>
    <w:p w:rsidR="00901360" w:rsidRPr="00743A41" w:rsidRDefault="00901360" w:rsidP="00A37ED6">
      <w:pPr>
        <w:ind w:left="720"/>
        <w:rPr>
          <w:rFonts w:asciiTheme="majorHAnsi" w:hAnsiTheme="majorHAnsi" w:cstheme="majorHAnsi"/>
          <w:b/>
          <w:sz w:val="20"/>
          <w:szCs w:val="20"/>
        </w:rPr>
      </w:pPr>
      <w:r w:rsidRPr="00743A41">
        <w:rPr>
          <w:rFonts w:asciiTheme="majorHAnsi" w:hAnsiTheme="majorHAnsi" w:cstheme="majorHAnsi"/>
          <w:b/>
          <w:sz w:val="20"/>
          <w:szCs w:val="20"/>
        </w:rPr>
        <w:t xml:space="preserve">Strengths: </w:t>
      </w:r>
    </w:p>
    <w:p w:rsidR="00901360" w:rsidRPr="00743A41" w:rsidRDefault="00901360" w:rsidP="00A37ED6">
      <w:pPr>
        <w:pStyle w:val="ListParagraph"/>
        <w:numPr>
          <w:ilvl w:val="0"/>
          <w:numId w:val="180"/>
        </w:numPr>
        <w:spacing w:after="160"/>
        <w:ind w:left="1440"/>
        <w:contextualSpacing/>
        <w:rPr>
          <w:rFonts w:asciiTheme="majorHAnsi" w:hAnsiTheme="majorHAnsi" w:cstheme="majorHAnsi"/>
          <w:b/>
          <w:szCs w:val="20"/>
        </w:rPr>
      </w:pPr>
      <w:r w:rsidRPr="00743A41">
        <w:rPr>
          <w:rFonts w:asciiTheme="majorHAnsi" w:hAnsiTheme="majorHAnsi" w:cstheme="majorHAnsi"/>
          <w:szCs w:val="20"/>
        </w:rPr>
        <w:t xml:space="preserve">The UTHealth School of Public Health has a large diverse faculty to provide academic advising and oversight of the MPH and DrPH ILE, as well as to advise students on their dissertations and theses. </w:t>
      </w:r>
    </w:p>
    <w:p w:rsidR="00901360" w:rsidRPr="00743A41" w:rsidRDefault="00901360" w:rsidP="00A37ED6">
      <w:pPr>
        <w:pStyle w:val="ListParagraph"/>
        <w:numPr>
          <w:ilvl w:val="0"/>
          <w:numId w:val="180"/>
        </w:numPr>
        <w:spacing w:after="160"/>
        <w:ind w:left="1440"/>
        <w:contextualSpacing/>
        <w:rPr>
          <w:rFonts w:asciiTheme="majorHAnsi" w:hAnsiTheme="majorHAnsi" w:cstheme="majorHAnsi"/>
          <w:b/>
          <w:szCs w:val="20"/>
        </w:rPr>
      </w:pPr>
      <w:r w:rsidRPr="00743A41">
        <w:rPr>
          <w:rFonts w:asciiTheme="majorHAnsi" w:hAnsiTheme="majorHAnsi" w:cstheme="majorHAnsi"/>
          <w:szCs w:val="20"/>
        </w:rPr>
        <w:t xml:space="preserve">Over 90% of students agree that course size at the school is conducive to learning. </w:t>
      </w:r>
    </w:p>
    <w:p w:rsidR="00901360" w:rsidRPr="00743A41" w:rsidRDefault="00901360" w:rsidP="00A37ED6">
      <w:pPr>
        <w:pStyle w:val="ListParagraph"/>
        <w:numPr>
          <w:ilvl w:val="0"/>
          <w:numId w:val="180"/>
        </w:numPr>
        <w:spacing w:after="160"/>
        <w:ind w:left="1440"/>
        <w:contextualSpacing/>
        <w:rPr>
          <w:rFonts w:asciiTheme="majorHAnsi" w:hAnsiTheme="majorHAnsi" w:cstheme="majorHAnsi"/>
          <w:b/>
          <w:szCs w:val="20"/>
        </w:rPr>
      </w:pPr>
      <w:r w:rsidRPr="00743A41">
        <w:rPr>
          <w:rFonts w:asciiTheme="majorHAnsi" w:hAnsiTheme="majorHAnsi" w:cstheme="majorHAnsi"/>
          <w:szCs w:val="20"/>
        </w:rPr>
        <w:t>Student perception of faculty accessibility has improved substantially over the past two years.</w:t>
      </w:r>
    </w:p>
    <w:p w:rsidR="00901360" w:rsidRPr="00743A41" w:rsidRDefault="00901360" w:rsidP="00A37ED6">
      <w:pPr>
        <w:pStyle w:val="ListParagraph"/>
        <w:ind w:left="1440"/>
        <w:rPr>
          <w:rFonts w:asciiTheme="majorHAnsi" w:hAnsiTheme="majorHAnsi" w:cstheme="majorHAnsi"/>
          <w:b/>
          <w:szCs w:val="20"/>
        </w:rPr>
      </w:pPr>
    </w:p>
    <w:p w:rsidR="00901360" w:rsidRPr="00743A41" w:rsidRDefault="00901360" w:rsidP="00A37ED6">
      <w:pPr>
        <w:ind w:left="720"/>
        <w:rPr>
          <w:rFonts w:asciiTheme="majorHAnsi" w:hAnsiTheme="majorHAnsi" w:cstheme="majorHAnsi"/>
          <w:b/>
          <w:sz w:val="20"/>
          <w:szCs w:val="20"/>
        </w:rPr>
      </w:pPr>
      <w:r w:rsidRPr="00743A41">
        <w:rPr>
          <w:rFonts w:asciiTheme="majorHAnsi" w:hAnsiTheme="majorHAnsi" w:cstheme="majorHAnsi"/>
          <w:b/>
          <w:sz w:val="20"/>
          <w:szCs w:val="20"/>
        </w:rPr>
        <w:t>Weaknesses:</w:t>
      </w:r>
    </w:p>
    <w:p w:rsidR="00901360" w:rsidRPr="00743A41" w:rsidRDefault="00901360" w:rsidP="00A37ED6">
      <w:pPr>
        <w:pStyle w:val="ListParagraph"/>
        <w:numPr>
          <w:ilvl w:val="0"/>
          <w:numId w:val="184"/>
        </w:numPr>
        <w:spacing w:after="160"/>
        <w:ind w:left="1440"/>
        <w:contextualSpacing/>
        <w:rPr>
          <w:rFonts w:asciiTheme="majorHAnsi" w:hAnsiTheme="majorHAnsi" w:cstheme="majorHAnsi"/>
          <w:b/>
          <w:szCs w:val="20"/>
        </w:rPr>
      </w:pPr>
      <w:r w:rsidRPr="00743A41">
        <w:rPr>
          <w:rFonts w:asciiTheme="majorHAnsi" w:hAnsiTheme="majorHAnsi" w:cstheme="majorHAnsi"/>
          <w:szCs w:val="20"/>
        </w:rPr>
        <w:t xml:space="preserve">The UTHealth School of Public Health aspires to further improve student perception of faculty accessibility.  The Academic Council and Executive Council will continue working exploring strategies to improve faculty accessibility. </w:t>
      </w:r>
    </w:p>
    <w:p w:rsidR="00EE0003" w:rsidRPr="00743A41" w:rsidRDefault="00EE0003" w:rsidP="00A37ED6">
      <w:pPr>
        <w:rPr>
          <w:rStyle w:val="Heading1Char"/>
          <w:bCs w:val="0"/>
        </w:rPr>
      </w:pPr>
      <w:bookmarkStart w:id="53" w:name="_Toc464487864"/>
      <w:bookmarkStart w:id="54" w:name="_Toc7118197"/>
      <w:r w:rsidRPr="00743A41">
        <w:rPr>
          <w:rStyle w:val="Heading1Char"/>
          <w:b w:val="0"/>
        </w:rPr>
        <w:br w:type="page"/>
      </w:r>
    </w:p>
    <w:p w:rsidR="00933038" w:rsidRPr="00743A41" w:rsidRDefault="00933038" w:rsidP="007A68BE">
      <w:pPr>
        <w:pStyle w:val="Heading1"/>
        <w:rPr>
          <w:rFonts w:eastAsia="Calibri"/>
        </w:rPr>
      </w:pPr>
      <w:r w:rsidRPr="00743A41">
        <w:rPr>
          <w:rStyle w:val="Heading1Char"/>
          <w:b/>
        </w:rPr>
        <w:t>C3. Staff and Other Personnel Resources</w:t>
      </w:r>
      <w:bookmarkEnd w:id="53"/>
      <w:bookmarkEnd w:id="54"/>
    </w:p>
    <w:p w:rsidR="00933038" w:rsidRPr="00743A41" w:rsidRDefault="00933038" w:rsidP="00A37ED6">
      <w:pPr>
        <w:rPr>
          <w:rFonts w:asciiTheme="majorHAnsi" w:eastAsia="Calibri" w:hAnsiTheme="majorHAnsi" w:cstheme="majorHAnsi"/>
          <w:b/>
          <w:sz w:val="20"/>
          <w:szCs w:val="20"/>
        </w:rPr>
      </w:pPr>
      <w:r w:rsidRPr="00743A41">
        <w:rPr>
          <w:rFonts w:asciiTheme="majorHAnsi" w:eastAsia="Calibri" w:hAnsiTheme="majorHAnsi" w:cstheme="majorHAnsi"/>
          <w:b/>
          <w:sz w:val="20"/>
          <w:szCs w:val="20"/>
        </w:rPr>
        <w:t xml:space="preserve"> </w:t>
      </w:r>
    </w:p>
    <w:p w:rsidR="00933038" w:rsidRPr="00743A41" w:rsidRDefault="00933038" w:rsidP="00A37ED6">
      <w:pPr>
        <w:jc w:val="both"/>
        <w:rPr>
          <w:rFonts w:asciiTheme="majorHAnsi" w:eastAsia="Calibri" w:hAnsiTheme="majorHAnsi" w:cstheme="majorHAnsi"/>
          <w:b/>
          <w:sz w:val="20"/>
          <w:szCs w:val="20"/>
        </w:rPr>
      </w:pPr>
      <w:r w:rsidRPr="00743A41">
        <w:rPr>
          <w:rFonts w:asciiTheme="majorHAnsi" w:eastAsia="Calibri" w:hAnsiTheme="majorHAnsi" w:cstheme="majorHAnsi"/>
          <w:b/>
          <w:sz w:val="20"/>
          <w:szCs w:val="20"/>
        </w:rPr>
        <w:t xml:space="preserve">The school has staff and other personnel adequate to fulfill its stated mission and goals. The stability of resources is a factor in evaluating resource adequacy. </w:t>
      </w:r>
    </w:p>
    <w:p w:rsidR="00933038" w:rsidRPr="00743A41" w:rsidRDefault="00933038" w:rsidP="00A37ED6">
      <w:pPr>
        <w:jc w:val="both"/>
        <w:rPr>
          <w:rFonts w:asciiTheme="majorHAnsi" w:eastAsia="Calibri" w:hAnsiTheme="majorHAnsi" w:cstheme="majorHAnsi"/>
          <w:sz w:val="20"/>
          <w:szCs w:val="20"/>
        </w:rPr>
      </w:pPr>
    </w:p>
    <w:p w:rsidR="00933038" w:rsidRPr="00743A41" w:rsidRDefault="00933038" w:rsidP="00A37ED6">
      <w:pPr>
        <w:numPr>
          <w:ilvl w:val="0"/>
          <w:numId w:val="13"/>
        </w:numPr>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 xml:space="preserve">A table defining the number of the school’s staff support for the year in which the site visit will take place by role or function in the format of Template C3-1. Designate any staff resources that are shared with other units outside the unit of accreditation. </w:t>
      </w:r>
    </w:p>
    <w:p w:rsidR="00933038" w:rsidRPr="00743A41" w:rsidRDefault="00933038" w:rsidP="00A37ED6">
      <w:pPr>
        <w:ind w:left="720"/>
        <w:jc w:val="both"/>
        <w:rPr>
          <w:rFonts w:asciiTheme="majorHAnsi" w:eastAsia="Calibri" w:hAnsiTheme="majorHAnsi" w:cstheme="majorHAnsi"/>
          <w:sz w:val="20"/>
          <w:szCs w:val="20"/>
        </w:rPr>
      </w:pPr>
    </w:p>
    <w:p w:rsidR="00164A8A" w:rsidRPr="00743A41" w:rsidRDefault="00164A8A" w:rsidP="00A37ED6">
      <w:pPr>
        <w:ind w:left="720"/>
        <w:rPr>
          <w:rFonts w:asciiTheme="majorHAnsi" w:eastAsia="Calibri" w:hAnsiTheme="majorHAnsi" w:cstheme="majorHAnsi"/>
          <w:i/>
          <w:sz w:val="20"/>
          <w:szCs w:val="20"/>
        </w:rPr>
      </w:pPr>
      <w:r w:rsidRPr="00743A41">
        <w:rPr>
          <w:rFonts w:asciiTheme="majorHAnsi" w:eastAsia="Arial" w:hAnsiTheme="majorHAnsi" w:cstheme="majorHAnsi"/>
          <w:sz w:val="20"/>
          <w:szCs w:val="20"/>
        </w:rPr>
        <w:t xml:space="preserve">Staff and administrative personnel, as indicated in </w:t>
      </w:r>
      <w:hyperlink w:anchor="TableC31" w:history="1">
        <w:r w:rsidRPr="00743A41">
          <w:rPr>
            <w:rStyle w:val="Hyperlink"/>
            <w:rFonts w:asciiTheme="majorHAnsi" w:eastAsia="Arial" w:hAnsiTheme="majorHAnsi" w:cstheme="majorHAnsi"/>
            <w:sz w:val="20"/>
            <w:szCs w:val="20"/>
          </w:rPr>
          <w:t>Table C3.1</w:t>
        </w:r>
      </w:hyperlink>
      <w:r w:rsidRPr="00743A41">
        <w:rPr>
          <w:rFonts w:asciiTheme="majorHAnsi" w:eastAsia="Arial" w:hAnsiTheme="majorHAnsi" w:cstheme="majorHAnsi"/>
          <w:sz w:val="20"/>
          <w:szCs w:val="20"/>
        </w:rPr>
        <w:t xml:space="preserve">, are more than adequate to fulfill the mission and goals of the UTHealth School of Public Health. Staff and administrative personnel positions remain stable in order to maintain a high level of service and support for the school. As such, we are consistently examining the changing needs of our students, staff, and faculty in order to strategically identify the need for new or changing positions. </w:t>
      </w:r>
    </w:p>
    <w:p w:rsidR="00502A01" w:rsidRPr="00743A41" w:rsidRDefault="00502A01" w:rsidP="00A37ED6">
      <w:pPr>
        <w:ind w:left="720"/>
        <w:jc w:val="both"/>
        <w:rPr>
          <w:rFonts w:asciiTheme="majorHAnsi" w:eastAsia="Calibri" w:hAnsiTheme="majorHAnsi" w:cstheme="majorHAnsi"/>
          <w:sz w:val="20"/>
          <w:szCs w:val="20"/>
        </w:rPr>
      </w:pPr>
    </w:p>
    <w:p w:rsidR="00164A8A" w:rsidRPr="00743A41" w:rsidRDefault="00164A8A" w:rsidP="00A37ED6">
      <w:pPr>
        <w:ind w:left="720"/>
        <w:jc w:val="both"/>
        <w:rPr>
          <w:rFonts w:asciiTheme="majorHAnsi" w:eastAsia="Calibri" w:hAnsiTheme="majorHAnsi" w:cstheme="majorHAnsi"/>
          <w:sz w:val="20"/>
          <w:szCs w:val="20"/>
        </w:rPr>
      </w:pPr>
      <w:bookmarkStart w:id="55" w:name="TableC31"/>
      <w:r w:rsidRPr="00743A41">
        <w:rPr>
          <w:rFonts w:asciiTheme="majorHAnsi" w:eastAsia="Calibri" w:hAnsiTheme="majorHAnsi" w:cstheme="majorHAnsi"/>
          <w:sz w:val="20"/>
          <w:szCs w:val="20"/>
        </w:rPr>
        <w:t>Table C</w:t>
      </w:r>
      <w:r w:rsidR="00E27870" w:rsidRPr="00743A41">
        <w:rPr>
          <w:rFonts w:asciiTheme="majorHAnsi" w:eastAsia="Calibri" w:hAnsiTheme="majorHAnsi" w:cstheme="majorHAnsi"/>
          <w:sz w:val="20"/>
          <w:szCs w:val="20"/>
        </w:rPr>
        <w:t>.</w:t>
      </w:r>
      <w:r w:rsidRPr="00743A41">
        <w:rPr>
          <w:rFonts w:asciiTheme="majorHAnsi" w:eastAsia="Calibri" w:hAnsiTheme="majorHAnsi" w:cstheme="majorHAnsi"/>
          <w:sz w:val="20"/>
          <w:szCs w:val="20"/>
        </w:rPr>
        <w:t>3.1</w:t>
      </w:r>
      <w:bookmarkEnd w:id="55"/>
      <w:r w:rsidRPr="00743A41">
        <w:rPr>
          <w:rFonts w:asciiTheme="majorHAnsi" w:eastAsia="Calibri" w:hAnsiTheme="majorHAnsi" w:cstheme="majorHAnsi"/>
          <w:sz w:val="20"/>
          <w:szCs w:val="20"/>
        </w:rPr>
        <w:t xml:space="preserve">. </w:t>
      </w:r>
      <w:r w:rsidR="00A04819" w:rsidRPr="00743A41">
        <w:rPr>
          <w:rFonts w:asciiTheme="majorHAnsi" w:eastAsia="Calibri" w:hAnsiTheme="majorHAnsi" w:cstheme="majorHAnsi"/>
          <w:sz w:val="20"/>
          <w:szCs w:val="20"/>
        </w:rPr>
        <w:t xml:space="preserve">UTHealth School of Public Health </w:t>
      </w:r>
      <w:r w:rsidRPr="00743A41">
        <w:rPr>
          <w:rFonts w:asciiTheme="majorHAnsi" w:eastAsia="Calibri" w:hAnsiTheme="majorHAnsi" w:cstheme="majorHAnsi"/>
          <w:sz w:val="20"/>
          <w:szCs w:val="20"/>
        </w:rPr>
        <w:t>Support Staff</w:t>
      </w:r>
      <w:r w:rsidR="00A04819" w:rsidRPr="00743A41">
        <w:rPr>
          <w:rFonts w:asciiTheme="majorHAnsi" w:eastAsia="Calibri" w:hAnsiTheme="majorHAnsi" w:cstheme="majorHAnsi"/>
          <w:sz w:val="20"/>
          <w:szCs w:val="20"/>
        </w:rPr>
        <w:t>, Fall 2019</w:t>
      </w:r>
    </w:p>
    <w:tbl>
      <w:tblPr>
        <w:tblW w:w="8810"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0"/>
        <w:gridCol w:w="1620"/>
        <w:gridCol w:w="1260"/>
        <w:gridCol w:w="1530"/>
        <w:gridCol w:w="1160"/>
      </w:tblGrid>
      <w:tr w:rsidR="007D0446" w:rsidRPr="00743A41" w:rsidTr="006E4AA7">
        <w:tc>
          <w:tcPr>
            <w:tcW w:w="3240" w:type="dxa"/>
            <w:shd w:val="clear" w:color="auto" w:fill="BFBFBF"/>
            <w:tcMar>
              <w:top w:w="0" w:type="dxa"/>
              <w:left w:w="108" w:type="dxa"/>
              <w:bottom w:w="0" w:type="dxa"/>
              <w:right w:w="108" w:type="dxa"/>
            </w:tcMar>
            <w:vAlign w:val="center"/>
            <w:hideMark/>
          </w:tcPr>
          <w:p w:rsidR="007D0446" w:rsidRPr="00743A41" w:rsidRDefault="007D0446" w:rsidP="00A37ED6">
            <w:pPr>
              <w:rPr>
                <w:rFonts w:asciiTheme="majorHAnsi" w:hAnsiTheme="majorHAnsi" w:cstheme="majorHAnsi"/>
                <w:b/>
                <w:bCs/>
                <w:sz w:val="20"/>
                <w:szCs w:val="20"/>
              </w:rPr>
            </w:pPr>
            <w:r w:rsidRPr="00743A41">
              <w:rPr>
                <w:rFonts w:asciiTheme="majorHAnsi" w:hAnsiTheme="majorHAnsi" w:cstheme="majorHAnsi"/>
                <w:b/>
                <w:bCs/>
                <w:sz w:val="20"/>
                <w:szCs w:val="20"/>
              </w:rPr>
              <w:t>Staff Role/Function</w:t>
            </w:r>
          </w:p>
        </w:tc>
        <w:tc>
          <w:tcPr>
            <w:tcW w:w="1620" w:type="dxa"/>
            <w:shd w:val="clear" w:color="auto" w:fill="BFBFBF"/>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b/>
                <w:bCs/>
                <w:sz w:val="20"/>
                <w:szCs w:val="20"/>
              </w:rPr>
            </w:pPr>
            <w:r w:rsidRPr="00743A41">
              <w:rPr>
                <w:rFonts w:asciiTheme="majorHAnsi" w:hAnsiTheme="majorHAnsi" w:cstheme="majorHAnsi"/>
                <w:b/>
                <w:bCs/>
                <w:sz w:val="20"/>
                <w:szCs w:val="20"/>
              </w:rPr>
              <w:t>Head Count (Unshared)</w:t>
            </w:r>
          </w:p>
        </w:tc>
        <w:tc>
          <w:tcPr>
            <w:tcW w:w="1260" w:type="dxa"/>
            <w:shd w:val="clear" w:color="auto" w:fill="BFBFBF"/>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b/>
                <w:bCs/>
                <w:sz w:val="20"/>
                <w:szCs w:val="20"/>
              </w:rPr>
            </w:pPr>
            <w:r w:rsidRPr="00743A41">
              <w:rPr>
                <w:rFonts w:asciiTheme="majorHAnsi" w:hAnsiTheme="majorHAnsi" w:cstheme="majorHAnsi"/>
                <w:b/>
                <w:bCs/>
                <w:sz w:val="20"/>
                <w:szCs w:val="20"/>
              </w:rPr>
              <w:t>FTE (Unshared)</w:t>
            </w:r>
          </w:p>
        </w:tc>
        <w:tc>
          <w:tcPr>
            <w:tcW w:w="1530" w:type="dxa"/>
            <w:shd w:val="clear" w:color="auto" w:fill="BFBFBF"/>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b/>
                <w:bCs/>
                <w:sz w:val="20"/>
                <w:szCs w:val="20"/>
              </w:rPr>
            </w:pPr>
            <w:r w:rsidRPr="00743A41">
              <w:rPr>
                <w:rFonts w:asciiTheme="majorHAnsi" w:hAnsiTheme="majorHAnsi" w:cstheme="majorHAnsi"/>
                <w:b/>
                <w:bCs/>
                <w:sz w:val="20"/>
                <w:szCs w:val="20"/>
              </w:rPr>
              <w:t>Headcount (Shared)</w:t>
            </w:r>
          </w:p>
        </w:tc>
        <w:tc>
          <w:tcPr>
            <w:tcW w:w="1160" w:type="dxa"/>
            <w:shd w:val="clear" w:color="auto" w:fill="BFBFBF"/>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b/>
                <w:bCs/>
                <w:sz w:val="20"/>
                <w:szCs w:val="20"/>
              </w:rPr>
            </w:pPr>
            <w:r w:rsidRPr="00743A41">
              <w:rPr>
                <w:rFonts w:asciiTheme="majorHAnsi" w:hAnsiTheme="majorHAnsi" w:cstheme="majorHAnsi"/>
                <w:b/>
                <w:bCs/>
                <w:sz w:val="20"/>
                <w:szCs w:val="20"/>
              </w:rPr>
              <w:t>FTE (Shared)</w:t>
            </w:r>
          </w:p>
        </w:tc>
      </w:tr>
      <w:tr w:rsidR="007D0446" w:rsidRPr="00743A41" w:rsidTr="006E4AA7">
        <w:tc>
          <w:tcPr>
            <w:tcW w:w="3240" w:type="dxa"/>
            <w:tcMar>
              <w:top w:w="0" w:type="dxa"/>
              <w:left w:w="108" w:type="dxa"/>
              <w:bottom w:w="0" w:type="dxa"/>
              <w:right w:w="108" w:type="dxa"/>
            </w:tcMar>
            <w:vAlign w:val="center"/>
            <w:hideMark/>
          </w:tcPr>
          <w:p w:rsidR="007D0446" w:rsidRPr="00743A41" w:rsidRDefault="007D0446" w:rsidP="00A37ED6">
            <w:pPr>
              <w:rPr>
                <w:rFonts w:asciiTheme="majorHAnsi" w:hAnsiTheme="majorHAnsi" w:cstheme="majorHAnsi"/>
                <w:sz w:val="20"/>
                <w:szCs w:val="20"/>
              </w:rPr>
            </w:pPr>
            <w:r w:rsidRPr="00743A41">
              <w:rPr>
                <w:rFonts w:asciiTheme="majorHAnsi" w:hAnsiTheme="majorHAnsi" w:cstheme="majorHAnsi"/>
                <w:sz w:val="20"/>
                <w:szCs w:val="20"/>
              </w:rPr>
              <w:t>Academic Affairs</w:t>
            </w:r>
          </w:p>
        </w:tc>
        <w:tc>
          <w:tcPr>
            <w:tcW w:w="162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18</w:t>
            </w:r>
          </w:p>
        </w:tc>
        <w:tc>
          <w:tcPr>
            <w:tcW w:w="1260" w:type="dxa"/>
            <w:tcMar>
              <w:top w:w="0" w:type="dxa"/>
              <w:left w:w="108" w:type="dxa"/>
              <w:bottom w:w="0" w:type="dxa"/>
              <w:right w:w="108" w:type="dxa"/>
            </w:tcMar>
            <w:vAlign w:val="center"/>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8</w:t>
            </w:r>
          </w:p>
        </w:tc>
        <w:tc>
          <w:tcPr>
            <w:tcW w:w="153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0</w:t>
            </w:r>
          </w:p>
        </w:tc>
        <w:tc>
          <w:tcPr>
            <w:tcW w:w="116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0</w:t>
            </w:r>
          </w:p>
        </w:tc>
      </w:tr>
      <w:tr w:rsidR="007D0446" w:rsidRPr="00743A41" w:rsidTr="006E4AA7">
        <w:tc>
          <w:tcPr>
            <w:tcW w:w="3240" w:type="dxa"/>
            <w:tcMar>
              <w:top w:w="0" w:type="dxa"/>
              <w:left w:w="108" w:type="dxa"/>
              <w:bottom w:w="0" w:type="dxa"/>
              <w:right w:w="108" w:type="dxa"/>
            </w:tcMar>
            <w:vAlign w:val="center"/>
            <w:hideMark/>
          </w:tcPr>
          <w:p w:rsidR="007D0446" w:rsidRPr="00743A41" w:rsidRDefault="007D0446" w:rsidP="00A37ED6">
            <w:pPr>
              <w:rPr>
                <w:rFonts w:asciiTheme="majorHAnsi" w:hAnsiTheme="majorHAnsi" w:cstheme="majorHAnsi"/>
                <w:sz w:val="20"/>
                <w:szCs w:val="20"/>
              </w:rPr>
            </w:pPr>
            <w:r w:rsidRPr="00743A41">
              <w:rPr>
                <w:rFonts w:asciiTheme="majorHAnsi" w:hAnsiTheme="majorHAnsi" w:cstheme="majorHAnsi"/>
                <w:sz w:val="20"/>
                <w:szCs w:val="20"/>
              </w:rPr>
              <w:t>Accreditation and Evaluation</w:t>
            </w:r>
          </w:p>
        </w:tc>
        <w:tc>
          <w:tcPr>
            <w:tcW w:w="162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1</w:t>
            </w:r>
          </w:p>
        </w:tc>
        <w:tc>
          <w:tcPr>
            <w:tcW w:w="1260" w:type="dxa"/>
            <w:tcMar>
              <w:top w:w="0" w:type="dxa"/>
              <w:left w:w="108" w:type="dxa"/>
              <w:bottom w:w="0" w:type="dxa"/>
              <w:right w:w="108" w:type="dxa"/>
            </w:tcMar>
            <w:vAlign w:val="center"/>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1</w:t>
            </w:r>
          </w:p>
        </w:tc>
        <w:tc>
          <w:tcPr>
            <w:tcW w:w="153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2</w:t>
            </w:r>
          </w:p>
        </w:tc>
        <w:tc>
          <w:tcPr>
            <w:tcW w:w="116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2</w:t>
            </w:r>
          </w:p>
        </w:tc>
      </w:tr>
      <w:tr w:rsidR="007D0446" w:rsidRPr="00743A41" w:rsidTr="006E4AA7">
        <w:tc>
          <w:tcPr>
            <w:tcW w:w="3240" w:type="dxa"/>
            <w:tcMar>
              <w:top w:w="0" w:type="dxa"/>
              <w:left w:w="108" w:type="dxa"/>
              <w:bottom w:w="0" w:type="dxa"/>
              <w:right w:w="108" w:type="dxa"/>
            </w:tcMar>
            <w:vAlign w:val="center"/>
            <w:hideMark/>
          </w:tcPr>
          <w:p w:rsidR="007D0446" w:rsidRPr="00743A41" w:rsidRDefault="007D0446" w:rsidP="00A37ED6">
            <w:pPr>
              <w:rPr>
                <w:rFonts w:asciiTheme="majorHAnsi" w:hAnsiTheme="majorHAnsi" w:cstheme="majorHAnsi"/>
                <w:sz w:val="20"/>
                <w:szCs w:val="20"/>
              </w:rPr>
            </w:pPr>
            <w:r w:rsidRPr="00743A41">
              <w:rPr>
                <w:rFonts w:asciiTheme="majorHAnsi" w:hAnsiTheme="majorHAnsi" w:cstheme="majorHAnsi"/>
                <w:sz w:val="20"/>
                <w:szCs w:val="20"/>
              </w:rPr>
              <w:t>Admissions</w:t>
            </w:r>
          </w:p>
        </w:tc>
        <w:tc>
          <w:tcPr>
            <w:tcW w:w="162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12</w:t>
            </w:r>
          </w:p>
        </w:tc>
        <w:tc>
          <w:tcPr>
            <w:tcW w:w="1260" w:type="dxa"/>
            <w:tcMar>
              <w:top w:w="0" w:type="dxa"/>
              <w:left w:w="108" w:type="dxa"/>
              <w:bottom w:w="0" w:type="dxa"/>
              <w:right w:w="108" w:type="dxa"/>
            </w:tcMar>
            <w:vAlign w:val="center"/>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11.8</w:t>
            </w:r>
          </w:p>
        </w:tc>
        <w:tc>
          <w:tcPr>
            <w:tcW w:w="153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1</w:t>
            </w:r>
          </w:p>
        </w:tc>
        <w:tc>
          <w:tcPr>
            <w:tcW w:w="116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1</w:t>
            </w:r>
          </w:p>
        </w:tc>
      </w:tr>
      <w:tr w:rsidR="007D0446" w:rsidRPr="00743A41" w:rsidTr="006E4AA7">
        <w:tc>
          <w:tcPr>
            <w:tcW w:w="3240" w:type="dxa"/>
            <w:tcMar>
              <w:top w:w="0" w:type="dxa"/>
              <w:left w:w="108" w:type="dxa"/>
              <w:bottom w:w="0" w:type="dxa"/>
              <w:right w:w="108" w:type="dxa"/>
            </w:tcMar>
            <w:vAlign w:val="center"/>
            <w:hideMark/>
          </w:tcPr>
          <w:p w:rsidR="007D0446" w:rsidRPr="00743A41" w:rsidRDefault="007D0446" w:rsidP="00A37ED6">
            <w:pPr>
              <w:rPr>
                <w:rFonts w:asciiTheme="majorHAnsi" w:hAnsiTheme="majorHAnsi" w:cstheme="majorHAnsi"/>
                <w:sz w:val="20"/>
                <w:szCs w:val="20"/>
              </w:rPr>
            </w:pPr>
            <w:r w:rsidRPr="00743A41">
              <w:rPr>
                <w:rFonts w:asciiTheme="majorHAnsi" w:hAnsiTheme="majorHAnsi" w:cstheme="majorHAnsi"/>
                <w:sz w:val="20"/>
                <w:szCs w:val="20"/>
              </w:rPr>
              <w:t>Alumni Relations</w:t>
            </w:r>
          </w:p>
        </w:tc>
        <w:tc>
          <w:tcPr>
            <w:tcW w:w="162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.5</w:t>
            </w:r>
          </w:p>
        </w:tc>
        <w:tc>
          <w:tcPr>
            <w:tcW w:w="1260" w:type="dxa"/>
            <w:tcMar>
              <w:top w:w="0" w:type="dxa"/>
              <w:left w:w="108" w:type="dxa"/>
              <w:bottom w:w="0" w:type="dxa"/>
              <w:right w:w="108" w:type="dxa"/>
            </w:tcMar>
            <w:vAlign w:val="center"/>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.5</w:t>
            </w:r>
          </w:p>
        </w:tc>
        <w:tc>
          <w:tcPr>
            <w:tcW w:w="153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2</w:t>
            </w:r>
          </w:p>
        </w:tc>
        <w:tc>
          <w:tcPr>
            <w:tcW w:w="116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2</w:t>
            </w:r>
          </w:p>
        </w:tc>
      </w:tr>
      <w:tr w:rsidR="007D0446" w:rsidRPr="00743A41" w:rsidTr="006E4AA7">
        <w:tc>
          <w:tcPr>
            <w:tcW w:w="3240" w:type="dxa"/>
            <w:tcMar>
              <w:top w:w="0" w:type="dxa"/>
              <w:left w:w="108" w:type="dxa"/>
              <w:bottom w:w="0" w:type="dxa"/>
              <w:right w:w="108" w:type="dxa"/>
            </w:tcMar>
            <w:vAlign w:val="center"/>
            <w:hideMark/>
          </w:tcPr>
          <w:p w:rsidR="007D0446" w:rsidRPr="00743A41" w:rsidRDefault="007D0446" w:rsidP="00A37ED6">
            <w:pPr>
              <w:rPr>
                <w:rFonts w:asciiTheme="majorHAnsi" w:hAnsiTheme="majorHAnsi" w:cstheme="majorHAnsi"/>
                <w:sz w:val="20"/>
                <w:szCs w:val="20"/>
              </w:rPr>
            </w:pPr>
            <w:r w:rsidRPr="00743A41">
              <w:rPr>
                <w:rFonts w:asciiTheme="majorHAnsi" w:hAnsiTheme="majorHAnsi" w:cstheme="majorHAnsi"/>
                <w:sz w:val="20"/>
                <w:szCs w:val="20"/>
              </w:rPr>
              <w:t>Career Services</w:t>
            </w:r>
          </w:p>
        </w:tc>
        <w:tc>
          <w:tcPr>
            <w:tcW w:w="162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1.5</w:t>
            </w:r>
          </w:p>
        </w:tc>
        <w:tc>
          <w:tcPr>
            <w:tcW w:w="1260" w:type="dxa"/>
            <w:tcMar>
              <w:top w:w="0" w:type="dxa"/>
              <w:left w:w="108" w:type="dxa"/>
              <w:bottom w:w="0" w:type="dxa"/>
              <w:right w:w="108" w:type="dxa"/>
            </w:tcMar>
            <w:vAlign w:val="center"/>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1.5</w:t>
            </w:r>
          </w:p>
        </w:tc>
        <w:tc>
          <w:tcPr>
            <w:tcW w:w="153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0</w:t>
            </w:r>
          </w:p>
        </w:tc>
        <w:tc>
          <w:tcPr>
            <w:tcW w:w="116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0</w:t>
            </w:r>
          </w:p>
        </w:tc>
      </w:tr>
      <w:tr w:rsidR="007D0446" w:rsidRPr="00743A41" w:rsidTr="006E4AA7">
        <w:tc>
          <w:tcPr>
            <w:tcW w:w="3240" w:type="dxa"/>
            <w:tcMar>
              <w:top w:w="0" w:type="dxa"/>
              <w:left w:w="108" w:type="dxa"/>
              <w:bottom w:w="0" w:type="dxa"/>
              <w:right w:w="108" w:type="dxa"/>
            </w:tcMar>
            <w:vAlign w:val="center"/>
            <w:hideMark/>
          </w:tcPr>
          <w:p w:rsidR="007D0446" w:rsidRPr="00743A41" w:rsidRDefault="007D0446" w:rsidP="00A37ED6">
            <w:pPr>
              <w:rPr>
                <w:rFonts w:asciiTheme="majorHAnsi" w:hAnsiTheme="majorHAnsi" w:cstheme="majorHAnsi"/>
                <w:sz w:val="20"/>
                <w:szCs w:val="20"/>
              </w:rPr>
            </w:pPr>
            <w:r w:rsidRPr="00743A41">
              <w:rPr>
                <w:rFonts w:asciiTheme="majorHAnsi" w:hAnsiTheme="majorHAnsi" w:cstheme="majorHAnsi"/>
                <w:sz w:val="20"/>
                <w:szCs w:val="20"/>
              </w:rPr>
              <w:t>Development</w:t>
            </w:r>
          </w:p>
        </w:tc>
        <w:tc>
          <w:tcPr>
            <w:tcW w:w="162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0</w:t>
            </w:r>
          </w:p>
        </w:tc>
        <w:tc>
          <w:tcPr>
            <w:tcW w:w="1260" w:type="dxa"/>
            <w:tcMar>
              <w:top w:w="0" w:type="dxa"/>
              <w:left w:w="108" w:type="dxa"/>
              <w:bottom w:w="0" w:type="dxa"/>
              <w:right w:w="108" w:type="dxa"/>
            </w:tcMar>
            <w:vAlign w:val="center"/>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0</w:t>
            </w:r>
          </w:p>
        </w:tc>
        <w:tc>
          <w:tcPr>
            <w:tcW w:w="153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1</w:t>
            </w:r>
          </w:p>
        </w:tc>
        <w:tc>
          <w:tcPr>
            <w:tcW w:w="116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1</w:t>
            </w:r>
          </w:p>
        </w:tc>
      </w:tr>
      <w:tr w:rsidR="007D0446" w:rsidRPr="00743A41" w:rsidTr="006E4AA7">
        <w:tc>
          <w:tcPr>
            <w:tcW w:w="3240" w:type="dxa"/>
            <w:tcMar>
              <w:top w:w="0" w:type="dxa"/>
              <w:left w:w="108" w:type="dxa"/>
              <w:bottom w:w="0" w:type="dxa"/>
              <w:right w:w="108" w:type="dxa"/>
            </w:tcMar>
            <w:vAlign w:val="center"/>
            <w:hideMark/>
          </w:tcPr>
          <w:p w:rsidR="007D0446" w:rsidRPr="00743A41" w:rsidRDefault="007D0446" w:rsidP="00A37ED6">
            <w:pPr>
              <w:rPr>
                <w:rFonts w:asciiTheme="majorHAnsi" w:hAnsiTheme="majorHAnsi" w:cstheme="majorHAnsi"/>
                <w:sz w:val="20"/>
                <w:szCs w:val="20"/>
              </w:rPr>
            </w:pPr>
            <w:r w:rsidRPr="00743A41">
              <w:rPr>
                <w:rFonts w:asciiTheme="majorHAnsi" w:hAnsiTheme="majorHAnsi" w:cstheme="majorHAnsi"/>
                <w:sz w:val="20"/>
                <w:szCs w:val="20"/>
              </w:rPr>
              <w:t xml:space="preserve">Diversity and Inclusion </w:t>
            </w:r>
          </w:p>
        </w:tc>
        <w:tc>
          <w:tcPr>
            <w:tcW w:w="162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0</w:t>
            </w:r>
          </w:p>
        </w:tc>
        <w:tc>
          <w:tcPr>
            <w:tcW w:w="1260" w:type="dxa"/>
            <w:tcMar>
              <w:top w:w="0" w:type="dxa"/>
              <w:left w:w="108" w:type="dxa"/>
              <w:bottom w:w="0" w:type="dxa"/>
              <w:right w:w="108" w:type="dxa"/>
            </w:tcMar>
            <w:vAlign w:val="center"/>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0</w:t>
            </w:r>
          </w:p>
        </w:tc>
        <w:tc>
          <w:tcPr>
            <w:tcW w:w="153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2</w:t>
            </w:r>
          </w:p>
        </w:tc>
        <w:tc>
          <w:tcPr>
            <w:tcW w:w="116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2</w:t>
            </w:r>
          </w:p>
        </w:tc>
      </w:tr>
      <w:tr w:rsidR="007D0446" w:rsidRPr="00743A41" w:rsidTr="006E4AA7">
        <w:tc>
          <w:tcPr>
            <w:tcW w:w="3240" w:type="dxa"/>
            <w:tcMar>
              <w:top w:w="0" w:type="dxa"/>
              <w:left w:w="108" w:type="dxa"/>
              <w:bottom w:w="0" w:type="dxa"/>
              <w:right w:w="108" w:type="dxa"/>
            </w:tcMar>
            <w:vAlign w:val="center"/>
            <w:hideMark/>
          </w:tcPr>
          <w:p w:rsidR="007D0446" w:rsidRPr="00743A41" w:rsidRDefault="007D0446" w:rsidP="00A37ED6">
            <w:pPr>
              <w:rPr>
                <w:rFonts w:asciiTheme="majorHAnsi" w:hAnsiTheme="majorHAnsi" w:cstheme="majorHAnsi"/>
                <w:sz w:val="20"/>
                <w:szCs w:val="20"/>
              </w:rPr>
            </w:pPr>
            <w:r w:rsidRPr="00743A41">
              <w:rPr>
                <w:rFonts w:asciiTheme="majorHAnsi" w:hAnsiTheme="majorHAnsi" w:cstheme="majorHAnsi"/>
                <w:sz w:val="20"/>
                <w:szCs w:val="20"/>
              </w:rPr>
              <w:t>Financial and Admin</w:t>
            </w:r>
          </w:p>
        </w:tc>
        <w:tc>
          <w:tcPr>
            <w:tcW w:w="162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50</w:t>
            </w:r>
          </w:p>
        </w:tc>
        <w:tc>
          <w:tcPr>
            <w:tcW w:w="1260" w:type="dxa"/>
            <w:tcMar>
              <w:top w:w="0" w:type="dxa"/>
              <w:left w:w="108" w:type="dxa"/>
              <w:bottom w:w="0" w:type="dxa"/>
              <w:right w:w="108" w:type="dxa"/>
            </w:tcMar>
            <w:vAlign w:val="center"/>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47.9</w:t>
            </w:r>
          </w:p>
        </w:tc>
        <w:tc>
          <w:tcPr>
            <w:tcW w:w="153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0</w:t>
            </w:r>
          </w:p>
        </w:tc>
        <w:tc>
          <w:tcPr>
            <w:tcW w:w="116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0</w:t>
            </w:r>
          </w:p>
        </w:tc>
      </w:tr>
      <w:tr w:rsidR="000A4399" w:rsidRPr="00743A41" w:rsidTr="006E4AA7">
        <w:tc>
          <w:tcPr>
            <w:tcW w:w="3240" w:type="dxa"/>
            <w:tcMar>
              <w:top w:w="0" w:type="dxa"/>
              <w:left w:w="108" w:type="dxa"/>
              <w:bottom w:w="0" w:type="dxa"/>
              <w:right w:w="108" w:type="dxa"/>
            </w:tcMar>
            <w:vAlign w:val="center"/>
            <w:hideMark/>
          </w:tcPr>
          <w:p w:rsidR="000A4399" w:rsidRPr="00743A41" w:rsidRDefault="000A4399" w:rsidP="00A37ED6">
            <w:pPr>
              <w:rPr>
                <w:rFonts w:asciiTheme="majorHAnsi" w:hAnsiTheme="majorHAnsi" w:cstheme="majorHAnsi"/>
                <w:sz w:val="20"/>
                <w:szCs w:val="20"/>
              </w:rPr>
            </w:pPr>
            <w:r w:rsidRPr="00743A41">
              <w:rPr>
                <w:rFonts w:asciiTheme="majorHAnsi" w:hAnsiTheme="majorHAnsi" w:cstheme="majorHAnsi"/>
                <w:sz w:val="20"/>
                <w:szCs w:val="20"/>
              </w:rPr>
              <w:t>Human Resources</w:t>
            </w:r>
          </w:p>
        </w:tc>
        <w:tc>
          <w:tcPr>
            <w:tcW w:w="1620" w:type="dxa"/>
            <w:tcMar>
              <w:top w:w="0" w:type="dxa"/>
              <w:left w:w="108" w:type="dxa"/>
              <w:bottom w:w="0" w:type="dxa"/>
              <w:right w:w="108" w:type="dxa"/>
            </w:tcMar>
            <w:vAlign w:val="center"/>
            <w:hideMark/>
          </w:tcPr>
          <w:p w:rsidR="000A4399" w:rsidRPr="00743A41" w:rsidRDefault="000A4399" w:rsidP="00A37ED6">
            <w:pPr>
              <w:jc w:val="center"/>
              <w:rPr>
                <w:rFonts w:asciiTheme="majorHAnsi" w:hAnsiTheme="majorHAnsi" w:cstheme="majorHAnsi"/>
                <w:sz w:val="20"/>
                <w:szCs w:val="20"/>
              </w:rPr>
            </w:pPr>
            <w:r w:rsidRPr="00743A41">
              <w:rPr>
                <w:rFonts w:asciiTheme="majorHAnsi" w:hAnsiTheme="majorHAnsi" w:cstheme="majorHAnsi"/>
                <w:sz w:val="20"/>
                <w:szCs w:val="20"/>
              </w:rPr>
              <w:t>3</w:t>
            </w:r>
          </w:p>
        </w:tc>
        <w:tc>
          <w:tcPr>
            <w:tcW w:w="1260" w:type="dxa"/>
            <w:tcMar>
              <w:top w:w="0" w:type="dxa"/>
              <w:left w:w="108" w:type="dxa"/>
              <w:bottom w:w="0" w:type="dxa"/>
              <w:right w:w="108" w:type="dxa"/>
            </w:tcMar>
            <w:vAlign w:val="center"/>
          </w:tcPr>
          <w:p w:rsidR="000A4399" w:rsidRPr="00743A41" w:rsidRDefault="000A4399" w:rsidP="00A37ED6">
            <w:pPr>
              <w:jc w:val="center"/>
              <w:rPr>
                <w:rFonts w:asciiTheme="majorHAnsi" w:hAnsiTheme="majorHAnsi" w:cstheme="majorHAnsi"/>
                <w:sz w:val="20"/>
                <w:szCs w:val="20"/>
              </w:rPr>
            </w:pPr>
            <w:r w:rsidRPr="00743A41">
              <w:rPr>
                <w:rFonts w:asciiTheme="majorHAnsi" w:hAnsiTheme="majorHAnsi" w:cstheme="majorHAnsi"/>
                <w:sz w:val="20"/>
                <w:szCs w:val="20"/>
              </w:rPr>
              <w:t>3</w:t>
            </w:r>
          </w:p>
        </w:tc>
        <w:tc>
          <w:tcPr>
            <w:tcW w:w="1530" w:type="dxa"/>
            <w:tcMar>
              <w:top w:w="0" w:type="dxa"/>
              <w:left w:w="108" w:type="dxa"/>
              <w:bottom w:w="0" w:type="dxa"/>
              <w:right w:w="108" w:type="dxa"/>
            </w:tcMar>
            <w:vAlign w:val="center"/>
            <w:hideMark/>
          </w:tcPr>
          <w:p w:rsidR="000A4399" w:rsidRPr="00743A41" w:rsidRDefault="000A4399" w:rsidP="00A37ED6">
            <w:pPr>
              <w:jc w:val="center"/>
              <w:rPr>
                <w:rFonts w:asciiTheme="majorHAnsi" w:hAnsiTheme="majorHAnsi" w:cstheme="majorHAnsi"/>
                <w:sz w:val="20"/>
                <w:szCs w:val="20"/>
              </w:rPr>
            </w:pPr>
            <w:r w:rsidRPr="00743A41">
              <w:rPr>
                <w:rFonts w:asciiTheme="majorHAnsi" w:hAnsiTheme="majorHAnsi" w:cstheme="majorHAnsi"/>
                <w:sz w:val="20"/>
                <w:szCs w:val="20"/>
              </w:rPr>
              <w:t>0</w:t>
            </w:r>
          </w:p>
        </w:tc>
        <w:tc>
          <w:tcPr>
            <w:tcW w:w="1160" w:type="dxa"/>
            <w:tcMar>
              <w:top w:w="0" w:type="dxa"/>
              <w:left w:w="108" w:type="dxa"/>
              <w:bottom w:w="0" w:type="dxa"/>
              <w:right w:w="108" w:type="dxa"/>
            </w:tcMar>
            <w:vAlign w:val="center"/>
            <w:hideMark/>
          </w:tcPr>
          <w:p w:rsidR="000A4399" w:rsidRPr="00743A41" w:rsidRDefault="000A4399" w:rsidP="00A37ED6">
            <w:pPr>
              <w:jc w:val="center"/>
              <w:rPr>
                <w:rFonts w:asciiTheme="majorHAnsi" w:hAnsiTheme="majorHAnsi" w:cstheme="majorHAnsi"/>
                <w:sz w:val="20"/>
                <w:szCs w:val="20"/>
              </w:rPr>
            </w:pPr>
            <w:r w:rsidRPr="00743A41">
              <w:rPr>
                <w:rFonts w:asciiTheme="majorHAnsi" w:hAnsiTheme="majorHAnsi" w:cstheme="majorHAnsi"/>
                <w:sz w:val="20"/>
                <w:szCs w:val="20"/>
              </w:rPr>
              <w:t>0</w:t>
            </w:r>
          </w:p>
        </w:tc>
      </w:tr>
      <w:tr w:rsidR="007D0446" w:rsidRPr="00743A41" w:rsidTr="006E4AA7">
        <w:tc>
          <w:tcPr>
            <w:tcW w:w="3240" w:type="dxa"/>
            <w:tcMar>
              <w:top w:w="0" w:type="dxa"/>
              <w:left w:w="108" w:type="dxa"/>
              <w:bottom w:w="0" w:type="dxa"/>
              <w:right w:w="108" w:type="dxa"/>
            </w:tcMar>
            <w:vAlign w:val="center"/>
            <w:hideMark/>
          </w:tcPr>
          <w:p w:rsidR="007D0446" w:rsidRPr="00743A41" w:rsidRDefault="007D0446" w:rsidP="00A37ED6">
            <w:pPr>
              <w:rPr>
                <w:rFonts w:asciiTheme="majorHAnsi" w:hAnsiTheme="majorHAnsi" w:cstheme="majorHAnsi"/>
                <w:sz w:val="20"/>
                <w:szCs w:val="20"/>
              </w:rPr>
            </w:pPr>
            <w:r w:rsidRPr="00743A41">
              <w:rPr>
                <w:rFonts w:asciiTheme="majorHAnsi" w:hAnsiTheme="majorHAnsi" w:cstheme="majorHAnsi"/>
                <w:sz w:val="20"/>
                <w:szCs w:val="20"/>
              </w:rPr>
              <w:t xml:space="preserve">Information Technology </w:t>
            </w:r>
          </w:p>
        </w:tc>
        <w:tc>
          <w:tcPr>
            <w:tcW w:w="162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18</w:t>
            </w:r>
          </w:p>
        </w:tc>
        <w:tc>
          <w:tcPr>
            <w:tcW w:w="1260" w:type="dxa"/>
            <w:tcMar>
              <w:top w:w="0" w:type="dxa"/>
              <w:left w:w="108" w:type="dxa"/>
              <w:bottom w:w="0" w:type="dxa"/>
              <w:right w:w="108" w:type="dxa"/>
            </w:tcMar>
            <w:vAlign w:val="center"/>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18</w:t>
            </w:r>
          </w:p>
        </w:tc>
        <w:tc>
          <w:tcPr>
            <w:tcW w:w="153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0</w:t>
            </w:r>
          </w:p>
        </w:tc>
        <w:tc>
          <w:tcPr>
            <w:tcW w:w="116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0</w:t>
            </w:r>
          </w:p>
        </w:tc>
      </w:tr>
      <w:tr w:rsidR="007D0446" w:rsidRPr="00743A41" w:rsidTr="006E4AA7">
        <w:tc>
          <w:tcPr>
            <w:tcW w:w="3240" w:type="dxa"/>
            <w:tcMar>
              <w:top w:w="0" w:type="dxa"/>
              <w:left w:w="108" w:type="dxa"/>
              <w:bottom w:w="0" w:type="dxa"/>
              <w:right w:w="108" w:type="dxa"/>
            </w:tcMar>
            <w:vAlign w:val="center"/>
            <w:hideMark/>
          </w:tcPr>
          <w:p w:rsidR="007D0446" w:rsidRPr="00743A41" w:rsidRDefault="007D0446" w:rsidP="00A37ED6">
            <w:pPr>
              <w:rPr>
                <w:rFonts w:asciiTheme="majorHAnsi" w:hAnsiTheme="majorHAnsi" w:cstheme="majorHAnsi"/>
                <w:sz w:val="20"/>
                <w:szCs w:val="20"/>
              </w:rPr>
            </w:pPr>
            <w:r w:rsidRPr="00743A41">
              <w:rPr>
                <w:rFonts w:asciiTheme="majorHAnsi" w:hAnsiTheme="majorHAnsi" w:cstheme="majorHAnsi"/>
                <w:sz w:val="20"/>
                <w:szCs w:val="20"/>
              </w:rPr>
              <w:t>Institutional Research and Effectiveness</w:t>
            </w:r>
          </w:p>
        </w:tc>
        <w:tc>
          <w:tcPr>
            <w:tcW w:w="162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1</w:t>
            </w:r>
          </w:p>
        </w:tc>
        <w:tc>
          <w:tcPr>
            <w:tcW w:w="1260" w:type="dxa"/>
            <w:tcMar>
              <w:top w:w="0" w:type="dxa"/>
              <w:left w:w="108" w:type="dxa"/>
              <w:bottom w:w="0" w:type="dxa"/>
              <w:right w:w="108" w:type="dxa"/>
            </w:tcMar>
            <w:vAlign w:val="center"/>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1</w:t>
            </w:r>
          </w:p>
        </w:tc>
        <w:tc>
          <w:tcPr>
            <w:tcW w:w="153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2</w:t>
            </w:r>
          </w:p>
        </w:tc>
        <w:tc>
          <w:tcPr>
            <w:tcW w:w="116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2</w:t>
            </w:r>
          </w:p>
        </w:tc>
      </w:tr>
      <w:tr w:rsidR="007D0446" w:rsidRPr="00743A41" w:rsidTr="006E4AA7">
        <w:tc>
          <w:tcPr>
            <w:tcW w:w="3240" w:type="dxa"/>
            <w:tcMar>
              <w:top w:w="0" w:type="dxa"/>
              <w:left w:w="108" w:type="dxa"/>
              <w:bottom w:w="0" w:type="dxa"/>
              <w:right w:w="108" w:type="dxa"/>
            </w:tcMar>
            <w:vAlign w:val="center"/>
            <w:hideMark/>
          </w:tcPr>
          <w:p w:rsidR="007D0446" w:rsidRPr="00743A41" w:rsidRDefault="007D0446" w:rsidP="00A37ED6">
            <w:pPr>
              <w:rPr>
                <w:rFonts w:asciiTheme="majorHAnsi" w:hAnsiTheme="majorHAnsi" w:cstheme="majorHAnsi"/>
                <w:sz w:val="20"/>
                <w:szCs w:val="20"/>
              </w:rPr>
            </w:pPr>
            <w:r w:rsidRPr="00743A41">
              <w:rPr>
                <w:rFonts w:asciiTheme="majorHAnsi" w:hAnsiTheme="majorHAnsi" w:cstheme="majorHAnsi"/>
                <w:sz w:val="20"/>
                <w:szCs w:val="20"/>
              </w:rPr>
              <w:t>Marketing and Communication</w:t>
            </w:r>
          </w:p>
        </w:tc>
        <w:tc>
          <w:tcPr>
            <w:tcW w:w="162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8</w:t>
            </w:r>
          </w:p>
        </w:tc>
        <w:tc>
          <w:tcPr>
            <w:tcW w:w="1260" w:type="dxa"/>
            <w:tcMar>
              <w:top w:w="0" w:type="dxa"/>
              <w:left w:w="108" w:type="dxa"/>
              <w:bottom w:w="0" w:type="dxa"/>
              <w:right w:w="108" w:type="dxa"/>
            </w:tcMar>
            <w:vAlign w:val="center"/>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7.5</w:t>
            </w:r>
          </w:p>
        </w:tc>
        <w:tc>
          <w:tcPr>
            <w:tcW w:w="153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1</w:t>
            </w:r>
          </w:p>
        </w:tc>
        <w:tc>
          <w:tcPr>
            <w:tcW w:w="116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1</w:t>
            </w:r>
          </w:p>
        </w:tc>
      </w:tr>
      <w:tr w:rsidR="007D0446" w:rsidRPr="00743A41" w:rsidTr="006E4AA7">
        <w:tc>
          <w:tcPr>
            <w:tcW w:w="3240" w:type="dxa"/>
            <w:tcMar>
              <w:top w:w="0" w:type="dxa"/>
              <w:left w:w="108" w:type="dxa"/>
              <w:bottom w:w="0" w:type="dxa"/>
              <w:right w:w="108" w:type="dxa"/>
            </w:tcMar>
            <w:vAlign w:val="center"/>
            <w:hideMark/>
          </w:tcPr>
          <w:p w:rsidR="007D0446" w:rsidRPr="00743A41" w:rsidRDefault="007D0446" w:rsidP="00A37ED6">
            <w:pPr>
              <w:rPr>
                <w:rFonts w:asciiTheme="majorHAnsi" w:hAnsiTheme="majorHAnsi" w:cstheme="majorHAnsi"/>
                <w:sz w:val="20"/>
                <w:szCs w:val="20"/>
              </w:rPr>
            </w:pPr>
            <w:r w:rsidRPr="00743A41">
              <w:rPr>
                <w:rFonts w:asciiTheme="majorHAnsi" w:hAnsiTheme="majorHAnsi" w:cstheme="majorHAnsi"/>
                <w:sz w:val="20"/>
                <w:szCs w:val="20"/>
              </w:rPr>
              <w:t xml:space="preserve">Other Non-Instructional Staff </w:t>
            </w:r>
          </w:p>
        </w:tc>
        <w:tc>
          <w:tcPr>
            <w:tcW w:w="162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0</w:t>
            </w:r>
          </w:p>
        </w:tc>
        <w:tc>
          <w:tcPr>
            <w:tcW w:w="1260" w:type="dxa"/>
            <w:tcMar>
              <w:top w:w="0" w:type="dxa"/>
              <w:left w:w="108" w:type="dxa"/>
              <w:bottom w:w="0" w:type="dxa"/>
              <w:right w:w="108" w:type="dxa"/>
            </w:tcMar>
            <w:vAlign w:val="center"/>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0</w:t>
            </w:r>
          </w:p>
        </w:tc>
        <w:tc>
          <w:tcPr>
            <w:tcW w:w="153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0</w:t>
            </w:r>
          </w:p>
        </w:tc>
        <w:tc>
          <w:tcPr>
            <w:tcW w:w="116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0</w:t>
            </w:r>
          </w:p>
        </w:tc>
      </w:tr>
      <w:tr w:rsidR="007D0446" w:rsidRPr="00743A41" w:rsidTr="006E4AA7">
        <w:tc>
          <w:tcPr>
            <w:tcW w:w="3240" w:type="dxa"/>
            <w:tcMar>
              <w:top w:w="0" w:type="dxa"/>
              <w:left w:w="108" w:type="dxa"/>
              <w:bottom w:w="0" w:type="dxa"/>
              <w:right w:w="108" w:type="dxa"/>
            </w:tcMar>
            <w:vAlign w:val="center"/>
            <w:hideMark/>
          </w:tcPr>
          <w:p w:rsidR="007D0446" w:rsidRPr="00743A41" w:rsidRDefault="007D0446" w:rsidP="00A37ED6">
            <w:pPr>
              <w:rPr>
                <w:rFonts w:asciiTheme="majorHAnsi" w:hAnsiTheme="majorHAnsi" w:cstheme="majorHAnsi"/>
                <w:sz w:val="20"/>
                <w:szCs w:val="20"/>
              </w:rPr>
            </w:pPr>
            <w:r w:rsidRPr="00743A41">
              <w:rPr>
                <w:rFonts w:asciiTheme="majorHAnsi" w:hAnsiTheme="majorHAnsi" w:cstheme="majorHAnsi"/>
                <w:sz w:val="20"/>
                <w:szCs w:val="20"/>
              </w:rPr>
              <w:t xml:space="preserve">Public Health Practice and Training </w:t>
            </w:r>
          </w:p>
        </w:tc>
        <w:tc>
          <w:tcPr>
            <w:tcW w:w="162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2.5</w:t>
            </w:r>
          </w:p>
        </w:tc>
        <w:tc>
          <w:tcPr>
            <w:tcW w:w="1260" w:type="dxa"/>
            <w:tcMar>
              <w:top w:w="0" w:type="dxa"/>
              <w:left w:w="108" w:type="dxa"/>
              <w:bottom w:w="0" w:type="dxa"/>
              <w:right w:w="108" w:type="dxa"/>
            </w:tcMar>
            <w:vAlign w:val="center"/>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1.85</w:t>
            </w:r>
          </w:p>
        </w:tc>
        <w:tc>
          <w:tcPr>
            <w:tcW w:w="153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0</w:t>
            </w:r>
          </w:p>
        </w:tc>
        <w:tc>
          <w:tcPr>
            <w:tcW w:w="116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0</w:t>
            </w:r>
          </w:p>
        </w:tc>
      </w:tr>
      <w:tr w:rsidR="007D0446" w:rsidRPr="00743A41" w:rsidTr="006E4AA7">
        <w:tc>
          <w:tcPr>
            <w:tcW w:w="3240" w:type="dxa"/>
            <w:tcMar>
              <w:top w:w="0" w:type="dxa"/>
              <w:left w:w="108" w:type="dxa"/>
              <w:bottom w:w="0" w:type="dxa"/>
              <w:right w:w="108" w:type="dxa"/>
            </w:tcMar>
            <w:vAlign w:val="center"/>
            <w:hideMark/>
          </w:tcPr>
          <w:p w:rsidR="007D0446" w:rsidRPr="00743A41" w:rsidRDefault="007D0446" w:rsidP="00A37ED6">
            <w:pPr>
              <w:rPr>
                <w:rFonts w:asciiTheme="majorHAnsi" w:hAnsiTheme="majorHAnsi" w:cstheme="majorHAnsi"/>
                <w:sz w:val="20"/>
                <w:szCs w:val="20"/>
              </w:rPr>
            </w:pPr>
            <w:r w:rsidRPr="00743A41">
              <w:rPr>
                <w:rFonts w:asciiTheme="majorHAnsi" w:hAnsiTheme="majorHAnsi" w:cstheme="majorHAnsi"/>
                <w:sz w:val="20"/>
                <w:szCs w:val="20"/>
              </w:rPr>
              <w:t>Research Administration – Pre-Award</w:t>
            </w:r>
          </w:p>
        </w:tc>
        <w:tc>
          <w:tcPr>
            <w:tcW w:w="162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10.5</w:t>
            </w:r>
          </w:p>
        </w:tc>
        <w:tc>
          <w:tcPr>
            <w:tcW w:w="1260" w:type="dxa"/>
            <w:tcMar>
              <w:top w:w="0" w:type="dxa"/>
              <w:left w:w="108" w:type="dxa"/>
              <w:bottom w:w="0" w:type="dxa"/>
              <w:right w:w="108" w:type="dxa"/>
            </w:tcMar>
            <w:vAlign w:val="center"/>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10.5</w:t>
            </w:r>
          </w:p>
        </w:tc>
        <w:tc>
          <w:tcPr>
            <w:tcW w:w="153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0</w:t>
            </w:r>
          </w:p>
        </w:tc>
        <w:tc>
          <w:tcPr>
            <w:tcW w:w="116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0</w:t>
            </w:r>
          </w:p>
        </w:tc>
      </w:tr>
      <w:tr w:rsidR="007D0446" w:rsidRPr="00743A41" w:rsidTr="006E4AA7">
        <w:tc>
          <w:tcPr>
            <w:tcW w:w="3240" w:type="dxa"/>
            <w:tcMar>
              <w:top w:w="0" w:type="dxa"/>
              <w:left w:w="108" w:type="dxa"/>
              <w:bottom w:w="0" w:type="dxa"/>
              <w:right w:w="108" w:type="dxa"/>
            </w:tcMar>
            <w:vAlign w:val="center"/>
            <w:hideMark/>
          </w:tcPr>
          <w:p w:rsidR="007D0446" w:rsidRPr="00743A41" w:rsidRDefault="007D0446" w:rsidP="00A37ED6">
            <w:pPr>
              <w:rPr>
                <w:rFonts w:asciiTheme="majorHAnsi" w:hAnsiTheme="majorHAnsi" w:cstheme="majorHAnsi"/>
                <w:sz w:val="20"/>
                <w:szCs w:val="20"/>
              </w:rPr>
            </w:pPr>
            <w:r w:rsidRPr="00743A41">
              <w:rPr>
                <w:rFonts w:asciiTheme="majorHAnsi" w:hAnsiTheme="majorHAnsi" w:cstheme="majorHAnsi"/>
                <w:sz w:val="20"/>
                <w:szCs w:val="20"/>
              </w:rPr>
              <w:t>Research Administration – Post-Award</w:t>
            </w:r>
          </w:p>
        </w:tc>
        <w:tc>
          <w:tcPr>
            <w:tcW w:w="162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8.5</w:t>
            </w:r>
          </w:p>
        </w:tc>
        <w:tc>
          <w:tcPr>
            <w:tcW w:w="1260" w:type="dxa"/>
            <w:tcMar>
              <w:top w:w="0" w:type="dxa"/>
              <w:left w:w="108" w:type="dxa"/>
              <w:bottom w:w="0" w:type="dxa"/>
              <w:right w:w="108" w:type="dxa"/>
            </w:tcMar>
            <w:vAlign w:val="center"/>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8.5</w:t>
            </w:r>
          </w:p>
        </w:tc>
        <w:tc>
          <w:tcPr>
            <w:tcW w:w="153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0</w:t>
            </w:r>
          </w:p>
        </w:tc>
        <w:tc>
          <w:tcPr>
            <w:tcW w:w="116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0</w:t>
            </w:r>
          </w:p>
        </w:tc>
      </w:tr>
      <w:tr w:rsidR="007D0446" w:rsidRPr="00743A41" w:rsidTr="006E4AA7">
        <w:tc>
          <w:tcPr>
            <w:tcW w:w="3240" w:type="dxa"/>
            <w:tcMar>
              <w:top w:w="0" w:type="dxa"/>
              <w:left w:w="108" w:type="dxa"/>
              <w:bottom w:w="0" w:type="dxa"/>
              <w:right w:w="108" w:type="dxa"/>
            </w:tcMar>
            <w:vAlign w:val="center"/>
            <w:hideMark/>
          </w:tcPr>
          <w:p w:rsidR="007D0446" w:rsidRPr="00743A41" w:rsidRDefault="007D0446" w:rsidP="00A37ED6">
            <w:pPr>
              <w:rPr>
                <w:rFonts w:asciiTheme="majorHAnsi" w:hAnsiTheme="majorHAnsi" w:cstheme="majorHAnsi"/>
                <w:sz w:val="20"/>
                <w:szCs w:val="20"/>
              </w:rPr>
            </w:pPr>
            <w:r w:rsidRPr="00743A41">
              <w:rPr>
                <w:rFonts w:asciiTheme="majorHAnsi" w:hAnsiTheme="majorHAnsi" w:cstheme="majorHAnsi"/>
                <w:sz w:val="20"/>
                <w:szCs w:val="20"/>
              </w:rPr>
              <w:t>Research Support</w:t>
            </w:r>
          </w:p>
        </w:tc>
        <w:tc>
          <w:tcPr>
            <w:tcW w:w="162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293</w:t>
            </w:r>
          </w:p>
        </w:tc>
        <w:tc>
          <w:tcPr>
            <w:tcW w:w="1260" w:type="dxa"/>
            <w:tcMar>
              <w:top w:w="0" w:type="dxa"/>
              <w:left w:w="108" w:type="dxa"/>
              <w:bottom w:w="0" w:type="dxa"/>
              <w:right w:w="108" w:type="dxa"/>
            </w:tcMar>
            <w:vAlign w:val="center"/>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239.2</w:t>
            </w:r>
          </w:p>
        </w:tc>
        <w:tc>
          <w:tcPr>
            <w:tcW w:w="153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0</w:t>
            </w:r>
          </w:p>
        </w:tc>
        <w:tc>
          <w:tcPr>
            <w:tcW w:w="116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0</w:t>
            </w:r>
          </w:p>
        </w:tc>
      </w:tr>
      <w:tr w:rsidR="007D0446" w:rsidRPr="00743A41" w:rsidTr="006E4AA7">
        <w:tc>
          <w:tcPr>
            <w:tcW w:w="3240" w:type="dxa"/>
            <w:tcMar>
              <w:top w:w="0" w:type="dxa"/>
              <w:left w:w="108" w:type="dxa"/>
              <w:bottom w:w="0" w:type="dxa"/>
              <w:right w:w="108" w:type="dxa"/>
            </w:tcMar>
            <w:vAlign w:val="center"/>
            <w:hideMark/>
          </w:tcPr>
          <w:p w:rsidR="007D0446" w:rsidRPr="00743A41" w:rsidRDefault="007D0446" w:rsidP="00A37ED6">
            <w:pPr>
              <w:rPr>
                <w:rFonts w:asciiTheme="majorHAnsi" w:hAnsiTheme="majorHAnsi" w:cstheme="majorHAnsi"/>
                <w:sz w:val="20"/>
                <w:szCs w:val="20"/>
              </w:rPr>
            </w:pPr>
            <w:r w:rsidRPr="00743A41">
              <w:rPr>
                <w:rFonts w:asciiTheme="majorHAnsi" w:hAnsiTheme="majorHAnsi" w:cstheme="majorHAnsi"/>
                <w:sz w:val="20"/>
                <w:szCs w:val="20"/>
              </w:rPr>
              <w:t xml:space="preserve">Student Affairs </w:t>
            </w:r>
          </w:p>
        </w:tc>
        <w:tc>
          <w:tcPr>
            <w:tcW w:w="162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6</w:t>
            </w:r>
          </w:p>
        </w:tc>
        <w:tc>
          <w:tcPr>
            <w:tcW w:w="1260" w:type="dxa"/>
            <w:tcMar>
              <w:top w:w="0" w:type="dxa"/>
              <w:left w:w="108" w:type="dxa"/>
              <w:bottom w:w="0" w:type="dxa"/>
              <w:right w:w="108" w:type="dxa"/>
            </w:tcMar>
            <w:vAlign w:val="center"/>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6</w:t>
            </w:r>
          </w:p>
        </w:tc>
        <w:tc>
          <w:tcPr>
            <w:tcW w:w="153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1</w:t>
            </w:r>
          </w:p>
        </w:tc>
        <w:tc>
          <w:tcPr>
            <w:tcW w:w="1160" w:type="dxa"/>
            <w:tcMar>
              <w:top w:w="0" w:type="dxa"/>
              <w:left w:w="108" w:type="dxa"/>
              <w:bottom w:w="0" w:type="dxa"/>
              <w:right w:w="108" w:type="dxa"/>
            </w:tcMar>
            <w:vAlign w:val="center"/>
            <w:hideMark/>
          </w:tcPr>
          <w:p w:rsidR="007D0446" w:rsidRPr="00743A41" w:rsidRDefault="007D0446" w:rsidP="00A37ED6">
            <w:pPr>
              <w:jc w:val="center"/>
              <w:rPr>
                <w:rFonts w:asciiTheme="majorHAnsi" w:hAnsiTheme="majorHAnsi" w:cstheme="majorHAnsi"/>
                <w:sz w:val="20"/>
                <w:szCs w:val="20"/>
              </w:rPr>
            </w:pPr>
            <w:r w:rsidRPr="00743A41">
              <w:rPr>
                <w:rFonts w:asciiTheme="majorHAnsi" w:hAnsiTheme="majorHAnsi" w:cstheme="majorHAnsi"/>
                <w:sz w:val="20"/>
                <w:szCs w:val="20"/>
              </w:rPr>
              <w:t>1</w:t>
            </w:r>
          </w:p>
        </w:tc>
      </w:tr>
    </w:tbl>
    <w:p w:rsidR="007D0446" w:rsidRPr="00743A41" w:rsidRDefault="007D0446" w:rsidP="00A37ED6">
      <w:pPr>
        <w:ind w:left="720"/>
        <w:jc w:val="both"/>
        <w:rPr>
          <w:rFonts w:asciiTheme="majorHAnsi" w:eastAsia="Calibri" w:hAnsiTheme="majorHAnsi" w:cstheme="majorHAnsi"/>
          <w:b/>
          <w:sz w:val="20"/>
          <w:szCs w:val="20"/>
        </w:rPr>
      </w:pPr>
    </w:p>
    <w:p w:rsidR="00933038" w:rsidRPr="00743A41" w:rsidRDefault="00933038" w:rsidP="00A37ED6">
      <w:pPr>
        <w:numPr>
          <w:ilvl w:val="0"/>
          <w:numId w:val="13"/>
        </w:numPr>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 xml:space="preserve">Provide a narrative description, which may be supported by data if applicable, of the contributions of other personnel. </w:t>
      </w:r>
    </w:p>
    <w:p w:rsidR="00933038" w:rsidRPr="00743A41" w:rsidRDefault="00933038" w:rsidP="00A37ED6">
      <w:pPr>
        <w:jc w:val="both"/>
        <w:rPr>
          <w:rFonts w:asciiTheme="majorHAnsi" w:eastAsia="Calibri" w:hAnsiTheme="majorHAnsi" w:cstheme="majorHAnsi"/>
          <w:sz w:val="20"/>
          <w:szCs w:val="20"/>
        </w:rPr>
      </w:pPr>
    </w:p>
    <w:p w:rsidR="00164A8A" w:rsidRPr="00743A41" w:rsidRDefault="00164A8A" w:rsidP="00A37ED6">
      <w:pPr>
        <w:ind w:left="720"/>
        <w:rPr>
          <w:rFonts w:asciiTheme="majorHAnsi" w:eastAsia="Calibri" w:hAnsiTheme="majorHAnsi" w:cstheme="majorHAnsi"/>
          <w:sz w:val="20"/>
          <w:szCs w:val="20"/>
        </w:rPr>
      </w:pPr>
      <w:r w:rsidRPr="00743A41">
        <w:rPr>
          <w:rFonts w:asciiTheme="majorHAnsi" w:eastAsia="Calibri" w:hAnsiTheme="majorHAnsi" w:cstheme="majorHAnsi"/>
          <w:sz w:val="20"/>
          <w:szCs w:val="20"/>
        </w:rPr>
        <w:t xml:space="preserve">Teaching and graduate assistant positions (no more than 20 hours per week) are provided to students while they are completing their graduate studies at the UTHealth School of Public Health. Casual employees are hourly employees who are hired for temporary or part-time positions such as data collectors. The school also relies on personnel in central university administration for student health, registrar, employee assistance, international office, disability services, safety, and general administration. </w:t>
      </w:r>
    </w:p>
    <w:p w:rsidR="00A329E8" w:rsidRPr="00743A41" w:rsidRDefault="00A329E8" w:rsidP="00A37ED6">
      <w:pPr>
        <w:ind w:left="720"/>
        <w:jc w:val="both"/>
        <w:rPr>
          <w:rFonts w:asciiTheme="majorHAnsi" w:eastAsia="Calibri" w:hAnsiTheme="majorHAnsi" w:cstheme="majorHAnsi"/>
          <w:sz w:val="20"/>
          <w:szCs w:val="20"/>
        </w:rPr>
      </w:pPr>
    </w:p>
    <w:p w:rsidR="00933038" w:rsidRPr="00743A41" w:rsidRDefault="00933038" w:rsidP="00A37ED6">
      <w:pPr>
        <w:numPr>
          <w:ilvl w:val="0"/>
          <w:numId w:val="13"/>
        </w:numPr>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Provide narrative and/or data that support the assertion that the school’s staff and other personnel support is sufficient or not sufficient.</w:t>
      </w:r>
    </w:p>
    <w:p w:rsidR="00933038" w:rsidRPr="00743A41" w:rsidRDefault="00933038" w:rsidP="00A37ED6">
      <w:pPr>
        <w:ind w:left="720"/>
        <w:jc w:val="both"/>
        <w:rPr>
          <w:rFonts w:asciiTheme="majorHAnsi" w:eastAsia="Calibri" w:hAnsiTheme="majorHAnsi" w:cstheme="majorHAnsi"/>
          <w:sz w:val="20"/>
          <w:szCs w:val="20"/>
        </w:rPr>
      </w:pPr>
    </w:p>
    <w:p w:rsidR="00164A8A" w:rsidRPr="00743A41" w:rsidRDefault="00164A8A" w:rsidP="00A37ED6">
      <w:pPr>
        <w:ind w:left="720"/>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The UTHealth School of Public Health has a sufficient number of experienced and qualified personnel to ensure that it operates efficiently. Staff have expertise in academic and administrative management, research, practice, information technology, and communications. Internal and external audits have confirmed that the school is operating efficiently. Several studies have been conducted looking at numbers of staff in specific roles compared with other departments and schools within UTHealth, as well as with other schools of public health.  </w:t>
      </w:r>
    </w:p>
    <w:p w:rsidR="00933038" w:rsidRPr="00743A41" w:rsidRDefault="00933038" w:rsidP="00A37ED6">
      <w:pPr>
        <w:ind w:left="720"/>
        <w:jc w:val="both"/>
        <w:rPr>
          <w:rFonts w:asciiTheme="majorHAnsi" w:eastAsia="Calibri" w:hAnsiTheme="majorHAnsi" w:cstheme="majorHAnsi"/>
          <w:sz w:val="20"/>
          <w:szCs w:val="20"/>
        </w:rPr>
      </w:pPr>
    </w:p>
    <w:p w:rsidR="00933038" w:rsidRPr="00743A41" w:rsidRDefault="00933038" w:rsidP="00A37ED6">
      <w:pPr>
        <w:numPr>
          <w:ilvl w:val="0"/>
          <w:numId w:val="13"/>
        </w:numPr>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 xml:space="preserve">If applicable, assess strengths and weaknesses related to this criterion and plans for improvement in this area. </w:t>
      </w:r>
    </w:p>
    <w:p w:rsidR="00612106" w:rsidRPr="00743A41" w:rsidRDefault="00612106" w:rsidP="00A37ED6">
      <w:pPr>
        <w:ind w:left="720"/>
        <w:jc w:val="both"/>
        <w:rPr>
          <w:rFonts w:asciiTheme="majorHAnsi" w:hAnsiTheme="majorHAnsi" w:cstheme="majorHAnsi"/>
          <w:i/>
          <w:sz w:val="20"/>
          <w:szCs w:val="20"/>
        </w:rPr>
      </w:pPr>
    </w:p>
    <w:p w:rsidR="00933038" w:rsidRPr="00743A41" w:rsidRDefault="00612106" w:rsidP="00A37ED6">
      <w:pPr>
        <w:ind w:left="720"/>
        <w:jc w:val="both"/>
        <w:rPr>
          <w:rFonts w:asciiTheme="majorHAnsi" w:eastAsia="Calibri" w:hAnsiTheme="majorHAnsi" w:cstheme="majorHAnsi"/>
          <w:sz w:val="20"/>
          <w:szCs w:val="20"/>
        </w:rPr>
      </w:pPr>
      <w:r w:rsidRPr="00743A41">
        <w:rPr>
          <w:rFonts w:asciiTheme="majorHAnsi" w:eastAsia="Calibri" w:hAnsiTheme="majorHAnsi" w:cstheme="majorHAnsi"/>
          <w:i/>
          <w:sz w:val="20"/>
          <w:szCs w:val="20"/>
        </w:rPr>
        <w:t xml:space="preserve">Not applicable. </w:t>
      </w:r>
    </w:p>
    <w:p w:rsidR="00933038" w:rsidRPr="00743A41" w:rsidRDefault="00933038" w:rsidP="00A37ED6">
      <w:pPr>
        <w:jc w:val="both"/>
        <w:rPr>
          <w:rFonts w:asciiTheme="majorHAnsi" w:hAnsiTheme="majorHAnsi" w:cstheme="majorHAnsi"/>
          <w:sz w:val="20"/>
          <w:szCs w:val="20"/>
        </w:rPr>
      </w:pPr>
    </w:p>
    <w:p w:rsidR="00933038" w:rsidRPr="00743A41" w:rsidRDefault="00933038" w:rsidP="00A37ED6">
      <w:pPr>
        <w:rPr>
          <w:rStyle w:val="Heading1Char"/>
        </w:rPr>
      </w:pPr>
      <w:bookmarkStart w:id="56" w:name="_Toc464487865"/>
      <w:r w:rsidRPr="00743A41">
        <w:rPr>
          <w:rStyle w:val="Heading1Char"/>
        </w:rPr>
        <w:br w:type="page"/>
      </w:r>
    </w:p>
    <w:p w:rsidR="00933038" w:rsidRPr="00743A41" w:rsidRDefault="00933038" w:rsidP="007A68BE">
      <w:pPr>
        <w:pStyle w:val="Heading1"/>
        <w:rPr>
          <w:rFonts w:eastAsia="Calibri"/>
        </w:rPr>
      </w:pPr>
      <w:bookmarkStart w:id="57" w:name="_Toc7118198"/>
      <w:r w:rsidRPr="00743A41">
        <w:rPr>
          <w:rStyle w:val="Heading1Char"/>
          <w:b/>
        </w:rPr>
        <w:t>C4. Physical Resources</w:t>
      </w:r>
      <w:bookmarkEnd w:id="56"/>
      <w:bookmarkEnd w:id="57"/>
      <w:r w:rsidRPr="00743A41">
        <w:rPr>
          <w:rFonts w:eastAsia="Calibri"/>
        </w:rPr>
        <w:t xml:space="preserve">  </w:t>
      </w:r>
    </w:p>
    <w:p w:rsidR="00933038" w:rsidRPr="00743A41" w:rsidRDefault="00933038" w:rsidP="00A37ED6">
      <w:pPr>
        <w:keepNext/>
        <w:rPr>
          <w:rFonts w:asciiTheme="majorHAnsi" w:eastAsia="Calibri" w:hAnsiTheme="majorHAnsi" w:cstheme="majorHAnsi"/>
          <w:b/>
          <w:sz w:val="20"/>
          <w:szCs w:val="20"/>
        </w:rPr>
      </w:pPr>
      <w:r w:rsidRPr="00743A41">
        <w:rPr>
          <w:rFonts w:asciiTheme="majorHAnsi" w:eastAsia="Calibri" w:hAnsiTheme="majorHAnsi" w:cstheme="majorHAnsi"/>
          <w:b/>
          <w:sz w:val="20"/>
          <w:szCs w:val="20"/>
        </w:rPr>
        <w:t xml:space="preserve"> </w:t>
      </w:r>
    </w:p>
    <w:p w:rsidR="00933038" w:rsidRPr="00743A41" w:rsidRDefault="00933038" w:rsidP="00A37ED6">
      <w:pPr>
        <w:jc w:val="both"/>
        <w:rPr>
          <w:rFonts w:asciiTheme="majorHAnsi" w:eastAsia="Calibri" w:hAnsiTheme="majorHAnsi" w:cstheme="majorHAnsi"/>
          <w:sz w:val="20"/>
          <w:szCs w:val="20"/>
        </w:rPr>
      </w:pPr>
      <w:r w:rsidRPr="00743A41">
        <w:rPr>
          <w:rFonts w:asciiTheme="majorHAnsi" w:eastAsia="Calibri" w:hAnsiTheme="majorHAnsi" w:cstheme="majorHAnsi"/>
          <w:b/>
          <w:sz w:val="20"/>
          <w:szCs w:val="20"/>
        </w:rPr>
        <w:t>The school has physical resources adequate to fulfill its stated mission and goals and to support instructional schools. Physical resources include faculty and staff office space, classroom space, student shared space and laboratories, as applicable.</w:t>
      </w:r>
    </w:p>
    <w:p w:rsidR="00933038" w:rsidRPr="00743A41" w:rsidRDefault="00933038" w:rsidP="00A37ED6">
      <w:pPr>
        <w:jc w:val="both"/>
        <w:rPr>
          <w:rFonts w:asciiTheme="majorHAnsi" w:eastAsia="Calibri" w:hAnsiTheme="majorHAnsi" w:cstheme="majorHAnsi"/>
          <w:sz w:val="20"/>
          <w:szCs w:val="20"/>
        </w:rPr>
      </w:pPr>
    </w:p>
    <w:p w:rsidR="00933038" w:rsidRPr="00743A41" w:rsidRDefault="00933038" w:rsidP="00A37ED6">
      <w:pPr>
        <w:numPr>
          <w:ilvl w:val="0"/>
          <w:numId w:val="14"/>
        </w:numPr>
        <w:ind w:left="72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Briefly describe, with data as applicable, the following. (Note: square footage is not required unless specifically relevant to the school’s narrative.)</w:t>
      </w:r>
    </w:p>
    <w:p w:rsidR="0041107A" w:rsidRPr="00743A41" w:rsidRDefault="0041107A" w:rsidP="00A37ED6">
      <w:pPr>
        <w:ind w:left="720"/>
        <w:jc w:val="both"/>
        <w:rPr>
          <w:rFonts w:asciiTheme="majorHAnsi" w:eastAsia="Calibri" w:hAnsiTheme="majorHAnsi" w:cstheme="majorHAnsi"/>
          <w:sz w:val="20"/>
          <w:szCs w:val="20"/>
        </w:rPr>
      </w:pPr>
    </w:p>
    <w:p w:rsidR="00164A8A" w:rsidRPr="00743A41" w:rsidRDefault="00164A8A" w:rsidP="00A37ED6">
      <w:pPr>
        <w:ind w:left="720" w:right="75"/>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As detailed in </w:t>
      </w:r>
      <w:hyperlink w:anchor="tablec41" w:history="1">
        <w:r w:rsidR="003D7B72" w:rsidRPr="00743A41">
          <w:rPr>
            <w:rStyle w:val="Hyperlink"/>
            <w:rFonts w:asciiTheme="majorHAnsi" w:eastAsia="Arial" w:hAnsiTheme="majorHAnsi" w:cstheme="majorHAnsi"/>
            <w:sz w:val="20"/>
            <w:szCs w:val="20"/>
          </w:rPr>
          <w:t>Table C.4.1.a.</w:t>
        </w:r>
      </w:hyperlink>
      <w:r w:rsidRPr="00743A41">
        <w:rPr>
          <w:rFonts w:asciiTheme="majorHAnsi" w:eastAsia="Arial" w:hAnsiTheme="majorHAnsi" w:cstheme="majorHAnsi"/>
          <w:sz w:val="20"/>
          <w:szCs w:val="20"/>
        </w:rPr>
        <w:t xml:space="preserve">, the UTHealth School of Public Health utilizes </w:t>
      </w:r>
      <w:r w:rsidRPr="00743A41">
        <w:rPr>
          <w:rFonts w:asciiTheme="majorHAnsi" w:hAnsiTheme="majorHAnsi" w:cstheme="majorHAnsi"/>
          <w:sz w:val="20"/>
          <w:szCs w:val="20"/>
        </w:rPr>
        <w:t xml:space="preserve">190,838 </w:t>
      </w:r>
      <w:r w:rsidRPr="00743A41">
        <w:rPr>
          <w:rFonts w:asciiTheme="majorHAnsi" w:eastAsia="Arial" w:hAnsiTheme="majorHAnsi" w:cstheme="majorHAnsi"/>
          <w:sz w:val="20"/>
          <w:szCs w:val="20"/>
        </w:rPr>
        <w:t xml:space="preserve">square feet across all six campuses. </w:t>
      </w:r>
    </w:p>
    <w:p w:rsidR="00164A8A" w:rsidRPr="00743A41" w:rsidRDefault="00164A8A" w:rsidP="00A37ED6">
      <w:pPr>
        <w:ind w:left="720" w:right="75"/>
        <w:rPr>
          <w:rFonts w:asciiTheme="majorHAnsi" w:eastAsia="Arial" w:hAnsiTheme="majorHAnsi" w:cstheme="majorHAnsi"/>
          <w:sz w:val="20"/>
          <w:szCs w:val="20"/>
        </w:rPr>
      </w:pPr>
    </w:p>
    <w:p w:rsidR="00164A8A" w:rsidRPr="00743A41" w:rsidRDefault="00164A8A" w:rsidP="00A37ED6">
      <w:pPr>
        <w:ind w:left="720" w:right="75"/>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The main campus of the school is located in the Texas Medical Center in Houston. The primary building, the Reuel A. Stallones (RAS) Building, houses the Dean’s Office, Office of Academic Affairs and Student Services, SPH Library &amp; Graduate Communication Center, and Career and Alumni Services. The RAS Building also houses the four academic departments. The RAS Building consists of 11,722 square feet, and includes 20 classrooms, 397 offices, and 16 conference rooms; 9,358 square feet of study and lounge space; and 21,681 square feet of laboratory space. In Houston, the school also utilizes 16,245 square feet in the University Center Tower (UCT), which is located down the street from the RAS and includes 145 offices, four conference rooms, and three kitchens. </w:t>
      </w:r>
    </w:p>
    <w:p w:rsidR="00164A8A" w:rsidRPr="00743A41" w:rsidRDefault="00164A8A" w:rsidP="00A37ED6">
      <w:pPr>
        <w:ind w:left="720" w:right="75"/>
        <w:rPr>
          <w:rFonts w:asciiTheme="majorHAnsi" w:eastAsia="Arial" w:hAnsiTheme="majorHAnsi" w:cstheme="majorHAnsi"/>
          <w:sz w:val="20"/>
          <w:szCs w:val="20"/>
        </w:rPr>
      </w:pPr>
    </w:p>
    <w:p w:rsidR="00164A8A" w:rsidRPr="00743A41" w:rsidRDefault="00164A8A" w:rsidP="00A37ED6">
      <w:pPr>
        <w:ind w:left="720" w:right="75"/>
        <w:rPr>
          <w:rFonts w:asciiTheme="majorHAnsi" w:eastAsia="Arial" w:hAnsiTheme="majorHAnsi" w:cstheme="majorHAnsi"/>
          <w:sz w:val="20"/>
          <w:szCs w:val="20"/>
        </w:rPr>
      </w:pPr>
      <w:r w:rsidRPr="00743A41">
        <w:rPr>
          <w:rFonts w:asciiTheme="majorHAnsi" w:eastAsia="Arial" w:hAnsiTheme="majorHAnsi" w:cstheme="majorHAnsi"/>
          <w:sz w:val="20"/>
          <w:szCs w:val="20"/>
        </w:rPr>
        <w:t>The Austin campus is located within a mile of the University of Texas at Austin, a mile of the Dell Medical Center, and a half mile of the Texas State Capitol. The Austin campus utilizes space in three buildings (</w:t>
      </w:r>
      <w:r w:rsidRPr="00743A41">
        <w:rPr>
          <w:rFonts w:asciiTheme="majorHAnsi" w:eastAsia="Times New Roman" w:hAnsiTheme="majorHAnsi" w:cstheme="majorHAnsi"/>
          <w:bCs/>
          <w:color w:val="000000"/>
          <w:sz w:val="20"/>
          <w:szCs w:val="20"/>
        </w:rPr>
        <w:t xml:space="preserve">University of Texas Administration Building, Guadalupe Street Peloton Building, and the Wells Fargo Building) </w:t>
      </w:r>
      <w:r w:rsidRPr="00743A41">
        <w:rPr>
          <w:rFonts w:asciiTheme="majorHAnsi" w:eastAsia="Arial" w:hAnsiTheme="majorHAnsi" w:cstheme="majorHAnsi"/>
          <w:sz w:val="20"/>
          <w:szCs w:val="20"/>
        </w:rPr>
        <w:t xml:space="preserve">that total 14,923 square feet. Collectively, the Austin campus houses 96 offices, 11 classrooms, and six shared spaces. </w:t>
      </w:r>
    </w:p>
    <w:p w:rsidR="00164A8A" w:rsidRPr="00743A41" w:rsidRDefault="00164A8A" w:rsidP="00A37ED6">
      <w:pPr>
        <w:ind w:left="720" w:right="75"/>
        <w:rPr>
          <w:rFonts w:asciiTheme="majorHAnsi" w:eastAsia="Arial" w:hAnsiTheme="majorHAnsi" w:cstheme="majorHAnsi"/>
          <w:sz w:val="20"/>
          <w:szCs w:val="20"/>
        </w:rPr>
      </w:pPr>
    </w:p>
    <w:p w:rsidR="00164A8A" w:rsidRPr="00743A41" w:rsidRDefault="00164A8A" w:rsidP="00A37ED6">
      <w:pPr>
        <w:ind w:left="720" w:right="75"/>
        <w:rPr>
          <w:rFonts w:asciiTheme="majorHAnsi" w:hAnsiTheme="majorHAnsi" w:cstheme="majorHAnsi"/>
          <w:sz w:val="20"/>
          <w:szCs w:val="20"/>
        </w:rPr>
      </w:pPr>
      <w:r w:rsidRPr="00743A41">
        <w:rPr>
          <w:rFonts w:asciiTheme="majorHAnsi" w:eastAsia="Arial" w:hAnsiTheme="majorHAnsi" w:cstheme="majorHAnsi"/>
          <w:sz w:val="20"/>
          <w:szCs w:val="20"/>
        </w:rPr>
        <w:t xml:space="preserve">The Brownville campus is located on the University of Texas Rio Grande Valley campus. </w:t>
      </w:r>
      <w:r w:rsidRPr="00743A41">
        <w:rPr>
          <w:rFonts w:asciiTheme="majorHAnsi" w:hAnsiTheme="majorHAnsi" w:cstheme="majorHAnsi"/>
          <w:sz w:val="20"/>
          <w:szCs w:val="20"/>
        </w:rPr>
        <w:t xml:space="preserve">Its strategic location in South Texas provides the opportunity for research in a Hispanic population (Mexican Americans) with marked socioeconomic disparities. The Brownsville campus is composed of two buildings (the Regional Academic Health Center [RAC] and the Amistad Plaza Weslaco [APW]) that total 21,722 square feet. These buildings house 113 offices, eight classrooms, and 4,684 square feet in laboratory space. The Brownsville campus is also affiliated with the University of Texas Rio Grande Valley Medical School in Harlingen, where classes are hosted in the medical school building and broadcast to other campuses through ITV. </w:t>
      </w:r>
    </w:p>
    <w:p w:rsidR="00164A8A" w:rsidRPr="00743A41" w:rsidRDefault="00164A8A" w:rsidP="00A37ED6">
      <w:pPr>
        <w:ind w:left="720" w:right="75"/>
        <w:rPr>
          <w:rFonts w:asciiTheme="majorHAnsi" w:hAnsiTheme="majorHAnsi" w:cstheme="majorHAnsi"/>
          <w:sz w:val="20"/>
          <w:szCs w:val="20"/>
        </w:rPr>
      </w:pPr>
    </w:p>
    <w:p w:rsidR="00164A8A" w:rsidRPr="00743A41" w:rsidRDefault="00164A8A" w:rsidP="00A37ED6">
      <w:pPr>
        <w:ind w:left="720" w:right="75"/>
        <w:rPr>
          <w:rFonts w:asciiTheme="majorHAnsi" w:hAnsiTheme="majorHAnsi" w:cstheme="majorHAnsi"/>
          <w:sz w:val="20"/>
          <w:szCs w:val="20"/>
        </w:rPr>
      </w:pPr>
      <w:r w:rsidRPr="00743A41">
        <w:rPr>
          <w:rFonts w:asciiTheme="majorHAnsi" w:hAnsiTheme="majorHAnsi" w:cstheme="majorHAnsi"/>
          <w:sz w:val="20"/>
          <w:szCs w:val="20"/>
        </w:rPr>
        <w:t xml:space="preserve">The Dallas campus is located on the University of Texas Southwestern Medical Center at Dallas in the School of Health Professions Building (Building V), which provides excellent opportunities for collaboration and engagement for faculty, staff, and students. Building V has 8,563 square feet that house 22 offices and five classrooms. The Bass Tower includes 13 offices and one classroom. </w:t>
      </w:r>
    </w:p>
    <w:p w:rsidR="00164A8A" w:rsidRPr="00743A41" w:rsidRDefault="00164A8A" w:rsidP="00A37ED6">
      <w:pPr>
        <w:ind w:left="720" w:right="75"/>
        <w:rPr>
          <w:rFonts w:asciiTheme="majorHAnsi" w:hAnsiTheme="majorHAnsi" w:cstheme="majorHAnsi"/>
          <w:sz w:val="20"/>
          <w:szCs w:val="20"/>
        </w:rPr>
      </w:pPr>
    </w:p>
    <w:p w:rsidR="00164A8A" w:rsidRPr="00743A41" w:rsidRDefault="00164A8A" w:rsidP="00A37ED6">
      <w:pPr>
        <w:ind w:left="720" w:right="75"/>
        <w:rPr>
          <w:rFonts w:asciiTheme="majorHAnsi" w:hAnsiTheme="majorHAnsi" w:cstheme="majorHAnsi"/>
          <w:sz w:val="20"/>
          <w:szCs w:val="20"/>
        </w:rPr>
      </w:pPr>
      <w:r w:rsidRPr="00743A41">
        <w:rPr>
          <w:rFonts w:asciiTheme="majorHAnsi" w:hAnsiTheme="majorHAnsi" w:cstheme="majorHAnsi"/>
          <w:sz w:val="20"/>
          <w:szCs w:val="20"/>
        </w:rPr>
        <w:t xml:space="preserve">The El Paso campus is located in the Medical Center of Americas building, which houses other universities (Texas Tech) </w:t>
      </w:r>
      <w:r w:rsidR="00D06EEE" w:rsidRPr="00743A41">
        <w:rPr>
          <w:rFonts w:asciiTheme="majorHAnsi" w:hAnsiTheme="majorHAnsi" w:cstheme="majorHAnsi"/>
          <w:sz w:val="20"/>
          <w:szCs w:val="20"/>
        </w:rPr>
        <w:t>healthcare</w:t>
      </w:r>
      <w:r w:rsidRPr="00743A41">
        <w:rPr>
          <w:rFonts w:asciiTheme="majorHAnsi" w:hAnsiTheme="majorHAnsi" w:cstheme="majorHAnsi"/>
          <w:sz w:val="20"/>
          <w:szCs w:val="20"/>
        </w:rPr>
        <w:t xml:space="preserve"> professionals, researchers, and biomedical companies. The El Paso campus has 3,454 square feet of space that contains 16 offices and one classroom; however, other classroom space is available as needed, and students have access to all shared space in the building. </w:t>
      </w:r>
    </w:p>
    <w:p w:rsidR="00164A8A" w:rsidRPr="00743A41" w:rsidRDefault="00164A8A" w:rsidP="00A37ED6">
      <w:pPr>
        <w:ind w:left="720" w:right="75"/>
        <w:rPr>
          <w:rFonts w:asciiTheme="majorHAnsi" w:hAnsiTheme="majorHAnsi" w:cstheme="majorHAnsi"/>
          <w:sz w:val="20"/>
          <w:szCs w:val="20"/>
        </w:rPr>
      </w:pPr>
    </w:p>
    <w:p w:rsidR="00164A8A" w:rsidRPr="00743A41" w:rsidRDefault="00164A8A" w:rsidP="00A37ED6">
      <w:pPr>
        <w:ind w:left="720"/>
        <w:jc w:val="both"/>
        <w:rPr>
          <w:rFonts w:asciiTheme="majorHAnsi" w:hAnsiTheme="majorHAnsi" w:cstheme="majorHAnsi"/>
          <w:color w:val="222222"/>
          <w:sz w:val="20"/>
          <w:szCs w:val="20"/>
          <w:shd w:val="clear" w:color="auto" w:fill="FFFFFF"/>
        </w:rPr>
      </w:pPr>
      <w:r w:rsidRPr="00743A41">
        <w:rPr>
          <w:rFonts w:asciiTheme="majorHAnsi" w:hAnsiTheme="majorHAnsi" w:cstheme="majorHAnsi"/>
          <w:sz w:val="20"/>
          <w:szCs w:val="20"/>
        </w:rPr>
        <w:t xml:space="preserve">The San Antonio campus is located near </w:t>
      </w:r>
      <w:r w:rsidRPr="00743A41">
        <w:rPr>
          <w:rFonts w:asciiTheme="majorHAnsi" w:hAnsiTheme="majorHAnsi" w:cstheme="majorHAnsi"/>
          <w:color w:val="222222"/>
          <w:sz w:val="20"/>
          <w:szCs w:val="20"/>
          <w:shd w:val="clear" w:color="auto" w:fill="FFFFFF"/>
        </w:rPr>
        <w:t>the South Texas Medical Center, the medical district in the One Technology Building (OTC). This building consists of 8,425 square feet of space that house 47 offices, six classrooms, four common areas for students, and one laboratory.</w:t>
      </w:r>
    </w:p>
    <w:p w:rsidR="00164A8A" w:rsidRPr="00743A41" w:rsidRDefault="00164A8A" w:rsidP="00A37ED6">
      <w:pPr>
        <w:ind w:left="720"/>
        <w:jc w:val="both"/>
        <w:rPr>
          <w:rFonts w:asciiTheme="majorHAnsi" w:hAnsiTheme="majorHAnsi" w:cstheme="majorHAnsi"/>
          <w:color w:val="222222"/>
          <w:sz w:val="20"/>
          <w:szCs w:val="20"/>
          <w:shd w:val="clear" w:color="auto" w:fill="FFFFFF"/>
        </w:rPr>
      </w:pPr>
    </w:p>
    <w:p w:rsidR="00164A8A" w:rsidRPr="00743A41" w:rsidRDefault="00164A8A" w:rsidP="00A37ED6">
      <w:pPr>
        <w:ind w:left="720"/>
        <w:jc w:val="both"/>
        <w:rPr>
          <w:rFonts w:asciiTheme="majorHAnsi" w:hAnsiTheme="majorHAnsi" w:cstheme="majorHAnsi"/>
          <w:color w:val="222222"/>
          <w:sz w:val="20"/>
          <w:szCs w:val="20"/>
          <w:shd w:val="clear" w:color="auto" w:fill="FFFFFF"/>
        </w:rPr>
      </w:pPr>
    </w:p>
    <w:p w:rsidR="00A04819" w:rsidRPr="00743A41" w:rsidRDefault="00A04819" w:rsidP="00A37ED6">
      <w:pPr>
        <w:ind w:left="720"/>
        <w:jc w:val="both"/>
        <w:rPr>
          <w:rFonts w:asciiTheme="majorHAnsi" w:eastAsia="Arial" w:hAnsiTheme="majorHAnsi" w:cstheme="majorHAnsi"/>
          <w:sz w:val="20"/>
          <w:szCs w:val="20"/>
        </w:rPr>
      </w:pPr>
    </w:p>
    <w:p w:rsidR="00A04819" w:rsidRPr="00743A41" w:rsidRDefault="00A04819" w:rsidP="00497457">
      <w:pPr>
        <w:jc w:val="both"/>
        <w:rPr>
          <w:rFonts w:asciiTheme="majorHAnsi" w:eastAsia="Arial" w:hAnsiTheme="majorHAnsi" w:cstheme="majorHAnsi"/>
          <w:sz w:val="20"/>
          <w:szCs w:val="20"/>
        </w:rPr>
      </w:pPr>
    </w:p>
    <w:p w:rsidR="00164A8A" w:rsidRPr="00743A41" w:rsidRDefault="00164A8A" w:rsidP="00FD685E">
      <w:pPr>
        <w:ind w:left="720" w:hanging="450"/>
        <w:jc w:val="both"/>
        <w:rPr>
          <w:rFonts w:asciiTheme="majorHAnsi" w:eastAsia="Arial" w:hAnsiTheme="majorHAnsi" w:cstheme="majorHAnsi"/>
          <w:sz w:val="20"/>
          <w:szCs w:val="20"/>
        </w:rPr>
      </w:pPr>
      <w:bookmarkStart w:id="58" w:name="tablec41"/>
      <w:r w:rsidRPr="00743A41">
        <w:rPr>
          <w:rFonts w:asciiTheme="majorHAnsi" w:eastAsia="Arial" w:hAnsiTheme="majorHAnsi" w:cstheme="majorHAnsi"/>
          <w:sz w:val="20"/>
          <w:szCs w:val="20"/>
        </w:rPr>
        <w:t>Table C</w:t>
      </w:r>
      <w:r w:rsidR="003D7B72" w:rsidRPr="00743A41">
        <w:rPr>
          <w:rFonts w:asciiTheme="majorHAnsi" w:eastAsia="Arial" w:hAnsiTheme="majorHAnsi" w:cstheme="majorHAnsi"/>
          <w:sz w:val="20"/>
          <w:szCs w:val="20"/>
        </w:rPr>
        <w:t>.</w:t>
      </w:r>
      <w:r w:rsidRPr="00743A41">
        <w:rPr>
          <w:rFonts w:asciiTheme="majorHAnsi" w:eastAsia="Arial" w:hAnsiTheme="majorHAnsi" w:cstheme="majorHAnsi"/>
          <w:sz w:val="20"/>
          <w:szCs w:val="20"/>
        </w:rPr>
        <w:t>4.1.a</w:t>
      </w:r>
      <w:bookmarkEnd w:id="58"/>
      <w:r w:rsidRPr="00743A41">
        <w:rPr>
          <w:rFonts w:asciiTheme="majorHAnsi" w:eastAsia="Arial" w:hAnsiTheme="majorHAnsi" w:cstheme="majorHAnsi"/>
          <w:sz w:val="20"/>
          <w:szCs w:val="20"/>
        </w:rPr>
        <w:t xml:space="preserve">. Physical Resources of the UTHealth School of Public Health </w:t>
      </w:r>
    </w:p>
    <w:tbl>
      <w:tblPr>
        <w:tblW w:w="90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20"/>
        <w:gridCol w:w="360"/>
        <w:gridCol w:w="630"/>
        <w:gridCol w:w="360"/>
        <w:gridCol w:w="630"/>
        <w:gridCol w:w="360"/>
        <w:gridCol w:w="630"/>
        <w:gridCol w:w="360"/>
        <w:gridCol w:w="715"/>
        <w:gridCol w:w="275"/>
        <w:gridCol w:w="630"/>
        <w:gridCol w:w="360"/>
        <w:gridCol w:w="630"/>
        <w:gridCol w:w="360"/>
        <w:gridCol w:w="630"/>
        <w:gridCol w:w="720"/>
      </w:tblGrid>
      <w:tr w:rsidR="005C2310" w:rsidRPr="00743A41" w:rsidTr="00497457">
        <w:trPr>
          <w:trHeight w:val="630"/>
          <w:tblHeader/>
        </w:trPr>
        <w:tc>
          <w:tcPr>
            <w:tcW w:w="720" w:type="dxa"/>
            <w:shd w:val="clear" w:color="auto" w:fill="BFBFBF" w:themeFill="background1" w:themeFillShade="BF"/>
            <w:noWrap/>
            <w:tcMar>
              <w:left w:w="0" w:type="dxa"/>
              <w:right w:w="0" w:type="dxa"/>
            </w:tcMar>
            <w:vAlign w:val="center"/>
          </w:tcPr>
          <w:p w:rsidR="005C2310" w:rsidRPr="00743A41" w:rsidRDefault="005C2310" w:rsidP="00A37ED6">
            <w:pPr>
              <w:jc w:val="center"/>
              <w:rPr>
                <w:rFonts w:asciiTheme="majorHAnsi" w:eastAsia="Times New Roman" w:hAnsiTheme="majorHAnsi" w:cstheme="majorHAnsi"/>
                <w:b/>
                <w:bCs/>
                <w:color w:val="000000"/>
                <w:sz w:val="20"/>
                <w:szCs w:val="20"/>
              </w:rPr>
            </w:pPr>
            <w:bookmarkStart w:id="59" w:name="_Hlk17888616"/>
          </w:p>
        </w:tc>
        <w:tc>
          <w:tcPr>
            <w:tcW w:w="720" w:type="dxa"/>
            <w:shd w:val="clear" w:color="auto" w:fill="BFBFBF" w:themeFill="background1" w:themeFillShade="BF"/>
            <w:tcMar>
              <w:left w:w="0" w:type="dxa"/>
              <w:right w:w="0" w:type="dxa"/>
            </w:tcMar>
            <w:vAlign w:val="center"/>
          </w:tcPr>
          <w:p w:rsidR="005C2310" w:rsidRPr="00743A41" w:rsidRDefault="005C2310" w:rsidP="00A37ED6">
            <w:pPr>
              <w:jc w:val="center"/>
              <w:rPr>
                <w:rFonts w:asciiTheme="majorHAnsi" w:eastAsia="Times New Roman" w:hAnsiTheme="majorHAnsi" w:cstheme="majorHAnsi"/>
                <w:b/>
                <w:bCs/>
                <w:color w:val="000000"/>
                <w:sz w:val="20"/>
                <w:szCs w:val="20"/>
              </w:rPr>
            </w:pPr>
          </w:p>
        </w:tc>
        <w:tc>
          <w:tcPr>
            <w:tcW w:w="990" w:type="dxa"/>
            <w:gridSpan w:val="2"/>
            <w:shd w:val="clear" w:color="auto" w:fill="BFBFBF" w:themeFill="background1" w:themeFillShade="BF"/>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Offices</w:t>
            </w:r>
          </w:p>
        </w:tc>
        <w:tc>
          <w:tcPr>
            <w:tcW w:w="990" w:type="dxa"/>
            <w:gridSpan w:val="2"/>
            <w:shd w:val="clear" w:color="auto" w:fill="BFBFBF" w:themeFill="background1" w:themeFillShade="BF"/>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Classrooms</w:t>
            </w:r>
          </w:p>
        </w:tc>
        <w:tc>
          <w:tcPr>
            <w:tcW w:w="990" w:type="dxa"/>
            <w:gridSpan w:val="2"/>
            <w:shd w:val="clear" w:color="auto" w:fill="BFBFBF" w:themeFill="background1" w:themeFillShade="BF"/>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Conference Rooms</w:t>
            </w:r>
          </w:p>
        </w:tc>
        <w:tc>
          <w:tcPr>
            <w:tcW w:w="1980" w:type="dxa"/>
            <w:gridSpan w:val="4"/>
            <w:shd w:val="clear" w:color="auto" w:fill="BFBFBF" w:themeFill="background1" w:themeFillShade="BF"/>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Shared Student Space</w:t>
            </w:r>
          </w:p>
        </w:tc>
        <w:tc>
          <w:tcPr>
            <w:tcW w:w="990" w:type="dxa"/>
            <w:gridSpan w:val="2"/>
            <w:shd w:val="clear" w:color="auto" w:fill="BFBFBF" w:themeFill="background1" w:themeFillShade="BF"/>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Labs &amp; Freezer Farm</w:t>
            </w:r>
          </w:p>
        </w:tc>
        <w:tc>
          <w:tcPr>
            <w:tcW w:w="990" w:type="dxa"/>
            <w:gridSpan w:val="2"/>
            <w:shd w:val="clear" w:color="auto" w:fill="BFBFBF" w:themeFill="background1" w:themeFillShade="BF"/>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Health Centers</w:t>
            </w:r>
          </w:p>
        </w:tc>
        <w:tc>
          <w:tcPr>
            <w:tcW w:w="720" w:type="dxa"/>
            <w:shd w:val="clear" w:color="auto" w:fill="BFBFBF" w:themeFill="background1" w:themeFillShade="BF"/>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Total</w:t>
            </w:r>
          </w:p>
        </w:tc>
      </w:tr>
      <w:tr w:rsidR="005C2310" w:rsidRPr="00743A41" w:rsidTr="00497457">
        <w:trPr>
          <w:trHeight w:val="260"/>
          <w:tblHeader/>
        </w:trPr>
        <w:tc>
          <w:tcPr>
            <w:tcW w:w="720" w:type="dxa"/>
            <w:shd w:val="clear" w:color="auto" w:fill="BFBFBF" w:themeFill="background1" w:themeFillShade="BF"/>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bCs/>
                <w:color w:val="000000"/>
                <w:sz w:val="20"/>
                <w:szCs w:val="20"/>
              </w:rPr>
            </w:pPr>
          </w:p>
        </w:tc>
        <w:tc>
          <w:tcPr>
            <w:tcW w:w="720" w:type="dxa"/>
            <w:shd w:val="clear" w:color="auto" w:fill="BFBFBF" w:themeFill="background1" w:themeFillShade="BF"/>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sz w:val="20"/>
                <w:szCs w:val="20"/>
              </w:rPr>
            </w:pPr>
          </w:p>
        </w:tc>
        <w:tc>
          <w:tcPr>
            <w:tcW w:w="990" w:type="dxa"/>
            <w:gridSpan w:val="2"/>
            <w:shd w:val="clear" w:color="auto" w:fill="BFBFBF" w:themeFill="background1" w:themeFillShade="BF"/>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sz w:val="20"/>
                <w:szCs w:val="20"/>
              </w:rPr>
            </w:pPr>
          </w:p>
        </w:tc>
        <w:tc>
          <w:tcPr>
            <w:tcW w:w="990" w:type="dxa"/>
            <w:gridSpan w:val="2"/>
            <w:shd w:val="clear" w:color="auto" w:fill="BFBFBF" w:themeFill="background1" w:themeFillShade="BF"/>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sz w:val="20"/>
                <w:szCs w:val="20"/>
              </w:rPr>
            </w:pPr>
          </w:p>
        </w:tc>
        <w:tc>
          <w:tcPr>
            <w:tcW w:w="990" w:type="dxa"/>
            <w:gridSpan w:val="2"/>
            <w:shd w:val="clear" w:color="auto" w:fill="BFBFBF" w:themeFill="background1" w:themeFillShade="BF"/>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sz w:val="20"/>
                <w:szCs w:val="20"/>
              </w:rPr>
            </w:pPr>
          </w:p>
        </w:tc>
        <w:tc>
          <w:tcPr>
            <w:tcW w:w="1075" w:type="dxa"/>
            <w:gridSpan w:val="2"/>
            <w:shd w:val="clear" w:color="auto" w:fill="BFBFBF" w:themeFill="background1" w:themeFillShade="BF"/>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Study Room</w:t>
            </w:r>
          </w:p>
        </w:tc>
        <w:tc>
          <w:tcPr>
            <w:tcW w:w="905" w:type="dxa"/>
            <w:gridSpan w:val="2"/>
            <w:shd w:val="clear" w:color="auto" w:fill="BFBFBF" w:themeFill="background1" w:themeFillShade="BF"/>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Lounge</w:t>
            </w:r>
          </w:p>
        </w:tc>
        <w:tc>
          <w:tcPr>
            <w:tcW w:w="360" w:type="dxa"/>
            <w:shd w:val="clear" w:color="auto" w:fill="BFBFBF" w:themeFill="background1" w:themeFillShade="BF"/>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bCs/>
                <w:color w:val="000000"/>
                <w:sz w:val="20"/>
                <w:szCs w:val="20"/>
              </w:rPr>
            </w:pPr>
          </w:p>
        </w:tc>
        <w:tc>
          <w:tcPr>
            <w:tcW w:w="630" w:type="dxa"/>
            <w:shd w:val="clear" w:color="auto" w:fill="BFBFBF" w:themeFill="background1" w:themeFillShade="BF"/>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sz w:val="20"/>
                <w:szCs w:val="20"/>
              </w:rPr>
            </w:pPr>
          </w:p>
        </w:tc>
        <w:tc>
          <w:tcPr>
            <w:tcW w:w="360" w:type="dxa"/>
            <w:shd w:val="clear" w:color="auto" w:fill="BFBFBF" w:themeFill="background1" w:themeFillShade="BF"/>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sz w:val="20"/>
                <w:szCs w:val="20"/>
              </w:rPr>
            </w:pPr>
          </w:p>
        </w:tc>
        <w:tc>
          <w:tcPr>
            <w:tcW w:w="630" w:type="dxa"/>
            <w:shd w:val="clear" w:color="auto" w:fill="BFBFBF" w:themeFill="background1" w:themeFillShade="BF"/>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sz w:val="20"/>
                <w:szCs w:val="20"/>
              </w:rPr>
            </w:pPr>
          </w:p>
        </w:tc>
        <w:tc>
          <w:tcPr>
            <w:tcW w:w="720" w:type="dxa"/>
            <w:shd w:val="clear" w:color="auto" w:fill="BFBFBF" w:themeFill="background1" w:themeFillShade="BF"/>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sz w:val="20"/>
                <w:szCs w:val="20"/>
              </w:rPr>
            </w:pPr>
          </w:p>
        </w:tc>
      </w:tr>
      <w:tr w:rsidR="0053741F" w:rsidRPr="00743A41" w:rsidTr="00497457">
        <w:trPr>
          <w:trHeight w:val="330"/>
          <w:tblHeader/>
        </w:trPr>
        <w:tc>
          <w:tcPr>
            <w:tcW w:w="720" w:type="dxa"/>
            <w:shd w:val="clear" w:color="auto" w:fill="D9D9D9" w:themeFill="background1" w:themeFillShade="D9"/>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sz w:val="20"/>
                <w:szCs w:val="20"/>
              </w:rPr>
            </w:pPr>
            <w:r w:rsidRPr="00743A41">
              <w:rPr>
                <w:rFonts w:asciiTheme="majorHAnsi" w:eastAsia="Times New Roman" w:hAnsiTheme="majorHAnsi" w:cstheme="majorHAnsi"/>
                <w:b/>
                <w:sz w:val="20"/>
                <w:szCs w:val="20"/>
              </w:rPr>
              <w:t>Campus</w:t>
            </w:r>
          </w:p>
        </w:tc>
        <w:tc>
          <w:tcPr>
            <w:tcW w:w="720" w:type="dxa"/>
            <w:shd w:val="clear" w:color="auto" w:fill="D9D9D9" w:themeFill="background1" w:themeFillShade="D9"/>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sz w:val="20"/>
                <w:szCs w:val="20"/>
              </w:rPr>
            </w:pPr>
            <w:r w:rsidRPr="00743A41">
              <w:rPr>
                <w:rFonts w:asciiTheme="majorHAnsi" w:eastAsia="Times New Roman" w:hAnsiTheme="majorHAnsi" w:cstheme="majorHAnsi"/>
                <w:b/>
                <w:sz w:val="20"/>
                <w:szCs w:val="20"/>
              </w:rPr>
              <w:t>Building</w:t>
            </w:r>
          </w:p>
        </w:tc>
        <w:tc>
          <w:tcPr>
            <w:tcW w:w="360" w:type="dxa"/>
            <w:shd w:val="clear" w:color="auto" w:fill="D9D9D9" w:themeFill="background1" w:themeFillShade="D9"/>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w:t>
            </w:r>
          </w:p>
        </w:tc>
        <w:tc>
          <w:tcPr>
            <w:tcW w:w="630" w:type="dxa"/>
            <w:shd w:val="clear" w:color="auto" w:fill="D9D9D9" w:themeFill="background1" w:themeFillShade="D9"/>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Sq ft</w:t>
            </w:r>
          </w:p>
        </w:tc>
        <w:tc>
          <w:tcPr>
            <w:tcW w:w="360" w:type="dxa"/>
            <w:shd w:val="clear" w:color="auto" w:fill="D9D9D9" w:themeFill="background1" w:themeFillShade="D9"/>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w:t>
            </w:r>
          </w:p>
        </w:tc>
        <w:tc>
          <w:tcPr>
            <w:tcW w:w="630" w:type="dxa"/>
            <w:shd w:val="clear" w:color="auto" w:fill="D9D9D9" w:themeFill="background1" w:themeFillShade="D9"/>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Sq ft</w:t>
            </w:r>
          </w:p>
        </w:tc>
        <w:tc>
          <w:tcPr>
            <w:tcW w:w="360" w:type="dxa"/>
            <w:shd w:val="clear" w:color="auto" w:fill="D9D9D9" w:themeFill="background1" w:themeFillShade="D9"/>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w:t>
            </w:r>
          </w:p>
        </w:tc>
        <w:tc>
          <w:tcPr>
            <w:tcW w:w="630" w:type="dxa"/>
            <w:shd w:val="clear" w:color="auto" w:fill="D9D9D9" w:themeFill="background1" w:themeFillShade="D9"/>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Sq ft</w:t>
            </w:r>
          </w:p>
        </w:tc>
        <w:tc>
          <w:tcPr>
            <w:tcW w:w="360" w:type="dxa"/>
            <w:shd w:val="clear" w:color="auto" w:fill="D9D9D9" w:themeFill="background1" w:themeFillShade="D9"/>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w:t>
            </w:r>
          </w:p>
        </w:tc>
        <w:tc>
          <w:tcPr>
            <w:tcW w:w="715" w:type="dxa"/>
            <w:shd w:val="clear" w:color="auto" w:fill="D9D9D9" w:themeFill="background1" w:themeFillShade="D9"/>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Sq ft</w:t>
            </w:r>
          </w:p>
        </w:tc>
        <w:tc>
          <w:tcPr>
            <w:tcW w:w="275" w:type="dxa"/>
            <w:shd w:val="clear" w:color="auto" w:fill="D9D9D9" w:themeFill="background1" w:themeFillShade="D9"/>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w:t>
            </w:r>
          </w:p>
        </w:tc>
        <w:tc>
          <w:tcPr>
            <w:tcW w:w="630" w:type="dxa"/>
            <w:shd w:val="clear" w:color="auto" w:fill="D9D9D9" w:themeFill="background1" w:themeFillShade="D9"/>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Sq ft</w:t>
            </w:r>
          </w:p>
        </w:tc>
        <w:tc>
          <w:tcPr>
            <w:tcW w:w="360" w:type="dxa"/>
            <w:shd w:val="clear" w:color="auto" w:fill="D9D9D9" w:themeFill="background1" w:themeFillShade="D9"/>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w:t>
            </w:r>
          </w:p>
        </w:tc>
        <w:tc>
          <w:tcPr>
            <w:tcW w:w="630" w:type="dxa"/>
            <w:shd w:val="clear" w:color="auto" w:fill="D9D9D9" w:themeFill="background1" w:themeFillShade="D9"/>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Sq ft</w:t>
            </w:r>
          </w:p>
        </w:tc>
        <w:tc>
          <w:tcPr>
            <w:tcW w:w="360" w:type="dxa"/>
            <w:shd w:val="clear" w:color="auto" w:fill="D9D9D9" w:themeFill="background1" w:themeFillShade="D9"/>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w:t>
            </w:r>
          </w:p>
        </w:tc>
        <w:tc>
          <w:tcPr>
            <w:tcW w:w="630" w:type="dxa"/>
            <w:shd w:val="clear" w:color="auto" w:fill="D9D9D9" w:themeFill="background1" w:themeFillShade="D9"/>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Sq ft</w:t>
            </w:r>
          </w:p>
        </w:tc>
        <w:tc>
          <w:tcPr>
            <w:tcW w:w="720" w:type="dxa"/>
            <w:shd w:val="clear" w:color="auto" w:fill="D9D9D9" w:themeFill="background1" w:themeFillShade="D9"/>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Sq ft</w:t>
            </w:r>
          </w:p>
        </w:tc>
      </w:tr>
      <w:tr w:rsidR="005C2310" w:rsidRPr="00743A41" w:rsidTr="00497457">
        <w:trPr>
          <w:cantSplit/>
          <w:trHeight w:val="510"/>
        </w:trPr>
        <w:tc>
          <w:tcPr>
            <w:tcW w:w="720" w:type="dxa"/>
            <w:vMerge w:val="restart"/>
            <w:shd w:val="clear" w:color="auto" w:fill="auto"/>
            <w:noWrap/>
            <w:tcMar>
              <w:left w:w="0" w:type="dxa"/>
              <w:right w:w="0" w:type="dxa"/>
            </w:tcMar>
            <w:vAlign w:val="center"/>
            <w:hideMark/>
          </w:tcPr>
          <w:p w:rsidR="005C2310" w:rsidRPr="00743A41" w:rsidRDefault="005C2310"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Houston Campus</w:t>
            </w:r>
          </w:p>
        </w:tc>
        <w:tc>
          <w:tcPr>
            <w:tcW w:w="720" w:type="dxa"/>
            <w:shd w:val="clear" w:color="auto" w:fill="auto"/>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RAS</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397</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54,005</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20</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21,130</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16</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5,548</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7</w:t>
            </w:r>
          </w:p>
        </w:tc>
        <w:tc>
          <w:tcPr>
            <w:tcW w:w="715"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2,682</w:t>
            </w:r>
          </w:p>
        </w:tc>
        <w:tc>
          <w:tcPr>
            <w:tcW w:w="275"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12</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6,676</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5</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21,681</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72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111,722</w:t>
            </w:r>
          </w:p>
        </w:tc>
      </w:tr>
      <w:tr w:rsidR="005C2310" w:rsidRPr="00743A41" w:rsidTr="00497457">
        <w:trPr>
          <w:cantSplit/>
          <w:trHeight w:val="510"/>
        </w:trPr>
        <w:tc>
          <w:tcPr>
            <w:tcW w:w="720" w:type="dxa"/>
            <w:vMerge/>
            <w:shd w:val="clear" w:color="auto" w:fill="auto"/>
            <w:noWrap/>
            <w:tcMar>
              <w:left w:w="0" w:type="dxa"/>
              <w:right w:w="0" w:type="dxa"/>
            </w:tcMar>
            <w:vAlign w:val="center"/>
            <w:hideMark/>
          </w:tcPr>
          <w:p w:rsidR="005C2310" w:rsidRPr="00743A41" w:rsidRDefault="005C2310" w:rsidP="00A37ED6">
            <w:pPr>
              <w:rPr>
                <w:rFonts w:asciiTheme="majorHAnsi" w:eastAsia="Times New Roman" w:hAnsiTheme="majorHAnsi" w:cstheme="majorHAnsi"/>
                <w:color w:val="000000"/>
                <w:sz w:val="20"/>
                <w:szCs w:val="20"/>
              </w:rPr>
            </w:pPr>
          </w:p>
        </w:tc>
        <w:tc>
          <w:tcPr>
            <w:tcW w:w="720" w:type="dxa"/>
            <w:shd w:val="clear" w:color="auto" w:fill="auto"/>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UCT</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145</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13,515</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4</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1,596</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343</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715"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275"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3</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791</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72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16,245</w:t>
            </w:r>
          </w:p>
        </w:tc>
      </w:tr>
      <w:tr w:rsidR="005C2310" w:rsidRPr="00743A41" w:rsidTr="00497457">
        <w:trPr>
          <w:cantSplit/>
          <w:trHeight w:val="550"/>
        </w:trPr>
        <w:tc>
          <w:tcPr>
            <w:tcW w:w="720" w:type="dxa"/>
            <w:vMerge/>
            <w:shd w:val="clear" w:color="auto" w:fill="auto"/>
            <w:noWrap/>
            <w:tcMar>
              <w:left w:w="0" w:type="dxa"/>
              <w:right w:w="0" w:type="dxa"/>
            </w:tcMar>
            <w:vAlign w:val="center"/>
            <w:hideMark/>
          </w:tcPr>
          <w:p w:rsidR="005C2310" w:rsidRPr="00743A41" w:rsidRDefault="005C2310" w:rsidP="00A37ED6">
            <w:pPr>
              <w:rPr>
                <w:rFonts w:asciiTheme="majorHAnsi" w:eastAsia="Times New Roman" w:hAnsiTheme="majorHAnsi" w:cstheme="majorHAnsi"/>
                <w:color w:val="000000"/>
                <w:sz w:val="20"/>
                <w:szCs w:val="20"/>
              </w:rPr>
            </w:pPr>
          </w:p>
        </w:tc>
        <w:tc>
          <w:tcPr>
            <w:tcW w:w="720" w:type="dxa"/>
            <w:shd w:val="clear" w:color="auto" w:fill="auto"/>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OCB</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0</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0</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0</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715"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275"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auto"/>
            <w:noWrap/>
            <w:tcMar>
              <w:left w:w="0" w:type="dxa"/>
              <w:right w:w="0" w:type="dxa"/>
            </w:tcMar>
            <w:vAlign w:val="center"/>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4,823</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0</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0</w:t>
            </w:r>
          </w:p>
        </w:tc>
        <w:tc>
          <w:tcPr>
            <w:tcW w:w="72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4,823</w:t>
            </w:r>
          </w:p>
        </w:tc>
      </w:tr>
      <w:tr w:rsidR="0053741F" w:rsidRPr="00743A41" w:rsidTr="00497457">
        <w:trPr>
          <w:trHeight w:val="760"/>
        </w:trPr>
        <w:tc>
          <w:tcPr>
            <w:tcW w:w="720" w:type="dxa"/>
            <w:vMerge w:val="restart"/>
            <w:shd w:val="clear" w:color="auto" w:fill="F2F2F2" w:themeFill="background1" w:themeFillShade="F2"/>
            <w:noWrap/>
            <w:tcMar>
              <w:left w:w="0" w:type="dxa"/>
              <w:right w:w="0" w:type="dxa"/>
            </w:tcMar>
            <w:vAlign w:val="center"/>
            <w:hideMark/>
          </w:tcPr>
          <w:p w:rsidR="005C2310" w:rsidRPr="00743A41" w:rsidRDefault="005C2310"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Austin Campus</w:t>
            </w:r>
          </w:p>
        </w:tc>
        <w:tc>
          <w:tcPr>
            <w:tcW w:w="720" w:type="dxa"/>
            <w:shd w:val="clear" w:color="auto" w:fill="F2F2F2" w:themeFill="background1" w:themeFillShade="F2"/>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UTA</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44</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4,799</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5</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2,426</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5</w:t>
            </w:r>
          </w:p>
        </w:tc>
        <w:tc>
          <w:tcPr>
            <w:tcW w:w="715"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180</w:t>
            </w:r>
          </w:p>
        </w:tc>
        <w:tc>
          <w:tcPr>
            <w:tcW w:w="275"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w:t>
            </w:r>
          </w:p>
        </w:tc>
        <w:tc>
          <w:tcPr>
            <w:tcW w:w="630" w:type="dxa"/>
            <w:shd w:val="clear" w:color="auto" w:fill="F2F2F2" w:themeFill="background1" w:themeFillShade="F2"/>
            <w:noWrap/>
            <w:tcMar>
              <w:left w:w="0" w:type="dxa"/>
              <w:right w:w="0" w:type="dxa"/>
            </w:tcMar>
            <w:vAlign w:val="center"/>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255</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72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7,660</w:t>
            </w:r>
          </w:p>
        </w:tc>
      </w:tr>
      <w:tr w:rsidR="0053741F" w:rsidRPr="00743A41" w:rsidTr="00497457">
        <w:trPr>
          <w:trHeight w:val="510"/>
        </w:trPr>
        <w:tc>
          <w:tcPr>
            <w:tcW w:w="720" w:type="dxa"/>
            <w:vMerge/>
            <w:shd w:val="clear" w:color="auto" w:fill="F2F2F2" w:themeFill="background1" w:themeFillShade="F2"/>
            <w:noWrap/>
            <w:tcMar>
              <w:left w:w="0" w:type="dxa"/>
              <w:right w:w="0" w:type="dxa"/>
            </w:tcMar>
            <w:vAlign w:val="center"/>
            <w:hideMark/>
          </w:tcPr>
          <w:p w:rsidR="005C2310" w:rsidRPr="00743A41" w:rsidRDefault="005C2310" w:rsidP="00A37ED6">
            <w:pPr>
              <w:rPr>
                <w:rFonts w:asciiTheme="majorHAnsi" w:eastAsia="Times New Roman" w:hAnsiTheme="majorHAnsi" w:cstheme="majorHAnsi"/>
                <w:bCs/>
                <w:color w:val="000000"/>
                <w:sz w:val="20"/>
                <w:szCs w:val="20"/>
              </w:rPr>
            </w:pPr>
          </w:p>
        </w:tc>
        <w:tc>
          <w:tcPr>
            <w:tcW w:w="720" w:type="dxa"/>
            <w:shd w:val="clear" w:color="auto" w:fill="F2F2F2" w:themeFill="background1" w:themeFillShade="F2"/>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WFB</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25</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2,430</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3</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1,019</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715"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275"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w:t>
            </w:r>
          </w:p>
        </w:tc>
        <w:tc>
          <w:tcPr>
            <w:tcW w:w="630" w:type="dxa"/>
            <w:shd w:val="clear" w:color="auto" w:fill="F2F2F2" w:themeFill="background1" w:themeFillShade="F2"/>
            <w:noWrap/>
            <w:tcMar>
              <w:left w:w="0" w:type="dxa"/>
              <w:right w:w="0" w:type="dxa"/>
            </w:tcMar>
            <w:vAlign w:val="center"/>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271</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72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3,720</w:t>
            </w:r>
          </w:p>
        </w:tc>
      </w:tr>
      <w:tr w:rsidR="0053741F" w:rsidRPr="00743A41" w:rsidTr="00497457">
        <w:trPr>
          <w:trHeight w:val="510"/>
        </w:trPr>
        <w:tc>
          <w:tcPr>
            <w:tcW w:w="720" w:type="dxa"/>
            <w:vMerge/>
            <w:shd w:val="clear" w:color="auto" w:fill="F2F2F2" w:themeFill="background1" w:themeFillShade="F2"/>
            <w:noWrap/>
            <w:tcMar>
              <w:left w:w="0" w:type="dxa"/>
              <w:right w:w="0" w:type="dxa"/>
            </w:tcMar>
            <w:vAlign w:val="center"/>
            <w:hideMark/>
          </w:tcPr>
          <w:p w:rsidR="005C2310" w:rsidRPr="00743A41" w:rsidRDefault="005C2310" w:rsidP="00A37ED6">
            <w:pPr>
              <w:rPr>
                <w:rFonts w:asciiTheme="majorHAnsi" w:eastAsia="Times New Roman" w:hAnsiTheme="majorHAnsi" w:cstheme="majorHAnsi"/>
                <w:bCs/>
                <w:color w:val="000000"/>
                <w:sz w:val="20"/>
                <w:szCs w:val="20"/>
              </w:rPr>
            </w:pPr>
          </w:p>
        </w:tc>
        <w:tc>
          <w:tcPr>
            <w:tcW w:w="720" w:type="dxa"/>
            <w:shd w:val="clear" w:color="auto" w:fill="F2F2F2" w:themeFill="background1" w:themeFillShade="F2"/>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GSP</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27</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2,006</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3</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999</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w:t>
            </w:r>
          </w:p>
        </w:tc>
        <w:tc>
          <w:tcPr>
            <w:tcW w:w="715"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134</w:t>
            </w:r>
          </w:p>
        </w:tc>
        <w:tc>
          <w:tcPr>
            <w:tcW w:w="275"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w:t>
            </w:r>
          </w:p>
        </w:tc>
        <w:tc>
          <w:tcPr>
            <w:tcW w:w="630" w:type="dxa"/>
            <w:shd w:val="clear" w:color="auto" w:fill="F2F2F2" w:themeFill="background1" w:themeFillShade="F2"/>
            <w:noWrap/>
            <w:tcMar>
              <w:left w:w="0" w:type="dxa"/>
              <w:right w:w="0" w:type="dxa"/>
            </w:tcMar>
            <w:vAlign w:val="center"/>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404</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72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3,543</w:t>
            </w:r>
          </w:p>
        </w:tc>
      </w:tr>
      <w:tr w:rsidR="005C2310" w:rsidRPr="00743A41" w:rsidTr="00497457">
        <w:trPr>
          <w:trHeight w:val="760"/>
        </w:trPr>
        <w:tc>
          <w:tcPr>
            <w:tcW w:w="720" w:type="dxa"/>
            <w:vMerge w:val="restart"/>
            <w:shd w:val="clear" w:color="auto" w:fill="auto"/>
            <w:noWrap/>
            <w:tcMar>
              <w:left w:w="0" w:type="dxa"/>
              <w:right w:w="0" w:type="dxa"/>
            </w:tcMar>
            <w:vAlign w:val="center"/>
            <w:hideMark/>
          </w:tcPr>
          <w:p w:rsidR="005C2310" w:rsidRPr="00743A41" w:rsidRDefault="005C2310"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Browns-ville Campus</w:t>
            </w:r>
          </w:p>
        </w:tc>
        <w:tc>
          <w:tcPr>
            <w:tcW w:w="720" w:type="dxa"/>
            <w:shd w:val="clear" w:color="auto" w:fill="auto"/>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RAC</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85</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8,851</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8</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5,072</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2</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581</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1</w:t>
            </w:r>
          </w:p>
        </w:tc>
        <w:tc>
          <w:tcPr>
            <w:tcW w:w="715"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221</w:t>
            </w:r>
          </w:p>
        </w:tc>
        <w:tc>
          <w:tcPr>
            <w:tcW w:w="275"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1</w:t>
            </w:r>
          </w:p>
        </w:tc>
        <w:tc>
          <w:tcPr>
            <w:tcW w:w="630" w:type="dxa"/>
            <w:shd w:val="clear" w:color="auto" w:fill="auto"/>
            <w:noWrap/>
            <w:tcMar>
              <w:left w:w="0" w:type="dxa"/>
              <w:right w:w="0" w:type="dxa"/>
            </w:tcMar>
            <w:vAlign w:val="center"/>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53</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1</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4,684</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0</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0</w:t>
            </w:r>
          </w:p>
        </w:tc>
        <w:tc>
          <w:tcPr>
            <w:tcW w:w="72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19,462</w:t>
            </w:r>
          </w:p>
        </w:tc>
      </w:tr>
      <w:tr w:rsidR="005C2310" w:rsidRPr="00743A41" w:rsidTr="00497457">
        <w:trPr>
          <w:trHeight w:val="510"/>
        </w:trPr>
        <w:tc>
          <w:tcPr>
            <w:tcW w:w="720" w:type="dxa"/>
            <w:vMerge/>
            <w:shd w:val="clear" w:color="auto" w:fill="auto"/>
            <w:noWrap/>
            <w:tcMar>
              <w:left w:w="0" w:type="dxa"/>
              <w:right w:w="0" w:type="dxa"/>
            </w:tcMar>
            <w:vAlign w:val="center"/>
            <w:hideMark/>
          </w:tcPr>
          <w:p w:rsidR="005C2310" w:rsidRPr="00743A41" w:rsidRDefault="005C2310" w:rsidP="00A37ED6">
            <w:pPr>
              <w:rPr>
                <w:rFonts w:asciiTheme="majorHAnsi" w:eastAsia="Times New Roman" w:hAnsiTheme="majorHAnsi" w:cstheme="majorHAnsi"/>
                <w:color w:val="000000"/>
                <w:sz w:val="20"/>
                <w:szCs w:val="20"/>
              </w:rPr>
            </w:pPr>
          </w:p>
        </w:tc>
        <w:tc>
          <w:tcPr>
            <w:tcW w:w="720" w:type="dxa"/>
            <w:shd w:val="clear" w:color="auto" w:fill="auto"/>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APW</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28</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1,375</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335</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715"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275"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auto"/>
            <w:noWrap/>
            <w:tcMar>
              <w:left w:w="0" w:type="dxa"/>
              <w:right w:w="0" w:type="dxa"/>
            </w:tcMar>
            <w:vAlign w:val="center"/>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72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1,710</w:t>
            </w:r>
          </w:p>
        </w:tc>
      </w:tr>
      <w:tr w:rsidR="0053741F" w:rsidRPr="00743A41" w:rsidTr="00497457">
        <w:trPr>
          <w:trHeight w:val="260"/>
        </w:trPr>
        <w:tc>
          <w:tcPr>
            <w:tcW w:w="720" w:type="dxa"/>
            <w:vMerge w:val="restart"/>
            <w:shd w:val="clear" w:color="auto" w:fill="F2F2F2" w:themeFill="background1" w:themeFillShade="F2"/>
            <w:noWrap/>
            <w:tcMar>
              <w:left w:w="0" w:type="dxa"/>
              <w:right w:w="0" w:type="dxa"/>
            </w:tcMar>
            <w:vAlign w:val="center"/>
            <w:hideMark/>
          </w:tcPr>
          <w:p w:rsidR="005C2310" w:rsidRPr="00743A41" w:rsidRDefault="005C2310"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Dallas Campus</w:t>
            </w:r>
          </w:p>
        </w:tc>
        <w:tc>
          <w:tcPr>
            <w:tcW w:w="720" w:type="dxa"/>
            <w:shd w:val="clear" w:color="auto" w:fill="F2F2F2" w:themeFill="background1" w:themeFillShade="F2"/>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Building V (00V)</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22</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4,203</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5</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3,515</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2</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677</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715"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275"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w:t>
            </w:r>
          </w:p>
        </w:tc>
        <w:tc>
          <w:tcPr>
            <w:tcW w:w="630" w:type="dxa"/>
            <w:shd w:val="clear" w:color="auto" w:fill="F2F2F2" w:themeFill="background1" w:themeFillShade="F2"/>
            <w:noWrap/>
            <w:tcMar>
              <w:left w:w="0" w:type="dxa"/>
              <w:right w:w="0" w:type="dxa"/>
            </w:tcMar>
            <w:vAlign w:val="center"/>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168</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72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8,563</w:t>
            </w:r>
          </w:p>
        </w:tc>
      </w:tr>
      <w:tr w:rsidR="0053741F" w:rsidRPr="00743A41" w:rsidTr="00497457">
        <w:trPr>
          <w:trHeight w:val="510"/>
        </w:trPr>
        <w:tc>
          <w:tcPr>
            <w:tcW w:w="720" w:type="dxa"/>
            <w:vMerge/>
            <w:shd w:val="clear" w:color="auto" w:fill="F2F2F2" w:themeFill="background1" w:themeFillShade="F2"/>
            <w:noWrap/>
            <w:tcMar>
              <w:left w:w="0" w:type="dxa"/>
              <w:right w:w="0" w:type="dxa"/>
            </w:tcMar>
            <w:vAlign w:val="center"/>
            <w:hideMark/>
          </w:tcPr>
          <w:p w:rsidR="005C2310" w:rsidRPr="00743A41" w:rsidRDefault="005C2310" w:rsidP="00A37ED6">
            <w:pPr>
              <w:rPr>
                <w:rFonts w:asciiTheme="majorHAnsi" w:eastAsia="Times New Roman" w:hAnsiTheme="majorHAnsi" w:cstheme="majorHAnsi"/>
                <w:color w:val="000000"/>
                <w:sz w:val="20"/>
                <w:szCs w:val="20"/>
              </w:rPr>
            </w:pPr>
          </w:p>
        </w:tc>
        <w:tc>
          <w:tcPr>
            <w:tcW w:w="720" w:type="dxa"/>
            <w:shd w:val="clear" w:color="auto" w:fill="F2F2F2" w:themeFill="background1" w:themeFillShade="F2"/>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Bass Tower 2 (0BL)</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13</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1,007</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233</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153</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715"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275"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w:t>
            </w:r>
          </w:p>
        </w:tc>
        <w:tc>
          <w:tcPr>
            <w:tcW w:w="630" w:type="dxa"/>
            <w:shd w:val="clear" w:color="auto" w:fill="F2F2F2" w:themeFill="background1" w:themeFillShade="F2"/>
            <w:noWrap/>
            <w:tcMar>
              <w:left w:w="0" w:type="dxa"/>
              <w:right w:w="0" w:type="dxa"/>
            </w:tcMar>
            <w:vAlign w:val="center"/>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118</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72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1,511</w:t>
            </w:r>
          </w:p>
        </w:tc>
      </w:tr>
      <w:tr w:rsidR="005C2310" w:rsidRPr="00743A41" w:rsidTr="00497457">
        <w:trPr>
          <w:trHeight w:val="760"/>
        </w:trPr>
        <w:tc>
          <w:tcPr>
            <w:tcW w:w="720" w:type="dxa"/>
            <w:shd w:val="clear" w:color="auto" w:fill="auto"/>
            <w:noWrap/>
            <w:tcMar>
              <w:left w:w="0" w:type="dxa"/>
              <w:right w:w="0" w:type="dxa"/>
            </w:tcMar>
            <w:vAlign w:val="center"/>
            <w:hideMark/>
          </w:tcPr>
          <w:p w:rsidR="005C2310" w:rsidRPr="00743A41" w:rsidRDefault="005C2310"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El Paso Campus</w:t>
            </w:r>
          </w:p>
        </w:tc>
        <w:tc>
          <w:tcPr>
            <w:tcW w:w="720" w:type="dxa"/>
            <w:shd w:val="clear" w:color="auto" w:fill="auto"/>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MCA</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16</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3,040</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414</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715"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275"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auto"/>
            <w:noWrap/>
            <w:tcMar>
              <w:left w:w="0" w:type="dxa"/>
              <w:right w:w="0" w:type="dxa"/>
            </w:tcMar>
            <w:vAlign w:val="center"/>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72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3,454</w:t>
            </w:r>
          </w:p>
        </w:tc>
      </w:tr>
      <w:tr w:rsidR="0053741F" w:rsidRPr="00743A41" w:rsidTr="00497457">
        <w:trPr>
          <w:trHeight w:val="510"/>
        </w:trPr>
        <w:tc>
          <w:tcPr>
            <w:tcW w:w="720" w:type="dxa"/>
            <w:shd w:val="clear" w:color="auto" w:fill="F2F2F2" w:themeFill="background1" w:themeFillShade="F2"/>
            <w:noWrap/>
            <w:tcMar>
              <w:left w:w="0" w:type="dxa"/>
              <w:right w:w="0" w:type="dxa"/>
            </w:tcMar>
            <w:vAlign w:val="center"/>
            <w:hideMark/>
          </w:tcPr>
          <w:p w:rsidR="005C2310" w:rsidRPr="00743A41" w:rsidRDefault="005C2310"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San Antonio Campus</w:t>
            </w:r>
          </w:p>
        </w:tc>
        <w:tc>
          <w:tcPr>
            <w:tcW w:w="720" w:type="dxa"/>
            <w:shd w:val="clear" w:color="auto" w:fill="F2F2F2" w:themeFill="background1" w:themeFillShade="F2"/>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OTC</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47</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3,950</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6</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3,303</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1</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356</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4</w:t>
            </w:r>
          </w:p>
        </w:tc>
        <w:tc>
          <w:tcPr>
            <w:tcW w:w="715"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145</w:t>
            </w:r>
          </w:p>
        </w:tc>
        <w:tc>
          <w:tcPr>
            <w:tcW w:w="275"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w:t>
            </w:r>
          </w:p>
        </w:tc>
        <w:tc>
          <w:tcPr>
            <w:tcW w:w="630" w:type="dxa"/>
            <w:shd w:val="clear" w:color="auto" w:fill="F2F2F2" w:themeFill="background1" w:themeFillShade="F2"/>
            <w:noWrap/>
            <w:tcMar>
              <w:left w:w="0" w:type="dxa"/>
              <w:right w:w="0" w:type="dxa"/>
            </w:tcMar>
            <w:vAlign w:val="center"/>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267</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1</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404</w:t>
            </w:r>
          </w:p>
        </w:tc>
        <w:tc>
          <w:tcPr>
            <w:tcW w:w="36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63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0</w:t>
            </w:r>
          </w:p>
        </w:tc>
        <w:tc>
          <w:tcPr>
            <w:tcW w:w="720" w:type="dxa"/>
            <w:shd w:val="clear" w:color="auto" w:fill="F2F2F2" w:themeFill="background1" w:themeFillShade="F2"/>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8,425</w:t>
            </w:r>
          </w:p>
        </w:tc>
      </w:tr>
      <w:tr w:rsidR="005C2310" w:rsidRPr="00743A41" w:rsidTr="00497457">
        <w:trPr>
          <w:trHeight w:val="283"/>
        </w:trPr>
        <w:tc>
          <w:tcPr>
            <w:tcW w:w="1440" w:type="dxa"/>
            <w:gridSpan w:val="2"/>
            <w:shd w:val="clear" w:color="auto" w:fill="auto"/>
            <w:noWrap/>
            <w:tcMar>
              <w:left w:w="0" w:type="dxa"/>
              <w:right w:w="0" w:type="dxa"/>
            </w:tcMar>
            <w:vAlign w:val="center"/>
            <w:hideMark/>
          </w:tcPr>
          <w:p w:rsidR="005C2310" w:rsidRPr="00743A41" w:rsidRDefault="005C2310" w:rsidP="00A37ED6">
            <w:pPr>
              <w:ind w:right="270"/>
              <w:jc w:val="right"/>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Total</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849</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99,181</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56</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39,707</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25</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7,993</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18</w:t>
            </w:r>
          </w:p>
        </w:tc>
        <w:tc>
          <w:tcPr>
            <w:tcW w:w="715"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3,362</w:t>
            </w:r>
          </w:p>
        </w:tc>
        <w:tc>
          <w:tcPr>
            <w:tcW w:w="275"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22</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9,003</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8</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31,592</w:t>
            </w:r>
          </w:p>
        </w:tc>
        <w:tc>
          <w:tcPr>
            <w:tcW w:w="36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0</w:t>
            </w:r>
          </w:p>
        </w:tc>
        <w:tc>
          <w:tcPr>
            <w:tcW w:w="63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0</w:t>
            </w:r>
          </w:p>
        </w:tc>
        <w:tc>
          <w:tcPr>
            <w:tcW w:w="720" w:type="dxa"/>
            <w:shd w:val="clear" w:color="auto" w:fill="auto"/>
            <w:noWrap/>
            <w:tcMar>
              <w:left w:w="0" w:type="dxa"/>
              <w:right w:w="0" w:type="dxa"/>
            </w:tcMar>
            <w:vAlign w:val="center"/>
            <w:hideMark/>
          </w:tcPr>
          <w:p w:rsidR="005C2310" w:rsidRPr="00743A41" w:rsidRDefault="005C2310" w:rsidP="00A37ED6">
            <w:pPr>
              <w:jc w:val="center"/>
              <w:rPr>
                <w:rFonts w:asciiTheme="majorHAnsi" w:eastAsia="Times New Roman" w:hAnsiTheme="majorHAnsi" w:cstheme="majorHAnsi"/>
                <w:b/>
                <w:color w:val="000000"/>
                <w:sz w:val="20"/>
                <w:szCs w:val="20"/>
              </w:rPr>
            </w:pPr>
            <w:r w:rsidRPr="00743A41">
              <w:rPr>
                <w:rFonts w:asciiTheme="majorHAnsi" w:eastAsia="Times New Roman" w:hAnsiTheme="majorHAnsi" w:cstheme="majorHAnsi"/>
                <w:b/>
                <w:color w:val="000000"/>
                <w:sz w:val="20"/>
                <w:szCs w:val="20"/>
              </w:rPr>
              <w:t>190,838</w:t>
            </w:r>
          </w:p>
        </w:tc>
      </w:tr>
      <w:bookmarkEnd w:id="59"/>
    </w:tbl>
    <w:p w:rsidR="005C2310" w:rsidRPr="00743A41" w:rsidRDefault="005C2310" w:rsidP="00A37ED6">
      <w:pPr>
        <w:ind w:left="720"/>
        <w:jc w:val="both"/>
        <w:rPr>
          <w:rFonts w:asciiTheme="majorHAnsi" w:eastAsia="Arial" w:hAnsiTheme="majorHAnsi" w:cstheme="majorHAnsi"/>
          <w:sz w:val="20"/>
          <w:szCs w:val="20"/>
        </w:rPr>
      </w:pPr>
    </w:p>
    <w:p w:rsidR="00CE77C6" w:rsidRPr="00743A41" w:rsidRDefault="00CE77C6" w:rsidP="00A37ED6">
      <w:pPr>
        <w:ind w:left="720"/>
        <w:jc w:val="both"/>
        <w:rPr>
          <w:rFonts w:asciiTheme="majorHAnsi" w:eastAsia="Arial" w:hAnsiTheme="majorHAnsi" w:cstheme="majorHAnsi"/>
          <w:sz w:val="20"/>
          <w:szCs w:val="20"/>
        </w:rPr>
      </w:pPr>
    </w:p>
    <w:p w:rsidR="00947F0C" w:rsidRPr="00743A41" w:rsidRDefault="00947F0C" w:rsidP="00A37ED6">
      <w:pPr>
        <w:ind w:left="720"/>
        <w:jc w:val="both"/>
        <w:rPr>
          <w:rFonts w:asciiTheme="majorHAnsi" w:eastAsia="Arial" w:hAnsiTheme="majorHAnsi" w:cstheme="majorHAnsi"/>
          <w:sz w:val="20"/>
          <w:szCs w:val="20"/>
        </w:rPr>
      </w:pPr>
    </w:p>
    <w:p w:rsidR="00947F0C" w:rsidRPr="00743A41" w:rsidRDefault="00947F0C" w:rsidP="00A37ED6">
      <w:pPr>
        <w:ind w:left="720"/>
        <w:jc w:val="both"/>
        <w:rPr>
          <w:rFonts w:asciiTheme="majorHAnsi" w:eastAsia="Arial" w:hAnsiTheme="majorHAnsi" w:cstheme="majorHAnsi"/>
          <w:sz w:val="20"/>
          <w:szCs w:val="20"/>
        </w:rPr>
      </w:pPr>
    </w:p>
    <w:p w:rsidR="00947F0C" w:rsidRPr="00743A41" w:rsidRDefault="00947F0C" w:rsidP="00A37ED6">
      <w:pPr>
        <w:ind w:left="720"/>
        <w:jc w:val="both"/>
        <w:rPr>
          <w:rFonts w:asciiTheme="majorHAnsi" w:eastAsia="Arial" w:hAnsiTheme="majorHAnsi" w:cstheme="majorHAnsi"/>
          <w:sz w:val="20"/>
          <w:szCs w:val="20"/>
        </w:rPr>
      </w:pPr>
    </w:p>
    <w:p w:rsidR="00947F0C" w:rsidRPr="00743A41" w:rsidRDefault="00947F0C" w:rsidP="00A37ED6">
      <w:pPr>
        <w:ind w:left="720"/>
        <w:jc w:val="both"/>
        <w:rPr>
          <w:rFonts w:asciiTheme="majorHAnsi" w:eastAsia="Arial" w:hAnsiTheme="majorHAnsi" w:cstheme="majorHAnsi"/>
          <w:sz w:val="20"/>
          <w:szCs w:val="20"/>
        </w:rPr>
      </w:pPr>
    </w:p>
    <w:p w:rsidR="00947F0C" w:rsidRPr="00743A41" w:rsidRDefault="00947F0C" w:rsidP="00A37ED6">
      <w:pPr>
        <w:ind w:left="720"/>
        <w:jc w:val="both"/>
        <w:rPr>
          <w:rFonts w:asciiTheme="majorHAnsi" w:eastAsia="Arial" w:hAnsiTheme="majorHAnsi" w:cstheme="majorHAnsi"/>
          <w:sz w:val="20"/>
          <w:szCs w:val="20"/>
        </w:rPr>
      </w:pPr>
    </w:p>
    <w:p w:rsidR="00947F0C" w:rsidRPr="00743A41" w:rsidRDefault="00947F0C" w:rsidP="00A37ED6">
      <w:pPr>
        <w:ind w:left="720"/>
        <w:jc w:val="both"/>
        <w:rPr>
          <w:rFonts w:asciiTheme="majorHAnsi" w:eastAsia="Arial" w:hAnsiTheme="majorHAnsi" w:cstheme="majorHAnsi"/>
          <w:sz w:val="20"/>
          <w:szCs w:val="20"/>
        </w:rPr>
      </w:pPr>
    </w:p>
    <w:p w:rsidR="00947F0C" w:rsidRPr="00743A41" w:rsidRDefault="00947F0C" w:rsidP="00A37ED6">
      <w:pPr>
        <w:ind w:left="720"/>
        <w:jc w:val="both"/>
        <w:rPr>
          <w:rFonts w:asciiTheme="majorHAnsi" w:eastAsia="Arial" w:hAnsiTheme="majorHAnsi" w:cstheme="majorHAnsi"/>
          <w:sz w:val="20"/>
          <w:szCs w:val="20"/>
        </w:rPr>
      </w:pPr>
    </w:p>
    <w:p w:rsidR="00947F0C" w:rsidRPr="00743A41" w:rsidRDefault="00947F0C" w:rsidP="00A37ED6">
      <w:pPr>
        <w:ind w:left="720"/>
        <w:jc w:val="both"/>
        <w:rPr>
          <w:rFonts w:asciiTheme="majorHAnsi" w:eastAsia="Arial" w:hAnsiTheme="majorHAnsi" w:cstheme="majorHAnsi"/>
          <w:sz w:val="20"/>
          <w:szCs w:val="20"/>
        </w:rPr>
      </w:pPr>
    </w:p>
    <w:p w:rsidR="00947F0C" w:rsidRPr="00743A41" w:rsidRDefault="00947F0C" w:rsidP="00A37ED6">
      <w:pPr>
        <w:ind w:left="720"/>
        <w:jc w:val="both"/>
        <w:rPr>
          <w:rFonts w:asciiTheme="majorHAnsi" w:eastAsia="Arial" w:hAnsiTheme="majorHAnsi" w:cstheme="majorHAnsi"/>
          <w:sz w:val="20"/>
          <w:szCs w:val="20"/>
        </w:rPr>
      </w:pPr>
    </w:p>
    <w:p w:rsidR="00947F0C" w:rsidRPr="00743A41" w:rsidRDefault="00947F0C" w:rsidP="00A37ED6">
      <w:pPr>
        <w:ind w:left="720"/>
        <w:jc w:val="both"/>
        <w:rPr>
          <w:rFonts w:asciiTheme="majorHAnsi" w:eastAsia="Arial" w:hAnsiTheme="majorHAnsi" w:cstheme="majorHAnsi"/>
          <w:sz w:val="20"/>
          <w:szCs w:val="20"/>
        </w:rPr>
      </w:pPr>
    </w:p>
    <w:p w:rsidR="00933038" w:rsidRPr="00743A41" w:rsidRDefault="00933038" w:rsidP="00A37ED6">
      <w:pPr>
        <w:keepNext/>
        <w:numPr>
          <w:ilvl w:val="0"/>
          <w:numId w:val="15"/>
        </w:numPr>
        <w:ind w:left="135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Faculty office space</w:t>
      </w:r>
    </w:p>
    <w:p w:rsidR="00933038" w:rsidRPr="00743A41" w:rsidRDefault="00933038" w:rsidP="00A37ED6">
      <w:pPr>
        <w:keepNext/>
        <w:ind w:left="1350"/>
        <w:jc w:val="both"/>
        <w:rPr>
          <w:rFonts w:asciiTheme="majorHAnsi" w:eastAsia="Calibri" w:hAnsiTheme="majorHAnsi" w:cstheme="majorHAnsi"/>
          <w:sz w:val="20"/>
          <w:szCs w:val="20"/>
        </w:rPr>
      </w:pPr>
    </w:p>
    <w:p w:rsidR="00164A8A" w:rsidRPr="00743A41" w:rsidRDefault="006E3D5E" w:rsidP="00A37ED6">
      <w:pPr>
        <w:keepNext/>
        <w:ind w:left="1350"/>
        <w:rPr>
          <w:rFonts w:asciiTheme="majorHAnsi" w:eastAsia="Arial" w:hAnsiTheme="majorHAnsi" w:cstheme="majorHAnsi"/>
          <w:sz w:val="20"/>
          <w:szCs w:val="20"/>
        </w:rPr>
      </w:pPr>
      <w:hyperlink w:anchor="tablec41b" w:history="1">
        <w:r w:rsidR="00164A8A" w:rsidRPr="00743A41">
          <w:rPr>
            <w:rStyle w:val="Hyperlink"/>
            <w:rFonts w:asciiTheme="majorHAnsi" w:eastAsia="Arial" w:hAnsiTheme="majorHAnsi" w:cstheme="majorHAnsi"/>
            <w:sz w:val="20"/>
            <w:szCs w:val="20"/>
          </w:rPr>
          <w:t>Table C</w:t>
        </w:r>
        <w:r w:rsidR="003D7B72" w:rsidRPr="00743A41">
          <w:rPr>
            <w:rStyle w:val="Hyperlink"/>
            <w:rFonts w:asciiTheme="majorHAnsi" w:eastAsia="Arial" w:hAnsiTheme="majorHAnsi" w:cstheme="majorHAnsi"/>
            <w:sz w:val="20"/>
            <w:szCs w:val="20"/>
          </w:rPr>
          <w:t>.</w:t>
        </w:r>
        <w:r w:rsidR="00164A8A" w:rsidRPr="00743A41">
          <w:rPr>
            <w:rStyle w:val="Hyperlink"/>
            <w:rFonts w:asciiTheme="majorHAnsi" w:eastAsia="Arial" w:hAnsiTheme="majorHAnsi" w:cstheme="majorHAnsi"/>
            <w:sz w:val="20"/>
            <w:szCs w:val="20"/>
          </w:rPr>
          <w:t>4.1.b</w:t>
        </w:r>
      </w:hyperlink>
      <w:r w:rsidR="00164A8A" w:rsidRPr="00743A41">
        <w:rPr>
          <w:rFonts w:asciiTheme="majorHAnsi" w:eastAsia="Arial" w:hAnsiTheme="majorHAnsi" w:cstheme="majorHAnsi"/>
          <w:sz w:val="20"/>
          <w:szCs w:val="20"/>
        </w:rPr>
        <w:t xml:space="preserve"> shows faculty, staff, and total office space by building and campus. Each campus has sufficient office space for both faculty and staff.  Faculty at all campuses are provided with an </w:t>
      </w:r>
      <w:r w:rsidR="00CE77C6" w:rsidRPr="00743A41">
        <w:rPr>
          <w:rFonts w:asciiTheme="majorHAnsi" w:eastAsia="Arial" w:hAnsiTheme="majorHAnsi" w:cstheme="majorHAnsi"/>
          <w:sz w:val="20"/>
          <w:szCs w:val="20"/>
        </w:rPr>
        <w:t>o</w:t>
      </w:r>
      <w:r w:rsidR="00164A8A" w:rsidRPr="00743A41">
        <w:rPr>
          <w:rFonts w:asciiTheme="majorHAnsi" w:eastAsia="Arial" w:hAnsiTheme="majorHAnsi" w:cstheme="majorHAnsi"/>
          <w:sz w:val="20"/>
          <w:szCs w:val="20"/>
        </w:rPr>
        <w:t>ffice. Staff occupy both office and cubicle space. All faculty and staff are supplied with computers and the necessary supplies and storage for their workspace.</w:t>
      </w:r>
    </w:p>
    <w:p w:rsidR="00164A8A" w:rsidRPr="00743A41" w:rsidRDefault="00164A8A" w:rsidP="00A37ED6">
      <w:pPr>
        <w:keepNext/>
        <w:ind w:left="1350"/>
        <w:jc w:val="both"/>
        <w:rPr>
          <w:rFonts w:asciiTheme="majorHAnsi" w:eastAsia="Arial" w:hAnsiTheme="majorHAnsi" w:cstheme="majorHAnsi"/>
          <w:sz w:val="20"/>
          <w:szCs w:val="20"/>
        </w:rPr>
      </w:pPr>
    </w:p>
    <w:p w:rsidR="00164A8A" w:rsidRPr="00743A41" w:rsidRDefault="00164A8A" w:rsidP="00A37ED6">
      <w:pPr>
        <w:keepNext/>
        <w:ind w:left="1350"/>
        <w:jc w:val="both"/>
        <w:rPr>
          <w:rFonts w:asciiTheme="majorHAnsi" w:eastAsia="Arial" w:hAnsiTheme="majorHAnsi" w:cstheme="majorHAnsi"/>
          <w:sz w:val="20"/>
          <w:szCs w:val="20"/>
        </w:rPr>
      </w:pPr>
      <w:bookmarkStart w:id="60" w:name="tablec41b"/>
      <w:r w:rsidRPr="00743A41">
        <w:rPr>
          <w:rFonts w:asciiTheme="majorHAnsi" w:eastAsia="Arial" w:hAnsiTheme="majorHAnsi" w:cstheme="majorHAnsi"/>
          <w:sz w:val="20"/>
          <w:szCs w:val="20"/>
        </w:rPr>
        <w:t>Table C4.1.b</w:t>
      </w:r>
      <w:bookmarkEnd w:id="60"/>
      <w:r w:rsidRPr="00743A41">
        <w:rPr>
          <w:rFonts w:asciiTheme="majorHAnsi" w:eastAsia="Arial" w:hAnsiTheme="majorHAnsi" w:cstheme="majorHAnsi"/>
          <w:sz w:val="20"/>
          <w:szCs w:val="20"/>
        </w:rPr>
        <w:t>. Faculty, Staff, and Total Office Space at the UTHealth School of Public Health</w:t>
      </w:r>
    </w:p>
    <w:tbl>
      <w:tblPr>
        <w:tblW w:w="7932" w:type="dxa"/>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00"/>
        <w:gridCol w:w="954"/>
        <w:gridCol w:w="936"/>
        <w:gridCol w:w="919"/>
        <w:gridCol w:w="971"/>
        <w:gridCol w:w="884"/>
        <w:gridCol w:w="928"/>
      </w:tblGrid>
      <w:tr w:rsidR="000C77B4" w:rsidRPr="00743A41" w:rsidTr="007D0291">
        <w:trPr>
          <w:trHeight w:val="350"/>
          <w:tblHeader/>
        </w:trPr>
        <w:tc>
          <w:tcPr>
            <w:tcW w:w="1440" w:type="dxa"/>
            <w:shd w:val="clear" w:color="auto" w:fill="BFBFBF" w:themeFill="background1" w:themeFillShade="BF"/>
            <w:noWrap/>
            <w:tcMar>
              <w:left w:w="0" w:type="dxa"/>
              <w:right w:w="0" w:type="dxa"/>
            </w:tcMar>
            <w:vAlign w:val="center"/>
            <w:hideMark/>
          </w:tcPr>
          <w:p w:rsidR="000C77B4" w:rsidRPr="00743A41" w:rsidRDefault="000C77B4" w:rsidP="00A37ED6">
            <w:pPr>
              <w:jc w:val="center"/>
              <w:rPr>
                <w:rFonts w:asciiTheme="majorHAnsi" w:eastAsia="Times New Roman" w:hAnsiTheme="majorHAnsi" w:cstheme="majorHAnsi"/>
                <w:b/>
                <w:sz w:val="20"/>
                <w:szCs w:val="20"/>
              </w:rPr>
            </w:pPr>
          </w:p>
        </w:tc>
        <w:tc>
          <w:tcPr>
            <w:tcW w:w="900" w:type="dxa"/>
            <w:shd w:val="clear" w:color="auto" w:fill="BFBFBF" w:themeFill="background1" w:themeFillShade="BF"/>
            <w:noWrap/>
            <w:tcMar>
              <w:left w:w="0" w:type="dxa"/>
              <w:right w:w="0" w:type="dxa"/>
            </w:tcMar>
            <w:vAlign w:val="center"/>
            <w:hideMark/>
          </w:tcPr>
          <w:p w:rsidR="000C77B4" w:rsidRPr="00743A41" w:rsidRDefault="000C77B4" w:rsidP="00A37ED6">
            <w:pPr>
              <w:jc w:val="center"/>
              <w:rPr>
                <w:rFonts w:asciiTheme="majorHAnsi" w:eastAsia="Times New Roman" w:hAnsiTheme="majorHAnsi" w:cstheme="majorHAnsi"/>
                <w:b/>
                <w:sz w:val="20"/>
                <w:szCs w:val="20"/>
              </w:rPr>
            </w:pPr>
          </w:p>
        </w:tc>
        <w:tc>
          <w:tcPr>
            <w:tcW w:w="1890" w:type="dxa"/>
            <w:gridSpan w:val="2"/>
            <w:shd w:val="clear" w:color="auto" w:fill="BFBFBF" w:themeFill="background1" w:themeFillShade="BF"/>
            <w:noWrap/>
            <w:tcMar>
              <w:left w:w="0" w:type="dxa"/>
              <w:right w:w="0" w:type="dxa"/>
            </w:tcMar>
            <w:vAlign w:val="center"/>
            <w:hideMark/>
          </w:tcPr>
          <w:p w:rsidR="000C77B4" w:rsidRPr="00743A41" w:rsidRDefault="000C77B4"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Faculty  Office Space</w:t>
            </w:r>
          </w:p>
        </w:tc>
        <w:tc>
          <w:tcPr>
            <w:tcW w:w="1890" w:type="dxa"/>
            <w:gridSpan w:val="2"/>
            <w:shd w:val="clear" w:color="auto" w:fill="BFBFBF" w:themeFill="background1" w:themeFillShade="BF"/>
            <w:noWrap/>
            <w:tcMar>
              <w:left w:w="0" w:type="dxa"/>
              <w:right w:w="0" w:type="dxa"/>
            </w:tcMar>
            <w:vAlign w:val="center"/>
            <w:hideMark/>
          </w:tcPr>
          <w:p w:rsidR="000C77B4" w:rsidRPr="00743A41" w:rsidRDefault="000C77B4"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Staff Office Space</w:t>
            </w:r>
          </w:p>
        </w:tc>
        <w:tc>
          <w:tcPr>
            <w:tcW w:w="1812" w:type="dxa"/>
            <w:gridSpan w:val="2"/>
            <w:shd w:val="clear" w:color="auto" w:fill="BFBFBF" w:themeFill="background1" w:themeFillShade="BF"/>
            <w:noWrap/>
            <w:tcMar>
              <w:left w:w="0" w:type="dxa"/>
              <w:right w:w="0" w:type="dxa"/>
            </w:tcMar>
            <w:vAlign w:val="center"/>
            <w:hideMark/>
          </w:tcPr>
          <w:p w:rsidR="000C77B4" w:rsidRPr="00743A41" w:rsidRDefault="000C77B4"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Total Office Space</w:t>
            </w:r>
          </w:p>
        </w:tc>
      </w:tr>
      <w:tr w:rsidR="000C77B4" w:rsidRPr="00743A41" w:rsidTr="007D0291">
        <w:trPr>
          <w:trHeight w:val="350"/>
          <w:tblHeader/>
        </w:trPr>
        <w:tc>
          <w:tcPr>
            <w:tcW w:w="1440" w:type="dxa"/>
            <w:shd w:val="clear" w:color="auto" w:fill="D9D9D9" w:themeFill="background1" w:themeFillShade="D9"/>
            <w:noWrap/>
            <w:tcMar>
              <w:left w:w="0" w:type="dxa"/>
              <w:right w:w="0" w:type="dxa"/>
            </w:tcMar>
            <w:vAlign w:val="center"/>
            <w:hideMark/>
          </w:tcPr>
          <w:p w:rsidR="000C77B4" w:rsidRPr="00743A41" w:rsidRDefault="000C77B4" w:rsidP="00A37ED6">
            <w:pPr>
              <w:rPr>
                <w:rFonts w:asciiTheme="majorHAnsi" w:eastAsia="Times New Roman" w:hAnsiTheme="majorHAnsi" w:cstheme="majorHAnsi"/>
                <w:b/>
                <w:sz w:val="20"/>
                <w:szCs w:val="20"/>
              </w:rPr>
            </w:pPr>
          </w:p>
        </w:tc>
        <w:tc>
          <w:tcPr>
            <w:tcW w:w="900" w:type="dxa"/>
            <w:shd w:val="clear" w:color="auto" w:fill="D9D9D9" w:themeFill="background1" w:themeFillShade="D9"/>
            <w:noWrap/>
            <w:tcMar>
              <w:left w:w="0" w:type="dxa"/>
              <w:right w:w="0" w:type="dxa"/>
            </w:tcMar>
            <w:vAlign w:val="center"/>
            <w:hideMark/>
          </w:tcPr>
          <w:p w:rsidR="000C77B4" w:rsidRPr="00743A41" w:rsidRDefault="000C77B4"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Building</w:t>
            </w:r>
          </w:p>
        </w:tc>
        <w:tc>
          <w:tcPr>
            <w:tcW w:w="954" w:type="dxa"/>
            <w:shd w:val="clear" w:color="auto" w:fill="D9D9D9" w:themeFill="background1" w:themeFillShade="D9"/>
            <w:noWrap/>
            <w:tcMar>
              <w:left w:w="0" w:type="dxa"/>
              <w:right w:w="0" w:type="dxa"/>
            </w:tcMar>
            <w:vAlign w:val="center"/>
            <w:hideMark/>
          </w:tcPr>
          <w:p w:rsidR="000C77B4" w:rsidRPr="00743A41" w:rsidRDefault="000C77B4"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w:t>
            </w:r>
          </w:p>
        </w:tc>
        <w:tc>
          <w:tcPr>
            <w:tcW w:w="936" w:type="dxa"/>
            <w:shd w:val="clear" w:color="auto" w:fill="D9D9D9" w:themeFill="background1" w:themeFillShade="D9"/>
            <w:noWrap/>
            <w:tcMar>
              <w:left w:w="0" w:type="dxa"/>
              <w:right w:w="0" w:type="dxa"/>
            </w:tcMar>
            <w:vAlign w:val="center"/>
            <w:hideMark/>
          </w:tcPr>
          <w:p w:rsidR="000C77B4" w:rsidRPr="00743A41" w:rsidRDefault="000C77B4"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Sq ft</w:t>
            </w:r>
          </w:p>
        </w:tc>
        <w:tc>
          <w:tcPr>
            <w:tcW w:w="919" w:type="dxa"/>
            <w:shd w:val="clear" w:color="auto" w:fill="D9D9D9" w:themeFill="background1" w:themeFillShade="D9"/>
            <w:noWrap/>
            <w:tcMar>
              <w:left w:w="0" w:type="dxa"/>
              <w:right w:w="0" w:type="dxa"/>
            </w:tcMar>
            <w:vAlign w:val="center"/>
            <w:hideMark/>
          </w:tcPr>
          <w:p w:rsidR="000C77B4" w:rsidRPr="00743A41" w:rsidRDefault="000C77B4"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w:t>
            </w:r>
          </w:p>
        </w:tc>
        <w:tc>
          <w:tcPr>
            <w:tcW w:w="971" w:type="dxa"/>
            <w:shd w:val="clear" w:color="auto" w:fill="D9D9D9" w:themeFill="background1" w:themeFillShade="D9"/>
            <w:noWrap/>
            <w:tcMar>
              <w:left w:w="0" w:type="dxa"/>
              <w:right w:w="0" w:type="dxa"/>
            </w:tcMar>
            <w:vAlign w:val="center"/>
            <w:hideMark/>
          </w:tcPr>
          <w:p w:rsidR="000C77B4" w:rsidRPr="00743A41" w:rsidRDefault="000C77B4"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Sq ft</w:t>
            </w:r>
          </w:p>
        </w:tc>
        <w:tc>
          <w:tcPr>
            <w:tcW w:w="884" w:type="dxa"/>
            <w:shd w:val="clear" w:color="auto" w:fill="D9D9D9" w:themeFill="background1" w:themeFillShade="D9"/>
            <w:noWrap/>
            <w:tcMar>
              <w:left w:w="0" w:type="dxa"/>
              <w:right w:w="0" w:type="dxa"/>
            </w:tcMar>
            <w:vAlign w:val="center"/>
            <w:hideMark/>
          </w:tcPr>
          <w:p w:rsidR="000C77B4" w:rsidRPr="00743A41" w:rsidRDefault="000C77B4"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w:t>
            </w:r>
          </w:p>
        </w:tc>
        <w:tc>
          <w:tcPr>
            <w:tcW w:w="928" w:type="dxa"/>
            <w:shd w:val="clear" w:color="auto" w:fill="D9D9D9" w:themeFill="background1" w:themeFillShade="D9"/>
            <w:noWrap/>
            <w:tcMar>
              <w:left w:w="0" w:type="dxa"/>
              <w:right w:w="0" w:type="dxa"/>
            </w:tcMar>
            <w:vAlign w:val="center"/>
            <w:hideMark/>
          </w:tcPr>
          <w:p w:rsidR="000C77B4" w:rsidRPr="00743A41" w:rsidRDefault="000C77B4"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Sq ft</w:t>
            </w:r>
          </w:p>
        </w:tc>
      </w:tr>
      <w:tr w:rsidR="00E71B06" w:rsidRPr="00743A41" w:rsidTr="007D0291">
        <w:trPr>
          <w:trHeight w:val="350"/>
        </w:trPr>
        <w:tc>
          <w:tcPr>
            <w:tcW w:w="1440" w:type="dxa"/>
            <w:vMerge w:val="restart"/>
            <w:shd w:val="clear" w:color="auto" w:fill="auto"/>
            <w:noWrap/>
            <w:tcMar>
              <w:left w:w="0" w:type="dxa"/>
              <w:right w:w="0" w:type="dxa"/>
            </w:tcMar>
            <w:vAlign w:val="center"/>
            <w:hideMark/>
          </w:tcPr>
          <w:p w:rsidR="00E71B06" w:rsidRPr="00743A41" w:rsidRDefault="00E71B06" w:rsidP="00A37ED6">
            <w:pPr>
              <w:ind w:left="90"/>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Houston Campus</w:t>
            </w:r>
          </w:p>
        </w:tc>
        <w:tc>
          <w:tcPr>
            <w:tcW w:w="900"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RAS</w:t>
            </w:r>
          </w:p>
        </w:tc>
        <w:tc>
          <w:tcPr>
            <w:tcW w:w="954"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113</w:t>
            </w:r>
          </w:p>
        </w:tc>
        <w:tc>
          <w:tcPr>
            <w:tcW w:w="936"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16,685</w:t>
            </w:r>
          </w:p>
        </w:tc>
        <w:tc>
          <w:tcPr>
            <w:tcW w:w="919"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284</w:t>
            </w:r>
          </w:p>
        </w:tc>
        <w:tc>
          <w:tcPr>
            <w:tcW w:w="971"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37,320</w:t>
            </w:r>
          </w:p>
        </w:tc>
        <w:tc>
          <w:tcPr>
            <w:tcW w:w="884"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397</w:t>
            </w:r>
          </w:p>
        </w:tc>
        <w:tc>
          <w:tcPr>
            <w:tcW w:w="928"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54,005</w:t>
            </w:r>
          </w:p>
        </w:tc>
      </w:tr>
      <w:tr w:rsidR="00E71B06" w:rsidRPr="00743A41" w:rsidTr="007D0291">
        <w:trPr>
          <w:trHeight w:val="350"/>
        </w:trPr>
        <w:tc>
          <w:tcPr>
            <w:tcW w:w="1440" w:type="dxa"/>
            <w:vMerge/>
            <w:shd w:val="clear" w:color="auto" w:fill="auto"/>
            <w:noWrap/>
            <w:tcMar>
              <w:left w:w="0" w:type="dxa"/>
              <w:right w:w="0" w:type="dxa"/>
            </w:tcMar>
            <w:vAlign w:val="center"/>
            <w:hideMark/>
          </w:tcPr>
          <w:p w:rsidR="00E71B06" w:rsidRPr="00743A41" w:rsidRDefault="00E71B06" w:rsidP="00A37ED6">
            <w:pPr>
              <w:ind w:left="90"/>
              <w:rPr>
                <w:rFonts w:asciiTheme="majorHAnsi" w:eastAsia="Times New Roman" w:hAnsiTheme="majorHAnsi" w:cstheme="majorHAnsi"/>
                <w:bCs/>
                <w:color w:val="000000"/>
                <w:sz w:val="20"/>
                <w:szCs w:val="20"/>
              </w:rPr>
            </w:pPr>
          </w:p>
        </w:tc>
        <w:tc>
          <w:tcPr>
            <w:tcW w:w="900"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UCT</w:t>
            </w:r>
          </w:p>
        </w:tc>
        <w:tc>
          <w:tcPr>
            <w:tcW w:w="954"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23</w:t>
            </w:r>
          </w:p>
        </w:tc>
        <w:tc>
          <w:tcPr>
            <w:tcW w:w="936"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3,381</w:t>
            </w:r>
          </w:p>
        </w:tc>
        <w:tc>
          <w:tcPr>
            <w:tcW w:w="919"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122</w:t>
            </w:r>
          </w:p>
        </w:tc>
        <w:tc>
          <w:tcPr>
            <w:tcW w:w="971"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10,134</w:t>
            </w:r>
          </w:p>
        </w:tc>
        <w:tc>
          <w:tcPr>
            <w:tcW w:w="884"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145</w:t>
            </w:r>
          </w:p>
        </w:tc>
        <w:tc>
          <w:tcPr>
            <w:tcW w:w="928"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13,515</w:t>
            </w:r>
          </w:p>
        </w:tc>
      </w:tr>
      <w:tr w:rsidR="00E71B06" w:rsidRPr="00743A41" w:rsidTr="007D0291">
        <w:trPr>
          <w:trHeight w:val="350"/>
        </w:trPr>
        <w:tc>
          <w:tcPr>
            <w:tcW w:w="1440" w:type="dxa"/>
            <w:vMerge w:val="restart"/>
            <w:shd w:val="clear" w:color="auto" w:fill="F2F2F2" w:themeFill="background1" w:themeFillShade="F2"/>
            <w:noWrap/>
            <w:tcMar>
              <w:left w:w="0" w:type="dxa"/>
              <w:right w:w="0" w:type="dxa"/>
            </w:tcMar>
            <w:vAlign w:val="center"/>
            <w:hideMark/>
          </w:tcPr>
          <w:p w:rsidR="00E71B06" w:rsidRPr="00743A41" w:rsidRDefault="00E71B06" w:rsidP="00A37ED6">
            <w:pPr>
              <w:ind w:left="90"/>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Austin Campus</w:t>
            </w:r>
          </w:p>
        </w:tc>
        <w:tc>
          <w:tcPr>
            <w:tcW w:w="900"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UTA</w:t>
            </w:r>
          </w:p>
        </w:tc>
        <w:tc>
          <w:tcPr>
            <w:tcW w:w="954"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17</w:t>
            </w:r>
          </w:p>
        </w:tc>
        <w:tc>
          <w:tcPr>
            <w:tcW w:w="936"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2,609</w:t>
            </w:r>
          </w:p>
        </w:tc>
        <w:tc>
          <w:tcPr>
            <w:tcW w:w="919"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27</w:t>
            </w:r>
          </w:p>
        </w:tc>
        <w:tc>
          <w:tcPr>
            <w:tcW w:w="971"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2,190</w:t>
            </w:r>
          </w:p>
        </w:tc>
        <w:tc>
          <w:tcPr>
            <w:tcW w:w="884"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44</w:t>
            </w:r>
          </w:p>
        </w:tc>
        <w:tc>
          <w:tcPr>
            <w:tcW w:w="928"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4,799</w:t>
            </w:r>
          </w:p>
        </w:tc>
      </w:tr>
      <w:tr w:rsidR="00E71B06" w:rsidRPr="00743A41" w:rsidTr="007D0291">
        <w:trPr>
          <w:trHeight w:val="350"/>
        </w:trPr>
        <w:tc>
          <w:tcPr>
            <w:tcW w:w="1440" w:type="dxa"/>
            <w:vMerge/>
            <w:shd w:val="clear" w:color="auto" w:fill="F2F2F2" w:themeFill="background1" w:themeFillShade="F2"/>
            <w:noWrap/>
            <w:tcMar>
              <w:left w:w="0" w:type="dxa"/>
              <w:right w:w="0" w:type="dxa"/>
            </w:tcMar>
            <w:vAlign w:val="center"/>
            <w:hideMark/>
          </w:tcPr>
          <w:p w:rsidR="00E71B06" w:rsidRPr="00743A41" w:rsidRDefault="00E71B06" w:rsidP="00A37ED6">
            <w:pPr>
              <w:ind w:left="90"/>
              <w:rPr>
                <w:rFonts w:asciiTheme="majorHAnsi" w:eastAsia="Times New Roman" w:hAnsiTheme="majorHAnsi" w:cstheme="majorHAnsi"/>
                <w:bCs/>
                <w:color w:val="000000"/>
                <w:sz w:val="20"/>
                <w:szCs w:val="20"/>
              </w:rPr>
            </w:pPr>
          </w:p>
        </w:tc>
        <w:tc>
          <w:tcPr>
            <w:tcW w:w="900"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WFB</w:t>
            </w:r>
          </w:p>
        </w:tc>
        <w:tc>
          <w:tcPr>
            <w:tcW w:w="954"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0</w:t>
            </w:r>
          </w:p>
        </w:tc>
        <w:tc>
          <w:tcPr>
            <w:tcW w:w="936"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0</w:t>
            </w:r>
          </w:p>
        </w:tc>
        <w:tc>
          <w:tcPr>
            <w:tcW w:w="919"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25</w:t>
            </w:r>
          </w:p>
        </w:tc>
        <w:tc>
          <w:tcPr>
            <w:tcW w:w="971"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2,430</w:t>
            </w:r>
          </w:p>
        </w:tc>
        <w:tc>
          <w:tcPr>
            <w:tcW w:w="884"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25</w:t>
            </w:r>
          </w:p>
        </w:tc>
        <w:tc>
          <w:tcPr>
            <w:tcW w:w="928"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2,430</w:t>
            </w:r>
          </w:p>
        </w:tc>
      </w:tr>
      <w:tr w:rsidR="00E71B06" w:rsidRPr="00743A41" w:rsidTr="007D0291">
        <w:trPr>
          <w:trHeight w:val="350"/>
        </w:trPr>
        <w:tc>
          <w:tcPr>
            <w:tcW w:w="1440" w:type="dxa"/>
            <w:vMerge/>
            <w:shd w:val="clear" w:color="auto" w:fill="F2F2F2" w:themeFill="background1" w:themeFillShade="F2"/>
            <w:noWrap/>
            <w:tcMar>
              <w:left w:w="0" w:type="dxa"/>
              <w:right w:w="0" w:type="dxa"/>
            </w:tcMar>
            <w:vAlign w:val="center"/>
            <w:hideMark/>
          </w:tcPr>
          <w:p w:rsidR="00E71B06" w:rsidRPr="00743A41" w:rsidRDefault="00E71B06" w:rsidP="00A37ED6">
            <w:pPr>
              <w:ind w:left="90"/>
              <w:rPr>
                <w:rFonts w:asciiTheme="majorHAnsi" w:eastAsia="Times New Roman" w:hAnsiTheme="majorHAnsi" w:cstheme="majorHAnsi"/>
                <w:bCs/>
                <w:color w:val="000000"/>
                <w:sz w:val="20"/>
                <w:szCs w:val="20"/>
              </w:rPr>
            </w:pPr>
          </w:p>
        </w:tc>
        <w:tc>
          <w:tcPr>
            <w:tcW w:w="900"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GSP</w:t>
            </w:r>
          </w:p>
        </w:tc>
        <w:tc>
          <w:tcPr>
            <w:tcW w:w="954"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0</w:t>
            </w:r>
          </w:p>
        </w:tc>
        <w:tc>
          <w:tcPr>
            <w:tcW w:w="936"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0</w:t>
            </w:r>
          </w:p>
        </w:tc>
        <w:tc>
          <w:tcPr>
            <w:tcW w:w="919"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27</w:t>
            </w:r>
          </w:p>
        </w:tc>
        <w:tc>
          <w:tcPr>
            <w:tcW w:w="971"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2,006</w:t>
            </w:r>
          </w:p>
        </w:tc>
        <w:tc>
          <w:tcPr>
            <w:tcW w:w="884"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27</w:t>
            </w:r>
          </w:p>
        </w:tc>
        <w:tc>
          <w:tcPr>
            <w:tcW w:w="928"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2,006</w:t>
            </w:r>
          </w:p>
        </w:tc>
      </w:tr>
      <w:tr w:rsidR="00E71B06" w:rsidRPr="00743A41" w:rsidTr="007D0291">
        <w:trPr>
          <w:trHeight w:val="350"/>
        </w:trPr>
        <w:tc>
          <w:tcPr>
            <w:tcW w:w="1440" w:type="dxa"/>
            <w:vMerge w:val="restart"/>
            <w:shd w:val="clear" w:color="auto" w:fill="auto"/>
            <w:noWrap/>
            <w:tcMar>
              <w:left w:w="0" w:type="dxa"/>
              <w:right w:w="0" w:type="dxa"/>
            </w:tcMar>
            <w:vAlign w:val="center"/>
            <w:hideMark/>
          </w:tcPr>
          <w:p w:rsidR="00E71B06" w:rsidRPr="00743A41" w:rsidRDefault="00E71B06" w:rsidP="00A37ED6">
            <w:pPr>
              <w:ind w:left="90"/>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Brownsville Campus</w:t>
            </w:r>
          </w:p>
        </w:tc>
        <w:tc>
          <w:tcPr>
            <w:tcW w:w="900"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RAC</w:t>
            </w:r>
          </w:p>
        </w:tc>
        <w:tc>
          <w:tcPr>
            <w:tcW w:w="954"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9</w:t>
            </w:r>
          </w:p>
        </w:tc>
        <w:tc>
          <w:tcPr>
            <w:tcW w:w="936"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1,321</w:t>
            </w:r>
          </w:p>
        </w:tc>
        <w:tc>
          <w:tcPr>
            <w:tcW w:w="919"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76</w:t>
            </w:r>
          </w:p>
        </w:tc>
        <w:tc>
          <w:tcPr>
            <w:tcW w:w="971"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7,530</w:t>
            </w:r>
          </w:p>
        </w:tc>
        <w:tc>
          <w:tcPr>
            <w:tcW w:w="884"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85</w:t>
            </w:r>
          </w:p>
        </w:tc>
        <w:tc>
          <w:tcPr>
            <w:tcW w:w="928"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8,851</w:t>
            </w:r>
          </w:p>
        </w:tc>
      </w:tr>
      <w:tr w:rsidR="00E71B06" w:rsidRPr="00743A41" w:rsidTr="007D0291">
        <w:trPr>
          <w:trHeight w:val="350"/>
        </w:trPr>
        <w:tc>
          <w:tcPr>
            <w:tcW w:w="1440" w:type="dxa"/>
            <w:vMerge/>
            <w:shd w:val="clear" w:color="auto" w:fill="auto"/>
            <w:noWrap/>
            <w:tcMar>
              <w:left w:w="0" w:type="dxa"/>
              <w:right w:w="0" w:type="dxa"/>
            </w:tcMar>
            <w:vAlign w:val="center"/>
            <w:hideMark/>
          </w:tcPr>
          <w:p w:rsidR="00E71B06" w:rsidRPr="00743A41" w:rsidRDefault="00E71B06" w:rsidP="00A37ED6">
            <w:pPr>
              <w:ind w:left="90"/>
              <w:rPr>
                <w:rFonts w:asciiTheme="majorHAnsi" w:eastAsia="Times New Roman" w:hAnsiTheme="majorHAnsi" w:cstheme="majorHAnsi"/>
                <w:bCs/>
                <w:color w:val="000000"/>
                <w:sz w:val="20"/>
                <w:szCs w:val="20"/>
              </w:rPr>
            </w:pPr>
          </w:p>
        </w:tc>
        <w:tc>
          <w:tcPr>
            <w:tcW w:w="900"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APW</w:t>
            </w:r>
          </w:p>
        </w:tc>
        <w:tc>
          <w:tcPr>
            <w:tcW w:w="954"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0</w:t>
            </w:r>
          </w:p>
        </w:tc>
        <w:tc>
          <w:tcPr>
            <w:tcW w:w="936"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0</w:t>
            </w:r>
          </w:p>
        </w:tc>
        <w:tc>
          <w:tcPr>
            <w:tcW w:w="919"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28</w:t>
            </w:r>
          </w:p>
        </w:tc>
        <w:tc>
          <w:tcPr>
            <w:tcW w:w="971"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1,375</w:t>
            </w:r>
          </w:p>
        </w:tc>
        <w:tc>
          <w:tcPr>
            <w:tcW w:w="884"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28</w:t>
            </w:r>
          </w:p>
        </w:tc>
        <w:tc>
          <w:tcPr>
            <w:tcW w:w="928"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1,375</w:t>
            </w:r>
          </w:p>
        </w:tc>
      </w:tr>
      <w:tr w:rsidR="00E71B06" w:rsidRPr="00743A41" w:rsidTr="007D0291">
        <w:trPr>
          <w:trHeight w:val="350"/>
        </w:trPr>
        <w:tc>
          <w:tcPr>
            <w:tcW w:w="1440" w:type="dxa"/>
            <w:vMerge w:val="restart"/>
            <w:shd w:val="clear" w:color="auto" w:fill="F2F2F2" w:themeFill="background1" w:themeFillShade="F2"/>
            <w:noWrap/>
            <w:tcMar>
              <w:left w:w="0" w:type="dxa"/>
              <w:right w:w="0" w:type="dxa"/>
            </w:tcMar>
            <w:vAlign w:val="center"/>
            <w:hideMark/>
          </w:tcPr>
          <w:p w:rsidR="00E71B06" w:rsidRPr="00743A41" w:rsidRDefault="00E71B06" w:rsidP="00A37ED6">
            <w:pPr>
              <w:ind w:left="90"/>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Dallas Campus</w:t>
            </w:r>
          </w:p>
        </w:tc>
        <w:tc>
          <w:tcPr>
            <w:tcW w:w="900"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00V</w:t>
            </w:r>
          </w:p>
        </w:tc>
        <w:tc>
          <w:tcPr>
            <w:tcW w:w="954"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11</w:t>
            </w:r>
          </w:p>
        </w:tc>
        <w:tc>
          <w:tcPr>
            <w:tcW w:w="936"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1,609</w:t>
            </w:r>
          </w:p>
        </w:tc>
        <w:tc>
          <w:tcPr>
            <w:tcW w:w="919"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11</w:t>
            </w:r>
          </w:p>
        </w:tc>
        <w:tc>
          <w:tcPr>
            <w:tcW w:w="971"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2,594</w:t>
            </w:r>
          </w:p>
        </w:tc>
        <w:tc>
          <w:tcPr>
            <w:tcW w:w="884"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22</w:t>
            </w:r>
          </w:p>
        </w:tc>
        <w:tc>
          <w:tcPr>
            <w:tcW w:w="928"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4,203</w:t>
            </w:r>
          </w:p>
        </w:tc>
      </w:tr>
      <w:tr w:rsidR="00E71B06" w:rsidRPr="00743A41" w:rsidTr="007D0291">
        <w:trPr>
          <w:trHeight w:val="350"/>
        </w:trPr>
        <w:tc>
          <w:tcPr>
            <w:tcW w:w="1440" w:type="dxa"/>
            <w:vMerge/>
            <w:shd w:val="clear" w:color="auto" w:fill="F2F2F2" w:themeFill="background1" w:themeFillShade="F2"/>
            <w:noWrap/>
            <w:tcMar>
              <w:left w:w="0" w:type="dxa"/>
              <w:right w:w="0" w:type="dxa"/>
            </w:tcMar>
            <w:vAlign w:val="center"/>
            <w:hideMark/>
          </w:tcPr>
          <w:p w:rsidR="00E71B06" w:rsidRPr="00743A41" w:rsidRDefault="00E71B06" w:rsidP="00A37ED6">
            <w:pPr>
              <w:ind w:left="90"/>
              <w:rPr>
                <w:rFonts w:asciiTheme="majorHAnsi" w:eastAsia="Times New Roman" w:hAnsiTheme="majorHAnsi" w:cstheme="majorHAnsi"/>
                <w:bCs/>
                <w:color w:val="000000"/>
                <w:sz w:val="20"/>
                <w:szCs w:val="20"/>
              </w:rPr>
            </w:pPr>
          </w:p>
        </w:tc>
        <w:tc>
          <w:tcPr>
            <w:tcW w:w="900"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0BL</w:t>
            </w:r>
          </w:p>
        </w:tc>
        <w:tc>
          <w:tcPr>
            <w:tcW w:w="954"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2</w:t>
            </w:r>
          </w:p>
        </w:tc>
        <w:tc>
          <w:tcPr>
            <w:tcW w:w="936"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228</w:t>
            </w:r>
          </w:p>
        </w:tc>
        <w:tc>
          <w:tcPr>
            <w:tcW w:w="919"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11</w:t>
            </w:r>
          </w:p>
        </w:tc>
        <w:tc>
          <w:tcPr>
            <w:tcW w:w="971"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779</w:t>
            </w:r>
          </w:p>
        </w:tc>
        <w:tc>
          <w:tcPr>
            <w:tcW w:w="884"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13</w:t>
            </w:r>
          </w:p>
        </w:tc>
        <w:tc>
          <w:tcPr>
            <w:tcW w:w="928"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1,007</w:t>
            </w:r>
          </w:p>
        </w:tc>
      </w:tr>
      <w:tr w:rsidR="00E71B06" w:rsidRPr="00743A41" w:rsidTr="007D0291">
        <w:trPr>
          <w:trHeight w:val="350"/>
        </w:trPr>
        <w:tc>
          <w:tcPr>
            <w:tcW w:w="1440" w:type="dxa"/>
            <w:shd w:val="clear" w:color="auto" w:fill="auto"/>
            <w:noWrap/>
            <w:tcMar>
              <w:left w:w="0" w:type="dxa"/>
              <w:right w:w="0" w:type="dxa"/>
            </w:tcMar>
            <w:vAlign w:val="center"/>
            <w:hideMark/>
          </w:tcPr>
          <w:p w:rsidR="00E71B06" w:rsidRPr="00743A41" w:rsidRDefault="00E71B06" w:rsidP="00A37ED6">
            <w:pPr>
              <w:ind w:left="90"/>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El Paso Campus</w:t>
            </w:r>
          </w:p>
        </w:tc>
        <w:tc>
          <w:tcPr>
            <w:tcW w:w="900"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MCA</w:t>
            </w:r>
          </w:p>
        </w:tc>
        <w:tc>
          <w:tcPr>
            <w:tcW w:w="954"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8</w:t>
            </w:r>
          </w:p>
        </w:tc>
        <w:tc>
          <w:tcPr>
            <w:tcW w:w="936"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2,000</w:t>
            </w:r>
          </w:p>
        </w:tc>
        <w:tc>
          <w:tcPr>
            <w:tcW w:w="919"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8</w:t>
            </w:r>
          </w:p>
        </w:tc>
        <w:tc>
          <w:tcPr>
            <w:tcW w:w="971"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1,040</w:t>
            </w:r>
          </w:p>
        </w:tc>
        <w:tc>
          <w:tcPr>
            <w:tcW w:w="884"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16</w:t>
            </w:r>
          </w:p>
        </w:tc>
        <w:tc>
          <w:tcPr>
            <w:tcW w:w="928"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3,040</w:t>
            </w:r>
          </w:p>
        </w:tc>
      </w:tr>
      <w:tr w:rsidR="00E71B06" w:rsidRPr="00743A41" w:rsidTr="007D0291">
        <w:trPr>
          <w:trHeight w:val="350"/>
        </w:trPr>
        <w:tc>
          <w:tcPr>
            <w:tcW w:w="1440" w:type="dxa"/>
            <w:shd w:val="clear" w:color="auto" w:fill="F2F2F2" w:themeFill="background1" w:themeFillShade="F2"/>
            <w:noWrap/>
            <w:tcMar>
              <w:left w:w="0" w:type="dxa"/>
              <w:right w:w="0" w:type="dxa"/>
            </w:tcMar>
            <w:vAlign w:val="center"/>
            <w:hideMark/>
          </w:tcPr>
          <w:p w:rsidR="00E71B06" w:rsidRPr="00743A41" w:rsidRDefault="00E71B06" w:rsidP="00A37ED6">
            <w:pPr>
              <w:ind w:left="90"/>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San Antonio Campus</w:t>
            </w:r>
          </w:p>
        </w:tc>
        <w:tc>
          <w:tcPr>
            <w:tcW w:w="900"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OTC</w:t>
            </w:r>
          </w:p>
        </w:tc>
        <w:tc>
          <w:tcPr>
            <w:tcW w:w="954"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17</w:t>
            </w:r>
          </w:p>
        </w:tc>
        <w:tc>
          <w:tcPr>
            <w:tcW w:w="936"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2,360</w:t>
            </w:r>
          </w:p>
        </w:tc>
        <w:tc>
          <w:tcPr>
            <w:tcW w:w="919"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30</w:t>
            </w:r>
          </w:p>
        </w:tc>
        <w:tc>
          <w:tcPr>
            <w:tcW w:w="971"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1,590</w:t>
            </w:r>
          </w:p>
        </w:tc>
        <w:tc>
          <w:tcPr>
            <w:tcW w:w="884"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47</w:t>
            </w:r>
          </w:p>
        </w:tc>
        <w:tc>
          <w:tcPr>
            <w:tcW w:w="928" w:type="dxa"/>
            <w:shd w:val="clear" w:color="auto" w:fill="F2F2F2" w:themeFill="background1" w:themeFillShade="F2"/>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3,950</w:t>
            </w:r>
          </w:p>
        </w:tc>
      </w:tr>
      <w:tr w:rsidR="00E71B06" w:rsidRPr="00743A41" w:rsidTr="007D0291">
        <w:trPr>
          <w:trHeight w:val="350"/>
        </w:trPr>
        <w:tc>
          <w:tcPr>
            <w:tcW w:w="2340" w:type="dxa"/>
            <w:gridSpan w:val="2"/>
            <w:shd w:val="clear" w:color="auto" w:fill="auto"/>
            <w:noWrap/>
            <w:tcMar>
              <w:left w:w="0" w:type="dxa"/>
              <w:right w:w="0" w:type="dxa"/>
            </w:tcMar>
            <w:vAlign w:val="center"/>
            <w:hideMark/>
          </w:tcPr>
          <w:p w:rsidR="00E71B06" w:rsidRPr="00743A41" w:rsidRDefault="00E71B06" w:rsidP="00A37ED6">
            <w:pPr>
              <w:ind w:right="90"/>
              <w:jc w:val="right"/>
              <w:rPr>
                <w:rFonts w:asciiTheme="majorHAnsi" w:eastAsia="Times New Roman" w:hAnsiTheme="majorHAnsi" w:cstheme="majorHAnsi"/>
                <w:b/>
                <w:sz w:val="20"/>
                <w:szCs w:val="20"/>
              </w:rPr>
            </w:pPr>
            <w:r w:rsidRPr="00743A41">
              <w:rPr>
                <w:rFonts w:asciiTheme="majorHAnsi" w:eastAsia="Times New Roman" w:hAnsiTheme="majorHAnsi" w:cstheme="majorHAnsi"/>
                <w:b/>
                <w:bCs/>
                <w:color w:val="000000"/>
                <w:sz w:val="20"/>
                <w:szCs w:val="20"/>
              </w:rPr>
              <w:t>Total</w:t>
            </w:r>
          </w:p>
        </w:tc>
        <w:tc>
          <w:tcPr>
            <w:tcW w:w="954"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200</w:t>
            </w:r>
          </w:p>
        </w:tc>
        <w:tc>
          <w:tcPr>
            <w:tcW w:w="936"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30,193</w:t>
            </w:r>
          </w:p>
        </w:tc>
        <w:tc>
          <w:tcPr>
            <w:tcW w:w="919"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649</w:t>
            </w:r>
          </w:p>
        </w:tc>
        <w:tc>
          <w:tcPr>
            <w:tcW w:w="971"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68,988</w:t>
            </w:r>
          </w:p>
        </w:tc>
        <w:tc>
          <w:tcPr>
            <w:tcW w:w="884"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849</w:t>
            </w:r>
          </w:p>
        </w:tc>
        <w:tc>
          <w:tcPr>
            <w:tcW w:w="928" w:type="dxa"/>
            <w:shd w:val="clear" w:color="auto" w:fill="auto"/>
            <w:noWrap/>
            <w:tcMar>
              <w:left w:w="0" w:type="dxa"/>
              <w:right w:w="0" w:type="dxa"/>
            </w:tcMar>
            <w:vAlign w:val="center"/>
            <w:hideMark/>
          </w:tcPr>
          <w:p w:rsidR="00E71B06" w:rsidRPr="00743A41" w:rsidRDefault="00E71B06" w:rsidP="00A37ED6">
            <w:pPr>
              <w:jc w:val="center"/>
              <w:rPr>
                <w:rFonts w:asciiTheme="majorHAnsi" w:eastAsia="Times New Roman" w:hAnsiTheme="majorHAnsi" w:cstheme="majorHAnsi"/>
                <w:b/>
                <w:bCs/>
                <w:color w:val="000000"/>
                <w:sz w:val="20"/>
                <w:szCs w:val="20"/>
              </w:rPr>
            </w:pPr>
            <w:r w:rsidRPr="00743A41">
              <w:rPr>
                <w:rFonts w:asciiTheme="majorHAnsi" w:hAnsiTheme="majorHAnsi" w:cstheme="majorHAnsi"/>
                <w:b/>
                <w:bCs/>
                <w:color w:val="000000"/>
                <w:sz w:val="20"/>
                <w:szCs w:val="20"/>
              </w:rPr>
              <w:t>99,181</w:t>
            </w:r>
          </w:p>
        </w:tc>
      </w:tr>
    </w:tbl>
    <w:p w:rsidR="00933038" w:rsidRPr="00743A41" w:rsidRDefault="00933038" w:rsidP="00A37ED6">
      <w:pPr>
        <w:keepNext/>
        <w:ind w:left="1350"/>
        <w:jc w:val="both"/>
        <w:rPr>
          <w:rFonts w:asciiTheme="majorHAnsi" w:eastAsia="Calibri" w:hAnsiTheme="majorHAnsi" w:cstheme="majorHAnsi"/>
          <w:sz w:val="20"/>
          <w:szCs w:val="20"/>
        </w:rPr>
      </w:pPr>
    </w:p>
    <w:p w:rsidR="00933038" w:rsidRPr="00743A41" w:rsidRDefault="00933038" w:rsidP="00A37ED6">
      <w:pPr>
        <w:numPr>
          <w:ilvl w:val="0"/>
          <w:numId w:val="15"/>
        </w:numPr>
        <w:ind w:left="135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Staff office space</w:t>
      </w:r>
    </w:p>
    <w:p w:rsidR="00933038" w:rsidRPr="00743A41" w:rsidRDefault="00933038" w:rsidP="00A37ED6">
      <w:pPr>
        <w:ind w:left="1350"/>
        <w:jc w:val="both"/>
        <w:rPr>
          <w:rFonts w:asciiTheme="majorHAnsi" w:eastAsia="Calibri" w:hAnsiTheme="majorHAnsi" w:cstheme="majorHAnsi"/>
          <w:sz w:val="20"/>
          <w:szCs w:val="20"/>
        </w:rPr>
      </w:pPr>
    </w:p>
    <w:p w:rsidR="00164A8A" w:rsidRPr="00743A41" w:rsidRDefault="006E3D5E" w:rsidP="00A37ED6">
      <w:pPr>
        <w:ind w:left="1350" w:right="75"/>
        <w:rPr>
          <w:rFonts w:asciiTheme="majorHAnsi" w:eastAsia="Arial" w:hAnsiTheme="majorHAnsi" w:cstheme="majorHAnsi"/>
          <w:sz w:val="20"/>
          <w:szCs w:val="20"/>
        </w:rPr>
      </w:pPr>
      <w:hyperlink w:anchor="tablec41b" w:history="1">
        <w:r w:rsidR="00164A8A" w:rsidRPr="00743A41">
          <w:rPr>
            <w:rStyle w:val="Hyperlink"/>
            <w:rFonts w:asciiTheme="majorHAnsi" w:eastAsia="Arial" w:hAnsiTheme="majorHAnsi" w:cstheme="majorHAnsi"/>
            <w:sz w:val="20"/>
            <w:szCs w:val="20"/>
          </w:rPr>
          <w:t>Table C4.1.b</w:t>
        </w:r>
      </w:hyperlink>
      <w:r w:rsidR="00164A8A" w:rsidRPr="00743A41">
        <w:rPr>
          <w:rFonts w:asciiTheme="majorHAnsi" w:eastAsia="Arial" w:hAnsiTheme="majorHAnsi" w:cstheme="majorHAnsi"/>
          <w:sz w:val="20"/>
          <w:szCs w:val="20"/>
        </w:rPr>
        <w:t xml:space="preserve"> shows faculty, staff, and total office space by building and campus. Each campus has sufficient office space for both faculty and staff.  Faculty at all campuses are provided with an office. Staff occupy both office and cubicle space. All faculty and staff are supplied with computers and the necessary supplies and storage for their workspace. </w:t>
      </w:r>
    </w:p>
    <w:p w:rsidR="00933038" w:rsidRPr="00743A41" w:rsidRDefault="00933038" w:rsidP="00A37ED6">
      <w:pPr>
        <w:ind w:left="1350"/>
        <w:jc w:val="both"/>
        <w:rPr>
          <w:rFonts w:asciiTheme="majorHAnsi" w:eastAsia="Calibri" w:hAnsiTheme="majorHAnsi" w:cstheme="majorHAnsi"/>
          <w:sz w:val="20"/>
          <w:szCs w:val="20"/>
        </w:rPr>
      </w:pPr>
    </w:p>
    <w:p w:rsidR="00933038" w:rsidRPr="00743A41" w:rsidRDefault="00933038" w:rsidP="00A37ED6">
      <w:pPr>
        <w:numPr>
          <w:ilvl w:val="0"/>
          <w:numId w:val="15"/>
        </w:numPr>
        <w:ind w:left="135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Classrooms</w:t>
      </w:r>
    </w:p>
    <w:p w:rsidR="00933038" w:rsidRPr="00743A41" w:rsidRDefault="00933038" w:rsidP="00A37ED6">
      <w:pPr>
        <w:ind w:left="1350"/>
        <w:jc w:val="both"/>
        <w:rPr>
          <w:rFonts w:asciiTheme="majorHAnsi" w:eastAsia="Calibri" w:hAnsiTheme="majorHAnsi" w:cstheme="majorHAnsi"/>
          <w:sz w:val="20"/>
          <w:szCs w:val="20"/>
        </w:rPr>
      </w:pPr>
    </w:p>
    <w:p w:rsidR="00164A8A" w:rsidRPr="00743A41" w:rsidRDefault="006E3D5E" w:rsidP="003D7B72">
      <w:pPr>
        <w:ind w:left="1350"/>
        <w:rPr>
          <w:rFonts w:asciiTheme="majorHAnsi" w:eastAsia="Times New Roman" w:hAnsiTheme="majorHAnsi" w:cstheme="majorHAnsi"/>
          <w:bCs/>
          <w:color w:val="000000"/>
          <w:sz w:val="20"/>
          <w:szCs w:val="20"/>
        </w:rPr>
      </w:pPr>
      <w:hyperlink w:anchor="tablec41c" w:history="1">
        <w:r w:rsidR="00164A8A" w:rsidRPr="00743A41">
          <w:rPr>
            <w:rStyle w:val="Hyperlink"/>
            <w:rFonts w:asciiTheme="majorHAnsi" w:eastAsia="Times New Roman" w:hAnsiTheme="majorHAnsi" w:cstheme="majorHAnsi"/>
            <w:bCs/>
            <w:sz w:val="20"/>
            <w:szCs w:val="20"/>
          </w:rPr>
          <w:t>Table C</w:t>
        </w:r>
        <w:r w:rsidR="003D7B72" w:rsidRPr="00743A41">
          <w:rPr>
            <w:rStyle w:val="Hyperlink"/>
            <w:rFonts w:asciiTheme="majorHAnsi" w:eastAsia="Times New Roman" w:hAnsiTheme="majorHAnsi" w:cstheme="majorHAnsi"/>
            <w:bCs/>
            <w:sz w:val="20"/>
            <w:szCs w:val="20"/>
          </w:rPr>
          <w:t>.</w:t>
        </w:r>
        <w:r w:rsidR="00164A8A" w:rsidRPr="00743A41">
          <w:rPr>
            <w:rStyle w:val="Hyperlink"/>
            <w:rFonts w:asciiTheme="majorHAnsi" w:eastAsia="Times New Roman" w:hAnsiTheme="majorHAnsi" w:cstheme="majorHAnsi"/>
            <w:bCs/>
            <w:sz w:val="20"/>
            <w:szCs w:val="20"/>
          </w:rPr>
          <w:t>4.1.c</w:t>
        </w:r>
        <w:r w:rsidR="003D7B72" w:rsidRPr="00743A41">
          <w:rPr>
            <w:rStyle w:val="Hyperlink"/>
            <w:rFonts w:asciiTheme="majorHAnsi" w:eastAsia="Times New Roman" w:hAnsiTheme="majorHAnsi" w:cstheme="majorHAnsi"/>
            <w:bCs/>
            <w:sz w:val="20"/>
            <w:szCs w:val="20"/>
          </w:rPr>
          <w:t>.</w:t>
        </w:r>
      </w:hyperlink>
      <w:r w:rsidR="00164A8A" w:rsidRPr="00743A41">
        <w:rPr>
          <w:rFonts w:asciiTheme="majorHAnsi" w:eastAsia="Times New Roman" w:hAnsiTheme="majorHAnsi" w:cstheme="majorHAnsi"/>
          <w:bCs/>
          <w:color w:val="000000"/>
          <w:sz w:val="20"/>
          <w:szCs w:val="20"/>
        </w:rPr>
        <w:t xml:space="preserve"> displays classrooms across all campuses by size and type. Across all six campuses, 95 classrooms are available for courses. The Houston campus also houses a computer lab, spaces for group work equipped with ITV in the SPH Library &amp; Graduate Communication Center, a holistic garden, a simulation lab, a demonstration kitchen, and a simulation lab. Most classrooms are equipped with ITV for teaching across the campuses. Classrooms are continually being updated with technology to better serve the students. </w:t>
      </w:r>
    </w:p>
    <w:p w:rsidR="00164A8A" w:rsidRPr="00743A41" w:rsidRDefault="00164A8A" w:rsidP="00A37ED6">
      <w:pPr>
        <w:ind w:left="1350"/>
        <w:rPr>
          <w:rFonts w:asciiTheme="majorHAnsi" w:eastAsia="Times New Roman" w:hAnsiTheme="majorHAnsi" w:cstheme="majorHAnsi"/>
          <w:bCs/>
          <w:color w:val="000000"/>
          <w:sz w:val="20"/>
          <w:szCs w:val="20"/>
        </w:rPr>
      </w:pPr>
    </w:p>
    <w:p w:rsidR="00C453D1" w:rsidRPr="00743A41" w:rsidRDefault="00C453D1" w:rsidP="00A37ED6">
      <w:pPr>
        <w:ind w:left="1350"/>
        <w:rPr>
          <w:rFonts w:asciiTheme="majorHAnsi" w:eastAsia="Times New Roman" w:hAnsiTheme="majorHAnsi" w:cstheme="majorHAnsi"/>
          <w:bCs/>
          <w:color w:val="000000"/>
          <w:sz w:val="20"/>
          <w:szCs w:val="20"/>
        </w:rPr>
      </w:pPr>
    </w:p>
    <w:p w:rsidR="00C453D1" w:rsidRPr="00743A41" w:rsidRDefault="00C453D1" w:rsidP="00A37ED6">
      <w:pPr>
        <w:ind w:left="1350"/>
        <w:rPr>
          <w:rFonts w:asciiTheme="majorHAnsi" w:eastAsia="Times New Roman" w:hAnsiTheme="majorHAnsi" w:cstheme="majorHAnsi"/>
          <w:bCs/>
          <w:color w:val="000000"/>
          <w:sz w:val="20"/>
          <w:szCs w:val="20"/>
        </w:rPr>
      </w:pPr>
    </w:p>
    <w:p w:rsidR="00C453D1" w:rsidRPr="00743A41" w:rsidRDefault="00C453D1" w:rsidP="00A37ED6">
      <w:pPr>
        <w:ind w:left="1350"/>
        <w:rPr>
          <w:rFonts w:asciiTheme="majorHAnsi" w:eastAsia="Times New Roman" w:hAnsiTheme="majorHAnsi" w:cstheme="majorHAnsi"/>
          <w:bCs/>
          <w:color w:val="000000"/>
          <w:sz w:val="20"/>
          <w:szCs w:val="20"/>
        </w:rPr>
      </w:pPr>
    </w:p>
    <w:p w:rsidR="00C453D1" w:rsidRPr="00743A41" w:rsidRDefault="00C453D1" w:rsidP="00A37ED6">
      <w:pPr>
        <w:ind w:left="1350"/>
        <w:rPr>
          <w:rFonts w:asciiTheme="majorHAnsi" w:eastAsia="Times New Roman" w:hAnsiTheme="majorHAnsi" w:cstheme="majorHAnsi"/>
          <w:bCs/>
          <w:color w:val="000000"/>
          <w:sz w:val="20"/>
          <w:szCs w:val="20"/>
        </w:rPr>
      </w:pPr>
    </w:p>
    <w:p w:rsidR="00C453D1" w:rsidRPr="00743A41" w:rsidRDefault="00C453D1" w:rsidP="00A37ED6">
      <w:pPr>
        <w:ind w:left="1350"/>
        <w:rPr>
          <w:rFonts w:asciiTheme="majorHAnsi" w:eastAsia="Times New Roman" w:hAnsiTheme="majorHAnsi" w:cstheme="majorHAnsi"/>
          <w:bCs/>
          <w:color w:val="000000"/>
          <w:sz w:val="20"/>
          <w:szCs w:val="20"/>
        </w:rPr>
      </w:pPr>
    </w:p>
    <w:p w:rsidR="00C453D1" w:rsidRPr="00743A41" w:rsidRDefault="00C453D1" w:rsidP="00A37ED6">
      <w:pPr>
        <w:ind w:left="1350"/>
        <w:rPr>
          <w:rFonts w:asciiTheme="majorHAnsi" w:eastAsia="Times New Roman" w:hAnsiTheme="majorHAnsi" w:cstheme="majorHAnsi"/>
          <w:bCs/>
          <w:color w:val="000000"/>
          <w:sz w:val="20"/>
          <w:szCs w:val="20"/>
        </w:rPr>
      </w:pPr>
    </w:p>
    <w:p w:rsidR="00164A8A" w:rsidRPr="00743A41" w:rsidRDefault="00164A8A" w:rsidP="00A37ED6">
      <w:pPr>
        <w:ind w:left="1350"/>
        <w:rPr>
          <w:rFonts w:asciiTheme="majorHAnsi" w:eastAsia="Times New Roman" w:hAnsiTheme="majorHAnsi" w:cstheme="majorHAnsi"/>
          <w:bCs/>
          <w:color w:val="000000"/>
          <w:sz w:val="20"/>
          <w:szCs w:val="20"/>
        </w:rPr>
      </w:pPr>
      <w:bookmarkStart w:id="61" w:name="tablec41c"/>
      <w:r w:rsidRPr="00743A41">
        <w:rPr>
          <w:rFonts w:asciiTheme="majorHAnsi" w:eastAsia="Times New Roman" w:hAnsiTheme="majorHAnsi" w:cstheme="majorHAnsi"/>
          <w:bCs/>
          <w:color w:val="000000"/>
          <w:sz w:val="20"/>
          <w:szCs w:val="20"/>
        </w:rPr>
        <w:t>Table C</w:t>
      </w:r>
      <w:r w:rsidR="003D7B72" w:rsidRPr="00743A41">
        <w:rPr>
          <w:rFonts w:asciiTheme="majorHAnsi" w:eastAsia="Times New Roman" w:hAnsiTheme="majorHAnsi" w:cstheme="majorHAnsi"/>
          <w:bCs/>
          <w:color w:val="000000"/>
          <w:sz w:val="20"/>
          <w:szCs w:val="20"/>
        </w:rPr>
        <w:t>.</w:t>
      </w:r>
      <w:r w:rsidRPr="00743A41">
        <w:rPr>
          <w:rFonts w:asciiTheme="majorHAnsi" w:eastAsia="Times New Roman" w:hAnsiTheme="majorHAnsi" w:cstheme="majorHAnsi"/>
          <w:bCs/>
          <w:color w:val="000000"/>
          <w:sz w:val="20"/>
          <w:szCs w:val="20"/>
        </w:rPr>
        <w:t xml:space="preserve">4.1.c. </w:t>
      </w:r>
      <w:bookmarkEnd w:id="61"/>
      <w:r w:rsidRPr="00743A41">
        <w:rPr>
          <w:rFonts w:asciiTheme="majorHAnsi" w:eastAsia="Times New Roman" w:hAnsiTheme="majorHAnsi" w:cstheme="majorHAnsi"/>
          <w:bCs/>
          <w:color w:val="000000"/>
          <w:sz w:val="20"/>
          <w:szCs w:val="20"/>
        </w:rPr>
        <w:t xml:space="preserve">Classroom Space by Size and Type </w:t>
      </w:r>
      <w:r w:rsidRPr="00743A41">
        <w:rPr>
          <w:rFonts w:asciiTheme="majorHAnsi" w:eastAsia="Arial" w:hAnsiTheme="majorHAnsi" w:cstheme="majorHAnsi"/>
          <w:sz w:val="20"/>
          <w:szCs w:val="20"/>
        </w:rPr>
        <w:t>at the UTHealth School of Public Health</w:t>
      </w:r>
    </w:p>
    <w:tbl>
      <w:tblPr>
        <w:tblW w:w="7920" w:type="dxa"/>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20"/>
        <w:gridCol w:w="1165"/>
        <w:gridCol w:w="450"/>
        <w:gridCol w:w="747"/>
        <w:gridCol w:w="603"/>
        <w:gridCol w:w="770"/>
        <w:gridCol w:w="580"/>
        <w:gridCol w:w="792"/>
        <w:gridCol w:w="473"/>
        <w:gridCol w:w="900"/>
      </w:tblGrid>
      <w:tr w:rsidR="00510B10" w:rsidRPr="00743A41" w:rsidTr="00F026B3">
        <w:trPr>
          <w:cantSplit/>
          <w:trHeight w:val="585"/>
          <w:tblHeader/>
        </w:trPr>
        <w:tc>
          <w:tcPr>
            <w:tcW w:w="720" w:type="dxa"/>
            <w:shd w:val="clear" w:color="auto" w:fill="BFBFBF" w:themeFill="background1" w:themeFillShade="BF"/>
            <w:tcMar>
              <w:left w:w="0" w:type="dxa"/>
              <w:right w:w="0" w:type="dxa"/>
            </w:tcMar>
            <w:vAlign w:val="center"/>
            <w:hideMark/>
          </w:tcPr>
          <w:p w:rsidR="00307255" w:rsidRPr="00743A41" w:rsidRDefault="00307255" w:rsidP="00A37ED6">
            <w:pPr>
              <w:jc w:val="center"/>
              <w:rPr>
                <w:rFonts w:asciiTheme="majorHAnsi" w:eastAsia="Times New Roman" w:hAnsiTheme="majorHAnsi" w:cstheme="majorHAnsi"/>
                <w:b/>
                <w:sz w:val="20"/>
                <w:szCs w:val="20"/>
              </w:rPr>
            </w:pPr>
          </w:p>
        </w:tc>
        <w:tc>
          <w:tcPr>
            <w:tcW w:w="720" w:type="dxa"/>
            <w:shd w:val="clear" w:color="auto" w:fill="BFBFBF" w:themeFill="background1" w:themeFillShade="BF"/>
            <w:tcMar>
              <w:left w:w="0" w:type="dxa"/>
              <w:right w:w="0" w:type="dxa"/>
            </w:tcMar>
            <w:vAlign w:val="center"/>
            <w:hideMark/>
          </w:tcPr>
          <w:p w:rsidR="00307255" w:rsidRPr="00743A41" w:rsidRDefault="00307255" w:rsidP="00A37ED6">
            <w:pPr>
              <w:jc w:val="center"/>
              <w:rPr>
                <w:rFonts w:asciiTheme="majorHAnsi" w:eastAsia="Times New Roman" w:hAnsiTheme="majorHAnsi" w:cstheme="majorHAnsi"/>
                <w:b/>
                <w:sz w:val="20"/>
                <w:szCs w:val="20"/>
              </w:rPr>
            </w:pPr>
          </w:p>
        </w:tc>
        <w:tc>
          <w:tcPr>
            <w:tcW w:w="1165" w:type="dxa"/>
            <w:shd w:val="clear" w:color="auto" w:fill="BFBFBF" w:themeFill="background1" w:themeFillShade="BF"/>
            <w:tcMar>
              <w:left w:w="0" w:type="dxa"/>
              <w:right w:w="0" w:type="dxa"/>
            </w:tcMar>
            <w:vAlign w:val="center"/>
            <w:hideMark/>
          </w:tcPr>
          <w:p w:rsidR="00307255" w:rsidRPr="00743A41" w:rsidRDefault="00307255" w:rsidP="00A37ED6">
            <w:pPr>
              <w:jc w:val="center"/>
              <w:rPr>
                <w:rFonts w:asciiTheme="majorHAnsi" w:eastAsia="Times New Roman" w:hAnsiTheme="majorHAnsi" w:cstheme="majorHAnsi"/>
                <w:b/>
                <w:bCs/>
                <w:color w:val="000000"/>
                <w:sz w:val="20"/>
                <w:szCs w:val="20"/>
              </w:rPr>
            </w:pPr>
          </w:p>
        </w:tc>
        <w:tc>
          <w:tcPr>
            <w:tcW w:w="1197" w:type="dxa"/>
            <w:gridSpan w:val="2"/>
            <w:shd w:val="clear" w:color="auto" w:fill="BFBFBF" w:themeFill="background1" w:themeFillShade="BF"/>
            <w:tcMar>
              <w:left w:w="0" w:type="dxa"/>
              <w:right w:w="0" w:type="dxa"/>
            </w:tcMar>
            <w:vAlign w:val="center"/>
            <w:hideMark/>
          </w:tcPr>
          <w:p w:rsidR="00307255" w:rsidRPr="00743A41" w:rsidRDefault="00307255"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 xml:space="preserve">Small </w:t>
            </w:r>
          </w:p>
          <w:p w:rsidR="00307255" w:rsidRPr="00743A41" w:rsidRDefault="00307255"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(1-19 occupancy)</w:t>
            </w:r>
          </w:p>
        </w:tc>
        <w:tc>
          <w:tcPr>
            <w:tcW w:w="1373" w:type="dxa"/>
            <w:gridSpan w:val="2"/>
            <w:shd w:val="clear" w:color="auto" w:fill="BFBFBF" w:themeFill="background1" w:themeFillShade="BF"/>
            <w:tcMar>
              <w:left w:w="0" w:type="dxa"/>
              <w:right w:w="0" w:type="dxa"/>
            </w:tcMar>
            <w:vAlign w:val="center"/>
            <w:hideMark/>
          </w:tcPr>
          <w:p w:rsidR="00307255" w:rsidRPr="00743A41" w:rsidRDefault="00307255"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 xml:space="preserve">Medium </w:t>
            </w:r>
          </w:p>
          <w:p w:rsidR="00307255" w:rsidRPr="00743A41" w:rsidRDefault="00307255"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(20-39 occupancy)</w:t>
            </w:r>
          </w:p>
        </w:tc>
        <w:tc>
          <w:tcPr>
            <w:tcW w:w="1372" w:type="dxa"/>
            <w:gridSpan w:val="2"/>
            <w:shd w:val="clear" w:color="auto" w:fill="BFBFBF" w:themeFill="background1" w:themeFillShade="BF"/>
            <w:tcMar>
              <w:left w:w="0" w:type="dxa"/>
              <w:right w:w="0" w:type="dxa"/>
            </w:tcMar>
            <w:vAlign w:val="center"/>
            <w:hideMark/>
          </w:tcPr>
          <w:p w:rsidR="00307255" w:rsidRPr="00743A41" w:rsidRDefault="00307255"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 xml:space="preserve">Large </w:t>
            </w:r>
          </w:p>
          <w:p w:rsidR="00307255" w:rsidRPr="00743A41" w:rsidRDefault="00307255"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(40- occupancy)</w:t>
            </w:r>
          </w:p>
        </w:tc>
        <w:tc>
          <w:tcPr>
            <w:tcW w:w="1373" w:type="dxa"/>
            <w:gridSpan w:val="2"/>
            <w:shd w:val="clear" w:color="auto" w:fill="BFBFBF" w:themeFill="background1" w:themeFillShade="BF"/>
            <w:tcMar>
              <w:left w:w="0" w:type="dxa"/>
              <w:right w:w="0" w:type="dxa"/>
            </w:tcMar>
            <w:vAlign w:val="center"/>
            <w:hideMark/>
          </w:tcPr>
          <w:p w:rsidR="00307255" w:rsidRPr="00743A41" w:rsidRDefault="00307255"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Total</w:t>
            </w:r>
          </w:p>
        </w:tc>
      </w:tr>
      <w:tr w:rsidR="00510B10" w:rsidRPr="00743A41" w:rsidTr="00F026B3">
        <w:trPr>
          <w:cantSplit/>
          <w:trHeight w:val="230"/>
          <w:tblHeader/>
        </w:trPr>
        <w:tc>
          <w:tcPr>
            <w:tcW w:w="720" w:type="dxa"/>
            <w:shd w:val="clear" w:color="auto" w:fill="D9D9D9" w:themeFill="background1" w:themeFillShade="D9"/>
            <w:tcMar>
              <w:left w:w="0" w:type="dxa"/>
              <w:right w:w="0" w:type="dxa"/>
            </w:tcMar>
            <w:vAlign w:val="center"/>
            <w:hideMark/>
          </w:tcPr>
          <w:p w:rsidR="00307255" w:rsidRPr="00743A41" w:rsidRDefault="00307255" w:rsidP="00A37ED6">
            <w:pPr>
              <w:jc w:val="center"/>
              <w:rPr>
                <w:rFonts w:asciiTheme="majorHAnsi" w:eastAsia="Times New Roman" w:hAnsiTheme="majorHAnsi" w:cstheme="majorHAnsi"/>
                <w:b/>
                <w:sz w:val="20"/>
                <w:szCs w:val="20"/>
              </w:rPr>
            </w:pPr>
          </w:p>
        </w:tc>
        <w:tc>
          <w:tcPr>
            <w:tcW w:w="720" w:type="dxa"/>
            <w:shd w:val="clear" w:color="auto" w:fill="D9D9D9" w:themeFill="background1" w:themeFillShade="D9"/>
            <w:tcMar>
              <w:left w:w="0" w:type="dxa"/>
              <w:right w:w="0" w:type="dxa"/>
            </w:tcMar>
            <w:vAlign w:val="center"/>
            <w:hideMark/>
          </w:tcPr>
          <w:p w:rsidR="00307255" w:rsidRPr="00743A41" w:rsidRDefault="00307255" w:rsidP="00A37ED6">
            <w:pPr>
              <w:jc w:val="center"/>
              <w:rPr>
                <w:rFonts w:asciiTheme="majorHAnsi" w:eastAsia="Times New Roman" w:hAnsiTheme="majorHAnsi" w:cstheme="majorHAnsi"/>
                <w:b/>
                <w:sz w:val="20"/>
                <w:szCs w:val="20"/>
              </w:rPr>
            </w:pPr>
            <w:r w:rsidRPr="00743A41">
              <w:rPr>
                <w:rFonts w:asciiTheme="majorHAnsi" w:eastAsia="Times New Roman" w:hAnsiTheme="majorHAnsi" w:cstheme="majorHAnsi"/>
                <w:b/>
                <w:sz w:val="20"/>
                <w:szCs w:val="20"/>
              </w:rPr>
              <w:t>Building</w:t>
            </w:r>
          </w:p>
        </w:tc>
        <w:tc>
          <w:tcPr>
            <w:tcW w:w="1165" w:type="dxa"/>
            <w:shd w:val="clear" w:color="auto" w:fill="D9D9D9" w:themeFill="background1" w:themeFillShade="D9"/>
            <w:tcMar>
              <w:left w:w="0" w:type="dxa"/>
              <w:right w:w="0" w:type="dxa"/>
            </w:tcMar>
            <w:vAlign w:val="center"/>
            <w:hideMark/>
          </w:tcPr>
          <w:p w:rsidR="00307255" w:rsidRPr="00743A41" w:rsidRDefault="00307255" w:rsidP="00A37ED6">
            <w:pPr>
              <w:jc w:val="center"/>
              <w:rPr>
                <w:rFonts w:asciiTheme="majorHAnsi" w:eastAsia="Times New Roman" w:hAnsiTheme="majorHAnsi" w:cstheme="majorHAnsi"/>
                <w:b/>
                <w:sz w:val="20"/>
                <w:szCs w:val="20"/>
              </w:rPr>
            </w:pPr>
            <w:r w:rsidRPr="00743A41">
              <w:rPr>
                <w:rFonts w:asciiTheme="majorHAnsi" w:eastAsia="Times New Roman" w:hAnsiTheme="majorHAnsi" w:cstheme="majorHAnsi"/>
                <w:b/>
                <w:bCs/>
                <w:color w:val="000000"/>
                <w:sz w:val="20"/>
                <w:szCs w:val="20"/>
              </w:rPr>
              <w:t>Room Type</w:t>
            </w:r>
          </w:p>
        </w:tc>
        <w:tc>
          <w:tcPr>
            <w:tcW w:w="450" w:type="dxa"/>
            <w:shd w:val="clear" w:color="auto" w:fill="D9D9D9" w:themeFill="background1" w:themeFillShade="D9"/>
            <w:tcMar>
              <w:left w:w="0" w:type="dxa"/>
              <w:right w:w="0" w:type="dxa"/>
            </w:tcMar>
            <w:vAlign w:val="center"/>
            <w:hideMark/>
          </w:tcPr>
          <w:p w:rsidR="00307255" w:rsidRPr="00743A41" w:rsidRDefault="00307255"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w:t>
            </w:r>
          </w:p>
        </w:tc>
        <w:tc>
          <w:tcPr>
            <w:tcW w:w="747" w:type="dxa"/>
            <w:shd w:val="clear" w:color="auto" w:fill="D9D9D9" w:themeFill="background1" w:themeFillShade="D9"/>
            <w:tcMar>
              <w:left w:w="0" w:type="dxa"/>
              <w:right w:w="0" w:type="dxa"/>
            </w:tcMar>
            <w:vAlign w:val="center"/>
            <w:hideMark/>
          </w:tcPr>
          <w:p w:rsidR="00307255" w:rsidRPr="00743A41" w:rsidRDefault="00307255"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Capacity</w:t>
            </w:r>
          </w:p>
        </w:tc>
        <w:tc>
          <w:tcPr>
            <w:tcW w:w="603" w:type="dxa"/>
            <w:shd w:val="clear" w:color="auto" w:fill="D9D9D9" w:themeFill="background1" w:themeFillShade="D9"/>
            <w:tcMar>
              <w:left w:w="0" w:type="dxa"/>
              <w:right w:w="0" w:type="dxa"/>
            </w:tcMar>
            <w:vAlign w:val="center"/>
            <w:hideMark/>
          </w:tcPr>
          <w:p w:rsidR="00307255" w:rsidRPr="00743A41" w:rsidRDefault="00307255"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w:t>
            </w:r>
          </w:p>
        </w:tc>
        <w:tc>
          <w:tcPr>
            <w:tcW w:w="770" w:type="dxa"/>
            <w:shd w:val="clear" w:color="auto" w:fill="D9D9D9" w:themeFill="background1" w:themeFillShade="D9"/>
            <w:tcMar>
              <w:left w:w="0" w:type="dxa"/>
              <w:right w:w="0" w:type="dxa"/>
            </w:tcMar>
            <w:vAlign w:val="center"/>
            <w:hideMark/>
          </w:tcPr>
          <w:p w:rsidR="00307255" w:rsidRPr="00743A41" w:rsidRDefault="00307255"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Capacity</w:t>
            </w:r>
          </w:p>
        </w:tc>
        <w:tc>
          <w:tcPr>
            <w:tcW w:w="580" w:type="dxa"/>
            <w:shd w:val="clear" w:color="auto" w:fill="D9D9D9" w:themeFill="background1" w:themeFillShade="D9"/>
            <w:tcMar>
              <w:left w:w="0" w:type="dxa"/>
              <w:right w:w="0" w:type="dxa"/>
            </w:tcMar>
            <w:vAlign w:val="center"/>
            <w:hideMark/>
          </w:tcPr>
          <w:p w:rsidR="00307255" w:rsidRPr="00743A41" w:rsidRDefault="00307255"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w:t>
            </w:r>
          </w:p>
        </w:tc>
        <w:tc>
          <w:tcPr>
            <w:tcW w:w="792" w:type="dxa"/>
            <w:shd w:val="clear" w:color="auto" w:fill="D9D9D9" w:themeFill="background1" w:themeFillShade="D9"/>
            <w:tcMar>
              <w:left w:w="0" w:type="dxa"/>
              <w:right w:w="0" w:type="dxa"/>
            </w:tcMar>
            <w:vAlign w:val="center"/>
            <w:hideMark/>
          </w:tcPr>
          <w:p w:rsidR="00307255" w:rsidRPr="00743A41" w:rsidRDefault="00307255"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Capacity</w:t>
            </w:r>
          </w:p>
        </w:tc>
        <w:tc>
          <w:tcPr>
            <w:tcW w:w="473" w:type="dxa"/>
            <w:shd w:val="clear" w:color="auto" w:fill="D9D9D9" w:themeFill="background1" w:themeFillShade="D9"/>
            <w:tcMar>
              <w:left w:w="0" w:type="dxa"/>
              <w:right w:w="0" w:type="dxa"/>
            </w:tcMar>
            <w:vAlign w:val="center"/>
            <w:hideMark/>
          </w:tcPr>
          <w:p w:rsidR="00307255" w:rsidRPr="00743A41" w:rsidRDefault="00307255"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w:t>
            </w:r>
          </w:p>
        </w:tc>
        <w:tc>
          <w:tcPr>
            <w:tcW w:w="900" w:type="dxa"/>
            <w:shd w:val="clear" w:color="auto" w:fill="D9D9D9" w:themeFill="background1" w:themeFillShade="D9"/>
            <w:tcMar>
              <w:left w:w="0" w:type="dxa"/>
              <w:right w:w="0" w:type="dxa"/>
            </w:tcMar>
            <w:vAlign w:val="center"/>
            <w:hideMark/>
          </w:tcPr>
          <w:p w:rsidR="00307255" w:rsidRPr="00743A41" w:rsidRDefault="00307255"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Capacity</w:t>
            </w:r>
          </w:p>
        </w:tc>
      </w:tr>
      <w:tr w:rsidR="00510B10" w:rsidRPr="00743A41" w:rsidTr="00F026B3">
        <w:trPr>
          <w:trHeight w:val="230"/>
        </w:trPr>
        <w:tc>
          <w:tcPr>
            <w:tcW w:w="720" w:type="dxa"/>
            <w:vMerge w:val="restart"/>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Houston Campus</w:t>
            </w:r>
          </w:p>
          <w:p w:rsidR="00E15FA1" w:rsidRPr="00743A41" w:rsidRDefault="00E15FA1"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Houston</w:t>
            </w:r>
          </w:p>
        </w:tc>
        <w:tc>
          <w:tcPr>
            <w:tcW w:w="720" w:type="dxa"/>
            <w:vMerge w:val="restart"/>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RAS</w:t>
            </w:r>
          </w:p>
        </w:tc>
        <w:tc>
          <w:tcPr>
            <w:tcW w:w="1165" w:type="dxa"/>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Auditorium</w:t>
            </w:r>
          </w:p>
        </w:tc>
        <w:tc>
          <w:tcPr>
            <w:tcW w:w="45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1</w:t>
            </w:r>
          </w:p>
        </w:tc>
        <w:tc>
          <w:tcPr>
            <w:tcW w:w="747"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204</w:t>
            </w:r>
          </w:p>
        </w:tc>
        <w:tc>
          <w:tcPr>
            <w:tcW w:w="60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p>
        </w:tc>
        <w:tc>
          <w:tcPr>
            <w:tcW w:w="77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58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792"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47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1</w:t>
            </w:r>
          </w:p>
        </w:tc>
        <w:tc>
          <w:tcPr>
            <w:tcW w:w="90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204</w:t>
            </w:r>
          </w:p>
        </w:tc>
      </w:tr>
      <w:tr w:rsidR="00510B10" w:rsidRPr="00743A41" w:rsidTr="00F026B3">
        <w:trPr>
          <w:trHeight w:val="230"/>
        </w:trPr>
        <w:tc>
          <w:tcPr>
            <w:tcW w:w="720" w:type="dxa"/>
            <w:vMerge/>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p>
        </w:tc>
        <w:tc>
          <w:tcPr>
            <w:tcW w:w="720" w:type="dxa"/>
            <w:vMerge/>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1165" w:type="dxa"/>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Classrooms</w:t>
            </w:r>
          </w:p>
        </w:tc>
        <w:tc>
          <w:tcPr>
            <w:tcW w:w="45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3</w:t>
            </w:r>
          </w:p>
        </w:tc>
        <w:tc>
          <w:tcPr>
            <w:tcW w:w="747"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46</w:t>
            </w:r>
          </w:p>
        </w:tc>
        <w:tc>
          <w:tcPr>
            <w:tcW w:w="60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6</w:t>
            </w:r>
          </w:p>
        </w:tc>
        <w:tc>
          <w:tcPr>
            <w:tcW w:w="77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146</w:t>
            </w:r>
          </w:p>
        </w:tc>
        <w:tc>
          <w:tcPr>
            <w:tcW w:w="58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9</w:t>
            </w:r>
          </w:p>
        </w:tc>
        <w:tc>
          <w:tcPr>
            <w:tcW w:w="792"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442</w:t>
            </w:r>
          </w:p>
        </w:tc>
        <w:tc>
          <w:tcPr>
            <w:tcW w:w="47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18</w:t>
            </w:r>
          </w:p>
        </w:tc>
        <w:tc>
          <w:tcPr>
            <w:tcW w:w="90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634</w:t>
            </w:r>
          </w:p>
        </w:tc>
      </w:tr>
      <w:tr w:rsidR="00510B10" w:rsidRPr="00743A41" w:rsidTr="00F026B3">
        <w:trPr>
          <w:trHeight w:val="413"/>
        </w:trPr>
        <w:tc>
          <w:tcPr>
            <w:tcW w:w="720" w:type="dxa"/>
            <w:vMerge/>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p>
        </w:tc>
        <w:tc>
          <w:tcPr>
            <w:tcW w:w="720" w:type="dxa"/>
            <w:vMerge/>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1165" w:type="dxa"/>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Class Computer Lab</w:t>
            </w:r>
          </w:p>
        </w:tc>
        <w:tc>
          <w:tcPr>
            <w:tcW w:w="45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p>
        </w:tc>
        <w:tc>
          <w:tcPr>
            <w:tcW w:w="747"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60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77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58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1</w:t>
            </w:r>
          </w:p>
        </w:tc>
        <w:tc>
          <w:tcPr>
            <w:tcW w:w="792"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78</w:t>
            </w:r>
          </w:p>
        </w:tc>
        <w:tc>
          <w:tcPr>
            <w:tcW w:w="47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1</w:t>
            </w:r>
          </w:p>
        </w:tc>
        <w:tc>
          <w:tcPr>
            <w:tcW w:w="90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78</w:t>
            </w:r>
          </w:p>
        </w:tc>
      </w:tr>
      <w:tr w:rsidR="00510B10" w:rsidRPr="00743A41" w:rsidTr="00F026B3">
        <w:trPr>
          <w:trHeight w:val="460"/>
        </w:trPr>
        <w:tc>
          <w:tcPr>
            <w:tcW w:w="720" w:type="dxa"/>
            <w:vMerge/>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p>
        </w:tc>
        <w:tc>
          <w:tcPr>
            <w:tcW w:w="720" w:type="dxa"/>
            <w:vMerge/>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1165" w:type="dxa"/>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Conference Rooms</w:t>
            </w:r>
          </w:p>
        </w:tc>
        <w:tc>
          <w:tcPr>
            <w:tcW w:w="45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13</w:t>
            </w:r>
          </w:p>
        </w:tc>
        <w:tc>
          <w:tcPr>
            <w:tcW w:w="747"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160</w:t>
            </w:r>
          </w:p>
        </w:tc>
        <w:tc>
          <w:tcPr>
            <w:tcW w:w="60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3</w:t>
            </w:r>
          </w:p>
        </w:tc>
        <w:tc>
          <w:tcPr>
            <w:tcW w:w="77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74</w:t>
            </w:r>
          </w:p>
        </w:tc>
        <w:tc>
          <w:tcPr>
            <w:tcW w:w="58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p>
        </w:tc>
        <w:tc>
          <w:tcPr>
            <w:tcW w:w="792"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47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16</w:t>
            </w:r>
          </w:p>
        </w:tc>
        <w:tc>
          <w:tcPr>
            <w:tcW w:w="90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234</w:t>
            </w:r>
          </w:p>
        </w:tc>
      </w:tr>
      <w:tr w:rsidR="00510B10" w:rsidRPr="00743A41" w:rsidTr="00F026B3">
        <w:trPr>
          <w:trHeight w:val="460"/>
        </w:trPr>
        <w:tc>
          <w:tcPr>
            <w:tcW w:w="720" w:type="dxa"/>
            <w:vMerge/>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p>
        </w:tc>
        <w:tc>
          <w:tcPr>
            <w:tcW w:w="720" w:type="dxa"/>
            <w:vMerge/>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1165" w:type="dxa"/>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Library/</w:t>
            </w:r>
            <w:r w:rsidR="00510B10" w:rsidRPr="00743A41">
              <w:rPr>
                <w:rFonts w:asciiTheme="majorHAnsi" w:eastAsia="Times New Roman" w:hAnsiTheme="majorHAnsi" w:cstheme="majorHAnsi"/>
                <w:bCs/>
                <w:sz w:val="20"/>
                <w:szCs w:val="20"/>
              </w:rPr>
              <w:t xml:space="preserve"> Writing Center</w:t>
            </w:r>
          </w:p>
        </w:tc>
        <w:tc>
          <w:tcPr>
            <w:tcW w:w="45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6</w:t>
            </w:r>
          </w:p>
        </w:tc>
        <w:tc>
          <w:tcPr>
            <w:tcW w:w="747"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30</w:t>
            </w:r>
          </w:p>
        </w:tc>
        <w:tc>
          <w:tcPr>
            <w:tcW w:w="60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1</w:t>
            </w:r>
          </w:p>
        </w:tc>
        <w:tc>
          <w:tcPr>
            <w:tcW w:w="77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24</w:t>
            </w:r>
          </w:p>
        </w:tc>
        <w:tc>
          <w:tcPr>
            <w:tcW w:w="58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p>
        </w:tc>
        <w:tc>
          <w:tcPr>
            <w:tcW w:w="792"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47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7</w:t>
            </w:r>
          </w:p>
        </w:tc>
        <w:tc>
          <w:tcPr>
            <w:tcW w:w="90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54</w:t>
            </w:r>
          </w:p>
        </w:tc>
      </w:tr>
      <w:tr w:rsidR="00510B10" w:rsidRPr="00743A41" w:rsidTr="00F026B3">
        <w:trPr>
          <w:trHeight w:val="305"/>
        </w:trPr>
        <w:tc>
          <w:tcPr>
            <w:tcW w:w="720" w:type="dxa"/>
            <w:vMerge/>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p>
        </w:tc>
        <w:tc>
          <w:tcPr>
            <w:tcW w:w="720" w:type="dxa"/>
            <w:vMerge/>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1165" w:type="dxa"/>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Study Rooms</w:t>
            </w:r>
          </w:p>
        </w:tc>
        <w:tc>
          <w:tcPr>
            <w:tcW w:w="45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p>
        </w:tc>
        <w:tc>
          <w:tcPr>
            <w:tcW w:w="747"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60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77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58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792"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47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sz w:val="20"/>
                <w:szCs w:val="20"/>
              </w:rPr>
            </w:pPr>
          </w:p>
        </w:tc>
        <w:tc>
          <w:tcPr>
            <w:tcW w:w="90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sz w:val="20"/>
                <w:szCs w:val="20"/>
              </w:rPr>
            </w:pPr>
          </w:p>
        </w:tc>
      </w:tr>
      <w:tr w:rsidR="00510B10" w:rsidRPr="00743A41" w:rsidTr="00F026B3">
        <w:trPr>
          <w:trHeight w:val="460"/>
        </w:trPr>
        <w:tc>
          <w:tcPr>
            <w:tcW w:w="720" w:type="dxa"/>
            <w:vMerge/>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sz w:val="20"/>
                <w:szCs w:val="20"/>
              </w:rPr>
            </w:pPr>
          </w:p>
        </w:tc>
        <w:tc>
          <w:tcPr>
            <w:tcW w:w="720" w:type="dxa"/>
            <w:vMerge/>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1165" w:type="dxa"/>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Demo Kitchen</w:t>
            </w:r>
          </w:p>
        </w:tc>
        <w:tc>
          <w:tcPr>
            <w:tcW w:w="45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p>
        </w:tc>
        <w:tc>
          <w:tcPr>
            <w:tcW w:w="747"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60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1</w:t>
            </w:r>
          </w:p>
        </w:tc>
        <w:tc>
          <w:tcPr>
            <w:tcW w:w="77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30</w:t>
            </w:r>
          </w:p>
        </w:tc>
        <w:tc>
          <w:tcPr>
            <w:tcW w:w="58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p>
        </w:tc>
        <w:tc>
          <w:tcPr>
            <w:tcW w:w="792"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47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1</w:t>
            </w:r>
          </w:p>
        </w:tc>
        <w:tc>
          <w:tcPr>
            <w:tcW w:w="90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30</w:t>
            </w:r>
          </w:p>
        </w:tc>
      </w:tr>
      <w:tr w:rsidR="00510B10" w:rsidRPr="00743A41" w:rsidTr="00F026B3">
        <w:trPr>
          <w:trHeight w:val="460"/>
        </w:trPr>
        <w:tc>
          <w:tcPr>
            <w:tcW w:w="720" w:type="dxa"/>
            <w:vMerge/>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p>
        </w:tc>
        <w:tc>
          <w:tcPr>
            <w:tcW w:w="720" w:type="dxa"/>
            <w:vMerge/>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1165" w:type="dxa"/>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Simulation Lab</w:t>
            </w:r>
          </w:p>
        </w:tc>
        <w:tc>
          <w:tcPr>
            <w:tcW w:w="45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1</w:t>
            </w:r>
          </w:p>
        </w:tc>
        <w:tc>
          <w:tcPr>
            <w:tcW w:w="747"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10</w:t>
            </w:r>
          </w:p>
        </w:tc>
        <w:tc>
          <w:tcPr>
            <w:tcW w:w="60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p>
        </w:tc>
        <w:tc>
          <w:tcPr>
            <w:tcW w:w="77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58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792"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47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1</w:t>
            </w:r>
          </w:p>
        </w:tc>
        <w:tc>
          <w:tcPr>
            <w:tcW w:w="90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10</w:t>
            </w:r>
          </w:p>
        </w:tc>
      </w:tr>
      <w:tr w:rsidR="00510B10" w:rsidRPr="00743A41" w:rsidTr="00F026B3">
        <w:trPr>
          <w:trHeight w:val="320"/>
        </w:trPr>
        <w:tc>
          <w:tcPr>
            <w:tcW w:w="720" w:type="dxa"/>
            <w:vMerge/>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p>
        </w:tc>
        <w:tc>
          <w:tcPr>
            <w:tcW w:w="720" w:type="dxa"/>
            <w:vMerge/>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1165" w:type="dxa"/>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Teaching Lab</w:t>
            </w:r>
          </w:p>
        </w:tc>
        <w:tc>
          <w:tcPr>
            <w:tcW w:w="45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1</w:t>
            </w:r>
          </w:p>
        </w:tc>
        <w:tc>
          <w:tcPr>
            <w:tcW w:w="747"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10</w:t>
            </w:r>
          </w:p>
        </w:tc>
        <w:tc>
          <w:tcPr>
            <w:tcW w:w="60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p>
        </w:tc>
        <w:tc>
          <w:tcPr>
            <w:tcW w:w="77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58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792"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47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1</w:t>
            </w:r>
          </w:p>
        </w:tc>
        <w:tc>
          <w:tcPr>
            <w:tcW w:w="90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10</w:t>
            </w:r>
          </w:p>
        </w:tc>
      </w:tr>
      <w:tr w:rsidR="00510B10" w:rsidRPr="00743A41" w:rsidTr="00F026B3">
        <w:trPr>
          <w:trHeight w:val="460"/>
        </w:trPr>
        <w:tc>
          <w:tcPr>
            <w:tcW w:w="720" w:type="dxa"/>
            <w:vMerge/>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p>
        </w:tc>
        <w:tc>
          <w:tcPr>
            <w:tcW w:w="720" w:type="dxa"/>
            <w:vMerge/>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1165" w:type="dxa"/>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Holistic Garden</w:t>
            </w:r>
          </w:p>
        </w:tc>
        <w:tc>
          <w:tcPr>
            <w:tcW w:w="45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1</w:t>
            </w:r>
          </w:p>
        </w:tc>
        <w:tc>
          <w:tcPr>
            <w:tcW w:w="747"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10</w:t>
            </w:r>
          </w:p>
        </w:tc>
        <w:tc>
          <w:tcPr>
            <w:tcW w:w="60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p>
        </w:tc>
        <w:tc>
          <w:tcPr>
            <w:tcW w:w="77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58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792"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47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1</w:t>
            </w:r>
          </w:p>
        </w:tc>
        <w:tc>
          <w:tcPr>
            <w:tcW w:w="90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10</w:t>
            </w:r>
          </w:p>
        </w:tc>
      </w:tr>
      <w:tr w:rsidR="00510B10" w:rsidRPr="00743A41" w:rsidTr="00F026B3">
        <w:trPr>
          <w:trHeight w:val="230"/>
        </w:trPr>
        <w:tc>
          <w:tcPr>
            <w:tcW w:w="720" w:type="dxa"/>
            <w:vMerge/>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color w:val="000000"/>
                <w:sz w:val="20"/>
                <w:szCs w:val="20"/>
              </w:rPr>
            </w:pPr>
          </w:p>
        </w:tc>
        <w:tc>
          <w:tcPr>
            <w:tcW w:w="720" w:type="dxa"/>
            <w:vMerge w:val="restart"/>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UCT</w:t>
            </w:r>
          </w:p>
        </w:tc>
        <w:tc>
          <w:tcPr>
            <w:tcW w:w="1165" w:type="dxa"/>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Classrooms</w:t>
            </w:r>
          </w:p>
        </w:tc>
        <w:tc>
          <w:tcPr>
            <w:tcW w:w="45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3</w:t>
            </w:r>
          </w:p>
        </w:tc>
        <w:tc>
          <w:tcPr>
            <w:tcW w:w="747"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36</w:t>
            </w:r>
          </w:p>
        </w:tc>
        <w:tc>
          <w:tcPr>
            <w:tcW w:w="60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p>
        </w:tc>
        <w:tc>
          <w:tcPr>
            <w:tcW w:w="77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58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1</w:t>
            </w:r>
          </w:p>
        </w:tc>
        <w:tc>
          <w:tcPr>
            <w:tcW w:w="792"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40</w:t>
            </w:r>
          </w:p>
        </w:tc>
        <w:tc>
          <w:tcPr>
            <w:tcW w:w="47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4</w:t>
            </w:r>
          </w:p>
        </w:tc>
        <w:tc>
          <w:tcPr>
            <w:tcW w:w="90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76</w:t>
            </w:r>
          </w:p>
        </w:tc>
      </w:tr>
      <w:tr w:rsidR="00510B10" w:rsidRPr="00743A41" w:rsidTr="00F026B3">
        <w:trPr>
          <w:trHeight w:val="460"/>
        </w:trPr>
        <w:tc>
          <w:tcPr>
            <w:tcW w:w="720" w:type="dxa"/>
            <w:vMerge/>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p>
        </w:tc>
        <w:tc>
          <w:tcPr>
            <w:tcW w:w="720" w:type="dxa"/>
            <w:vMerge/>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1165" w:type="dxa"/>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Conference Rooms</w:t>
            </w:r>
          </w:p>
        </w:tc>
        <w:tc>
          <w:tcPr>
            <w:tcW w:w="45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2</w:t>
            </w:r>
          </w:p>
        </w:tc>
        <w:tc>
          <w:tcPr>
            <w:tcW w:w="747"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20</w:t>
            </w:r>
          </w:p>
        </w:tc>
        <w:tc>
          <w:tcPr>
            <w:tcW w:w="60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p>
        </w:tc>
        <w:tc>
          <w:tcPr>
            <w:tcW w:w="77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58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792"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47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2</w:t>
            </w:r>
          </w:p>
        </w:tc>
        <w:tc>
          <w:tcPr>
            <w:tcW w:w="90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20</w:t>
            </w:r>
          </w:p>
        </w:tc>
      </w:tr>
      <w:tr w:rsidR="00510B10" w:rsidRPr="00743A41" w:rsidTr="00F026B3">
        <w:trPr>
          <w:trHeight w:val="230"/>
        </w:trPr>
        <w:tc>
          <w:tcPr>
            <w:tcW w:w="720" w:type="dxa"/>
            <w:vMerge w:val="restart"/>
            <w:shd w:val="clear" w:color="auto" w:fill="F2F2F2" w:themeFill="background1" w:themeFillShade="F2"/>
            <w:tcMar>
              <w:left w:w="0" w:type="dxa"/>
              <w:right w:w="0" w:type="dxa"/>
            </w:tcMar>
            <w:vAlign w:val="center"/>
            <w:hideMark/>
          </w:tcPr>
          <w:p w:rsidR="00E15FA1" w:rsidRPr="00743A41" w:rsidRDefault="00E15FA1"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Austin Campus</w:t>
            </w:r>
          </w:p>
        </w:tc>
        <w:tc>
          <w:tcPr>
            <w:tcW w:w="72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UTA</w:t>
            </w:r>
          </w:p>
        </w:tc>
        <w:tc>
          <w:tcPr>
            <w:tcW w:w="1165" w:type="dxa"/>
            <w:shd w:val="clear" w:color="auto" w:fill="F2F2F2" w:themeFill="background1" w:themeFillShade="F2"/>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Classroom</w:t>
            </w:r>
            <w:r w:rsidR="00510B10" w:rsidRPr="00743A41">
              <w:rPr>
                <w:rFonts w:asciiTheme="majorHAnsi" w:eastAsia="Times New Roman" w:hAnsiTheme="majorHAnsi" w:cstheme="majorHAnsi"/>
                <w:bCs/>
                <w:sz w:val="20"/>
                <w:szCs w:val="20"/>
              </w:rPr>
              <w:t>s</w:t>
            </w:r>
          </w:p>
        </w:tc>
        <w:tc>
          <w:tcPr>
            <w:tcW w:w="45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1</w:t>
            </w:r>
          </w:p>
        </w:tc>
        <w:tc>
          <w:tcPr>
            <w:tcW w:w="747"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12</w:t>
            </w:r>
          </w:p>
        </w:tc>
        <w:tc>
          <w:tcPr>
            <w:tcW w:w="603"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4</w:t>
            </w:r>
          </w:p>
        </w:tc>
        <w:tc>
          <w:tcPr>
            <w:tcW w:w="77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100</w:t>
            </w:r>
          </w:p>
        </w:tc>
        <w:tc>
          <w:tcPr>
            <w:tcW w:w="58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p>
        </w:tc>
        <w:tc>
          <w:tcPr>
            <w:tcW w:w="792"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473"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5</w:t>
            </w:r>
          </w:p>
        </w:tc>
        <w:tc>
          <w:tcPr>
            <w:tcW w:w="90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112</w:t>
            </w:r>
          </w:p>
        </w:tc>
      </w:tr>
      <w:tr w:rsidR="00510B10" w:rsidRPr="00743A41" w:rsidTr="00F026B3">
        <w:trPr>
          <w:trHeight w:val="230"/>
        </w:trPr>
        <w:tc>
          <w:tcPr>
            <w:tcW w:w="720" w:type="dxa"/>
            <w:vMerge/>
            <w:shd w:val="clear" w:color="auto" w:fill="F2F2F2" w:themeFill="background1" w:themeFillShade="F2"/>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p>
        </w:tc>
        <w:tc>
          <w:tcPr>
            <w:tcW w:w="72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WFB</w:t>
            </w:r>
          </w:p>
        </w:tc>
        <w:tc>
          <w:tcPr>
            <w:tcW w:w="1165" w:type="dxa"/>
            <w:shd w:val="clear" w:color="auto" w:fill="F2F2F2" w:themeFill="background1" w:themeFillShade="F2"/>
            <w:tcMar>
              <w:left w:w="0" w:type="dxa"/>
              <w:right w:w="0" w:type="dxa"/>
            </w:tcMar>
            <w:vAlign w:val="center"/>
            <w:hideMark/>
          </w:tcPr>
          <w:p w:rsidR="00E15FA1" w:rsidRPr="00743A41" w:rsidRDefault="00510B10"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Classrooms</w:t>
            </w:r>
          </w:p>
        </w:tc>
        <w:tc>
          <w:tcPr>
            <w:tcW w:w="45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3</w:t>
            </w:r>
          </w:p>
        </w:tc>
        <w:tc>
          <w:tcPr>
            <w:tcW w:w="747"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38</w:t>
            </w:r>
          </w:p>
        </w:tc>
        <w:tc>
          <w:tcPr>
            <w:tcW w:w="603"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p>
        </w:tc>
        <w:tc>
          <w:tcPr>
            <w:tcW w:w="77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58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792"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473"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3</w:t>
            </w:r>
          </w:p>
        </w:tc>
        <w:tc>
          <w:tcPr>
            <w:tcW w:w="90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38</w:t>
            </w:r>
          </w:p>
        </w:tc>
      </w:tr>
      <w:tr w:rsidR="00510B10" w:rsidRPr="00743A41" w:rsidTr="00F026B3">
        <w:trPr>
          <w:trHeight w:val="230"/>
        </w:trPr>
        <w:tc>
          <w:tcPr>
            <w:tcW w:w="720" w:type="dxa"/>
            <w:vMerge/>
            <w:shd w:val="clear" w:color="auto" w:fill="F2F2F2" w:themeFill="background1" w:themeFillShade="F2"/>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p>
        </w:tc>
        <w:tc>
          <w:tcPr>
            <w:tcW w:w="72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GSP</w:t>
            </w:r>
          </w:p>
        </w:tc>
        <w:tc>
          <w:tcPr>
            <w:tcW w:w="1165" w:type="dxa"/>
            <w:shd w:val="clear" w:color="auto" w:fill="F2F2F2" w:themeFill="background1" w:themeFillShade="F2"/>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Classroom</w:t>
            </w:r>
            <w:r w:rsidR="00510B10" w:rsidRPr="00743A41">
              <w:rPr>
                <w:rFonts w:asciiTheme="majorHAnsi" w:eastAsia="Times New Roman" w:hAnsiTheme="majorHAnsi" w:cstheme="majorHAnsi"/>
                <w:bCs/>
                <w:sz w:val="20"/>
                <w:szCs w:val="20"/>
              </w:rPr>
              <w:t>s</w:t>
            </w:r>
          </w:p>
        </w:tc>
        <w:tc>
          <w:tcPr>
            <w:tcW w:w="45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2</w:t>
            </w:r>
          </w:p>
        </w:tc>
        <w:tc>
          <w:tcPr>
            <w:tcW w:w="747"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20</w:t>
            </w:r>
          </w:p>
        </w:tc>
        <w:tc>
          <w:tcPr>
            <w:tcW w:w="603"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1</w:t>
            </w:r>
          </w:p>
        </w:tc>
        <w:tc>
          <w:tcPr>
            <w:tcW w:w="77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24</w:t>
            </w:r>
          </w:p>
        </w:tc>
        <w:tc>
          <w:tcPr>
            <w:tcW w:w="58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p>
        </w:tc>
        <w:tc>
          <w:tcPr>
            <w:tcW w:w="792"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473"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3</w:t>
            </w:r>
          </w:p>
        </w:tc>
        <w:tc>
          <w:tcPr>
            <w:tcW w:w="90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44</w:t>
            </w:r>
          </w:p>
        </w:tc>
      </w:tr>
      <w:tr w:rsidR="00510B10" w:rsidRPr="00743A41" w:rsidTr="00F026B3">
        <w:trPr>
          <w:trHeight w:val="230"/>
        </w:trPr>
        <w:tc>
          <w:tcPr>
            <w:tcW w:w="720" w:type="dxa"/>
            <w:vMerge w:val="restart"/>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Browns-ville Campus</w:t>
            </w:r>
          </w:p>
        </w:tc>
        <w:tc>
          <w:tcPr>
            <w:tcW w:w="720" w:type="dxa"/>
            <w:vMerge w:val="restart"/>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RAC</w:t>
            </w:r>
          </w:p>
        </w:tc>
        <w:tc>
          <w:tcPr>
            <w:tcW w:w="1165" w:type="dxa"/>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Classrooms</w:t>
            </w:r>
          </w:p>
        </w:tc>
        <w:tc>
          <w:tcPr>
            <w:tcW w:w="45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5</w:t>
            </w:r>
          </w:p>
        </w:tc>
        <w:tc>
          <w:tcPr>
            <w:tcW w:w="747"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50</w:t>
            </w:r>
          </w:p>
        </w:tc>
        <w:tc>
          <w:tcPr>
            <w:tcW w:w="60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1</w:t>
            </w:r>
          </w:p>
        </w:tc>
        <w:tc>
          <w:tcPr>
            <w:tcW w:w="77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34</w:t>
            </w:r>
          </w:p>
        </w:tc>
        <w:tc>
          <w:tcPr>
            <w:tcW w:w="58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2</w:t>
            </w:r>
          </w:p>
        </w:tc>
        <w:tc>
          <w:tcPr>
            <w:tcW w:w="792"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96</w:t>
            </w:r>
          </w:p>
        </w:tc>
        <w:tc>
          <w:tcPr>
            <w:tcW w:w="47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8</w:t>
            </w:r>
          </w:p>
        </w:tc>
        <w:tc>
          <w:tcPr>
            <w:tcW w:w="90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180</w:t>
            </w:r>
          </w:p>
        </w:tc>
      </w:tr>
      <w:tr w:rsidR="00510B10" w:rsidRPr="00743A41" w:rsidTr="00F026B3">
        <w:trPr>
          <w:trHeight w:val="460"/>
        </w:trPr>
        <w:tc>
          <w:tcPr>
            <w:tcW w:w="720" w:type="dxa"/>
            <w:vMerge/>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p>
        </w:tc>
        <w:tc>
          <w:tcPr>
            <w:tcW w:w="720" w:type="dxa"/>
            <w:vMerge/>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1165" w:type="dxa"/>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Conference Rooms</w:t>
            </w:r>
          </w:p>
        </w:tc>
        <w:tc>
          <w:tcPr>
            <w:tcW w:w="45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2</w:t>
            </w:r>
          </w:p>
        </w:tc>
        <w:tc>
          <w:tcPr>
            <w:tcW w:w="747"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34</w:t>
            </w:r>
          </w:p>
        </w:tc>
        <w:tc>
          <w:tcPr>
            <w:tcW w:w="60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p>
        </w:tc>
        <w:tc>
          <w:tcPr>
            <w:tcW w:w="77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58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792"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47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2</w:t>
            </w:r>
          </w:p>
        </w:tc>
        <w:tc>
          <w:tcPr>
            <w:tcW w:w="90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34</w:t>
            </w:r>
          </w:p>
        </w:tc>
      </w:tr>
      <w:tr w:rsidR="00510B10" w:rsidRPr="00743A41" w:rsidTr="00F026B3">
        <w:trPr>
          <w:trHeight w:val="314"/>
        </w:trPr>
        <w:tc>
          <w:tcPr>
            <w:tcW w:w="720" w:type="dxa"/>
            <w:vMerge/>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p>
        </w:tc>
        <w:tc>
          <w:tcPr>
            <w:tcW w:w="720" w:type="dxa"/>
            <w:vMerge/>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1165" w:type="dxa"/>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Teaching Lab</w:t>
            </w:r>
          </w:p>
        </w:tc>
        <w:tc>
          <w:tcPr>
            <w:tcW w:w="45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p>
        </w:tc>
        <w:tc>
          <w:tcPr>
            <w:tcW w:w="747"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60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77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58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1</w:t>
            </w:r>
          </w:p>
        </w:tc>
        <w:tc>
          <w:tcPr>
            <w:tcW w:w="792"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40</w:t>
            </w:r>
          </w:p>
        </w:tc>
        <w:tc>
          <w:tcPr>
            <w:tcW w:w="47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1</w:t>
            </w:r>
          </w:p>
        </w:tc>
        <w:tc>
          <w:tcPr>
            <w:tcW w:w="90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40</w:t>
            </w:r>
          </w:p>
        </w:tc>
      </w:tr>
      <w:tr w:rsidR="00510B10" w:rsidRPr="00743A41" w:rsidTr="00F026B3">
        <w:trPr>
          <w:trHeight w:val="460"/>
        </w:trPr>
        <w:tc>
          <w:tcPr>
            <w:tcW w:w="720" w:type="dxa"/>
            <w:vMerge/>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p>
        </w:tc>
        <w:tc>
          <w:tcPr>
            <w:tcW w:w="72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APW</w:t>
            </w:r>
          </w:p>
        </w:tc>
        <w:tc>
          <w:tcPr>
            <w:tcW w:w="1165" w:type="dxa"/>
            <w:shd w:val="clear" w:color="auto" w:fill="auto"/>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Conference Room</w:t>
            </w:r>
          </w:p>
        </w:tc>
        <w:tc>
          <w:tcPr>
            <w:tcW w:w="45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1</w:t>
            </w:r>
          </w:p>
        </w:tc>
        <w:tc>
          <w:tcPr>
            <w:tcW w:w="747"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20</w:t>
            </w:r>
          </w:p>
        </w:tc>
        <w:tc>
          <w:tcPr>
            <w:tcW w:w="60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p>
        </w:tc>
        <w:tc>
          <w:tcPr>
            <w:tcW w:w="77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58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792"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473"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1</w:t>
            </w:r>
          </w:p>
        </w:tc>
        <w:tc>
          <w:tcPr>
            <w:tcW w:w="900" w:type="dxa"/>
            <w:shd w:val="clear" w:color="auto" w:fill="auto"/>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20</w:t>
            </w:r>
          </w:p>
        </w:tc>
      </w:tr>
      <w:tr w:rsidR="00510B10" w:rsidRPr="00743A41" w:rsidTr="00F026B3">
        <w:trPr>
          <w:trHeight w:val="230"/>
        </w:trPr>
        <w:tc>
          <w:tcPr>
            <w:tcW w:w="720" w:type="dxa"/>
            <w:vMerge w:val="restart"/>
            <w:shd w:val="clear" w:color="auto" w:fill="F2F2F2" w:themeFill="background1" w:themeFillShade="F2"/>
            <w:tcMar>
              <w:left w:w="0" w:type="dxa"/>
              <w:right w:w="0" w:type="dxa"/>
            </w:tcMar>
            <w:vAlign w:val="center"/>
            <w:hideMark/>
          </w:tcPr>
          <w:p w:rsidR="00E15FA1" w:rsidRPr="00743A41" w:rsidRDefault="00E15FA1"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Dallas Campus</w:t>
            </w:r>
          </w:p>
        </w:tc>
        <w:tc>
          <w:tcPr>
            <w:tcW w:w="720" w:type="dxa"/>
            <w:vMerge w:val="restart"/>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00V</w:t>
            </w:r>
          </w:p>
        </w:tc>
        <w:tc>
          <w:tcPr>
            <w:tcW w:w="1165" w:type="dxa"/>
            <w:shd w:val="clear" w:color="auto" w:fill="F2F2F2" w:themeFill="background1" w:themeFillShade="F2"/>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Classrooms</w:t>
            </w:r>
          </w:p>
        </w:tc>
        <w:tc>
          <w:tcPr>
            <w:tcW w:w="45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3</w:t>
            </w:r>
          </w:p>
        </w:tc>
        <w:tc>
          <w:tcPr>
            <w:tcW w:w="747"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35</w:t>
            </w:r>
          </w:p>
        </w:tc>
        <w:tc>
          <w:tcPr>
            <w:tcW w:w="603"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2</w:t>
            </w:r>
          </w:p>
        </w:tc>
        <w:tc>
          <w:tcPr>
            <w:tcW w:w="77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55</w:t>
            </w:r>
          </w:p>
        </w:tc>
        <w:tc>
          <w:tcPr>
            <w:tcW w:w="58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p>
        </w:tc>
        <w:tc>
          <w:tcPr>
            <w:tcW w:w="792"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473"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5</w:t>
            </w:r>
          </w:p>
        </w:tc>
        <w:tc>
          <w:tcPr>
            <w:tcW w:w="90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90</w:t>
            </w:r>
          </w:p>
        </w:tc>
      </w:tr>
      <w:tr w:rsidR="00510B10" w:rsidRPr="00743A41" w:rsidTr="00F026B3">
        <w:trPr>
          <w:trHeight w:val="460"/>
        </w:trPr>
        <w:tc>
          <w:tcPr>
            <w:tcW w:w="720" w:type="dxa"/>
            <w:vMerge/>
            <w:shd w:val="clear" w:color="auto" w:fill="F2F2F2" w:themeFill="background1" w:themeFillShade="F2"/>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p>
        </w:tc>
        <w:tc>
          <w:tcPr>
            <w:tcW w:w="720" w:type="dxa"/>
            <w:vMerge/>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1165" w:type="dxa"/>
            <w:shd w:val="clear" w:color="auto" w:fill="F2F2F2" w:themeFill="background1" w:themeFillShade="F2"/>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Conference Rooms</w:t>
            </w:r>
          </w:p>
        </w:tc>
        <w:tc>
          <w:tcPr>
            <w:tcW w:w="45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2</w:t>
            </w:r>
          </w:p>
        </w:tc>
        <w:tc>
          <w:tcPr>
            <w:tcW w:w="747"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24</w:t>
            </w:r>
          </w:p>
        </w:tc>
        <w:tc>
          <w:tcPr>
            <w:tcW w:w="603"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p>
        </w:tc>
        <w:tc>
          <w:tcPr>
            <w:tcW w:w="77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58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792"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473"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2</w:t>
            </w:r>
          </w:p>
        </w:tc>
        <w:tc>
          <w:tcPr>
            <w:tcW w:w="90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24</w:t>
            </w:r>
          </w:p>
        </w:tc>
      </w:tr>
      <w:tr w:rsidR="00510B10" w:rsidRPr="00743A41" w:rsidTr="00F026B3">
        <w:trPr>
          <w:trHeight w:val="230"/>
        </w:trPr>
        <w:tc>
          <w:tcPr>
            <w:tcW w:w="720" w:type="dxa"/>
            <w:vMerge/>
            <w:shd w:val="clear" w:color="auto" w:fill="F2F2F2" w:themeFill="background1" w:themeFillShade="F2"/>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p>
        </w:tc>
        <w:tc>
          <w:tcPr>
            <w:tcW w:w="720" w:type="dxa"/>
            <w:vMerge w:val="restart"/>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0BL</w:t>
            </w:r>
          </w:p>
        </w:tc>
        <w:tc>
          <w:tcPr>
            <w:tcW w:w="1165" w:type="dxa"/>
            <w:shd w:val="clear" w:color="auto" w:fill="F2F2F2" w:themeFill="background1" w:themeFillShade="F2"/>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Classroom</w:t>
            </w:r>
          </w:p>
        </w:tc>
        <w:tc>
          <w:tcPr>
            <w:tcW w:w="45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1</w:t>
            </w:r>
          </w:p>
        </w:tc>
        <w:tc>
          <w:tcPr>
            <w:tcW w:w="747"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10</w:t>
            </w:r>
          </w:p>
        </w:tc>
        <w:tc>
          <w:tcPr>
            <w:tcW w:w="603"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p>
        </w:tc>
        <w:tc>
          <w:tcPr>
            <w:tcW w:w="77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58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792"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473"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1</w:t>
            </w:r>
          </w:p>
        </w:tc>
        <w:tc>
          <w:tcPr>
            <w:tcW w:w="90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10</w:t>
            </w:r>
          </w:p>
        </w:tc>
      </w:tr>
      <w:tr w:rsidR="00510B10" w:rsidRPr="00743A41" w:rsidTr="00F026B3">
        <w:trPr>
          <w:trHeight w:val="460"/>
        </w:trPr>
        <w:tc>
          <w:tcPr>
            <w:tcW w:w="720" w:type="dxa"/>
            <w:vMerge/>
            <w:shd w:val="clear" w:color="auto" w:fill="F2F2F2" w:themeFill="background1" w:themeFillShade="F2"/>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p>
        </w:tc>
        <w:tc>
          <w:tcPr>
            <w:tcW w:w="720" w:type="dxa"/>
            <w:vMerge/>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1165" w:type="dxa"/>
            <w:shd w:val="clear" w:color="auto" w:fill="F2F2F2" w:themeFill="background1" w:themeFillShade="F2"/>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Conference Room</w:t>
            </w:r>
          </w:p>
        </w:tc>
        <w:tc>
          <w:tcPr>
            <w:tcW w:w="45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1</w:t>
            </w:r>
          </w:p>
        </w:tc>
        <w:tc>
          <w:tcPr>
            <w:tcW w:w="747"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10</w:t>
            </w:r>
          </w:p>
        </w:tc>
        <w:tc>
          <w:tcPr>
            <w:tcW w:w="603"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p>
        </w:tc>
        <w:tc>
          <w:tcPr>
            <w:tcW w:w="77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58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792"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473"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1</w:t>
            </w:r>
          </w:p>
        </w:tc>
        <w:tc>
          <w:tcPr>
            <w:tcW w:w="90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10</w:t>
            </w:r>
          </w:p>
        </w:tc>
      </w:tr>
      <w:tr w:rsidR="00542AB9" w:rsidRPr="00743A41" w:rsidTr="00F026B3">
        <w:trPr>
          <w:trHeight w:val="323"/>
        </w:trPr>
        <w:tc>
          <w:tcPr>
            <w:tcW w:w="720" w:type="dxa"/>
            <w:shd w:val="clear" w:color="auto" w:fill="auto"/>
            <w:tcMar>
              <w:left w:w="0" w:type="dxa"/>
              <w:right w:w="0" w:type="dxa"/>
            </w:tcMar>
            <w:vAlign w:val="center"/>
            <w:hideMark/>
          </w:tcPr>
          <w:p w:rsidR="00542AB9" w:rsidRPr="00743A41" w:rsidRDefault="00542AB9"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El Paso Campus</w:t>
            </w:r>
          </w:p>
        </w:tc>
        <w:tc>
          <w:tcPr>
            <w:tcW w:w="720" w:type="dxa"/>
            <w:shd w:val="clear" w:color="auto" w:fill="auto"/>
            <w:tcMar>
              <w:left w:w="0" w:type="dxa"/>
              <w:right w:w="0" w:type="dxa"/>
            </w:tcMar>
            <w:vAlign w:val="center"/>
            <w:hideMark/>
          </w:tcPr>
          <w:p w:rsidR="00542AB9" w:rsidRPr="00743A41" w:rsidRDefault="00542AB9"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MCA</w:t>
            </w:r>
          </w:p>
        </w:tc>
        <w:tc>
          <w:tcPr>
            <w:tcW w:w="1165" w:type="dxa"/>
            <w:shd w:val="clear" w:color="auto" w:fill="auto"/>
            <w:tcMar>
              <w:left w:w="0" w:type="dxa"/>
              <w:right w:w="0" w:type="dxa"/>
            </w:tcMar>
            <w:vAlign w:val="center"/>
            <w:hideMark/>
          </w:tcPr>
          <w:p w:rsidR="00542AB9" w:rsidRPr="00743A41" w:rsidRDefault="00542AB9"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Classrooms</w:t>
            </w:r>
          </w:p>
        </w:tc>
        <w:tc>
          <w:tcPr>
            <w:tcW w:w="450" w:type="dxa"/>
            <w:shd w:val="clear" w:color="auto" w:fill="auto"/>
            <w:tcMar>
              <w:left w:w="0" w:type="dxa"/>
              <w:right w:w="0" w:type="dxa"/>
            </w:tcMar>
            <w:vAlign w:val="center"/>
            <w:hideMark/>
          </w:tcPr>
          <w:p w:rsidR="00542AB9" w:rsidRPr="00743A41" w:rsidRDefault="00542AB9"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1</w:t>
            </w:r>
          </w:p>
        </w:tc>
        <w:tc>
          <w:tcPr>
            <w:tcW w:w="747" w:type="dxa"/>
            <w:shd w:val="clear" w:color="auto" w:fill="auto"/>
            <w:tcMar>
              <w:left w:w="0" w:type="dxa"/>
              <w:right w:w="0" w:type="dxa"/>
            </w:tcMar>
            <w:vAlign w:val="center"/>
            <w:hideMark/>
          </w:tcPr>
          <w:p w:rsidR="00542AB9" w:rsidRPr="00743A41" w:rsidRDefault="00542AB9"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8</w:t>
            </w:r>
          </w:p>
        </w:tc>
        <w:tc>
          <w:tcPr>
            <w:tcW w:w="603" w:type="dxa"/>
            <w:shd w:val="clear" w:color="auto" w:fill="auto"/>
            <w:tcMar>
              <w:left w:w="0" w:type="dxa"/>
              <w:right w:w="0" w:type="dxa"/>
            </w:tcMar>
            <w:vAlign w:val="center"/>
            <w:hideMark/>
          </w:tcPr>
          <w:p w:rsidR="00542AB9" w:rsidRPr="00743A41" w:rsidRDefault="00542AB9" w:rsidP="00A37ED6">
            <w:pPr>
              <w:jc w:val="center"/>
              <w:rPr>
                <w:rFonts w:asciiTheme="majorHAnsi" w:eastAsia="Times New Roman" w:hAnsiTheme="majorHAnsi" w:cstheme="majorHAnsi"/>
                <w:bCs/>
                <w:sz w:val="20"/>
                <w:szCs w:val="20"/>
              </w:rPr>
            </w:pPr>
          </w:p>
        </w:tc>
        <w:tc>
          <w:tcPr>
            <w:tcW w:w="770" w:type="dxa"/>
            <w:shd w:val="clear" w:color="auto" w:fill="auto"/>
            <w:tcMar>
              <w:left w:w="0" w:type="dxa"/>
              <w:right w:w="0" w:type="dxa"/>
            </w:tcMar>
            <w:vAlign w:val="center"/>
            <w:hideMark/>
          </w:tcPr>
          <w:p w:rsidR="00542AB9" w:rsidRPr="00743A41" w:rsidRDefault="00542AB9" w:rsidP="00A37ED6">
            <w:pPr>
              <w:jc w:val="center"/>
              <w:rPr>
                <w:rFonts w:asciiTheme="majorHAnsi" w:eastAsia="Times New Roman" w:hAnsiTheme="majorHAnsi" w:cstheme="majorHAnsi"/>
                <w:sz w:val="20"/>
                <w:szCs w:val="20"/>
              </w:rPr>
            </w:pPr>
          </w:p>
        </w:tc>
        <w:tc>
          <w:tcPr>
            <w:tcW w:w="580" w:type="dxa"/>
            <w:shd w:val="clear" w:color="auto" w:fill="auto"/>
            <w:tcMar>
              <w:left w:w="0" w:type="dxa"/>
              <w:right w:w="0" w:type="dxa"/>
            </w:tcMar>
            <w:vAlign w:val="center"/>
            <w:hideMark/>
          </w:tcPr>
          <w:p w:rsidR="00542AB9" w:rsidRPr="00743A41" w:rsidRDefault="00542AB9" w:rsidP="00A37ED6">
            <w:pPr>
              <w:jc w:val="center"/>
              <w:rPr>
                <w:rFonts w:asciiTheme="majorHAnsi" w:eastAsia="Times New Roman" w:hAnsiTheme="majorHAnsi" w:cstheme="majorHAnsi"/>
                <w:sz w:val="20"/>
                <w:szCs w:val="20"/>
              </w:rPr>
            </w:pPr>
          </w:p>
        </w:tc>
        <w:tc>
          <w:tcPr>
            <w:tcW w:w="792" w:type="dxa"/>
            <w:shd w:val="clear" w:color="auto" w:fill="auto"/>
            <w:tcMar>
              <w:left w:w="0" w:type="dxa"/>
              <w:right w:w="0" w:type="dxa"/>
            </w:tcMar>
            <w:vAlign w:val="center"/>
            <w:hideMark/>
          </w:tcPr>
          <w:p w:rsidR="00542AB9" w:rsidRPr="00743A41" w:rsidRDefault="00542AB9" w:rsidP="00A37ED6">
            <w:pPr>
              <w:jc w:val="center"/>
              <w:rPr>
                <w:rFonts w:asciiTheme="majorHAnsi" w:eastAsia="Times New Roman" w:hAnsiTheme="majorHAnsi" w:cstheme="majorHAnsi"/>
                <w:sz w:val="20"/>
                <w:szCs w:val="20"/>
              </w:rPr>
            </w:pPr>
          </w:p>
        </w:tc>
        <w:tc>
          <w:tcPr>
            <w:tcW w:w="473" w:type="dxa"/>
            <w:shd w:val="clear" w:color="auto" w:fill="auto"/>
            <w:tcMar>
              <w:left w:w="0" w:type="dxa"/>
              <w:right w:w="0" w:type="dxa"/>
            </w:tcMar>
            <w:vAlign w:val="center"/>
            <w:hideMark/>
          </w:tcPr>
          <w:p w:rsidR="00542AB9" w:rsidRPr="00743A41" w:rsidRDefault="00542AB9"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1</w:t>
            </w:r>
          </w:p>
        </w:tc>
        <w:tc>
          <w:tcPr>
            <w:tcW w:w="900" w:type="dxa"/>
            <w:shd w:val="clear" w:color="auto" w:fill="auto"/>
            <w:tcMar>
              <w:left w:w="0" w:type="dxa"/>
              <w:right w:w="0" w:type="dxa"/>
            </w:tcMar>
            <w:vAlign w:val="center"/>
            <w:hideMark/>
          </w:tcPr>
          <w:p w:rsidR="00542AB9" w:rsidRPr="00743A41" w:rsidRDefault="00542AB9"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8</w:t>
            </w:r>
          </w:p>
        </w:tc>
      </w:tr>
      <w:tr w:rsidR="00510B10" w:rsidRPr="00743A41" w:rsidTr="00F026B3">
        <w:trPr>
          <w:trHeight w:val="287"/>
        </w:trPr>
        <w:tc>
          <w:tcPr>
            <w:tcW w:w="720" w:type="dxa"/>
            <w:vMerge w:val="restart"/>
            <w:shd w:val="clear" w:color="auto" w:fill="F2F2F2" w:themeFill="background1" w:themeFillShade="F2"/>
            <w:tcMar>
              <w:left w:w="0" w:type="dxa"/>
              <w:right w:w="0" w:type="dxa"/>
            </w:tcMar>
            <w:vAlign w:val="center"/>
            <w:hideMark/>
          </w:tcPr>
          <w:p w:rsidR="00E15FA1" w:rsidRPr="00743A41" w:rsidRDefault="00E15FA1"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San Antonio Campus</w:t>
            </w:r>
          </w:p>
        </w:tc>
        <w:tc>
          <w:tcPr>
            <w:tcW w:w="720" w:type="dxa"/>
            <w:vMerge w:val="restart"/>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OTC</w:t>
            </w:r>
          </w:p>
        </w:tc>
        <w:tc>
          <w:tcPr>
            <w:tcW w:w="1165" w:type="dxa"/>
            <w:shd w:val="clear" w:color="auto" w:fill="F2F2F2" w:themeFill="background1" w:themeFillShade="F2"/>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Classrooms</w:t>
            </w:r>
          </w:p>
        </w:tc>
        <w:tc>
          <w:tcPr>
            <w:tcW w:w="45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p>
        </w:tc>
        <w:tc>
          <w:tcPr>
            <w:tcW w:w="747"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603"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5</w:t>
            </w:r>
          </w:p>
        </w:tc>
        <w:tc>
          <w:tcPr>
            <w:tcW w:w="77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110</w:t>
            </w:r>
          </w:p>
        </w:tc>
        <w:tc>
          <w:tcPr>
            <w:tcW w:w="58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1</w:t>
            </w:r>
          </w:p>
        </w:tc>
        <w:tc>
          <w:tcPr>
            <w:tcW w:w="792"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48</w:t>
            </w:r>
          </w:p>
        </w:tc>
        <w:tc>
          <w:tcPr>
            <w:tcW w:w="473"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6</w:t>
            </w:r>
          </w:p>
        </w:tc>
        <w:tc>
          <w:tcPr>
            <w:tcW w:w="90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158</w:t>
            </w:r>
          </w:p>
        </w:tc>
      </w:tr>
      <w:tr w:rsidR="00510B10" w:rsidRPr="00743A41" w:rsidTr="00F026B3">
        <w:trPr>
          <w:trHeight w:val="460"/>
        </w:trPr>
        <w:tc>
          <w:tcPr>
            <w:tcW w:w="720" w:type="dxa"/>
            <w:vMerge/>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p>
        </w:tc>
        <w:tc>
          <w:tcPr>
            <w:tcW w:w="720" w:type="dxa"/>
            <w:vMerge/>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1165" w:type="dxa"/>
            <w:shd w:val="clear" w:color="auto" w:fill="F2F2F2" w:themeFill="background1" w:themeFillShade="F2"/>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Conference Room</w:t>
            </w:r>
          </w:p>
        </w:tc>
        <w:tc>
          <w:tcPr>
            <w:tcW w:w="45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p>
        </w:tc>
        <w:tc>
          <w:tcPr>
            <w:tcW w:w="747"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603"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1</w:t>
            </w:r>
          </w:p>
        </w:tc>
        <w:tc>
          <w:tcPr>
            <w:tcW w:w="77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20</w:t>
            </w:r>
          </w:p>
        </w:tc>
        <w:tc>
          <w:tcPr>
            <w:tcW w:w="58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p>
        </w:tc>
        <w:tc>
          <w:tcPr>
            <w:tcW w:w="792"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473"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1</w:t>
            </w:r>
          </w:p>
        </w:tc>
        <w:tc>
          <w:tcPr>
            <w:tcW w:w="90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20</w:t>
            </w:r>
          </w:p>
        </w:tc>
      </w:tr>
      <w:tr w:rsidR="00510B10" w:rsidRPr="00743A41" w:rsidTr="00F026B3">
        <w:trPr>
          <w:trHeight w:val="296"/>
        </w:trPr>
        <w:tc>
          <w:tcPr>
            <w:tcW w:w="720" w:type="dxa"/>
            <w:vMerge/>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sz w:val="20"/>
                <w:szCs w:val="20"/>
              </w:rPr>
            </w:pPr>
          </w:p>
        </w:tc>
        <w:tc>
          <w:tcPr>
            <w:tcW w:w="720" w:type="dxa"/>
            <w:vMerge/>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1165" w:type="dxa"/>
            <w:shd w:val="clear" w:color="auto" w:fill="F2F2F2" w:themeFill="background1" w:themeFillShade="F2"/>
            <w:tcMar>
              <w:left w:w="0" w:type="dxa"/>
              <w:right w:w="0" w:type="dxa"/>
            </w:tcMar>
            <w:vAlign w:val="center"/>
            <w:hideMark/>
          </w:tcPr>
          <w:p w:rsidR="00E15FA1" w:rsidRPr="00743A41" w:rsidRDefault="00E15FA1"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Teaching Lab</w:t>
            </w:r>
          </w:p>
        </w:tc>
        <w:tc>
          <w:tcPr>
            <w:tcW w:w="45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1</w:t>
            </w:r>
          </w:p>
        </w:tc>
        <w:tc>
          <w:tcPr>
            <w:tcW w:w="747"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4</w:t>
            </w:r>
          </w:p>
        </w:tc>
        <w:tc>
          <w:tcPr>
            <w:tcW w:w="603"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Cs/>
                <w:color w:val="000000"/>
                <w:sz w:val="20"/>
                <w:szCs w:val="20"/>
              </w:rPr>
            </w:pPr>
          </w:p>
        </w:tc>
        <w:tc>
          <w:tcPr>
            <w:tcW w:w="77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58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792"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sz w:val="20"/>
                <w:szCs w:val="20"/>
              </w:rPr>
            </w:pPr>
          </w:p>
        </w:tc>
        <w:tc>
          <w:tcPr>
            <w:tcW w:w="473"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1</w:t>
            </w:r>
          </w:p>
        </w:tc>
        <w:tc>
          <w:tcPr>
            <w:tcW w:w="900" w:type="dxa"/>
            <w:shd w:val="clear" w:color="auto" w:fill="F2F2F2" w:themeFill="background1" w:themeFillShade="F2"/>
            <w:tcMar>
              <w:left w:w="0" w:type="dxa"/>
              <w:right w:w="0" w:type="dxa"/>
            </w:tcMar>
            <w:vAlign w:val="center"/>
            <w:hideMark/>
          </w:tcPr>
          <w:p w:rsidR="00E15FA1" w:rsidRPr="00743A41" w:rsidRDefault="00E15FA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4</w:t>
            </w:r>
          </w:p>
        </w:tc>
      </w:tr>
      <w:tr w:rsidR="00542AB9" w:rsidRPr="00743A41" w:rsidTr="00F026B3">
        <w:trPr>
          <w:trHeight w:val="230"/>
        </w:trPr>
        <w:tc>
          <w:tcPr>
            <w:tcW w:w="2605" w:type="dxa"/>
            <w:gridSpan w:val="3"/>
            <w:shd w:val="clear" w:color="auto" w:fill="auto"/>
            <w:tcMar>
              <w:left w:w="0" w:type="dxa"/>
              <w:right w:w="0" w:type="dxa"/>
            </w:tcMar>
            <w:vAlign w:val="center"/>
            <w:hideMark/>
          </w:tcPr>
          <w:p w:rsidR="00542AB9" w:rsidRPr="00743A41" w:rsidRDefault="00542AB9" w:rsidP="00A37ED6">
            <w:pPr>
              <w:ind w:right="90"/>
              <w:jc w:val="right"/>
              <w:rPr>
                <w:rFonts w:asciiTheme="majorHAnsi" w:eastAsia="Times New Roman" w:hAnsiTheme="majorHAnsi" w:cstheme="majorHAnsi"/>
                <w:b/>
                <w:sz w:val="20"/>
                <w:szCs w:val="20"/>
              </w:rPr>
            </w:pPr>
            <w:r w:rsidRPr="00743A41">
              <w:rPr>
                <w:rFonts w:asciiTheme="majorHAnsi" w:eastAsia="Times New Roman" w:hAnsiTheme="majorHAnsi" w:cstheme="majorHAnsi"/>
                <w:b/>
                <w:sz w:val="20"/>
                <w:szCs w:val="20"/>
              </w:rPr>
              <w:t>Total</w:t>
            </w:r>
          </w:p>
        </w:tc>
        <w:tc>
          <w:tcPr>
            <w:tcW w:w="450" w:type="dxa"/>
            <w:shd w:val="clear" w:color="auto" w:fill="auto"/>
            <w:tcMar>
              <w:left w:w="0" w:type="dxa"/>
              <w:right w:w="0" w:type="dxa"/>
            </w:tcMar>
            <w:vAlign w:val="center"/>
            <w:hideMark/>
          </w:tcPr>
          <w:p w:rsidR="00542AB9" w:rsidRPr="00743A41" w:rsidRDefault="00542AB9"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54</w:t>
            </w:r>
          </w:p>
        </w:tc>
        <w:tc>
          <w:tcPr>
            <w:tcW w:w="747" w:type="dxa"/>
            <w:shd w:val="clear" w:color="auto" w:fill="auto"/>
            <w:tcMar>
              <w:left w:w="0" w:type="dxa"/>
              <w:right w:w="0" w:type="dxa"/>
            </w:tcMar>
            <w:vAlign w:val="center"/>
            <w:hideMark/>
          </w:tcPr>
          <w:p w:rsidR="00542AB9" w:rsidRPr="00743A41" w:rsidRDefault="00542AB9"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791</w:t>
            </w:r>
          </w:p>
        </w:tc>
        <w:tc>
          <w:tcPr>
            <w:tcW w:w="603" w:type="dxa"/>
            <w:shd w:val="clear" w:color="auto" w:fill="auto"/>
            <w:tcMar>
              <w:left w:w="0" w:type="dxa"/>
              <w:right w:w="0" w:type="dxa"/>
            </w:tcMar>
            <w:vAlign w:val="center"/>
            <w:hideMark/>
          </w:tcPr>
          <w:p w:rsidR="00542AB9" w:rsidRPr="00743A41" w:rsidRDefault="00542AB9"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25</w:t>
            </w:r>
          </w:p>
        </w:tc>
        <w:tc>
          <w:tcPr>
            <w:tcW w:w="770" w:type="dxa"/>
            <w:shd w:val="clear" w:color="auto" w:fill="auto"/>
            <w:tcMar>
              <w:left w:w="0" w:type="dxa"/>
              <w:right w:w="0" w:type="dxa"/>
            </w:tcMar>
            <w:vAlign w:val="center"/>
            <w:hideMark/>
          </w:tcPr>
          <w:p w:rsidR="00542AB9" w:rsidRPr="00743A41" w:rsidRDefault="00542AB9"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617</w:t>
            </w:r>
          </w:p>
        </w:tc>
        <w:tc>
          <w:tcPr>
            <w:tcW w:w="580" w:type="dxa"/>
            <w:shd w:val="clear" w:color="auto" w:fill="auto"/>
            <w:tcMar>
              <w:left w:w="0" w:type="dxa"/>
              <w:right w:w="0" w:type="dxa"/>
            </w:tcMar>
            <w:vAlign w:val="center"/>
            <w:hideMark/>
          </w:tcPr>
          <w:p w:rsidR="00542AB9" w:rsidRPr="00743A41" w:rsidRDefault="00542AB9"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15</w:t>
            </w:r>
          </w:p>
        </w:tc>
        <w:tc>
          <w:tcPr>
            <w:tcW w:w="792" w:type="dxa"/>
            <w:shd w:val="clear" w:color="auto" w:fill="auto"/>
            <w:tcMar>
              <w:left w:w="0" w:type="dxa"/>
              <w:right w:w="0" w:type="dxa"/>
            </w:tcMar>
            <w:vAlign w:val="center"/>
            <w:hideMark/>
          </w:tcPr>
          <w:p w:rsidR="00542AB9" w:rsidRPr="00743A41" w:rsidRDefault="00542AB9"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744</w:t>
            </w:r>
          </w:p>
        </w:tc>
        <w:tc>
          <w:tcPr>
            <w:tcW w:w="473" w:type="dxa"/>
            <w:shd w:val="clear" w:color="auto" w:fill="auto"/>
            <w:tcMar>
              <w:left w:w="0" w:type="dxa"/>
              <w:right w:w="0" w:type="dxa"/>
            </w:tcMar>
            <w:vAlign w:val="center"/>
            <w:hideMark/>
          </w:tcPr>
          <w:p w:rsidR="00542AB9" w:rsidRPr="00743A41" w:rsidRDefault="00542AB9"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94</w:t>
            </w:r>
          </w:p>
        </w:tc>
        <w:tc>
          <w:tcPr>
            <w:tcW w:w="900" w:type="dxa"/>
            <w:shd w:val="clear" w:color="auto" w:fill="auto"/>
            <w:tcMar>
              <w:left w:w="0" w:type="dxa"/>
              <w:right w:w="0" w:type="dxa"/>
            </w:tcMar>
            <w:vAlign w:val="center"/>
            <w:hideMark/>
          </w:tcPr>
          <w:p w:rsidR="00542AB9" w:rsidRPr="00743A41" w:rsidRDefault="00542AB9"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2,152</w:t>
            </w:r>
          </w:p>
        </w:tc>
      </w:tr>
    </w:tbl>
    <w:p w:rsidR="00C453D1" w:rsidRPr="00743A41" w:rsidRDefault="00C453D1" w:rsidP="00A37ED6">
      <w:pPr>
        <w:ind w:left="1350"/>
        <w:jc w:val="both"/>
        <w:rPr>
          <w:rFonts w:asciiTheme="majorHAnsi" w:eastAsia="Calibri" w:hAnsiTheme="majorHAnsi" w:cstheme="majorHAnsi"/>
          <w:sz w:val="20"/>
          <w:szCs w:val="20"/>
        </w:rPr>
      </w:pPr>
    </w:p>
    <w:p w:rsidR="00C453D1" w:rsidRPr="00743A41" w:rsidRDefault="00C453D1" w:rsidP="00A37ED6">
      <w:pPr>
        <w:ind w:left="1350"/>
        <w:jc w:val="both"/>
        <w:rPr>
          <w:rFonts w:asciiTheme="majorHAnsi" w:eastAsia="Calibri" w:hAnsiTheme="majorHAnsi" w:cstheme="majorHAnsi"/>
          <w:sz w:val="20"/>
          <w:szCs w:val="20"/>
        </w:rPr>
      </w:pPr>
    </w:p>
    <w:p w:rsidR="00C453D1" w:rsidRPr="00743A41" w:rsidRDefault="00C453D1" w:rsidP="00A37ED6">
      <w:pPr>
        <w:ind w:left="1350"/>
        <w:jc w:val="both"/>
        <w:rPr>
          <w:rFonts w:asciiTheme="majorHAnsi" w:eastAsia="Calibri" w:hAnsiTheme="majorHAnsi" w:cstheme="majorHAnsi"/>
          <w:sz w:val="20"/>
          <w:szCs w:val="20"/>
        </w:rPr>
      </w:pPr>
    </w:p>
    <w:p w:rsidR="00933038" w:rsidRPr="00743A41" w:rsidRDefault="00933038" w:rsidP="00A37ED6">
      <w:pPr>
        <w:numPr>
          <w:ilvl w:val="0"/>
          <w:numId w:val="15"/>
        </w:numPr>
        <w:ind w:left="135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Shared student space</w:t>
      </w:r>
    </w:p>
    <w:p w:rsidR="00933038" w:rsidRPr="00743A41" w:rsidRDefault="00933038" w:rsidP="00A37ED6">
      <w:pPr>
        <w:ind w:left="1350"/>
        <w:jc w:val="both"/>
        <w:rPr>
          <w:rFonts w:asciiTheme="majorHAnsi" w:eastAsia="Calibri" w:hAnsiTheme="majorHAnsi" w:cstheme="majorHAnsi"/>
          <w:sz w:val="20"/>
          <w:szCs w:val="20"/>
        </w:rPr>
      </w:pPr>
    </w:p>
    <w:p w:rsidR="00164A8A" w:rsidRPr="00743A41" w:rsidRDefault="00164A8A" w:rsidP="00A37ED6">
      <w:pPr>
        <w:keepNext/>
        <w:ind w:left="1350"/>
        <w:rPr>
          <w:rFonts w:asciiTheme="majorHAnsi" w:eastAsia="Calibri" w:hAnsiTheme="majorHAnsi" w:cstheme="majorHAnsi"/>
          <w:sz w:val="20"/>
          <w:szCs w:val="20"/>
        </w:rPr>
      </w:pPr>
      <w:r w:rsidRPr="00743A41">
        <w:rPr>
          <w:rFonts w:asciiTheme="majorHAnsi" w:eastAsia="Arial" w:hAnsiTheme="majorHAnsi" w:cstheme="majorHAnsi"/>
          <w:sz w:val="20"/>
          <w:szCs w:val="20"/>
        </w:rPr>
        <w:t xml:space="preserve">As shown in </w:t>
      </w:r>
      <w:hyperlink w:anchor="tablec41" w:history="1">
        <w:r w:rsidRPr="00743A41">
          <w:rPr>
            <w:rStyle w:val="Hyperlink"/>
            <w:rFonts w:asciiTheme="majorHAnsi" w:eastAsia="Arial" w:hAnsiTheme="majorHAnsi" w:cstheme="majorHAnsi"/>
            <w:sz w:val="20"/>
            <w:szCs w:val="20"/>
          </w:rPr>
          <w:t>Table C</w:t>
        </w:r>
        <w:r w:rsidR="003D7B72" w:rsidRPr="00743A41">
          <w:rPr>
            <w:rStyle w:val="Hyperlink"/>
            <w:rFonts w:asciiTheme="majorHAnsi" w:eastAsia="Arial" w:hAnsiTheme="majorHAnsi" w:cstheme="majorHAnsi"/>
            <w:sz w:val="20"/>
            <w:szCs w:val="20"/>
          </w:rPr>
          <w:t>.</w:t>
        </w:r>
        <w:r w:rsidRPr="00743A41">
          <w:rPr>
            <w:rStyle w:val="Hyperlink"/>
            <w:rFonts w:asciiTheme="majorHAnsi" w:eastAsia="Arial" w:hAnsiTheme="majorHAnsi" w:cstheme="majorHAnsi"/>
            <w:sz w:val="20"/>
            <w:szCs w:val="20"/>
          </w:rPr>
          <w:t>4.1.a</w:t>
        </w:r>
      </w:hyperlink>
      <w:r w:rsidRPr="00743A41">
        <w:rPr>
          <w:rFonts w:asciiTheme="majorHAnsi" w:eastAsia="Arial" w:hAnsiTheme="majorHAnsi" w:cstheme="majorHAnsi"/>
          <w:sz w:val="20"/>
          <w:szCs w:val="20"/>
        </w:rPr>
        <w:t xml:space="preserve">., shared student space includes study rooms, conference rooms, and lounges across the six campuses. Students at campuses (Dallas, El Paso, </w:t>
      </w:r>
      <w:r w:rsidR="00C63C5C">
        <w:rPr>
          <w:rFonts w:asciiTheme="majorHAnsi" w:eastAsia="Arial" w:hAnsiTheme="majorHAnsi" w:cstheme="majorHAnsi"/>
          <w:sz w:val="20"/>
          <w:szCs w:val="20"/>
        </w:rPr>
        <w:t xml:space="preserve">and </w:t>
      </w:r>
      <w:r w:rsidRPr="00743A41">
        <w:rPr>
          <w:rFonts w:asciiTheme="majorHAnsi" w:eastAsia="Arial" w:hAnsiTheme="majorHAnsi" w:cstheme="majorHAnsi"/>
          <w:sz w:val="20"/>
          <w:szCs w:val="20"/>
        </w:rPr>
        <w:t>Brownsville) who are hosted on other UT institutions also have access to their shared student space.</w:t>
      </w:r>
    </w:p>
    <w:p w:rsidR="00933038" w:rsidRPr="00743A41" w:rsidRDefault="00933038" w:rsidP="00A37ED6">
      <w:pPr>
        <w:ind w:left="1350"/>
        <w:jc w:val="both"/>
        <w:rPr>
          <w:rFonts w:asciiTheme="majorHAnsi" w:eastAsia="Calibri" w:hAnsiTheme="majorHAnsi" w:cstheme="majorHAnsi"/>
          <w:sz w:val="20"/>
          <w:szCs w:val="20"/>
        </w:rPr>
      </w:pPr>
    </w:p>
    <w:p w:rsidR="00933038" w:rsidRPr="00743A41" w:rsidRDefault="00933038" w:rsidP="00A37ED6">
      <w:pPr>
        <w:numPr>
          <w:ilvl w:val="0"/>
          <w:numId w:val="15"/>
        </w:numPr>
        <w:ind w:left="135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Laboratories, if applicable to public health degree school offerings</w:t>
      </w:r>
    </w:p>
    <w:p w:rsidR="00933038" w:rsidRPr="00743A41" w:rsidRDefault="00933038" w:rsidP="00A37ED6">
      <w:pPr>
        <w:ind w:left="1350"/>
        <w:jc w:val="both"/>
        <w:rPr>
          <w:rFonts w:asciiTheme="majorHAnsi" w:eastAsia="Calibri" w:hAnsiTheme="majorHAnsi" w:cstheme="majorHAnsi"/>
          <w:sz w:val="20"/>
          <w:szCs w:val="20"/>
        </w:rPr>
      </w:pPr>
    </w:p>
    <w:p w:rsidR="00164A8A" w:rsidRPr="00743A41" w:rsidRDefault="00164A8A" w:rsidP="00A37ED6">
      <w:pPr>
        <w:keepNext/>
        <w:ind w:left="135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Table C</w:t>
      </w:r>
      <w:r w:rsidR="003D7B72" w:rsidRPr="00743A41">
        <w:rPr>
          <w:rFonts w:asciiTheme="majorHAnsi" w:eastAsia="Calibri" w:hAnsiTheme="majorHAnsi" w:cstheme="majorHAnsi"/>
          <w:sz w:val="20"/>
          <w:szCs w:val="20"/>
        </w:rPr>
        <w:t>.</w:t>
      </w:r>
      <w:r w:rsidRPr="00743A41">
        <w:rPr>
          <w:rFonts w:asciiTheme="majorHAnsi" w:eastAsia="Calibri" w:hAnsiTheme="majorHAnsi" w:cstheme="majorHAnsi"/>
          <w:sz w:val="20"/>
          <w:szCs w:val="20"/>
        </w:rPr>
        <w:t>4.1.d. Labs and Health Care Clinic Space</w:t>
      </w:r>
    </w:p>
    <w:tbl>
      <w:tblPr>
        <w:tblW w:w="8010" w:type="dxa"/>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810"/>
        <w:gridCol w:w="3510"/>
        <w:gridCol w:w="1260"/>
        <w:gridCol w:w="1080"/>
      </w:tblGrid>
      <w:tr w:rsidR="0056672D" w:rsidRPr="00743A41" w:rsidTr="00786F69">
        <w:trPr>
          <w:trHeight w:val="310"/>
        </w:trPr>
        <w:tc>
          <w:tcPr>
            <w:tcW w:w="1350" w:type="dxa"/>
            <w:shd w:val="clear" w:color="auto" w:fill="BFBFBF" w:themeFill="background1" w:themeFillShade="BF"/>
            <w:noWrap/>
            <w:tcMar>
              <w:left w:w="0" w:type="dxa"/>
              <w:right w:w="0" w:type="dxa"/>
            </w:tcMar>
            <w:vAlign w:val="center"/>
            <w:hideMark/>
          </w:tcPr>
          <w:p w:rsidR="00510B10" w:rsidRPr="00743A41" w:rsidRDefault="0056672D" w:rsidP="00A37ED6">
            <w:pPr>
              <w:rPr>
                <w:rFonts w:asciiTheme="majorHAnsi" w:eastAsia="Times New Roman" w:hAnsiTheme="majorHAnsi" w:cstheme="majorHAnsi"/>
                <w:b/>
                <w:sz w:val="20"/>
                <w:szCs w:val="20"/>
              </w:rPr>
            </w:pPr>
            <w:r w:rsidRPr="00743A41">
              <w:rPr>
                <w:rFonts w:asciiTheme="majorHAnsi" w:eastAsia="Times New Roman" w:hAnsiTheme="majorHAnsi" w:cstheme="majorHAnsi"/>
                <w:b/>
                <w:sz w:val="20"/>
                <w:szCs w:val="20"/>
              </w:rPr>
              <w:t>Campus</w:t>
            </w:r>
          </w:p>
        </w:tc>
        <w:tc>
          <w:tcPr>
            <w:tcW w:w="810" w:type="dxa"/>
            <w:shd w:val="clear" w:color="auto" w:fill="BFBFBF" w:themeFill="background1" w:themeFillShade="BF"/>
            <w:noWrap/>
            <w:tcMar>
              <w:left w:w="0" w:type="dxa"/>
              <w:right w:w="0" w:type="dxa"/>
            </w:tcMar>
            <w:vAlign w:val="center"/>
            <w:hideMark/>
          </w:tcPr>
          <w:p w:rsidR="00510B10" w:rsidRPr="00743A41" w:rsidRDefault="00510B10"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Building</w:t>
            </w:r>
          </w:p>
        </w:tc>
        <w:tc>
          <w:tcPr>
            <w:tcW w:w="3510" w:type="dxa"/>
            <w:shd w:val="clear" w:color="auto" w:fill="BFBFBF" w:themeFill="background1" w:themeFillShade="BF"/>
            <w:noWrap/>
            <w:tcMar>
              <w:left w:w="0" w:type="dxa"/>
              <w:right w:w="0" w:type="dxa"/>
            </w:tcMar>
            <w:vAlign w:val="center"/>
            <w:hideMark/>
          </w:tcPr>
          <w:p w:rsidR="00510B10" w:rsidRPr="00743A41" w:rsidRDefault="00510B10" w:rsidP="00A37ED6">
            <w:pP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Department</w:t>
            </w:r>
          </w:p>
        </w:tc>
        <w:tc>
          <w:tcPr>
            <w:tcW w:w="1260" w:type="dxa"/>
            <w:shd w:val="clear" w:color="auto" w:fill="BFBFBF" w:themeFill="background1" w:themeFillShade="BF"/>
            <w:noWrap/>
            <w:tcMar>
              <w:left w:w="0" w:type="dxa"/>
              <w:right w:w="0" w:type="dxa"/>
            </w:tcMar>
            <w:vAlign w:val="center"/>
            <w:hideMark/>
          </w:tcPr>
          <w:p w:rsidR="00510B10" w:rsidRPr="00743A41" w:rsidRDefault="00510B10"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Laboratory</w:t>
            </w:r>
          </w:p>
          <w:p w:rsidR="0056672D" w:rsidRPr="00743A41" w:rsidRDefault="0056672D"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Sq ft</w:t>
            </w:r>
          </w:p>
        </w:tc>
        <w:tc>
          <w:tcPr>
            <w:tcW w:w="1080" w:type="dxa"/>
            <w:shd w:val="clear" w:color="auto" w:fill="BFBFBF" w:themeFill="background1" w:themeFillShade="BF"/>
            <w:noWrap/>
            <w:tcMar>
              <w:left w:w="0" w:type="dxa"/>
              <w:right w:w="0" w:type="dxa"/>
            </w:tcMar>
            <w:vAlign w:val="center"/>
            <w:hideMark/>
          </w:tcPr>
          <w:p w:rsidR="00510B10" w:rsidRPr="00743A41" w:rsidRDefault="00510B10" w:rsidP="00A37ED6">
            <w:pPr>
              <w:jc w:val="center"/>
              <w:rPr>
                <w:rFonts w:asciiTheme="majorHAnsi" w:eastAsia="Times New Roman" w:hAnsiTheme="majorHAnsi" w:cstheme="majorHAnsi"/>
                <w:b/>
                <w:bCs/>
                <w:color w:val="000000"/>
                <w:sz w:val="20"/>
                <w:szCs w:val="20"/>
              </w:rPr>
            </w:pPr>
            <w:r w:rsidRPr="00743A41">
              <w:rPr>
                <w:rFonts w:asciiTheme="majorHAnsi" w:eastAsia="Times New Roman" w:hAnsiTheme="majorHAnsi" w:cstheme="majorHAnsi"/>
                <w:b/>
                <w:bCs/>
                <w:color w:val="000000"/>
                <w:sz w:val="20"/>
                <w:szCs w:val="20"/>
              </w:rPr>
              <w:t>Health Care Clinic</w:t>
            </w:r>
            <w:r w:rsidR="0056672D" w:rsidRPr="00743A41">
              <w:rPr>
                <w:rFonts w:asciiTheme="majorHAnsi" w:eastAsia="Times New Roman" w:hAnsiTheme="majorHAnsi" w:cstheme="majorHAnsi"/>
                <w:b/>
                <w:bCs/>
                <w:color w:val="000000"/>
                <w:sz w:val="20"/>
                <w:szCs w:val="20"/>
              </w:rPr>
              <w:t xml:space="preserve"> Sq Ft</w:t>
            </w:r>
          </w:p>
        </w:tc>
      </w:tr>
      <w:tr w:rsidR="0056672D" w:rsidRPr="00743A41" w:rsidTr="00786F69">
        <w:trPr>
          <w:trHeight w:val="310"/>
        </w:trPr>
        <w:tc>
          <w:tcPr>
            <w:tcW w:w="1350" w:type="dxa"/>
            <w:vMerge w:val="restart"/>
            <w:shd w:val="clear" w:color="auto" w:fill="auto"/>
            <w:noWrap/>
            <w:tcMar>
              <w:left w:w="0" w:type="dxa"/>
              <w:right w:w="0" w:type="dxa"/>
            </w:tcMar>
            <w:vAlign w:val="center"/>
            <w:hideMark/>
          </w:tcPr>
          <w:p w:rsidR="0056672D" w:rsidRPr="00743A41" w:rsidRDefault="0056672D"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Houston Campus</w:t>
            </w:r>
          </w:p>
        </w:tc>
        <w:tc>
          <w:tcPr>
            <w:tcW w:w="810" w:type="dxa"/>
            <w:shd w:val="clear" w:color="auto" w:fill="auto"/>
            <w:noWrap/>
            <w:tcMar>
              <w:left w:w="0" w:type="dxa"/>
              <w:right w:w="0" w:type="dxa"/>
            </w:tcMar>
            <w:vAlign w:val="center"/>
            <w:hideMark/>
          </w:tcPr>
          <w:p w:rsidR="0056672D" w:rsidRPr="00743A41" w:rsidRDefault="0056672D"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RAS</w:t>
            </w:r>
          </w:p>
        </w:tc>
        <w:tc>
          <w:tcPr>
            <w:tcW w:w="3510" w:type="dxa"/>
            <w:shd w:val="clear" w:color="auto" w:fill="auto"/>
            <w:noWrap/>
            <w:tcMar>
              <w:left w:w="0" w:type="dxa"/>
              <w:right w:w="0" w:type="dxa"/>
            </w:tcMar>
            <w:vAlign w:val="center"/>
            <w:hideMark/>
          </w:tcPr>
          <w:p w:rsidR="0056672D" w:rsidRPr="00743A41" w:rsidRDefault="0056672D"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Academic Programs (Shared Labs)</w:t>
            </w:r>
          </w:p>
        </w:tc>
        <w:tc>
          <w:tcPr>
            <w:tcW w:w="1260" w:type="dxa"/>
            <w:shd w:val="clear" w:color="auto" w:fill="auto"/>
            <w:noWrap/>
            <w:tcMar>
              <w:left w:w="0" w:type="dxa"/>
              <w:right w:w="0" w:type="dxa"/>
            </w:tcMar>
            <w:vAlign w:val="center"/>
            <w:hideMark/>
          </w:tcPr>
          <w:p w:rsidR="0056672D" w:rsidRPr="00743A41" w:rsidRDefault="0056672D"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1,949</w:t>
            </w:r>
          </w:p>
        </w:tc>
        <w:tc>
          <w:tcPr>
            <w:tcW w:w="1080" w:type="dxa"/>
            <w:shd w:val="clear" w:color="auto" w:fill="auto"/>
            <w:noWrap/>
            <w:tcMar>
              <w:left w:w="0" w:type="dxa"/>
              <w:right w:w="0" w:type="dxa"/>
            </w:tcMar>
            <w:vAlign w:val="center"/>
            <w:hideMark/>
          </w:tcPr>
          <w:p w:rsidR="0056672D" w:rsidRPr="00743A41" w:rsidRDefault="0056672D" w:rsidP="00A37ED6">
            <w:pPr>
              <w:jc w:val="center"/>
              <w:rPr>
                <w:rFonts w:asciiTheme="majorHAnsi" w:eastAsia="Times New Roman" w:hAnsiTheme="majorHAnsi" w:cstheme="majorHAnsi"/>
                <w:bCs/>
                <w:sz w:val="20"/>
                <w:szCs w:val="20"/>
              </w:rPr>
            </w:pPr>
          </w:p>
        </w:tc>
      </w:tr>
      <w:tr w:rsidR="0056672D" w:rsidRPr="00743A41" w:rsidTr="00786F69">
        <w:trPr>
          <w:trHeight w:val="310"/>
        </w:trPr>
        <w:tc>
          <w:tcPr>
            <w:tcW w:w="1350" w:type="dxa"/>
            <w:vMerge/>
            <w:shd w:val="clear" w:color="auto" w:fill="auto"/>
            <w:noWrap/>
            <w:tcMar>
              <w:left w:w="0" w:type="dxa"/>
              <w:right w:w="0" w:type="dxa"/>
            </w:tcMar>
            <w:vAlign w:val="center"/>
            <w:hideMark/>
          </w:tcPr>
          <w:p w:rsidR="0056672D" w:rsidRPr="00743A41" w:rsidRDefault="0056672D" w:rsidP="00A37ED6">
            <w:pPr>
              <w:rPr>
                <w:rFonts w:asciiTheme="majorHAnsi" w:eastAsia="Times New Roman" w:hAnsiTheme="majorHAnsi" w:cstheme="majorHAnsi"/>
                <w:bCs/>
                <w:color w:val="000000"/>
                <w:sz w:val="20"/>
                <w:szCs w:val="20"/>
              </w:rPr>
            </w:pPr>
          </w:p>
        </w:tc>
        <w:tc>
          <w:tcPr>
            <w:tcW w:w="810" w:type="dxa"/>
            <w:shd w:val="clear" w:color="auto" w:fill="auto"/>
            <w:noWrap/>
            <w:tcMar>
              <w:left w:w="0" w:type="dxa"/>
              <w:right w:w="0" w:type="dxa"/>
            </w:tcMar>
            <w:vAlign w:val="center"/>
            <w:hideMark/>
          </w:tcPr>
          <w:p w:rsidR="0056672D" w:rsidRPr="00743A41" w:rsidRDefault="0056672D"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RAS</w:t>
            </w:r>
          </w:p>
        </w:tc>
        <w:tc>
          <w:tcPr>
            <w:tcW w:w="3510" w:type="dxa"/>
            <w:shd w:val="clear" w:color="auto" w:fill="auto"/>
            <w:noWrap/>
            <w:tcMar>
              <w:left w:w="0" w:type="dxa"/>
              <w:right w:w="0" w:type="dxa"/>
            </w:tcMar>
            <w:vAlign w:val="center"/>
            <w:hideMark/>
          </w:tcPr>
          <w:p w:rsidR="0056672D" w:rsidRPr="00743A41" w:rsidRDefault="0056672D"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Environmental &amp; Occ</w:t>
            </w:r>
            <w:r w:rsidR="00AD6F36" w:rsidRPr="00743A41">
              <w:rPr>
                <w:rFonts w:asciiTheme="majorHAnsi" w:eastAsia="Times New Roman" w:hAnsiTheme="majorHAnsi" w:cstheme="majorHAnsi"/>
                <w:bCs/>
                <w:sz w:val="20"/>
                <w:szCs w:val="20"/>
              </w:rPr>
              <w:t>upational</w:t>
            </w:r>
            <w:r w:rsidRPr="00743A41">
              <w:rPr>
                <w:rFonts w:asciiTheme="majorHAnsi" w:eastAsia="Times New Roman" w:hAnsiTheme="majorHAnsi" w:cstheme="majorHAnsi"/>
                <w:bCs/>
                <w:sz w:val="20"/>
                <w:szCs w:val="20"/>
              </w:rPr>
              <w:t xml:space="preserve"> Health</w:t>
            </w:r>
          </w:p>
        </w:tc>
        <w:tc>
          <w:tcPr>
            <w:tcW w:w="1260" w:type="dxa"/>
            <w:shd w:val="clear" w:color="auto" w:fill="auto"/>
            <w:noWrap/>
            <w:tcMar>
              <w:left w:w="0" w:type="dxa"/>
              <w:right w:w="0" w:type="dxa"/>
            </w:tcMar>
            <w:vAlign w:val="center"/>
            <w:hideMark/>
          </w:tcPr>
          <w:p w:rsidR="0056672D" w:rsidRPr="00743A41" w:rsidRDefault="0056672D"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4,613</w:t>
            </w:r>
          </w:p>
        </w:tc>
        <w:tc>
          <w:tcPr>
            <w:tcW w:w="1080" w:type="dxa"/>
            <w:shd w:val="clear" w:color="auto" w:fill="auto"/>
            <w:noWrap/>
            <w:tcMar>
              <w:left w:w="0" w:type="dxa"/>
              <w:right w:w="0" w:type="dxa"/>
            </w:tcMar>
            <w:vAlign w:val="center"/>
            <w:hideMark/>
          </w:tcPr>
          <w:p w:rsidR="0056672D" w:rsidRPr="00743A41" w:rsidRDefault="0056672D" w:rsidP="00A37ED6">
            <w:pPr>
              <w:jc w:val="center"/>
              <w:rPr>
                <w:rFonts w:asciiTheme="majorHAnsi" w:eastAsia="Times New Roman" w:hAnsiTheme="majorHAnsi" w:cstheme="majorHAnsi"/>
                <w:bCs/>
                <w:sz w:val="20"/>
                <w:szCs w:val="20"/>
              </w:rPr>
            </w:pPr>
          </w:p>
        </w:tc>
      </w:tr>
      <w:tr w:rsidR="0056672D" w:rsidRPr="00743A41" w:rsidTr="00786F69">
        <w:trPr>
          <w:trHeight w:val="310"/>
        </w:trPr>
        <w:tc>
          <w:tcPr>
            <w:tcW w:w="1350" w:type="dxa"/>
            <w:vMerge/>
            <w:shd w:val="clear" w:color="auto" w:fill="auto"/>
            <w:noWrap/>
            <w:tcMar>
              <w:left w:w="0" w:type="dxa"/>
              <w:right w:w="0" w:type="dxa"/>
            </w:tcMar>
            <w:vAlign w:val="center"/>
            <w:hideMark/>
          </w:tcPr>
          <w:p w:rsidR="0056672D" w:rsidRPr="00743A41" w:rsidRDefault="0056672D" w:rsidP="00A37ED6">
            <w:pPr>
              <w:rPr>
                <w:rFonts w:asciiTheme="majorHAnsi" w:eastAsia="Times New Roman" w:hAnsiTheme="majorHAnsi" w:cstheme="majorHAnsi"/>
                <w:bCs/>
                <w:color w:val="000000"/>
                <w:sz w:val="20"/>
                <w:szCs w:val="20"/>
              </w:rPr>
            </w:pPr>
          </w:p>
        </w:tc>
        <w:tc>
          <w:tcPr>
            <w:tcW w:w="810" w:type="dxa"/>
            <w:shd w:val="clear" w:color="auto" w:fill="auto"/>
            <w:noWrap/>
            <w:tcMar>
              <w:left w:w="0" w:type="dxa"/>
              <w:right w:w="0" w:type="dxa"/>
            </w:tcMar>
            <w:vAlign w:val="center"/>
            <w:hideMark/>
          </w:tcPr>
          <w:p w:rsidR="0056672D" w:rsidRPr="00743A41" w:rsidRDefault="0056672D"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RAS</w:t>
            </w:r>
          </w:p>
        </w:tc>
        <w:tc>
          <w:tcPr>
            <w:tcW w:w="3510" w:type="dxa"/>
            <w:shd w:val="clear" w:color="auto" w:fill="auto"/>
            <w:noWrap/>
            <w:tcMar>
              <w:left w:w="0" w:type="dxa"/>
              <w:right w:w="0" w:type="dxa"/>
            </w:tcMar>
            <w:vAlign w:val="center"/>
            <w:hideMark/>
          </w:tcPr>
          <w:p w:rsidR="0056672D" w:rsidRPr="00743A41" w:rsidRDefault="0056672D"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Center for Infectious Diseases</w:t>
            </w:r>
          </w:p>
        </w:tc>
        <w:tc>
          <w:tcPr>
            <w:tcW w:w="1260" w:type="dxa"/>
            <w:shd w:val="clear" w:color="auto" w:fill="auto"/>
            <w:noWrap/>
            <w:tcMar>
              <w:left w:w="0" w:type="dxa"/>
              <w:right w:w="0" w:type="dxa"/>
            </w:tcMar>
            <w:vAlign w:val="center"/>
            <w:hideMark/>
          </w:tcPr>
          <w:p w:rsidR="0056672D" w:rsidRPr="00743A41" w:rsidRDefault="0056672D"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6,473</w:t>
            </w:r>
          </w:p>
        </w:tc>
        <w:tc>
          <w:tcPr>
            <w:tcW w:w="1080" w:type="dxa"/>
            <w:shd w:val="clear" w:color="auto" w:fill="auto"/>
            <w:noWrap/>
            <w:tcMar>
              <w:left w:w="0" w:type="dxa"/>
              <w:right w:w="0" w:type="dxa"/>
            </w:tcMar>
            <w:vAlign w:val="center"/>
            <w:hideMark/>
          </w:tcPr>
          <w:p w:rsidR="0056672D" w:rsidRPr="00743A41" w:rsidRDefault="0056672D" w:rsidP="00A37ED6">
            <w:pPr>
              <w:jc w:val="center"/>
              <w:rPr>
                <w:rFonts w:asciiTheme="majorHAnsi" w:eastAsia="Times New Roman" w:hAnsiTheme="majorHAnsi" w:cstheme="majorHAnsi"/>
                <w:bCs/>
                <w:sz w:val="20"/>
                <w:szCs w:val="20"/>
              </w:rPr>
            </w:pPr>
          </w:p>
        </w:tc>
      </w:tr>
      <w:tr w:rsidR="0056672D" w:rsidRPr="00743A41" w:rsidTr="00786F69">
        <w:trPr>
          <w:trHeight w:val="310"/>
        </w:trPr>
        <w:tc>
          <w:tcPr>
            <w:tcW w:w="1350" w:type="dxa"/>
            <w:vMerge/>
            <w:shd w:val="clear" w:color="auto" w:fill="auto"/>
            <w:noWrap/>
            <w:tcMar>
              <w:left w:w="0" w:type="dxa"/>
              <w:right w:w="0" w:type="dxa"/>
            </w:tcMar>
            <w:vAlign w:val="center"/>
            <w:hideMark/>
          </w:tcPr>
          <w:p w:rsidR="0056672D" w:rsidRPr="00743A41" w:rsidRDefault="0056672D" w:rsidP="00A37ED6">
            <w:pPr>
              <w:rPr>
                <w:rFonts w:asciiTheme="majorHAnsi" w:eastAsia="Times New Roman" w:hAnsiTheme="majorHAnsi" w:cstheme="majorHAnsi"/>
                <w:bCs/>
                <w:color w:val="000000"/>
                <w:sz w:val="20"/>
                <w:szCs w:val="20"/>
              </w:rPr>
            </w:pPr>
          </w:p>
        </w:tc>
        <w:tc>
          <w:tcPr>
            <w:tcW w:w="810" w:type="dxa"/>
            <w:shd w:val="clear" w:color="auto" w:fill="auto"/>
            <w:noWrap/>
            <w:tcMar>
              <w:left w:w="0" w:type="dxa"/>
              <w:right w:w="0" w:type="dxa"/>
            </w:tcMar>
            <w:vAlign w:val="center"/>
            <w:hideMark/>
          </w:tcPr>
          <w:p w:rsidR="0056672D" w:rsidRPr="00743A41" w:rsidRDefault="0056672D"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RAS</w:t>
            </w:r>
          </w:p>
        </w:tc>
        <w:tc>
          <w:tcPr>
            <w:tcW w:w="3510" w:type="dxa"/>
            <w:shd w:val="clear" w:color="auto" w:fill="auto"/>
            <w:noWrap/>
            <w:tcMar>
              <w:left w:w="0" w:type="dxa"/>
              <w:right w:w="0" w:type="dxa"/>
            </w:tcMar>
            <w:vAlign w:val="center"/>
            <w:hideMark/>
          </w:tcPr>
          <w:p w:rsidR="0056672D" w:rsidRPr="00743A41" w:rsidRDefault="0056672D"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Human Genetics Center</w:t>
            </w:r>
          </w:p>
        </w:tc>
        <w:tc>
          <w:tcPr>
            <w:tcW w:w="1260" w:type="dxa"/>
            <w:shd w:val="clear" w:color="auto" w:fill="auto"/>
            <w:noWrap/>
            <w:tcMar>
              <w:left w:w="0" w:type="dxa"/>
              <w:right w:w="0" w:type="dxa"/>
            </w:tcMar>
            <w:vAlign w:val="center"/>
            <w:hideMark/>
          </w:tcPr>
          <w:p w:rsidR="0056672D" w:rsidRPr="00743A41" w:rsidRDefault="0056672D"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8,125</w:t>
            </w:r>
          </w:p>
        </w:tc>
        <w:tc>
          <w:tcPr>
            <w:tcW w:w="1080" w:type="dxa"/>
            <w:shd w:val="clear" w:color="auto" w:fill="auto"/>
            <w:noWrap/>
            <w:tcMar>
              <w:left w:w="0" w:type="dxa"/>
              <w:right w:w="0" w:type="dxa"/>
            </w:tcMar>
            <w:vAlign w:val="center"/>
            <w:hideMark/>
          </w:tcPr>
          <w:p w:rsidR="0056672D" w:rsidRPr="00743A41" w:rsidRDefault="0056672D" w:rsidP="00A37ED6">
            <w:pPr>
              <w:jc w:val="center"/>
              <w:rPr>
                <w:rFonts w:asciiTheme="majorHAnsi" w:eastAsia="Times New Roman" w:hAnsiTheme="majorHAnsi" w:cstheme="majorHAnsi"/>
                <w:bCs/>
                <w:sz w:val="20"/>
                <w:szCs w:val="20"/>
              </w:rPr>
            </w:pPr>
          </w:p>
        </w:tc>
      </w:tr>
      <w:tr w:rsidR="0056672D" w:rsidRPr="00743A41" w:rsidTr="00786F69">
        <w:trPr>
          <w:trHeight w:val="310"/>
        </w:trPr>
        <w:tc>
          <w:tcPr>
            <w:tcW w:w="1350" w:type="dxa"/>
            <w:vMerge/>
            <w:shd w:val="clear" w:color="auto" w:fill="auto"/>
            <w:noWrap/>
            <w:tcMar>
              <w:left w:w="0" w:type="dxa"/>
              <w:right w:w="0" w:type="dxa"/>
            </w:tcMar>
            <w:vAlign w:val="center"/>
            <w:hideMark/>
          </w:tcPr>
          <w:p w:rsidR="0056672D" w:rsidRPr="00743A41" w:rsidRDefault="0056672D" w:rsidP="00A37ED6">
            <w:pPr>
              <w:rPr>
                <w:rFonts w:asciiTheme="majorHAnsi" w:eastAsia="Times New Roman" w:hAnsiTheme="majorHAnsi" w:cstheme="majorHAnsi"/>
                <w:bCs/>
                <w:color w:val="000000"/>
                <w:sz w:val="20"/>
                <w:szCs w:val="20"/>
              </w:rPr>
            </w:pPr>
          </w:p>
        </w:tc>
        <w:tc>
          <w:tcPr>
            <w:tcW w:w="810" w:type="dxa"/>
            <w:shd w:val="clear" w:color="auto" w:fill="auto"/>
            <w:noWrap/>
            <w:tcMar>
              <w:left w:w="0" w:type="dxa"/>
              <w:right w:w="0" w:type="dxa"/>
            </w:tcMar>
            <w:vAlign w:val="center"/>
            <w:hideMark/>
          </w:tcPr>
          <w:p w:rsidR="0056672D" w:rsidRPr="00743A41" w:rsidRDefault="0056672D"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RAS</w:t>
            </w:r>
          </w:p>
        </w:tc>
        <w:tc>
          <w:tcPr>
            <w:tcW w:w="3510" w:type="dxa"/>
            <w:shd w:val="clear" w:color="auto" w:fill="auto"/>
            <w:noWrap/>
            <w:tcMar>
              <w:left w:w="0" w:type="dxa"/>
              <w:right w:w="0" w:type="dxa"/>
            </w:tcMar>
            <w:vAlign w:val="center"/>
            <w:hideMark/>
          </w:tcPr>
          <w:p w:rsidR="0056672D" w:rsidRPr="00743A41" w:rsidRDefault="0056672D"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Dell Center (Simulation Lab)</w:t>
            </w:r>
          </w:p>
        </w:tc>
        <w:tc>
          <w:tcPr>
            <w:tcW w:w="1260" w:type="dxa"/>
            <w:shd w:val="clear" w:color="auto" w:fill="auto"/>
            <w:noWrap/>
            <w:tcMar>
              <w:left w:w="0" w:type="dxa"/>
              <w:right w:w="0" w:type="dxa"/>
            </w:tcMar>
            <w:vAlign w:val="center"/>
            <w:hideMark/>
          </w:tcPr>
          <w:p w:rsidR="0056672D" w:rsidRPr="00743A41" w:rsidRDefault="0056672D"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521</w:t>
            </w:r>
          </w:p>
        </w:tc>
        <w:tc>
          <w:tcPr>
            <w:tcW w:w="1080" w:type="dxa"/>
            <w:shd w:val="clear" w:color="auto" w:fill="auto"/>
            <w:noWrap/>
            <w:tcMar>
              <w:left w:w="0" w:type="dxa"/>
              <w:right w:w="0" w:type="dxa"/>
            </w:tcMar>
            <w:vAlign w:val="center"/>
            <w:hideMark/>
          </w:tcPr>
          <w:p w:rsidR="0056672D" w:rsidRPr="00743A41" w:rsidRDefault="0056672D" w:rsidP="00A37ED6">
            <w:pPr>
              <w:jc w:val="center"/>
              <w:rPr>
                <w:rFonts w:asciiTheme="majorHAnsi" w:eastAsia="Times New Roman" w:hAnsiTheme="majorHAnsi" w:cstheme="majorHAnsi"/>
                <w:bCs/>
                <w:sz w:val="20"/>
                <w:szCs w:val="20"/>
              </w:rPr>
            </w:pPr>
          </w:p>
        </w:tc>
      </w:tr>
      <w:tr w:rsidR="0056672D" w:rsidRPr="00743A41" w:rsidTr="00786F69">
        <w:trPr>
          <w:trHeight w:val="310"/>
        </w:trPr>
        <w:tc>
          <w:tcPr>
            <w:tcW w:w="1350" w:type="dxa"/>
            <w:vMerge/>
            <w:shd w:val="clear" w:color="auto" w:fill="auto"/>
            <w:noWrap/>
            <w:tcMar>
              <w:left w:w="0" w:type="dxa"/>
              <w:right w:w="0" w:type="dxa"/>
            </w:tcMar>
            <w:vAlign w:val="center"/>
            <w:hideMark/>
          </w:tcPr>
          <w:p w:rsidR="0056672D" w:rsidRPr="00743A41" w:rsidRDefault="0056672D" w:rsidP="00A37ED6">
            <w:pPr>
              <w:rPr>
                <w:rFonts w:asciiTheme="majorHAnsi" w:eastAsia="Times New Roman" w:hAnsiTheme="majorHAnsi" w:cstheme="majorHAnsi"/>
                <w:bCs/>
                <w:color w:val="000000"/>
                <w:sz w:val="20"/>
                <w:szCs w:val="20"/>
              </w:rPr>
            </w:pPr>
          </w:p>
        </w:tc>
        <w:tc>
          <w:tcPr>
            <w:tcW w:w="810" w:type="dxa"/>
            <w:shd w:val="clear" w:color="auto" w:fill="auto"/>
            <w:noWrap/>
            <w:tcMar>
              <w:left w:w="0" w:type="dxa"/>
              <w:right w:w="0" w:type="dxa"/>
            </w:tcMar>
            <w:vAlign w:val="center"/>
            <w:hideMark/>
          </w:tcPr>
          <w:p w:rsidR="0056672D" w:rsidRPr="00743A41" w:rsidRDefault="0056672D"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OCB</w:t>
            </w:r>
          </w:p>
        </w:tc>
        <w:tc>
          <w:tcPr>
            <w:tcW w:w="3510" w:type="dxa"/>
            <w:shd w:val="clear" w:color="auto" w:fill="auto"/>
            <w:noWrap/>
            <w:tcMar>
              <w:left w:w="0" w:type="dxa"/>
              <w:right w:w="0" w:type="dxa"/>
            </w:tcMar>
            <w:vAlign w:val="center"/>
            <w:hideMark/>
          </w:tcPr>
          <w:p w:rsidR="0056672D" w:rsidRPr="00743A41" w:rsidRDefault="0056672D" w:rsidP="00A37ED6">
            <w:pP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Human Genetics Center (Freezer Farm)</w:t>
            </w:r>
          </w:p>
        </w:tc>
        <w:tc>
          <w:tcPr>
            <w:tcW w:w="1260" w:type="dxa"/>
            <w:shd w:val="clear" w:color="auto" w:fill="auto"/>
            <w:noWrap/>
            <w:tcMar>
              <w:left w:w="0" w:type="dxa"/>
              <w:right w:w="0" w:type="dxa"/>
            </w:tcMar>
            <w:vAlign w:val="center"/>
            <w:hideMark/>
          </w:tcPr>
          <w:p w:rsidR="0056672D" w:rsidRPr="00743A41" w:rsidRDefault="0056672D" w:rsidP="00A37ED6">
            <w:pPr>
              <w:jc w:val="center"/>
              <w:rPr>
                <w:rFonts w:asciiTheme="majorHAnsi" w:eastAsia="Times New Roman" w:hAnsiTheme="majorHAnsi" w:cstheme="majorHAnsi"/>
                <w:bCs/>
                <w:sz w:val="20"/>
                <w:szCs w:val="20"/>
              </w:rPr>
            </w:pPr>
            <w:r w:rsidRPr="00743A41">
              <w:rPr>
                <w:rFonts w:asciiTheme="majorHAnsi" w:eastAsia="Times New Roman" w:hAnsiTheme="majorHAnsi" w:cstheme="majorHAnsi"/>
                <w:bCs/>
                <w:sz w:val="20"/>
                <w:szCs w:val="20"/>
              </w:rPr>
              <w:t>4,823</w:t>
            </w:r>
          </w:p>
        </w:tc>
        <w:tc>
          <w:tcPr>
            <w:tcW w:w="1080" w:type="dxa"/>
            <w:shd w:val="clear" w:color="auto" w:fill="auto"/>
            <w:noWrap/>
            <w:tcMar>
              <w:left w:w="0" w:type="dxa"/>
              <w:right w:w="0" w:type="dxa"/>
            </w:tcMar>
            <w:vAlign w:val="center"/>
            <w:hideMark/>
          </w:tcPr>
          <w:p w:rsidR="0056672D" w:rsidRPr="00743A41" w:rsidRDefault="0056672D" w:rsidP="00A37ED6">
            <w:pPr>
              <w:jc w:val="center"/>
              <w:rPr>
                <w:rFonts w:asciiTheme="majorHAnsi" w:eastAsia="Times New Roman" w:hAnsiTheme="majorHAnsi" w:cstheme="majorHAnsi"/>
                <w:bCs/>
                <w:sz w:val="20"/>
                <w:szCs w:val="20"/>
              </w:rPr>
            </w:pPr>
          </w:p>
        </w:tc>
      </w:tr>
      <w:tr w:rsidR="0056672D" w:rsidRPr="00743A41" w:rsidTr="00786F69">
        <w:trPr>
          <w:trHeight w:val="310"/>
        </w:trPr>
        <w:tc>
          <w:tcPr>
            <w:tcW w:w="1350" w:type="dxa"/>
            <w:vMerge/>
            <w:shd w:val="clear" w:color="auto" w:fill="auto"/>
            <w:noWrap/>
            <w:tcMar>
              <w:left w:w="0" w:type="dxa"/>
              <w:right w:w="0" w:type="dxa"/>
            </w:tcMar>
            <w:vAlign w:val="center"/>
            <w:hideMark/>
          </w:tcPr>
          <w:p w:rsidR="0056672D" w:rsidRPr="00743A41" w:rsidRDefault="0056672D" w:rsidP="00A37ED6">
            <w:pPr>
              <w:rPr>
                <w:rFonts w:asciiTheme="majorHAnsi" w:eastAsia="Times New Roman" w:hAnsiTheme="majorHAnsi" w:cstheme="majorHAnsi"/>
                <w:bCs/>
                <w:color w:val="000000"/>
                <w:sz w:val="20"/>
                <w:szCs w:val="20"/>
              </w:rPr>
            </w:pPr>
          </w:p>
        </w:tc>
        <w:tc>
          <w:tcPr>
            <w:tcW w:w="810" w:type="dxa"/>
            <w:shd w:val="clear" w:color="auto" w:fill="auto"/>
            <w:noWrap/>
            <w:tcMar>
              <w:left w:w="0" w:type="dxa"/>
              <w:right w:w="0" w:type="dxa"/>
            </w:tcMar>
            <w:vAlign w:val="center"/>
            <w:hideMark/>
          </w:tcPr>
          <w:p w:rsidR="0056672D" w:rsidRPr="00743A41" w:rsidRDefault="0056672D"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RHC</w:t>
            </w:r>
          </w:p>
        </w:tc>
        <w:tc>
          <w:tcPr>
            <w:tcW w:w="3510" w:type="dxa"/>
            <w:shd w:val="clear" w:color="auto" w:fill="auto"/>
            <w:noWrap/>
            <w:tcMar>
              <w:left w:w="0" w:type="dxa"/>
              <w:right w:w="0" w:type="dxa"/>
            </w:tcMar>
            <w:vAlign w:val="center"/>
            <w:hideMark/>
          </w:tcPr>
          <w:p w:rsidR="0056672D" w:rsidRPr="00743A41" w:rsidRDefault="0056672D"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Management, Policy &amp; Community Health</w:t>
            </w:r>
          </w:p>
        </w:tc>
        <w:tc>
          <w:tcPr>
            <w:tcW w:w="1260" w:type="dxa"/>
            <w:shd w:val="clear" w:color="auto" w:fill="auto"/>
            <w:noWrap/>
            <w:tcMar>
              <w:left w:w="0" w:type="dxa"/>
              <w:right w:w="0" w:type="dxa"/>
            </w:tcMar>
            <w:vAlign w:val="center"/>
            <w:hideMark/>
          </w:tcPr>
          <w:p w:rsidR="0056672D" w:rsidRPr="00743A41" w:rsidRDefault="0056672D" w:rsidP="00A37ED6">
            <w:pPr>
              <w:jc w:val="center"/>
              <w:rPr>
                <w:rFonts w:asciiTheme="majorHAnsi" w:eastAsia="Times New Roman" w:hAnsiTheme="majorHAnsi" w:cstheme="majorHAnsi"/>
                <w:bCs/>
                <w:color w:val="000000"/>
                <w:sz w:val="20"/>
                <w:szCs w:val="20"/>
              </w:rPr>
            </w:pPr>
          </w:p>
        </w:tc>
        <w:tc>
          <w:tcPr>
            <w:tcW w:w="1080" w:type="dxa"/>
            <w:shd w:val="clear" w:color="auto" w:fill="auto"/>
            <w:noWrap/>
            <w:tcMar>
              <w:left w:w="0" w:type="dxa"/>
              <w:right w:w="0" w:type="dxa"/>
            </w:tcMar>
            <w:vAlign w:val="center"/>
            <w:hideMark/>
          </w:tcPr>
          <w:p w:rsidR="0056672D" w:rsidRPr="00743A41" w:rsidRDefault="0056672D"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401</w:t>
            </w:r>
          </w:p>
        </w:tc>
      </w:tr>
      <w:tr w:rsidR="0056672D" w:rsidRPr="00743A41" w:rsidTr="00786F69">
        <w:trPr>
          <w:trHeight w:val="310"/>
        </w:trPr>
        <w:tc>
          <w:tcPr>
            <w:tcW w:w="1350" w:type="dxa"/>
            <w:shd w:val="clear" w:color="auto" w:fill="F2F2F2" w:themeFill="background1" w:themeFillShade="F2"/>
            <w:noWrap/>
            <w:tcMar>
              <w:left w:w="0" w:type="dxa"/>
              <w:right w:w="0" w:type="dxa"/>
            </w:tcMar>
            <w:vAlign w:val="center"/>
            <w:hideMark/>
          </w:tcPr>
          <w:p w:rsidR="00510B10" w:rsidRPr="00743A41" w:rsidRDefault="00510B10"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Brownsville</w:t>
            </w:r>
            <w:r w:rsidR="0056672D" w:rsidRPr="00743A41">
              <w:rPr>
                <w:rFonts w:asciiTheme="majorHAnsi" w:eastAsia="Times New Roman" w:hAnsiTheme="majorHAnsi" w:cstheme="majorHAnsi"/>
                <w:bCs/>
                <w:color w:val="000000"/>
                <w:sz w:val="20"/>
                <w:szCs w:val="20"/>
              </w:rPr>
              <w:t xml:space="preserve"> Campus</w:t>
            </w:r>
          </w:p>
        </w:tc>
        <w:tc>
          <w:tcPr>
            <w:tcW w:w="810" w:type="dxa"/>
            <w:shd w:val="clear" w:color="auto" w:fill="F2F2F2" w:themeFill="background1" w:themeFillShade="F2"/>
            <w:noWrap/>
            <w:tcMar>
              <w:left w:w="0" w:type="dxa"/>
              <w:right w:w="0" w:type="dxa"/>
            </w:tcMar>
            <w:vAlign w:val="center"/>
            <w:hideMark/>
          </w:tcPr>
          <w:p w:rsidR="00510B10" w:rsidRPr="00743A41" w:rsidRDefault="00510B10"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RAC</w:t>
            </w:r>
          </w:p>
        </w:tc>
        <w:tc>
          <w:tcPr>
            <w:tcW w:w="3510" w:type="dxa"/>
            <w:shd w:val="clear" w:color="auto" w:fill="F2F2F2" w:themeFill="background1" w:themeFillShade="F2"/>
            <w:noWrap/>
            <w:tcMar>
              <w:left w:w="0" w:type="dxa"/>
              <w:right w:w="0" w:type="dxa"/>
            </w:tcMar>
            <w:vAlign w:val="center"/>
            <w:hideMark/>
          </w:tcPr>
          <w:p w:rsidR="00510B10" w:rsidRPr="00743A41" w:rsidRDefault="00510B10"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Brownsville Regional Campus</w:t>
            </w:r>
          </w:p>
        </w:tc>
        <w:tc>
          <w:tcPr>
            <w:tcW w:w="1260" w:type="dxa"/>
            <w:shd w:val="clear" w:color="auto" w:fill="F2F2F2" w:themeFill="background1" w:themeFillShade="F2"/>
            <w:noWrap/>
            <w:tcMar>
              <w:left w:w="0" w:type="dxa"/>
              <w:right w:w="0" w:type="dxa"/>
            </w:tcMar>
            <w:vAlign w:val="center"/>
            <w:hideMark/>
          </w:tcPr>
          <w:p w:rsidR="00510B10" w:rsidRPr="00743A41" w:rsidRDefault="00510B10"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4,684</w:t>
            </w:r>
          </w:p>
        </w:tc>
        <w:tc>
          <w:tcPr>
            <w:tcW w:w="1080" w:type="dxa"/>
            <w:shd w:val="clear" w:color="auto" w:fill="F2F2F2" w:themeFill="background1" w:themeFillShade="F2"/>
            <w:noWrap/>
            <w:tcMar>
              <w:left w:w="0" w:type="dxa"/>
              <w:right w:w="0" w:type="dxa"/>
            </w:tcMar>
            <w:vAlign w:val="center"/>
            <w:hideMark/>
          </w:tcPr>
          <w:p w:rsidR="00510B10" w:rsidRPr="00743A41" w:rsidRDefault="00510B10" w:rsidP="00A37ED6">
            <w:pPr>
              <w:jc w:val="center"/>
              <w:rPr>
                <w:rFonts w:asciiTheme="majorHAnsi" w:eastAsia="Times New Roman" w:hAnsiTheme="majorHAnsi" w:cstheme="majorHAnsi"/>
                <w:bCs/>
                <w:color w:val="000000"/>
                <w:sz w:val="20"/>
                <w:szCs w:val="20"/>
              </w:rPr>
            </w:pPr>
          </w:p>
        </w:tc>
      </w:tr>
      <w:tr w:rsidR="00510B10" w:rsidRPr="00743A41" w:rsidTr="00786F69">
        <w:trPr>
          <w:trHeight w:val="310"/>
        </w:trPr>
        <w:tc>
          <w:tcPr>
            <w:tcW w:w="1350" w:type="dxa"/>
            <w:shd w:val="clear" w:color="auto" w:fill="auto"/>
            <w:noWrap/>
            <w:tcMar>
              <w:left w:w="0" w:type="dxa"/>
              <w:right w:w="0" w:type="dxa"/>
            </w:tcMar>
            <w:vAlign w:val="center"/>
            <w:hideMark/>
          </w:tcPr>
          <w:p w:rsidR="00510B10" w:rsidRPr="00743A41" w:rsidRDefault="00510B10"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San Antonio</w:t>
            </w:r>
            <w:r w:rsidR="0056672D" w:rsidRPr="00743A41">
              <w:rPr>
                <w:rFonts w:asciiTheme="majorHAnsi" w:eastAsia="Times New Roman" w:hAnsiTheme="majorHAnsi" w:cstheme="majorHAnsi"/>
                <w:bCs/>
                <w:color w:val="000000"/>
                <w:sz w:val="20"/>
                <w:szCs w:val="20"/>
              </w:rPr>
              <w:t xml:space="preserve"> Campus</w:t>
            </w:r>
          </w:p>
        </w:tc>
        <w:tc>
          <w:tcPr>
            <w:tcW w:w="810" w:type="dxa"/>
            <w:shd w:val="clear" w:color="auto" w:fill="auto"/>
            <w:noWrap/>
            <w:tcMar>
              <w:left w:w="0" w:type="dxa"/>
              <w:right w:w="0" w:type="dxa"/>
            </w:tcMar>
            <w:vAlign w:val="center"/>
            <w:hideMark/>
          </w:tcPr>
          <w:p w:rsidR="00510B10" w:rsidRPr="00743A41" w:rsidRDefault="00510B10"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OTC</w:t>
            </w:r>
          </w:p>
        </w:tc>
        <w:tc>
          <w:tcPr>
            <w:tcW w:w="3510" w:type="dxa"/>
            <w:shd w:val="clear" w:color="auto" w:fill="auto"/>
            <w:noWrap/>
            <w:tcMar>
              <w:left w:w="0" w:type="dxa"/>
              <w:right w:w="0" w:type="dxa"/>
            </w:tcMar>
            <w:vAlign w:val="center"/>
            <w:hideMark/>
          </w:tcPr>
          <w:p w:rsidR="00510B10" w:rsidRPr="00743A41" w:rsidRDefault="00510B10"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San Antonio Regional Campus (Ergonomic Lab)</w:t>
            </w:r>
          </w:p>
        </w:tc>
        <w:tc>
          <w:tcPr>
            <w:tcW w:w="1260" w:type="dxa"/>
            <w:shd w:val="clear" w:color="auto" w:fill="auto"/>
            <w:noWrap/>
            <w:tcMar>
              <w:left w:w="0" w:type="dxa"/>
              <w:right w:w="0" w:type="dxa"/>
            </w:tcMar>
            <w:vAlign w:val="center"/>
            <w:hideMark/>
          </w:tcPr>
          <w:p w:rsidR="00510B10" w:rsidRPr="00743A41" w:rsidRDefault="00510B10"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404</w:t>
            </w:r>
          </w:p>
        </w:tc>
        <w:tc>
          <w:tcPr>
            <w:tcW w:w="1080" w:type="dxa"/>
            <w:shd w:val="clear" w:color="auto" w:fill="auto"/>
            <w:noWrap/>
            <w:tcMar>
              <w:left w:w="0" w:type="dxa"/>
              <w:right w:w="0" w:type="dxa"/>
            </w:tcMar>
            <w:vAlign w:val="center"/>
            <w:hideMark/>
          </w:tcPr>
          <w:p w:rsidR="00510B10" w:rsidRPr="00743A41" w:rsidRDefault="00510B10" w:rsidP="00A37ED6">
            <w:pPr>
              <w:jc w:val="center"/>
              <w:rPr>
                <w:rFonts w:asciiTheme="majorHAnsi" w:eastAsia="Times New Roman" w:hAnsiTheme="majorHAnsi" w:cstheme="majorHAnsi"/>
                <w:bCs/>
                <w:color w:val="000000"/>
                <w:sz w:val="20"/>
                <w:szCs w:val="20"/>
              </w:rPr>
            </w:pPr>
          </w:p>
        </w:tc>
      </w:tr>
      <w:tr w:rsidR="0056672D" w:rsidRPr="00743A41" w:rsidTr="00786F69">
        <w:trPr>
          <w:trHeight w:val="310"/>
        </w:trPr>
        <w:tc>
          <w:tcPr>
            <w:tcW w:w="1350" w:type="dxa"/>
            <w:shd w:val="clear" w:color="auto" w:fill="F2F2F2" w:themeFill="background1" w:themeFillShade="F2"/>
            <w:noWrap/>
            <w:tcMar>
              <w:left w:w="0" w:type="dxa"/>
              <w:right w:w="0" w:type="dxa"/>
            </w:tcMar>
            <w:vAlign w:val="center"/>
            <w:hideMark/>
          </w:tcPr>
          <w:p w:rsidR="00510B10" w:rsidRPr="00743A41" w:rsidRDefault="00510B10"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Rio Grande City</w:t>
            </w:r>
          </w:p>
        </w:tc>
        <w:tc>
          <w:tcPr>
            <w:tcW w:w="810" w:type="dxa"/>
            <w:shd w:val="clear" w:color="auto" w:fill="F2F2F2" w:themeFill="background1" w:themeFillShade="F2"/>
            <w:noWrap/>
            <w:tcMar>
              <w:left w:w="0" w:type="dxa"/>
              <w:right w:w="0" w:type="dxa"/>
            </w:tcMar>
            <w:vAlign w:val="center"/>
            <w:hideMark/>
          </w:tcPr>
          <w:p w:rsidR="00510B10" w:rsidRPr="00743A41" w:rsidRDefault="00510B10"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SCH</w:t>
            </w:r>
          </w:p>
        </w:tc>
        <w:tc>
          <w:tcPr>
            <w:tcW w:w="3510" w:type="dxa"/>
            <w:shd w:val="clear" w:color="auto" w:fill="F2F2F2" w:themeFill="background1" w:themeFillShade="F2"/>
            <w:noWrap/>
            <w:tcMar>
              <w:left w:w="0" w:type="dxa"/>
              <w:right w:w="0" w:type="dxa"/>
            </w:tcMar>
            <w:vAlign w:val="center"/>
            <w:hideMark/>
          </w:tcPr>
          <w:p w:rsidR="00510B10" w:rsidRPr="00743A41" w:rsidRDefault="00510B10"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Human Genetics Center</w:t>
            </w:r>
          </w:p>
        </w:tc>
        <w:tc>
          <w:tcPr>
            <w:tcW w:w="1260" w:type="dxa"/>
            <w:shd w:val="clear" w:color="auto" w:fill="F2F2F2" w:themeFill="background1" w:themeFillShade="F2"/>
            <w:noWrap/>
            <w:tcMar>
              <w:left w:w="0" w:type="dxa"/>
              <w:right w:w="0" w:type="dxa"/>
            </w:tcMar>
            <w:vAlign w:val="center"/>
            <w:hideMark/>
          </w:tcPr>
          <w:p w:rsidR="00510B10" w:rsidRPr="00743A41" w:rsidRDefault="00510B10" w:rsidP="00A37ED6">
            <w:pPr>
              <w:jc w:val="center"/>
              <w:rPr>
                <w:rFonts w:asciiTheme="majorHAnsi" w:eastAsia="Times New Roman" w:hAnsiTheme="majorHAnsi" w:cstheme="majorHAnsi"/>
                <w:bCs/>
                <w:color w:val="000000"/>
                <w:sz w:val="20"/>
                <w:szCs w:val="20"/>
              </w:rPr>
            </w:pPr>
          </w:p>
        </w:tc>
        <w:tc>
          <w:tcPr>
            <w:tcW w:w="1080" w:type="dxa"/>
            <w:shd w:val="clear" w:color="auto" w:fill="F2F2F2" w:themeFill="background1" w:themeFillShade="F2"/>
            <w:noWrap/>
            <w:tcMar>
              <w:left w:w="0" w:type="dxa"/>
              <w:right w:w="0" w:type="dxa"/>
            </w:tcMar>
            <w:vAlign w:val="center"/>
            <w:hideMark/>
          </w:tcPr>
          <w:p w:rsidR="00510B10" w:rsidRPr="00743A41" w:rsidRDefault="00510B10"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2</w:t>
            </w:r>
            <w:r w:rsidR="00E10C69" w:rsidRPr="00743A41">
              <w:rPr>
                <w:rFonts w:asciiTheme="majorHAnsi" w:eastAsia="Times New Roman" w:hAnsiTheme="majorHAnsi" w:cstheme="majorHAnsi"/>
                <w:bCs/>
                <w:color w:val="000000"/>
                <w:sz w:val="20"/>
                <w:szCs w:val="20"/>
              </w:rPr>
              <w:t>,</w:t>
            </w:r>
            <w:r w:rsidRPr="00743A41">
              <w:rPr>
                <w:rFonts w:asciiTheme="majorHAnsi" w:eastAsia="Times New Roman" w:hAnsiTheme="majorHAnsi" w:cstheme="majorHAnsi"/>
                <w:bCs/>
                <w:color w:val="000000"/>
                <w:sz w:val="20"/>
                <w:szCs w:val="20"/>
              </w:rPr>
              <w:t>112</w:t>
            </w:r>
          </w:p>
        </w:tc>
      </w:tr>
      <w:tr w:rsidR="00510B10" w:rsidRPr="00743A41" w:rsidTr="00786F69">
        <w:trPr>
          <w:trHeight w:val="310"/>
        </w:trPr>
        <w:tc>
          <w:tcPr>
            <w:tcW w:w="1350" w:type="dxa"/>
            <w:shd w:val="clear" w:color="auto" w:fill="auto"/>
            <w:noWrap/>
            <w:tcMar>
              <w:left w:w="0" w:type="dxa"/>
              <w:right w:w="0" w:type="dxa"/>
            </w:tcMar>
            <w:vAlign w:val="center"/>
            <w:hideMark/>
          </w:tcPr>
          <w:p w:rsidR="00510B10" w:rsidRPr="00743A41" w:rsidRDefault="00510B10"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Austin</w:t>
            </w:r>
            <w:r w:rsidR="0056672D" w:rsidRPr="00743A41">
              <w:rPr>
                <w:rFonts w:asciiTheme="majorHAnsi" w:eastAsia="Times New Roman" w:hAnsiTheme="majorHAnsi" w:cstheme="majorHAnsi"/>
                <w:bCs/>
                <w:color w:val="000000"/>
                <w:sz w:val="20"/>
                <w:szCs w:val="20"/>
              </w:rPr>
              <w:t xml:space="preserve"> Campus</w:t>
            </w:r>
          </w:p>
        </w:tc>
        <w:tc>
          <w:tcPr>
            <w:tcW w:w="810" w:type="dxa"/>
            <w:shd w:val="clear" w:color="auto" w:fill="auto"/>
            <w:noWrap/>
            <w:tcMar>
              <w:left w:w="0" w:type="dxa"/>
              <w:right w:w="0" w:type="dxa"/>
            </w:tcMar>
            <w:vAlign w:val="center"/>
            <w:hideMark/>
          </w:tcPr>
          <w:p w:rsidR="00510B10" w:rsidRPr="00743A41" w:rsidRDefault="00510B10"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SHC</w:t>
            </w:r>
          </w:p>
        </w:tc>
        <w:tc>
          <w:tcPr>
            <w:tcW w:w="3510" w:type="dxa"/>
            <w:shd w:val="clear" w:color="auto" w:fill="auto"/>
            <w:noWrap/>
            <w:tcMar>
              <w:left w:w="0" w:type="dxa"/>
              <w:right w:w="0" w:type="dxa"/>
            </w:tcMar>
            <w:vAlign w:val="center"/>
            <w:hideMark/>
          </w:tcPr>
          <w:p w:rsidR="00510B10" w:rsidRPr="00743A41" w:rsidRDefault="00510B10"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 xml:space="preserve">Dell Center </w:t>
            </w:r>
          </w:p>
        </w:tc>
        <w:tc>
          <w:tcPr>
            <w:tcW w:w="1260" w:type="dxa"/>
            <w:shd w:val="clear" w:color="auto" w:fill="auto"/>
            <w:noWrap/>
            <w:tcMar>
              <w:left w:w="0" w:type="dxa"/>
              <w:right w:w="0" w:type="dxa"/>
            </w:tcMar>
            <w:vAlign w:val="center"/>
            <w:hideMark/>
          </w:tcPr>
          <w:p w:rsidR="00510B10" w:rsidRPr="00743A41" w:rsidRDefault="00510B10" w:rsidP="00A37ED6">
            <w:pPr>
              <w:jc w:val="center"/>
              <w:rPr>
                <w:rFonts w:asciiTheme="majorHAnsi" w:eastAsia="Times New Roman" w:hAnsiTheme="majorHAnsi" w:cstheme="majorHAnsi"/>
                <w:bCs/>
                <w:color w:val="000000"/>
                <w:sz w:val="20"/>
                <w:szCs w:val="20"/>
              </w:rPr>
            </w:pPr>
          </w:p>
        </w:tc>
        <w:tc>
          <w:tcPr>
            <w:tcW w:w="1080" w:type="dxa"/>
            <w:shd w:val="clear" w:color="auto" w:fill="auto"/>
            <w:noWrap/>
            <w:tcMar>
              <w:left w:w="0" w:type="dxa"/>
              <w:right w:w="0" w:type="dxa"/>
            </w:tcMar>
            <w:vAlign w:val="center"/>
            <w:hideMark/>
          </w:tcPr>
          <w:p w:rsidR="00510B10" w:rsidRPr="00743A41" w:rsidRDefault="00510B10"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104</w:t>
            </w:r>
          </w:p>
        </w:tc>
      </w:tr>
    </w:tbl>
    <w:p w:rsidR="00933038" w:rsidRPr="00743A41" w:rsidRDefault="00933038" w:rsidP="00A37ED6">
      <w:pPr>
        <w:jc w:val="both"/>
        <w:rPr>
          <w:rFonts w:asciiTheme="majorHAnsi" w:eastAsia="Calibri" w:hAnsiTheme="majorHAnsi" w:cstheme="majorHAnsi"/>
          <w:sz w:val="20"/>
          <w:szCs w:val="20"/>
        </w:rPr>
      </w:pPr>
    </w:p>
    <w:p w:rsidR="00933038" w:rsidRPr="00743A41" w:rsidRDefault="00933038" w:rsidP="00A37ED6">
      <w:pPr>
        <w:numPr>
          <w:ilvl w:val="0"/>
          <w:numId w:val="14"/>
        </w:numPr>
        <w:ind w:left="72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 xml:space="preserve">Provide narrative and/or data that support the assertion that the physical space is sufficient or not sufficient. </w:t>
      </w:r>
    </w:p>
    <w:p w:rsidR="00933038" w:rsidRPr="00743A41" w:rsidRDefault="00933038" w:rsidP="00A37ED6">
      <w:pPr>
        <w:jc w:val="both"/>
        <w:rPr>
          <w:rFonts w:asciiTheme="majorHAnsi" w:eastAsia="Calibri" w:hAnsiTheme="majorHAnsi" w:cstheme="majorHAnsi"/>
          <w:sz w:val="20"/>
          <w:szCs w:val="20"/>
        </w:rPr>
      </w:pPr>
    </w:p>
    <w:p w:rsidR="00164A8A" w:rsidRPr="00743A41" w:rsidRDefault="00164A8A" w:rsidP="00A37ED6">
      <w:pPr>
        <w:keepNext/>
        <w:ind w:left="720"/>
        <w:rPr>
          <w:rFonts w:asciiTheme="majorHAnsi" w:eastAsia="Calibri" w:hAnsiTheme="majorHAnsi" w:cstheme="majorHAnsi"/>
          <w:sz w:val="20"/>
          <w:szCs w:val="20"/>
        </w:rPr>
      </w:pPr>
      <w:r w:rsidRPr="00743A41">
        <w:rPr>
          <w:rFonts w:asciiTheme="majorHAnsi" w:eastAsia="Arial" w:hAnsiTheme="majorHAnsi" w:cstheme="majorHAnsi"/>
          <w:sz w:val="20"/>
          <w:szCs w:val="20"/>
        </w:rPr>
        <w:t xml:space="preserve">The UTHealth School of Public Health provides sufficient office, classroom, meeting, IT, and laboratory space in a variety of academic and research areas. Various outcome measures, such as total expenditures, number of students, enrollment, number of classes offered, research expenditures, and number of faculty and staff, are examined carefully by the </w:t>
      </w:r>
      <w:r w:rsidR="00D87CFB" w:rsidRPr="00743A41">
        <w:rPr>
          <w:rFonts w:asciiTheme="majorHAnsi" w:eastAsia="Arial" w:hAnsiTheme="majorHAnsi" w:cstheme="majorHAnsi"/>
          <w:sz w:val="20"/>
          <w:szCs w:val="20"/>
        </w:rPr>
        <w:t>d</w:t>
      </w:r>
      <w:r w:rsidR="00D17A77" w:rsidRPr="00743A41">
        <w:rPr>
          <w:rFonts w:asciiTheme="majorHAnsi" w:eastAsia="Arial" w:hAnsiTheme="majorHAnsi" w:cstheme="majorHAnsi"/>
          <w:sz w:val="20"/>
          <w:szCs w:val="20"/>
        </w:rPr>
        <w:t xml:space="preserve">ean </w:t>
      </w:r>
      <w:r w:rsidRPr="00743A41">
        <w:rPr>
          <w:rFonts w:asciiTheme="majorHAnsi" w:eastAsia="Arial" w:hAnsiTheme="majorHAnsi" w:cstheme="majorHAnsi"/>
          <w:sz w:val="20"/>
          <w:szCs w:val="20"/>
        </w:rPr>
        <w:t>each year to determine strategic direction and planning.</w:t>
      </w:r>
    </w:p>
    <w:p w:rsidR="00933038" w:rsidRPr="00743A41" w:rsidRDefault="00933038" w:rsidP="00A37ED6">
      <w:pPr>
        <w:jc w:val="both"/>
        <w:rPr>
          <w:rFonts w:asciiTheme="majorHAnsi" w:eastAsia="Calibri" w:hAnsiTheme="majorHAnsi" w:cstheme="majorHAnsi"/>
          <w:sz w:val="20"/>
          <w:szCs w:val="20"/>
        </w:rPr>
      </w:pPr>
    </w:p>
    <w:p w:rsidR="00933038" w:rsidRPr="00743A41" w:rsidRDefault="00933038" w:rsidP="00A37ED6">
      <w:pPr>
        <w:numPr>
          <w:ilvl w:val="0"/>
          <w:numId w:val="14"/>
        </w:numPr>
        <w:ind w:left="72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 xml:space="preserve">If applicable, assess strengths and weaknesses related to this criterion and plans for improvement in this area. </w:t>
      </w:r>
    </w:p>
    <w:p w:rsidR="00933038" w:rsidRPr="00743A41" w:rsidRDefault="00933038" w:rsidP="00A37ED6">
      <w:pPr>
        <w:jc w:val="both"/>
        <w:rPr>
          <w:rFonts w:asciiTheme="majorHAnsi" w:eastAsia="Calibri" w:hAnsiTheme="majorHAnsi" w:cstheme="majorHAnsi"/>
          <w:sz w:val="20"/>
          <w:szCs w:val="20"/>
        </w:rPr>
      </w:pPr>
    </w:p>
    <w:p w:rsidR="00933038" w:rsidRPr="00743A41" w:rsidRDefault="00040CA5" w:rsidP="00A37ED6">
      <w:pPr>
        <w:keepNext/>
        <w:ind w:left="720"/>
        <w:jc w:val="both"/>
        <w:rPr>
          <w:rFonts w:asciiTheme="majorHAnsi" w:eastAsia="Calibri" w:hAnsiTheme="majorHAnsi" w:cstheme="majorHAnsi"/>
          <w:i/>
          <w:sz w:val="20"/>
          <w:szCs w:val="20"/>
        </w:rPr>
      </w:pPr>
      <w:r w:rsidRPr="00743A41">
        <w:rPr>
          <w:rFonts w:asciiTheme="majorHAnsi" w:hAnsiTheme="majorHAnsi" w:cstheme="majorHAnsi"/>
          <w:i/>
          <w:sz w:val="20"/>
          <w:szCs w:val="20"/>
        </w:rPr>
        <w:t xml:space="preserve">Not applicable. </w:t>
      </w:r>
    </w:p>
    <w:p w:rsidR="00933038" w:rsidRPr="00743A41" w:rsidRDefault="00933038" w:rsidP="00A37ED6">
      <w:pPr>
        <w:ind w:left="720"/>
        <w:jc w:val="both"/>
        <w:rPr>
          <w:rFonts w:asciiTheme="majorHAnsi" w:eastAsia="Calibri" w:hAnsiTheme="majorHAnsi" w:cstheme="majorHAnsi"/>
          <w:sz w:val="20"/>
          <w:szCs w:val="20"/>
        </w:rPr>
      </w:pPr>
    </w:p>
    <w:p w:rsidR="00933038" w:rsidRPr="00743A41" w:rsidRDefault="00933038" w:rsidP="00A37ED6">
      <w:pPr>
        <w:rPr>
          <w:rStyle w:val="Heading1Char"/>
        </w:rPr>
      </w:pPr>
      <w:bookmarkStart w:id="62" w:name="_Toc464487866"/>
      <w:r w:rsidRPr="00743A41">
        <w:rPr>
          <w:rStyle w:val="Heading1Char"/>
        </w:rPr>
        <w:br w:type="page"/>
      </w:r>
    </w:p>
    <w:p w:rsidR="00933038" w:rsidRPr="00743A41" w:rsidRDefault="00933038" w:rsidP="007A68BE">
      <w:pPr>
        <w:pStyle w:val="Heading1"/>
        <w:rPr>
          <w:rFonts w:eastAsia="Calibri"/>
        </w:rPr>
      </w:pPr>
      <w:bookmarkStart w:id="63" w:name="_Toc7118199"/>
      <w:r w:rsidRPr="00743A41">
        <w:rPr>
          <w:rStyle w:val="Heading1Char"/>
          <w:b/>
        </w:rPr>
        <w:t>C5. Information and Technology Resources</w:t>
      </w:r>
      <w:bookmarkEnd w:id="62"/>
      <w:bookmarkEnd w:id="63"/>
      <w:r w:rsidRPr="00743A41">
        <w:rPr>
          <w:rFonts w:eastAsia="Calibri"/>
        </w:rPr>
        <w:t xml:space="preserve"> </w:t>
      </w:r>
    </w:p>
    <w:p w:rsidR="00933038" w:rsidRPr="00743A41" w:rsidRDefault="00933038" w:rsidP="00A37ED6">
      <w:pPr>
        <w:ind w:left="720"/>
        <w:rPr>
          <w:rFonts w:asciiTheme="majorHAnsi" w:eastAsia="Calibri" w:hAnsiTheme="majorHAnsi" w:cstheme="majorHAnsi"/>
          <w:sz w:val="20"/>
          <w:szCs w:val="20"/>
        </w:rPr>
      </w:pPr>
    </w:p>
    <w:p w:rsidR="00933038" w:rsidRPr="00743A41" w:rsidRDefault="00933038" w:rsidP="00A37ED6">
      <w:pPr>
        <w:jc w:val="both"/>
        <w:rPr>
          <w:rFonts w:asciiTheme="majorHAnsi" w:eastAsia="Calibri" w:hAnsiTheme="majorHAnsi" w:cstheme="majorHAnsi"/>
          <w:sz w:val="20"/>
          <w:szCs w:val="20"/>
        </w:rPr>
      </w:pPr>
      <w:r w:rsidRPr="00743A41">
        <w:rPr>
          <w:rFonts w:asciiTheme="majorHAnsi" w:eastAsia="Calibri" w:hAnsiTheme="majorHAnsi" w:cstheme="majorHAnsi"/>
          <w:b/>
          <w:sz w:val="20"/>
          <w:szCs w:val="20"/>
        </w:rPr>
        <w:t>The school has information and technology resources adequate to fulfill its stated mission and goals and to support instructional schools. Information and technology resources include library resources, student access to hardware and software (including access to specific software or other technology required for instructional schools), faculty access to hardware and software (including access to specific software required for the instructional schools offered) and technical assistance for students and faculty.</w:t>
      </w:r>
    </w:p>
    <w:p w:rsidR="00933038" w:rsidRPr="00743A41" w:rsidRDefault="00933038" w:rsidP="00A37ED6">
      <w:pPr>
        <w:jc w:val="both"/>
        <w:rPr>
          <w:rFonts w:asciiTheme="majorHAnsi" w:eastAsia="Calibri" w:hAnsiTheme="majorHAnsi" w:cstheme="majorHAnsi"/>
          <w:sz w:val="20"/>
          <w:szCs w:val="20"/>
        </w:rPr>
      </w:pPr>
    </w:p>
    <w:p w:rsidR="00933038" w:rsidRPr="00743A41" w:rsidRDefault="00933038" w:rsidP="00A37ED6">
      <w:pPr>
        <w:numPr>
          <w:ilvl w:val="0"/>
          <w:numId w:val="16"/>
        </w:numPr>
        <w:ind w:left="72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Briefly describe, with data if applicable, the following:</w:t>
      </w:r>
    </w:p>
    <w:p w:rsidR="0067143D" w:rsidRPr="00743A41" w:rsidRDefault="0067143D" w:rsidP="00A37ED6">
      <w:pPr>
        <w:jc w:val="both"/>
        <w:rPr>
          <w:rFonts w:asciiTheme="majorHAnsi" w:eastAsia="Calibri" w:hAnsiTheme="majorHAnsi" w:cstheme="majorHAnsi"/>
          <w:sz w:val="20"/>
          <w:szCs w:val="20"/>
        </w:rPr>
      </w:pPr>
    </w:p>
    <w:p w:rsidR="00933038" w:rsidRPr="00743A41" w:rsidRDefault="00933038" w:rsidP="00A37ED6">
      <w:pPr>
        <w:numPr>
          <w:ilvl w:val="0"/>
          <w:numId w:val="17"/>
        </w:numPr>
        <w:ind w:left="126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library resources and support available for students and faculty</w:t>
      </w:r>
    </w:p>
    <w:p w:rsidR="00933038" w:rsidRPr="00743A41" w:rsidRDefault="00933038" w:rsidP="00A37ED6">
      <w:pPr>
        <w:ind w:left="1260"/>
        <w:rPr>
          <w:rFonts w:asciiTheme="majorHAnsi" w:eastAsia="Calibri" w:hAnsiTheme="majorHAnsi" w:cstheme="majorHAnsi"/>
          <w:sz w:val="20"/>
          <w:szCs w:val="20"/>
        </w:rPr>
      </w:pPr>
    </w:p>
    <w:p w:rsidR="00A70631" w:rsidRPr="00743A41" w:rsidRDefault="00A70631" w:rsidP="00A37ED6">
      <w:pPr>
        <w:ind w:left="1260"/>
        <w:rPr>
          <w:rFonts w:asciiTheme="majorHAnsi" w:hAnsiTheme="majorHAnsi" w:cstheme="majorHAnsi"/>
          <w:b/>
          <w:sz w:val="20"/>
          <w:szCs w:val="20"/>
        </w:rPr>
      </w:pPr>
      <w:r w:rsidRPr="00743A41">
        <w:rPr>
          <w:rFonts w:asciiTheme="majorHAnsi" w:hAnsiTheme="majorHAnsi" w:cstheme="majorHAnsi"/>
          <w:b/>
          <w:sz w:val="20"/>
          <w:szCs w:val="20"/>
        </w:rPr>
        <w:t>L</w:t>
      </w:r>
      <w:r w:rsidRPr="00743A41">
        <w:rPr>
          <w:rFonts w:asciiTheme="majorHAnsi" w:hAnsiTheme="majorHAnsi" w:cstheme="majorHAnsi"/>
          <w:b/>
          <w:spacing w:val="2"/>
          <w:sz w:val="20"/>
          <w:szCs w:val="20"/>
        </w:rPr>
        <w:t>i</w:t>
      </w:r>
      <w:r w:rsidRPr="00743A41">
        <w:rPr>
          <w:rFonts w:asciiTheme="majorHAnsi" w:hAnsiTheme="majorHAnsi" w:cstheme="majorHAnsi"/>
          <w:b/>
          <w:spacing w:val="-3"/>
          <w:sz w:val="20"/>
          <w:szCs w:val="20"/>
        </w:rPr>
        <w:t>b</w:t>
      </w:r>
      <w:r w:rsidRPr="00743A41">
        <w:rPr>
          <w:rFonts w:asciiTheme="majorHAnsi" w:hAnsiTheme="majorHAnsi" w:cstheme="majorHAnsi"/>
          <w:b/>
          <w:sz w:val="20"/>
          <w:szCs w:val="20"/>
        </w:rPr>
        <w:t>rary</w:t>
      </w:r>
      <w:r w:rsidRPr="00743A41">
        <w:rPr>
          <w:rFonts w:asciiTheme="majorHAnsi" w:hAnsiTheme="majorHAnsi" w:cstheme="majorHAnsi"/>
          <w:b/>
          <w:spacing w:val="-9"/>
          <w:sz w:val="20"/>
          <w:szCs w:val="20"/>
        </w:rPr>
        <w:t xml:space="preserve"> </w:t>
      </w:r>
      <w:r w:rsidRPr="00743A41">
        <w:rPr>
          <w:rFonts w:asciiTheme="majorHAnsi" w:hAnsiTheme="majorHAnsi" w:cstheme="majorHAnsi"/>
          <w:b/>
          <w:sz w:val="20"/>
          <w:szCs w:val="20"/>
        </w:rPr>
        <w:t>Re</w:t>
      </w:r>
      <w:r w:rsidRPr="00743A41">
        <w:rPr>
          <w:rFonts w:asciiTheme="majorHAnsi" w:hAnsiTheme="majorHAnsi" w:cstheme="majorHAnsi"/>
          <w:b/>
          <w:spacing w:val="-1"/>
          <w:sz w:val="20"/>
          <w:szCs w:val="20"/>
        </w:rPr>
        <w:t>s</w:t>
      </w:r>
      <w:r w:rsidRPr="00743A41">
        <w:rPr>
          <w:rFonts w:asciiTheme="majorHAnsi" w:hAnsiTheme="majorHAnsi" w:cstheme="majorHAnsi"/>
          <w:b/>
          <w:spacing w:val="2"/>
          <w:sz w:val="20"/>
          <w:szCs w:val="20"/>
        </w:rPr>
        <w:t>o</w:t>
      </w:r>
      <w:r w:rsidRPr="00743A41">
        <w:rPr>
          <w:rFonts w:asciiTheme="majorHAnsi" w:hAnsiTheme="majorHAnsi" w:cstheme="majorHAnsi"/>
          <w:b/>
          <w:spacing w:val="-3"/>
          <w:sz w:val="20"/>
          <w:szCs w:val="20"/>
        </w:rPr>
        <w:t>u</w:t>
      </w:r>
      <w:r w:rsidRPr="00743A41">
        <w:rPr>
          <w:rFonts w:asciiTheme="majorHAnsi" w:hAnsiTheme="majorHAnsi" w:cstheme="majorHAnsi"/>
          <w:b/>
          <w:spacing w:val="4"/>
          <w:sz w:val="20"/>
          <w:szCs w:val="20"/>
        </w:rPr>
        <w:t>r</w:t>
      </w:r>
      <w:r w:rsidRPr="00743A41">
        <w:rPr>
          <w:rFonts w:asciiTheme="majorHAnsi" w:hAnsiTheme="majorHAnsi" w:cstheme="majorHAnsi"/>
          <w:b/>
          <w:spacing w:val="-2"/>
          <w:sz w:val="20"/>
          <w:szCs w:val="20"/>
        </w:rPr>
        <w:t>c</w:t>
      </w:r>
      <w:r w:rsidRPr="00743A41">
        <w:rPr>
          <w:rFonts w:asciiTheme="majorHAnsi" w:hAnsiTheme="majorHAnsi" w:cstheme="majorHAnsi"/>
          <w:b/>
          <w:sz w:val="20"/>
          <w:szCs w:val="20"/>
        </w:rPr>
        <w:t>es</w:t>
      </w:r>
      <w:r w:rsidRPr="00743A41">
        <w:rPr>
          <w:rFonts w:asciiTheme="majorHAnsi" w:hAnsiTheme="majorHAnsi" w:cstheme="majorHAnsi"/>
          <w:b/>
          <w:spacing w:val="-6"/>
          <w:sz w:val="20"/>
          <w:szCs w:val="20"/>
        </w:rPr>
        <w:t xml:space="preserve"> </w:t>
      </w:r>
      <w:r w:rsidRPr="00743A41">
        <w:rPr>
          <w:rFonts w:asciiTheme="majorHAnsi" w:hAnsiTheme="majorHAnsi" w:cstheme="majorHAnsi"/>
          <w:b/>
          <w:spacing w:val="-1"/>
          <w:sz w:val="20"/>
          <w:szCs w:val="20"/>
        </w:rPr>
        <w:t>f</w:t>
      </w:r>
      <w:r w:rsidRPr="00743A41">
        <w:rPr>
          <w:rFonts w:asciiTheme="majorHAnsi" w:hAnsiTheme="majorHAnsi" w:cstheme="majorHAnsi"/>
          <w:b/>
          <w:sz w:val="20"/>
          <w:szCs w:val="20"/>
        </w:rPr>
        <w:t>or</w:t>
      </w:r>
      <w:r w:rsidRPr="00743A41">
        <w:rPr>
          <w:rFonts w:asciiTheme="majorHAnsi" w:hAnsiTheme="majorHAnsi" w:cstheme="majorHAnsi"/>
          <w:b/>
          <w:spacing w:val="-2"/>
          <w:sz w:val="20"/>
          <w:szCs w:val="20"/>
        </w:rPr>
        <w:t xml:space="preserve"> </w:t>
      </w:r>
      <w:r w:rsidRPr="00743A41">
        <w:rPr>
          <w:rFonts w:asciiTheme="majorHAnsi" w:hAnsiTheme="majorHAnsi" w:cstheme="majorHAnsi"/>
          <w:b/>
          <w:sz w:val="20"/>
          <w:szCs w:val="20"/>
        </w:rPr>
        <w:t>all</w:t>
      </w:r>
      <w:r w:rsidRPr="00743A41">
        <w:rPr>
          <w:rFonts w:asciiTheme="majorHAnsi" w:hAnsiTheme="majorHAnsi" w:cstheme="majorHAnsi"/>
          <w:b/>
          <w:spacing w:val="-6"/>
          <w:sz w:val="20"/>
          <w:szCs w:val="20"/>
        </w:rPr>
        <w:t xml:space="preserve"> </w:t>
      </w:r>
      <w:r w:rsidRPr="00743A41">
        <w:rPr>
          <w:rFonts w:asciiTheme="majorHAnsi" w:hAnsiTheme="majorHAnsi" w:cstheme="majorHAnsi"/>
          <w:b/>
          <w:spacing w:val="-2"/>
          <w:sz w:val="20"/>
          <w:szCs w:val="20"/>
        </w:rPr>
        <w:t>C</w:t>
      </w:r>
      <w:r w:rsidRPr="00743A41">
        <w:rPr>
          <w:rFonts w:asciiTheme="majorHAnsi" w:hAnsiTheme="majorHAnsi" w:cstheme="majorHAnsi"/>
          <w:b/>
          <w:sz w:val="20"/>
          <w:szCs w:val="20"/>
        </w:rPr>
        <w:t>a</w:t>
      </w:r>
      <w:r w:rsidRPr="00743A41">
        <w:rPr>
          <w:rFonts w:asciiTheme="majorHAnsi" w:hAnsiTheme="majorHAnsi" w:cstheme="majorHAnsi"/>
          <w:b/>
          <w:spacing w:val="4"/>
          <w:sz w:val="20"/>
          <w:szCs w:val="20"/>
        </w:rPr>
        <w:t>m</w:t>
      </w:r>
      <w:r w:rsidRPr="00743A41">
        <w:rPr>
          <w:rFonts w:asciiTheme="majorHAnsi" w:hAnsiTheme="majorHAnsi" w:cstheme="majorHAnsi"/>
          <w:b/>
          <w:spacing w:val="-5"/>
          <w:sz w:val="20"/>
          <w:szCs w:val="20"/>
        </w:rPr>
        <w:t>p</w:t>
      </w:r>
      <w:r w:rsidRPr="00743A41">
        <w:rPr>
          <w:rFonts w:asciiTheme="majorHAnsi" w:hAnsiTheme="majorHAnsi" w:cstheme="majorHAnsi"/>
          <w:b/>
          <w:sz w:val="20"/>
          <w:szCs w:val="20"/>
        </w:rPr>
        <w:t>uses</w:t>
      </w:r>
    </w:p>
    <w:p w:rsidR="00164A8A" w:rsidRPr="00743A41" w:rsidRDefault="00164A8A" w:rsidP="00A37ED6">
      <w:pPr>
        <w:ind w:left="1260"/>
        <w:rPr>
          <w:rFonts w:asciiTheme="majorHAnsi" w:hAnsiTheme="majorHAnsi" w:cstheme="majorHAnsi"/>
          <w:sz w:val="20"/>
          <w:szCs w:val="20"/>
        </w:rPr>
      </w:pPr>
      <w:r w:rsidRPr="00743A41">
        <w:rPr>
          <w:rFonts w:asciiTheme="majorHAnsi" w:hAnsiTheme="majorHAnsi" w:cstheme="majorHAnsi"/>
          <w:sz w:val="20"/>
          <w:szCs w:val="20"/>
        </w:rPr>
        <w:t>In 2017, the UTHealth School of Public Health transformed the physical library space on the Houston campus to a hybrid library, allowing full accessibility to electronic resources, such as licensed online databases and e-journals to any campus student. All students also have access to the Texas Medical Center Library, which provides them with a wider array of access to electronic resources. Students, staff and faculty at regional campuses also have access to library services and resources at each of the host campuses. The physical space of the SPH Library &amp; Graduate Communication Center includes the following resources and spaces: learning resource center, writing center, student lounge, study rooms, and a conference room. The SPH Library &amp; Graduate Communication Center appreciates faculty members’ collaboration and cooperation as it strives to meet students’ writing-instruction and library research needs in order to ensure that all SPH students receive the highest quality education to better serve the profession and community.</w:t>
      </w:r>
    </w:p>
    <w:p w:rsidR="00A70631" w:rsidRPr="00743A41" w:rsidRDefault="00A70631" w:rsidP="00A37ED6">
      <w:pPr>
        <w:ind w:left="1260"/>
        <w:rPr>
          <w:rFonts w:asciiTheme="majorHAnsi" w:hAnsiTheme="majorHAnsi" w:cstheme="majorHAnsi"/>
          <w:color w:val="000000"/>
          <w:sz w:val="20"/>
          <w:szCs w:val="20"/>
        </w:rPr>
      </w:pPr>
    </w:p>
    <w:p w:rsidR="00A70631" w:rsidRPr="00743A41" w:rsidRDefault="00A70631" w:rsidP="00A37ED6">
      <w:pPr>
        <w:ind w:left="1260"/>
        <w:rPr>
          <w:rFonts w:asciiTheme="majorHAnsi" w:eastAsia="Calisto MT" w:hAnsiTheme="majorHAnsi" w:cstheme="majorHAnsi"/>
          <w:b/>
          <w:bCs/>
          <w:spacing w:val="1"/>
          <w:sz w:val="20"/>
          <w:szCs w:val="20"/>
        </w:rPr>
      </w:pPr>
      <w:r w:rsidRPr="00743A41">
        <w:rPr>
          <w:rFonts w:asciiTheme="majorHAnsi" w:eastAsia="Calisto MT" w:hAnsiTheme="majorHAnsi" w:cstheme="majorHAnsi"/>
          <w:b/>
          <w:bCs/>
          <w:spacing w:val="1"/>
          <w:sz w:val="20"/>
          <w:szCs w:val="20"/>
        </w:rPr>
        <w:t>Writing and Instruction Lab – Writing Support Services</w:t>
      </w:r>
    </w:p>
    <w:p w:rsidR="00164A8A" w:rsidRPr="00743A41" w:rsidRDefault="00164A8A" w:rsidP="00A37ED6">
      <w:pPr>
        <w:ind w:left="1260"/>
        <w:rPr>
          <w:rFonts w:asciiTheme="majorHAnsi" w:hAnsiTheme="majorHAnsi" w:cstheme="majorHAnsi"/>
          <w:sz w:val="20"/>
          <w:szCs w:val="20"/>
        </w:rPr>
      </w:pPr>
      <w:r w:rsidRPr="00743A41">
        <w:rPr>
          <w:rFonts w:asciiTheme="majorHAnsi" w:hAnsiTheme="majorHAnsi" w:cstheme="majorHAnsi"/>
          <w:sz w:val="20"/>
          <w:szCs w:val="20"/>
        </w:rPr>
        <w:t>In 2016, Writing Support Services was created to offer English communication skills training to all students, with a particular focus on writing. Three full-time writing specialists, two that hold terminal degrees in writing training, provide individual, small group, and online writing instruction in the areas of (a) ESL, (b) Academic Writing, and (c) Scientific Writing. Writing Support Services tailors it resources and services to meet students’ needs and faculty members’ expectations. The resources and services are free to all students at all stages of the writing process. Overall, Writing Support Services assists students in many areas of writing to help them take responsibility for their own writing.</w:t>
      </w:r>
    </w:p>
    <w:p w:rsidR="00A70631" w:rsidRPr="00743A41" w:rsidRDefault="00A70631" w:rsidP="00A37ED6">
      <w:pPr>
        <w:ind w:left="1260"/>
        <w:rPr>
          <w:rFonts w:asciiTheme="majorHAnsi" w:eastAsia="Calibri" w:hAnsiTheme="majorHAnsi" w:cstheme="majorHAnsi"/>
          <w:sz w:val="20"/>
          <w:szCs w:val="20"/>
        </w:rPr>
      </w:pPr>
    </w:p>
    <w:p w:rsidR="00933038" w:rsidRPr="00743A41" w:rsidRDefault="00933038" w:rsidP="00A37ED6">
      <w:pPr>
        <w:numPr>
          <w:ilvl w:val="0"/>
          <w:numId w:val="17"/>
        </w:numPr>
        <w:ind w:left="126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student access to hardware and software (including access to specific software or other technology required for instructional schools)</w:t>
      </w:r>
    </w:p>
    <w:p w:rsidR="00933038" w:rsidRPr="00743A41" w:rsidRDefault="00933038" w:rsidP="00A37ED6">
      <w:pPr>
        <w:ind w:left="1260"/>
        <w:jc w:val="both"/>
        <w:rPr>
          <w:rFonts w:asciiTheme="majorHAnsi" w:eastAsia="Calibri" w:hAnsiTheme="majorHAnsi" w:cstheme="majorHAnsi"/>
          <w:sz w:val="20"/>
          <w:szCs w:val="20"/>
        </w:rPr>
      </w:pPr>
    </w:p>
    <w:p w:rsidR="00164A8A" w:rsidRPr="00743A41" w:rsidRDefault="00164A8A" w:rsidP="00A37ED6">
      <w:pPr>
        <w:tabs>
          <w:tab w:val="left" w:pos="6740"/>
        </w:tabs>
        <w:autoSpaceDE w:val="0"/>
        <w:autoSpaceDN w:val="0"/>
        <w:adjustRightInd w:val="0"/>
        <w:ind w:left="1260"/>
        <w:rPr>
          <w:rFonts w:asciiTheme="majorHAnsi" w:hAnsiTheme="majorHAnsi" w:cstheme="majorHAnsi"/>
          <w:sz w:val="20"/>
          <w:szCs w:val="20"/>
        </w:rPr>
      </w:pPr>
      <w:r w:rsidRPr="00743A41">
        <w:rPr>
          <w:rFonts w:asciiTheme="majorHAnsi" w:hAnsiTheme="majorHAnsi" w:cstheme="majorHAnsi"/>
          <w:sz w:val="20"/>
          <w:szCs w:val="20"/>
        </w:rPr>
        <w:t xml:space="preserve">Students have access to computers, printers, and scanners at all six campuses. Wireless connections are available for students at all campuses, and students </w:t>
      </w:r>
      <w:r w:rsidRPr="00743A41">
        <w:rPr>
          <w:rFonts w:asciiTheme="majorHAnsi" w:eastAsia="Arial" w:hAnsiTheme="majorHAnsi" w:cstheme="majorHAnsi"/>
          <w:sz w:val="20"/>
          <w:szCs w:val="20"/>
        </w:rPr>
        <w:t xml:space="preserve">have access to the UTSPH virtual computer lab, which is accessible from any Internet-connected computer, and is capable of supporting hundreds of users simultaneously with access to many of the most advanced software packages available today. </w:t>
      </w:r>
      <w:r w:rsidRPr="00743A41">
        <w:rPr>
          <w:rFonts w:asciiTheme="majorHAnsi" w:hAnsiTheme="majorHAnsi" w:cstheme="majorHAnsi"/>
          <w:sz w:val="20"/>
          <w:szCs w:val="20"/>
        </w:rPr>
        <w:t xml:space="preserve">All students have free access to Microsoft Office Suite, as well as data collection software such as Qualtrics and REDCap. Students enrolled in courses have access to required statistical and decision software such as R, Stata, TreeAge, and ArcGIS. Reduced software prices for Microsoft Office, Adobe products, virus scanning software, and statistical software and programming software (SPSS, STATA, </w:t>
      </w:r>
      <w:r w:rsidR="00AD6F36" w:rsidRPr="00743A41">
        <w:rPr>
          <w:rFonts w:asciiTheme="majorHAnsi" w:hAnsiTheme="majorHAnsi" w:cstheme="majorHAnsi"/>
          <w:sz w:val="20"/>
          <w:szCs w:val="20"/>
        </w:rPr>
        <w:t>and SAS</w:t>
      </w:r>
      <w:r w:rsidRPr="00743A41">
        <w:rPr>
          <w:rFonts w:asciiTheme="majorHAnsi" w:hAnsiTheme="majorHAnsi" w:cstheme="majorHAnsi"/>
          <w:sz w:val="20"/>
          <w:szCs w:val="20"/>
        </w:rPr>
        <w:t xml:space="preserve">) are available through the university bookstore and through the UT System computing services. </w:t>
      </w:r>
    </w:p>
    <w:p w:rsidR="00164A8A" w:rsidRPr="00743A41" w:rsidRDefault="00164A8A" w:rsidP="00A37ED6">
      <w:pPr>
        <w:autoSpaceDE w:val="0"/>
        <w:autoSpaceDN w:val="0"/>
        <w:adjustRightInd w:val="0"/>
        <w:rPr>
          <w:rFonts w:asciiTheme="majorHAnsi" w:hAnsiTheme="majorHAnsi" w:cstheme="majorHAnsi"/>
          <w:sz w:val="20"/>
          <w:szCs w:val="20"/>
        </w:rPr>
      </w:pPr>
    </w:p>
    <w:p w:rsidR="00164A8A" w:rsidRPr="00743A41" w:rsidRDefault="00164A8A" w:rsidP="00A37ED6">
      <w:pPr>
        <w:ind w:left="1260" w:right="75"/>
        <w:rPr>
          <w:rFonts w:asciiTheme="majorHAnsi" w:eastAsia="Arial" w:hAnsiTheme="majorHAnsi" w:cstheme="majorHAnsi"/>
          <w:sz w:val="20"/>
          <w:szCs w:val="20"/>
        </w:rPr>
      </w:pPr>
      <w:r w:rsidRPr="00743A41">
        <w:rPr>
          <w:rFonts w:asciiTheme="majorHAnsi" w:eastAsia="Arial" w:hAnsiTheme="majorHAnsi" w:cstheme="majorHAnsi"/>
          <w:sz w:val="20"/>
          <w:szCs w:val="20"/>
        </w:rPr>
        <w:t>Classrooms across campuses are connected through an ITV network with more than 50 video-enabled classrooms across the six campuses. ITV capabilities support the school’s “one campus” concept, creating opportunities for faculty to participate in teaching and research collaborations across all campuses. Many of these classrooms have the latest in distance learning technology, “Telepresence,” which includes one video screen that allows students at all locations to see the instructor, a second screen that displays the instructor’s teaching material, and a third screen that displays all the class participants from other locations. All participants could have interactive discussion in class irrespective of their geographic location.  Content delivery from all classrooms includes capabilities for computer, paper display, and DVD sources.</w:t>
      </w:r>
    </w:p>
    <w:p w:rsidR="008B1F0F" w:rsidRPr="00743A41" w:rsidRDefault="008B1F0F" w:rsidP="00A37ED6">
      <w:pPr>
        <w:tabs>
          <w:tab w:val="left" w:pos="6740"/>
        </w:tabs>
        <w:autoSpaceDE w:val="0"/>
        <w:autoSpaceDN w:val="0"/>
        <w:adjustRightInd w:val="0"/>
        <w:rPr>
          <w:rFonts w:asciiTheme="majorHAnsi" w:hAnsiTheme="majorHAnsi" w:cstheme="majorHAnsi"/>
          <w:sz w:val="20"/>
          <w:szCs w:val="20"/>
        </w:rPr>
      </w:pPr>
    </w:p>
    <w:p w:rsidR="00933038" w:rsidRPr="00743A41" w:rsidRDefault="00933038" w:rsidP="00A37ED6">
      <w:pPr>
        <w:numPr>
          <w:ilvl w:val="0"/>
          <w:numId w:val="17"/>
        </w:numPr>
        <w:ind w:left="126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faculty access to hardware and software (including access to specific software or other technology required for instructional schools)</w:t>
      </w:r>
    </w:p>
    <w:p w:rsidR="00933038" w:rsidRPr="00743A41" w:rsidRDefault="00933038" w:rsidP="00A37ED6">
      <w:pPr>
        <w:ind w:left="1260"/>
        <w:jc w:val="both"/>
        <w:rPr>
          <w:rFonts w:asciiTheme="majorHAnsi" w:eastAsia="Calibri" w:hAnsiTheme="majorHAnsi" w:cstheme="majorHAnsi"/>
          <w:sz w:val="20"/>
          <w:szCs w:val="20"/>
        </w:rPr>
      </w:pPr>
    </w:p>
    <w:p w:rsidR="00164A8A" w:rsidRPr="00743A41" w:rsidRDefault="00164A8A" w:rsidP="00A37ED6">
      <w:pPr>
        <w:ind w:left="1260"/>
        <w:rPr>
          <w:rFonts w:asciiTheme="majorHAnsi" w:hAnsiTheme="majorHAnsi" w:cstheme="majorHAnsi"/>
          <w:sz w:val="20"/>
          <w:szCs w:val="20"/>
        </w:rPr>
      </w:pPr>
      <w:r w:rsidRPr="00743A41">
        <w:rPr>
          <w:rFonts w:asciiTheme="majorHAnsi" w:eastAsia="Arial" w:hAnsiTheme="majorHAnsi" w:cstheme="majorHAnsi"/>
          <w:sz w:val="20"/>
          <w:szCs w:val="20"/>
        </w:rPr>
        <w:t xml:space="preserve">All faculty are provided with desktop computers and have access to the UTSPH virtual computer lab, which is accessible from any Internet-connected computer, and is capable of supporting hundreds of users simultaneously with access to many of the most advanced software packages available today. UTHealth maintains modern systems for management of student learning through Canvas; Poll Everywhere; Qualtrics; REDCap; statistical software such as SAS, STATA and ArcGIS; and Microsoft Office products. Faculty have access to large insurance claims databases and electronic medical record databases that facilitate student research in population health and working with large datasets. </w:t>
      </w:r>
      <w:r w:rsidRPr="00743A41">
        <w:rPr>
          <w:rFonts w:asciiTheme="majorHAnsi" w:hAnsiTheme="majorHAnsi" w:cstheme="majorHAnsi"/>
          <w:sz w:val="20"/>
          <w:szCs w:val="20"/>
        </w:rPr>
        <w:t>The Center for Healthcare Data recently received certification as a Center for Medicare/Medicaid Services (CMS) Qualified Entity (QE) Level 2. To receive this status, the center went through a lengthy application process that required attestation of capabilities, data access, and established processes, as well as a thorough audit on data security and processes. The center hosts several millions of records of medical claims data from numerous sources. Only authorized researchers based on their specific topics and data authorization are allowed access to these data. This HIPAA-regulated center hosts an internal firewall to protect and restrict access to its data. Access is restricted and all transactions are monitored, recorded, and routinely audited. The Center for Healthcare Data is one of only 20 sites in the U.S who has this QE level-2 certification.</w:t>
      </w:r>
    </w:p>
    <w:p w:rsidR="00A70631" w:rsidRPr="00743A41" w:rsidRDefault="00A70631" w:rsidP="00A37ED6">
      <w:pPr>
        <w:ind w:left="1260"/>
        <w:jc w:val="both"/>
        <w:rPr>
          <w:rFonts w:asciiTheme="majorHAnsi" w:eastAsia="Calibri" w:hAnsiTheme="majorHAnsi" w:cstheme="majorHAnsi"/>
          <w:sz w:val="20"/>
          <w:szCs w:val="20"/>
        </w:rPr>
      </w:pPr>
    </w:p>
    <w:p w:rsidR="00933038" w:rsidRPr="00743A41" w:rsidRDefault="00933038" w:rsidP="00A37ED6">
      <w:pPr>
        <w:numPr>
          <w:ilvl w:val="0"/>
          <w:numId w:val="17"/>
        </w:numPr>
        <w:ind w:left="126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technical assistance available for students and faculty</w:t>
      </w:r>
    </w:p>
    <w:p w:rsidR="00933038" w:rsidRPr="00743A41" w:rsidRDefault="00933038" w:rsidP="00A37ED6">
      <w:pPr>
        <w:ind w:left="1260"/>
        <w:jc w:val="both"/>
        <w:rPr>
          <w:rFonts w:asciiTheme="majorHAnsi" w:eastAsia="Calibri" w:hAnsiTheme="majorHAnsi" w:cstheme="majorHAnsi"/>
          <w:sz w:val="20"/>
          <w:szCs w:val="20"/>
        </w:rPr>
      </w:pPr>
    </w:p>
    <w:p w:rsidR="00164A8A" w:rsidRPr="00743A41" w:rsidRDefault="00164A8A" w:rsidP="00A37ED6">
      <w:pPr>
        <w:pStyle w:val="ListParagraph"/>
        <w:ind w:left="1267"/>
        <w:rPr>
          <w:rFonts w:asciiTheme="majorHAnsi" w:eastAsia="Arial" w:hAnsiTheme="majorHAnsi" w:cstheme="majorHAnsi"/>
          <w:szCs w:val="20"/>
        </w:rPr>
      </w:pPr>
      <w:r w:rsidRPr="00743A41">
        <w:rPr>
          <w:rFonts w:asciiTheme="majorHAnsi" w:eastAsia="Arial" w:hAnsiTheme="majorHAnsi" w:cstheme="majorHAnsi"/>
          <w:szCs w:val="20"/>
        </w:rPr>
        <w:t xml:space="preserve">UTHealth School of Public Health Information Technology Services (SPH-IT) supports all aspects of IT operations: desktop services, server and data center operations, application development, and support for the school. Each campus has onsite staff to assist with in-person technology and software needs. SPH-IT assists with software and hardware support, assistance with uploading anti-virus software, help in selecting and purchasing new equipment, and consultative services on an as-needed basis. Faculty, staff, and students can also request support online, through email, or by phone using a 24-hour help desk operated by UTHealth. </w:t>
      </w:r>
    </w:p>
    <w:p w:rsidR="00A70631" w:rsidRPr="00743A41" w:rsidRDefault="00A70631" w:rsidP="00A37ED6">
      <w:pPr>
        <w:pStyle w:val="ListParagraph"/>
        <w:ind w:left="1267"/>
        <w:rPr>
          <w:rFonts w:asciiTheme="majorHAnsi" w:eastAsia="Arial" w:hAnsiTheme="majorHAnsi" w:cstheme="majorHAnsi"/>
          <w:szCs w:val="20"/>
        </w:rPr>
      </w:pPr>
    </w:p>
    <w:p w:rsidR="00933038" w:rsidRPr="00743A41" w:rsidRDefault="00933038" w:rsidP="00A37ED6">
      <w:pPr>
        <w:numPr>
          <w:ilvl w:val="0"/>
          <w:numId w:val="16"/>
        </w:numPr>
        <w:ind w:left="72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 xml:space="preserve">Provide narrative and/or data that support the assertion that information and technology resources are sufficient or not sufficient. </w:t>
      </w:r>
    </w:p>
    <w:p w:rsidR="00933038" w:rsidRPr="00743A41" w:rsidRDefault="00933038" w:rsidP="00A37ED6">
      <w:pPr>
        <w:jc w:val="both"/>
        <w:rPr>
          <w:rFonts w:asciiTheme="majorHAnsi" w:eastAsia="Calibri" w:hAnsiTheme="majorHAnsi" w:cstheme="majorHAnsi"/>
          <w:sz w:val="20"/>
          <w:szCs w:val="20"/>
        </w:rPr>
      </w:pPr>
    </w:p>
    <w:p w:rsidR="00164A8A" w:rsidRPr="00743A41" w:rsidRDefault="00164A8A" w:rsidP="00A37ED6">
      <w:pPr>
        <w:ind w:left="720"/>
        <w:rPr>
          <w:rFonts w:asciiTheme="majorHAnsi" w:eastAsia="Calibri" w:hAnsiTheme="majorHAnsi" w:cstheme="majorHAnsi"/>
          <w:i/>
          <w:sz w:val="20"/>
          <w:szCs w:val="20"/>
        </w:rPr>
      </w:pPr>
      <w:r w:rsidRPr="00743A41">
        <w:rPr>
          <w:rFonts w:asciiTheme="majorHAnsi" w:hAnsiTheme="majorHAnsi" w:cstheme="majorHAnsi"/>
          <w:sz w:val="20"/>
          <w:szCs w:val="20"/>
        </w:rPr>
        <w:t>Information and technology resources across all campuses of UTHealth School of Public Health are sufficient. All of our students have access to personal computers, which may be purchased using financial aid funds, as needed. Students also have access to computing resources (computers, printers, scanners) at each of our campuses. Computers are provided to all faculty and staff, as is access to printing and necessary software tools. Faculty may request access to additional instructional software or may utilize instructional design support. UTHealth School of Public Health faculty, staff, and students are supported by the UTHealth Information Technology department (central university service) and by SPH-IT.</w:t>
      </w:r>
    </w:p>
    <w:p w:rsidR="00933038" w:rsidRPr="00743A41" w:rsidRDefault="00933038" w:rsidP="00A37ED6">
      <w:pPr>
        <w:jc w:val="both"/>
        <w:rPr>
          <w:rFonts w:asciiTheme="majorHAnsi" w:eastAsia="Calibri" w:hAnsiTheme="majorHAnsi" w:cstheme="majorHAnsi"/>
          <w:sz w:val="20"/>
          <w:szCs w:val="20"/>
        </w:rPr>
      </w:pPr>
    </w:p>
    <w:p w:rsidR="009A4CCB" w:rsidRPr="00743A41" w:rsidRDefault="009A4CCB" w:rsidP="00A37ED6">
      <w:pPr>
        <w:jc w:val="both"/>
        <w:rPr>
          <w:rFonts w:asciiTheme="majorHAnsi" w:eastAsia="Calibri" w:hAnsiTheme="majorHAnsi" w:cstheme="majorHAnsi"/>
          <w:sz w:val="20"/>
          <w:szCs w:val="20"/>
        </w:rPr>
      </w:pPr>
    </w:p>
    <w:p w:rsidR="009A4CCB" w:rsidRPr="00743A41" w:rsidRDefault="009A4CCB" w:rsidP="00A37ED6">
      <w:pPr>
        <w:jc w:val="both"/>
        <w:rPr>
          <w:rFonts w:asciiTheme="majorHAnsi" w:eastAsia="Calibri" w:hAnsiTheme="majorHAnsi" w:cstheme="majorHAnsi"/>
          <w:sz w:val="20"/>
          <w:szCs w:val="20"/>
        </w:rPr>
      </w:pPr>
    </w:p>
    <w:p w:rsidR="009A4CCB" w:rsidRPr="00743A41" w:rsidRDefault="009A4CCB" w:rsidP="00A37ED6">
      <w:pPr>
        <w:jc w:val="both"/>
        <w:rPr>
          <w:rFonts w:asciiTheme="majorHAnsi" w:eastAsia="Calibri" w:hAnsiTheme="majorHAnsi" w:cstheme="majorHAnsi"/>
          <w:sz w:val="20"/>
          <w:szCs w:val="20"/>
        </w:rPr>
      </w:pPr>
    </w:p>
    <w:p w:rsidR="00933038" w:rsidRPr="00743A41" w:rsidRDefault="00933038" w:rsidP="00A37ED6">
      <w:pPr>
        <w:numPr>
          <w:ilvl w:val="0"/>
          <w:numId w:val="16"/>
        </w:numPr>
        <w:ind w:left="720"/>
        <w:jc w:val="both"/>
        <w:rPr>
          <w:rFonts w:asciiTheme="majorHAnsi" w:eastAsia="Calibri" w:hAnsiTheme="majorHAnsi" w:cstheme="majorHAnsi"/>
          <w:sz w:val="20"/>
          <w:szCs w:val="20"/>
        </w:rPr>
      </w:pPr>
      <w:r w:rsidRPr="00743A41">
        <w:rPr>
          <w:rFonts w:asciiTheme="majorHAnsi" w:eastAsia="Calibri" w:hAnsiTheme="majorHAnsi" w:cstheme="majorHAnsi"/>
          <w:sz w:val="20"/>
          <w:szCs w:val="20"/>
        </w:rPr>
        <w:t xml:space="preserve">If applicable, assess strengths and weaknesses related to this criterion and plans for improvement in this area. </w:t>
      </w:r>
    </w:p>
    <w:p w:rsidR="00933038" w:rsidRPr="00743A41" w:rsidRDefault="00933038" w:rsidP="00A37ED6">
      <w:pPr>
        <w:jc w:val="both"/>
        <w:rPr>
          <w:rFonts w:asciiTheme="majorHAnsi" w:eastAsia="Calibri" w:hAnsiTheme="majorHAnsi" w:cstheme="majorHAnsi"/>
          <w:sz w:val="20"/>
          <w:szCs w:val="20"/>
        </w:rPr>
      </w:pPr>
    </w:p>
    <w:p w:rsidR="00A6368C" w:rsidRPr="00743A41" w:rsidRDefault="00A6368C" w:rsidP="00A37ED6">
      <w:pPr>
        <w:pStyle w:val="ListParagraph"/>
        <w:rPr>
          <w:rFonts w:asciiTheme="majorHAnsi" w:hAnsiTheme="majorHAnsi" w:cstheme="majorHAnsi"/>
          <w:b/>
          <w:szCs w:val="20"/>
        </w:rPr>
      </w:pPr>
      <w:r w:rsidRPr="00743A41">
        <w:rPr>
          <w:rFonts w:asciiTheme="majorHAnsi" w:hAnsiTheme="majorHAnsi" w:cstheme="majorHAnsi"/>
          <w:b/>
          <w:szCs w:val="20"/>
        </w:rPr>
        <w:t>Strengths:</w:t>
      </w:r>
    </w:p>
    <w:p w:rsidR="00A6368C" w:rsidRPr="00743A41" w:rsidRDefault="00A6368C" w:rsidP="00A37ED6">
      <w:pPr>
        <w:pStyle w:val="ListParagraph"/>
        <w:numPr>
          <w:ilvl w:val="0"/>
          <w:numId w:val="184"/>
        </w:numPr>
        <w:spacing w:after="160"/>
        <w:ind w:left="1440"/>
        <w:contextualSpacing/>
        <w:rPr>
          <w:rFonts w:asciiTheme="majorHAnsi" w:hAnsiTheme="majorHAnsi" w:cstheme="majorHAnsi"/>
          <w:b/>
          <w:szCs w:val="20"/>
        </w:rPr>
      </w:pPr>
      <w:r w:rsidRPr="00743A41">
        <w:rPr>
          <w:rFonts w:asciiTheme="majorHAnsi" w:hAnsiTheme="majorHAnsi" w:cstheme="majorHAnsi"/>
          <w:szCs w:val="20"/>
        </w:rPr>
        <w:t xml:space="preserve">The UTHealth School of Public Health is currently upgrading its telepresence capabilities to ensure a seamless experience for teaching and learning across all campuses. </w:t>
      </w:r>
    </w:p>
    <w:p w:rsidR="00A6368C" w:rsidRPr="00743A41" w:rsidRDefault="00A6368C" w:rsidP="00A37ED6">
      <w:pPr>
        <w:pStyle w:val="ListParagraph"/>
        <w:numPr>
          <w:ilvl w:val="0"/>
          <w:numId w:val="184"/>
        </w:numPr>
        <w:spacing w:after="160"/>
        <w:ind w:left="1440"/>
        <w:contextualSpacing/>
        <w:rPr>
          <w:rFonts w:asciiTheme="majorHAnsi" w:hAnsiTheme="majorHAnsi" w:cstheme="majorHAnsi"/>
          <w:b/>
          <w:szCs w:val="20"/>
        </w:rPr>
      </w:pPr>
      <w:r w:rsidRPr="00743A41">
        <w:rPr>
          <w:rFonts w:asciiTheme="majorHAnsi" w:hAnsiTheme="majorHAnsi" w:cstheme="majorHAnsi"/>
          <w:szCs w:val="20"/>
        </w:rPr>
        <w:t xml:space="preserve">The UTHealth School of Public Health launched a </w:t>
      </w:r>
      <w:r w:rsidRPr="00743A41">
        <w:rPr>
          <w:rFonts w:asciiTheme="majorHAnsi" w:eastAsia="Calisto MT" w:hAnsiTheme="majorHAnsi" w:cstheme="majorHAnsi"/>
          <w:bCs/>
          <w:spacing w:val="1"/>
          <w:szCs w:val="20"/>
        </w:rPr>
        <w:t>writing and instruction lab (</w:t>
      </w:r>
      <w:r w:rsidRPr="00743A41">
        <w:rPr>
          <w:rFonts w:asciiTheme="majorHAnsi" w:hAnsiTheme="majorHAnsi" w:cstheme="majorHAnsi"/>
          <w:szCs w:val="20"/>
        </w:rPr>
        <w:t>Writing Support Services) to offer English communication skills training to all students, with a particular focus on three types of writing: academic writing, ESL, and scientific writing. Students and faculty have provided positive feedback of these writing-instruction services, and UTHealth is proposing to offer similar services across its six schools.</w:t>
      </w:r>
    </w:p>
    <w:p w:rsidR="00A6368C" w:rsidRPr="00743A41" w:rsidRDefault="00A6368C" w:rsidP="00A37ED6">
      <w:pPr>
        <w:ind w:left="720"/>
        <w:rPr>
          <w:rFonts w:asciiTheme="majorHAnsi" w:hAnsiTheme="majorHAnsi" w:cstheme="majorHAnsi"/>
          <w:b/>
          <w:sz w:val="20"/>
          <w:szCs w:val="20"/>
        </w:rPr>
      </w:pPr>
      <w:r w:rsidRPr="00743A41">
        <w:rPr>
          <w:rFonts w:asciiTheme="majorHAnsi" w:hAnsiTheme="majorHAnsi" w:cstheme="majorHAnsi"/>
          <w:b/>
          <w:sz w:val="20"/>
          <w:szCs w:val="20"/>
        </w:rPr>
        <w:t>Weaknesses</w:t>
      </w:r>
    </w:p>
    <w:p w:rsidR="00A6368C" w:rsidRPr="00743A41" w:rsidRDefault="00A6368C" w:rsidP="00A37ED6">
      <w:pPr>
        <w:pStyle w:val="ListParagraph"/>
        <w:numPr>
          <w:ilvl w:val="0"/>
          <w:numId w:val="185"/>
        </w:numPr>
        <w:spacing w:after="160"/>
        <w:ind w:left="1440"/>
        <w:contextualSpacing/>
        <w:rPr>
          <w:rFonts w:asciiTheme="majorHAnsi" w:hAnsiTheme="majorHAnsi" w:cstheme="majorHAnsi"/>
          <w:b/>
          <w:szCs w:val="20"/>
        </w:rPr>
      </w:pPr>
      <w:r w:rsidRPr="00743A41">
        <w:rPr>
          <w:rFonts w:asciiTheme="majorHAnsi" w:hAnsiTheme="majorHAnsi" w:cstheme="majorHAnsi"/>
          <w:szCs w:val="20"/>
        </w:rPr>
        <w:t>The UTHealth School of Public Health needs to improve its communication to students about the technology and software services that are available to them.</w:t>
      </w:r>
    </w:p>
    <w:p w:rsidR="00933038" w:rsidRPr="00743A41" w:rsidRDefault="00933038" w:rsidP="00A37ED6">
      <w:pPr>
        <w:rPr>
          <w:rStyle w:val="Heading1Char"/>
        </w:rPr>
      </w:pPr>
      <w:bookmarkStart w:id="64" w:name="_Toc464487867"/>
      <w:r w:rsidRPr="00743A41">
        <w:rPr>
          <w:rStyle w:val="Heading1Char"/>
          <w:b w:val="0"/>
          <w:bCs w:val="0"/>
        </w:rPr>
        <w:br w:type="page"/>
      </w:r>
    </w:p>
    <w:p w:rsidR="00933038" w:rsidRPr="00743A41" w:rsidRDefault="00933038" w:rsidP="007A68BE">
      <w:pPr>
        <w:pStyle w:val="Heading1"/>
      </w:pPr>
      <w:bookmarkStart w:id="65" w:name="_D1._MPH_&amp;"/>
      <w:bookmarkStart w:id="66" w:name="_Toc7118200"/>
      <w:bookmarkEnd w:id="65"/>
      <w:r w:rsidRPr="00743A41">
        <w:rPr>
          <w:rStyle w:val="Heading1Char"/>
          <w:b/>
          <w:bCs/>
        </w:rPr>
        <w:t xml:space="preserve">D1. MPH &amp; DrPH </w:t>
      </w:r>
      <w:r w:rsidRPr="00743A41">
        <w:rPr>
          <w:rStyle w:val="Heading1Char"/>
          <w:b/>
        </w:rPr>
        <w:t>Foundational Public Health Knowledge</w:t>
      </w:r>
      <w:bookmarkEnd w:id="66"/>
      <w:r w:rsidRPr="00743A41">
        <w:rPr>
          <w:rStyle w:val="Heading1Char"/>
          <w:b/>
        </w:rPr>
        <w:t xml:space="preserve"> </w:t>
      </w:r>
      <w:bookmarkEnd w:id="64"/>
    </w:p>
    <w:p w:rsidR="00933038" w:rsidRPr="00743A41" w:rsidRDefault="00933038" w:rsidP="00A37ED6">
      <w:pPr>
        <w:keepNext/>
        <w:rPr>
          <w:rFonts w:asciiTheme="majorHAnsi" w:eastAsia="Arial Unicode MS" w:hAnsiTheme="majorHAnsi" w:cstheme="majorHAnsi"/>
          <w:sz w:val="20"/>
          <w:szCs w:val="20"/>
        </w:rPr>
      </w:pPr>
    </w:p>
    <w:p w:rsidR="00933038" w:rsidRPr="00743A41" w:rsidRDefault="00933038" w:rsidP="00A37ED6">
      <w:pPr>
        <w:jc w:val="both"/>
        <w:rPr>
          <w:rStyle w:val="Heading1Char"/>
          <w:bCs w:val="0"/>
        </w:rPr>
      </w:pPr>
      <w:r w:rsidRPr="00743A41">
        <w:rPr>
          <w:rFonts w:asciiTheme="majorHAnsi" w:eastAsia="Arial Unicode MS" w:hAnsiTheme="majorHAnsi" w:cstheme="majorHAnsi"/>
          <w:b/>
          <w:sz w:val="20"/>
          <w:szCs w:val="20"/>
        </w:rPr>
        <w:t xml:space="preserve">The school ensures that all MPH and DrPH graduates are grounded in foundational public health knowledge. </w:t>
      </w:r>
    </w:p>
    <w:p w:rsidR="00933038" w:rsidRPr="00743A41" w:rsidRDefault="00933038" w:rsidP="00A37ED6">
      <w:pPr>
        <w:jc w:val="both"/>
        <w:rPr>
          <w:rStyle w:val="Heading1Char"/>
          <w:b w:val="0"/>
          <w:bCs w:val="0"/>
        </w:rPr>
      </w:pPr>
    </w:p>
    <w:p w:rsidR="00933038" w:rsidRPr="00743A41" w:rsidRDefault="00933038" w:rsidP="00A37ED6">
      <w:pPr>
        <w:jc w:val="both"/>
        <w:rPr>
          <w:rFonts w:asciiTheme="majorHAnsi" w:eastAsia="Arial Unicode MS" w:hAnsiTheme="majorHAnsi" w:cstheme="majorHAnsi"/>
          <w:b/>
          <w:sz w:val="20"/>
          <w:szCs w:val="20"/>
        </w:rPr>
      </w:pPr>
      <w:r w:rsidRPr="00743A41">
        <w:rPr>
          <w:rFonts w:asciiTheme="majorHAnsi" w:eastAsia="Arial Unicode MS" w:hAnsiTheme="majorHAnsi" w:cstheme="majorHAnsi"/>
          <w:b/>
          <w:sz w:val="20"/>
          <w:szCs w:val="20"/>
        </w:rPr>
        <w:t>The school validates MPH and DrPH students’ foundational public health knowledge through appropriate methods.</w:t>
      </w:r>
    </w:p>
    <w:p w:rsidR="00933038" w:rsidRPr="00743A41" w:rsidRDefault="00933038" w:rsidP="00A37ED6">
      <w:pPr>
        <w:keepNext/>
        <w:shd w:val="clear" w:color="auto" w:fill="FFFFFF"/>
        <w:jc w:val="both"/>
        <w:rPr>
          <w:rFonts w:asciiTheme="majorHAnsi" w:eastAsia="Arial Unicode MS" w:hAnsiTheme="majorHAnsi" w:cstheme="majorHAnsi"/>
          <w:sz w:val="20"/>
          <w:szCs w:val="20"/>
        </w:rPr>
      </w:pPr>
    </w:p>
    <w:p w:rsidR="00933038" w:rsidRPr="00743A41" w:rsidRDefault="00933038" w:rsidP="00A37ED6">
      <w:pPr>
        <w:numPr>
          <w:ilvl w:val="0"/>
          <w:numId w:val="18"/>
        </w:numPr>
        <w:shd w:val="clear" w:color="auto" w:fill="FFFFFF"/>
        <w:ind w:left="720"/>
        <w:jc w:val="both"/>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rPr>
        <w:t xml:space="preserve">Provide a matrix, in the format of Template D1-1, that indicates how all MPH and DrPH students are grounded in each of the defined foundational public health learning objectives (1-12). The matrix must identify all options for MPH and DrPH students used by the school. </w:t>
      </w:r>
    </w:p>
    <w:p w:rsidR="00933038" w:rsidRPr="00743A41" w:rsidRDefault="00933038" w:rsidP="00A37ED6">
      <w:pPr>
        <w:shd w:val="clear" w:color="auto" w:fill="FFFFFF"/>
        <w:ind w:left="720"/>
        <w:jc w:val="both"/>
        <w:rPr>
          <w:rFonts w:asciiTheme="majorHAnsi" w:eastAsia="Arial Unicode MS" w:hAnsiTheme="majorHAnsi" w:cstheme="majorHAnsi"/>
          <w:sz w:val="20"/>
          <w:szCs w:val="20"/>
        </w:rPr>
      </w:pPr>
    </w:p>
    <w:p w:rsidR="000F124C" w:rsidRPr="00743A41" w:rsidRDefault="000F124C" w:rsidP="000F124C">
      <w:pPr>
        <w:shd w:val="clear" w:color="auto" w:fill="FFFFFF"/>
        <w:ind w:left="720"/>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rPr>
        <w:t xml:space="preserve">Documentation to validate didactic coverage and assessment of the MPH and DrPH Foundational Public Health Knowledge </w:t>
      </w:r>
      <w:r w:rsidR="00CE5676">
        <w:rPr>
          <w:rFonts w:asciiTheme="majorHAnsi" w:eastAsia="Arial Unicode MS" w:hAnsiTheme="majorHAnsi" w:cstheme="majorHAnsi"/>
          <w:sz w:val="20"/>
          <w:szCs w:val="20"/>
        </w:rPr>
        <w:t>is available in the electronic resource file</w:t>
      </w:r>
      <w:r w:rsidRPr="00743A41">
        <w:rPr>
          <w:rFonts w:asciiTheme="majorHAnsi" w:eastAsia="Arial Unicode MS" w:hAnsiTheme="majorHAnsi" w:cstheme="majorHAnsi"/>
          <w:sz w:val="20"/>
          <w:szCs w:val="20"/>
        </w:rPr>
        <w:t xml:space="preserve"> (</w:t>
      </w:r>
      <w:r w:rsidRPr="00743A41">
        <w:rPr>
          <w:rFonts w:asciiTheme="majorHAnsi" w:eastAsia="Arial Unicode MS" w:hAnsiTheme="majorHAnsi" w:cstheme="majorHAnsi"/>
          <w:i/>
          <w:sz w:val="20"/>
          <w:szCs w:val="20"/>
        </w:rPr>
        <w:t xml:space="preserve">ERF, </w:t>
      </w:r>
      <w:r w:rsidR="007240BE" w:rsidRPr="00743A41">
        <w:rPr>
          <w:rFonts w:asciiTheme="majorHAnsi" w:hAnsiTheme="majorHAnsi" w:cstheme="majorHAnsi"/>
          <w:i/>
          <w:sz w:val="20"/>
          <w:szCs w:val="20"/>
        </w:rPr>
        <w:t>D1. MPH &amp; DrPH Foundational Public Health Knowledge</w:t>
      </w:r>
      <w:r w:rsidRPr="00743A41">
        <w:rPr>
          <w:rFonts w:asciiTheme="majorHAnsi" w:eastAsia="Arial Unicode MS" w:hAnsiTheme="majorHAnsi" w:cstheme="majorHAnsi"/>
          <w:sz w:val="20"/>
          <w:szCs w:val="20"/>
        </w:rPr>
        <w:t>).</w:t>
      </w:r>
    </w:p>
    <w:p w:rsidR="000F124C" w:rsidRPr="00743A41" w:rsidRDefault="000F124C" w:rsidP="00A37ED6">
      <w:pPr>
        <w:shd w:val="clear" w:color="auto" w:fill="FFFFFF"/>
        <w:ind w:left="720"/>
        <w:jc w:val="both"/>
        <w:rPr>
          <w:rFonts w:asciiTheme="majorHAnsi" w:eastAsia="Arial Unicode MS" w:hAnsiTheme="majorHAnsi" w:cstheme="majorHAnsi"/>
          <w:sz w:val="20"/>
          <w:szCs w:val="20"/>
        </w:rPr>
      </w:pPr>
    </w:p>
    <w:p w:rsidR="00A22114" w:rsidRPr="00F36007" w:rsidRDefault="00F03D39" w:rsidP="006E28EE">
      <w:pPr>
        <w:shd w:val="clear" w:color="auto" w:fill="FFFFFF"/>
        <w:ind w:left="720"/>
        <w:rPr>
          <w:rFonts w:asciiTheme="majorHAnsi" w:eastAsia="Arial Unicode MS" w:hAnsiTheme="majorHAnsi" w:cstheme="majorHAnsi"/>
          <w:sz w:val="20"/>
          <w:szCs w:val="20"/>
        </w:rPr>
      </w:pPr>
      <w:r w:rsidRPr="00F36007">
        <w:rPr>
          <w:rFonts w:asciiTheme="majorHAnsi" w:hAnsiTheme="majorHAnsi" w:cstheme="majorHAnsi"/>
          <w:sz w:val="20"/>
          <w:szCs w:val="20"/>
        </w:rPr>
        <w:t>Table D.1.1. Content Coverage for MPH and DrPH Degrees (</w:t>
      </w:r>
      <w:r w:rsidRPr="00F36007">
        <w:rPr>
          <w:rFonts w:asciiTheme="majorHAnsi" w:hAnsiTheme="majorHAnsi" w:cstheme="majorHAnsi"/>
          <w:i/>
          <w:sz w:val="20"/>
          <w:szCs w:val="20"/>
        </w:rPr>
        <w:t>ERF, D1. MPH &amp; DrPH Foundational Public Health Knowledge</w:t>
      </w:r>
      <w:r w:rsidRPr="00F36007">
        <w:rPr>
          <w:rFonts w:asciiTheme="majorHAnsi" w:hAnsiTheme="majorHAnsi" w:cstheme="majorHAnsi"/>
          <w:sz w:val="20"/>
          <w:szCs w:val="20"/>
        </w:rPr>
        <w:t xml:space="preserve">) </w:t>
      </w:r>
    </w:p>
    <w:tbl>
      <w:tblPr>
        <w:tblW w:w="4625" w:type="pct"/>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83"/>
        <w:gridCol w:w="2884"/>
        <w:gridCol w:w="2882"/>
      </w:tblGrid>
      <w:tr w:rsidR="007A61EE" w:rsidRPr="00743A41" w:rsidTr="006E28EE">
        <w:trPr>
          <w:cantSplit/>
          <w:trHeight w:val="476"/>
          <w:tblHeader/>
        </w:trPr>
        <w:tc>
          <w:tcPr>
            <w:tcW w:w="1667" w:type="pct"/>
            <w:shd w:val="clear" w:color="auto" w:fill="D9D9D9"/>
            <w:tcMar>
              <w:top w:w="0" w:type="dxa"/>
              <w:left w:w="108" w:type="dxa"/>
              <w:bottom w:w="0" w:type="dxa"/>
              <w:right w:w="108" w:type="dxa"/>
            </w:tcMar>
            <w:vAlign w:val="center"/>
            <w:hideMark/>
          </w:tcPr>
          <w:p w:rsidR="007A61EE" w:rsidRPr="00743A41" w:rsidRDefault="007A61EE" w:rsidP="00A37ED6">
            <w:pPr>
              <w:jc w:val="center"/>
              <w:rPr>
                <w:rFonts w:asciiTheme="majorHAnsi" w:hAnsiTheme="majorHAnsi" w:cstheme="majorHAnsi"/>
                <w:b/>
                <w:bCs/>
                <w:color w:val="000000"/>
                <w:sz w:val="20"/>
                <w:szCs w:val="20"/>
              </w:rPr>
            </w:pPr>
            <w:r w:rsidRPr="00743A41">
              <w:rPr>
                <w:rFonts w:asciiTheme="majorHAnsi" w:hAnsiTheme="majorHAnsi" w:cstheme="majorHAnsi"/>
                <w:b/>
                <w:bCs/>
                <w:color w:val="000000"/>
                <w:sz w:val="20"/>
                <w:szCs w:val="20"/>
              </w:rPr>
              <w:t>Content</w:t>
            </w:r>
          </w:p>
        </w:tc>
        <w:tc>
          <w:tcPr>
            <w:tcW w:w="1667" w:type="pct"/>
            <w:shd w:val="clear" w:color="auto" w:fill="D9D9D9"/>
            <w:tcMar>
              <w:top w:w="0" w:type="dxa"/>
              <w:left w:w="108" w:type="dxa"/>
              <w:bottom w:w="0" w:type="dxa"/>
              <w:right w:w="108" w:type="dxa"/>
            </w:tcMar>
            <w:vAlign w:val="center"/>
            <w:hideMark/>
          </w:tcPr>
          <w:p w:rsidR="00A47FA9" w:rsidRPr="00743A41" w:rsidRDefault="007A61EE" w:rsidP="00FC4AEF">
            <w:pPr>
              <w:jc w:val="center"/>
              <w:rPr>
                <w:rFonts w:asciiTheme="majorHAnsi" w:hAnsiTheme="majorHAnsi" w:cstheme="majorHAnsi"/>
                <w:bCs/>
                <w:color w:val="000000"/>
                <w:sz w:val="20"/>
                <w:szCs w:val="20"/>
              </w:rPr>
            </w:pPr>
            <w:r w:rsidRPr="00743A41">
              <w:rPr>
                <w:rFonts w:asciiTheme="majorHAnsi" w:hAnsiTheme="majorHAnsi" w:cstheme="majorHAnsi"/>
                <w:b/>
                <w:bCs/>
                <w:color w:val="000000"/>
                <w:sz w:val="20"/>
                <w:szCs w:val="20"/>
              </w:rPr>
              <w:t>Course number(s) and name(s)</w:t>
            </w:r>
          </w:p>
        </w:tc>
        <w:tc>
          <w:tcPr>
            <w:tcW w:w="1666" w:type="pct"/>
            <w:shd w:val="clear" w:color="auto" w:fill="D9D9D9"/>
            <w:tcMar>
              <w:top w:w="0" w:type="dxa"/>
              <w:left w:w="108" w:type="dxa"/>
              <w:bottom w:w="0" w:type="dxa"/>
              <w:right w:w="108" w:type="dxa"/>
            </w:tcMar>
            <w:vAlign w:val="center"/>
            <w:hideMark/>
          </w:tcPr>
          <w:p w:rsidR="00A47FA9" w:rsidRPr="00743A41" w:rsidRDefault="007A61EE" w:rsidP="00FC4AEF">
            <w:pPr>
              <w:jc w:val="center"/>
              <w:rPr>
                <w:rFonts w:asciiTheme="majorHAnsi" w:hAnsiTheme="majorHAnsi" w:cstheme="majorHAnsi"/>
                <w:b/>
                <w:bCs/>
                <w:color w:val="000000"/>
                <w:sz w:val="20"/>
                <w:szCs w:val="20"/>
              </w:rPr>
            </w:pPr>
            <w:r w:rsidRPr="00743A41">
              <w:rPr>
                <w:rFonts w:asciiTheme="majorHAnsi" w:hAnsiTheme="majorHAnsi" w:cstheme="majorHAnsi"/>
                <w:b/>
                <w:bCs/>
                <w:color w:val="000000"/>
                <w:sz w:val="20"/>
                <w:szCs w:val="20"/>
              </w:rPr>
              <w:t>Specific assessment opportunity</w:t>
            </w:r>
          </w:p>
        </w:tc>
      </w:tr>
      <w:tr w:rsidR="00C568D3" w:rsidRPr="00743A41" w:rsidTr="00F026B3">
        <w:trPr>
          <w:cantSplit/>
          <w:trHeight w:val="525"/>
        </w:trPr>
        <w:tc>
          <w:tcPr>
            <w:tcW w:w="1667" w:type="pct"/>
            <w:tcMar>
              <w:top w:w="0" w:type="dxa"/>
              <w:left w:w="108" w:type="dxa"/>
              <w:bottom w:w="0" w:type="dxa"/>
              <w:right w:w="108" w:type="dxa"/>
            </w:tcMar>
            <w:hideMark/>
          </w:tcPr>
          <w:p w:rsidR="00C568D3" w:rsidRPr="00743A41" w:rsidRDefault="00C568D3" w:rsidP="00A37ED6">
            <w:pPr>
              <w:rPr>
                <w:rFonts w:asciiTheme="majorHAnsi" w:hAnsiTheme="majorHAnsi" w:cstheme="majorHAnsi"/>
                <w:color w:val="000000"/>
                <w:sz w:val="20"/>
                <w:szCs w:val="20"/>
              </w:rPr>
            </w:pPr>
            <w:r w:rsidRPr="00743A41">
              <w:rPr>
                <w:rFonts w:asciiTheme="majorHAnsi" w:hAnsiTheme="majorHAnsi" w:cstheme="majorHAnsi"/>
                <w:color w:val="000000"/>
                <w:sz w:val="20"/>
                <w:szCs w:val="20"/>
              </w:rPr>
              <w:t>1. Explain public health history, philosophy and values</w:t>
            </w:r>
          </w:p>
        </w:tc>
        <w:tc>
          <w:tcPr>
            <w:tcW w:w="1667" w:type="pct"/>
            <w:tcMar>
              <w:top w:w="0" w:type="dxa"/>
              <w:left w:w="108" w:type="dxa"/>
              <w:bottom w:w="0" w:type="dxa"/>
              <w:right w:w="108" w:type="dxa"/>
            </w:tcMar>
          </w:tcPr>
          <w:p w:rsidR="00C568D3" w:rsidRPr="00743A41" w:rsidRDefault="00C568D3" w:rsidP="00A37ED6">
            <w:pPr>
              <w:rPr>
                <w:rFonts w:asciiTheme="majorHAnsi" w:hAnsiTheme="majorHAnsi" w:cstheme="majorHAnsi"/>
                <w:bCs/>
                <w:iCs/>
                <w:color w:val="000000"/>
                <w:sz w:val="20"/>
                <w:szCs w:val="20"/>
              </w:rPr>
            </w:pPr>
            <w:r w:rsidRPr="00743A41">
              <w:rPr>
                <w:rFonts w:asciiTheme="majorHAnsi" w:hAnsiTheme="majorHAnsi" w:cstheme="majorHAnsi"/>
                <w:b/>
                <w:bCs/>
                <w:iCs/>
                <w:color w:val="000000"/>
                <w:sz w:val="20"/>
                <w:szCs w:val="20"/>
              </w:rPr>
              <w:t>PH 101</w:t>
            </w:r>
            <w:r w:rsidRPr="00743A41">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C568D3" w:rsidRPr="00743A41" w:rsidRDefault="00C568D3" w:rsidP="00A37ED6">
            <w:pPr>
              <w:rPr>
                <w:rFonts w:asciiTheme="majorHAnsi" w:hAnsiTheme="majorHAnsi" w:cstheme="majorHAnsi"/>
                <w:sz w:val="20"/>
                <w:szCs w:val="20"/>
              </w:rPr>
            </w:pPr>
            <w:r w:rsidRPr="00743A41">
              <w:rPr>
                <w:rFonts w:asciiTheme="majorHAnsi" w:hAnsiTheme="majorHAnsi" w:cstheme="majorHAnsi"/>
                <w:sz w:val="20"/>
                <w:szCs w:val="20"/>
              </w:rPr>
              <w:t>Online exam for Module: Introduction to Public Health</w:t>
            </w:r>
          </w:p>
        </w:tc>
      </w:tr>
      <w:tr w:rsidR="00C568D3" w:rsidRPr="00743A41" w:rsidTr="00F026B3">
        <w:trPr>
          <w:cantSplit/>
          <w:trHeight w:val="510"/>
        </w:trPr>
        <w:tc>
          <w:tcPr>
            <w:tcW w:w="1667" w:type="pct"/>
            <w:tcMar>
              <w:top w:w="0" w:type="dxa"/>
              <w:left w:w="108" w:type="dxa"/>
              <w:bottom w:w="0" w:type="dxa"/>
              <w:right w:w="108" w:type="dxa"/>
            </w:tcMar>
            <w:hideMark/>
          </w:tcPr>
          <w:p w:rsidR="00C568D3" w:rsidRPr="00743A41" w:rsidRDefault="00C568D3" w:rsidP="00A37ED6">
            <w:pPr>
              <w:rPr>
                <w:rFonts w:asciiTheme="majorHAnsi" w:hAnsiTheme="majorHAnsi" w:cstheme="majorHAnsi"/>
                <w:color w:val="000000"/>
                <w:sz w:val="20"/>
                <w:szCs w:val="20"/>
              </w:rPr>
            </w:pPr>
            <w:r w:rsidRPr="00743A41">
              <w:rPr>
                <w:rFonts w:asciiTheme="majorHAnsi" w:hAnsiTheme="majorHAnsi" w:cstheme="majorHAnsi"/>
                <w:color w:val="000000"/>
                <w:sz w:val="20"/>
                <w:szCs w:val="20"/>
              </w:rPr>
              <w:t>2. Identify the core functions of public health and the 10 Essential Services</w:t>
            </w:r>
          </w:p>
        </w:tc>
        <w:tc>
          <w:tcPr>
            <w:tcW w:w="1667" w:type="pct"/>
            <w:tcMar>
              <w:top w:w="0" w:type="dxa"/>
              <w:left w:w="108" w:type="dxa"/>
              <w:bottom w:w="0" w:type="dxa"/>
              <w:right w:w="108" w:type="dxa"/>
            </w:tcMar>
          </w:tcPr>
          <w:p w:rsidR="00C568D3" w:rsidRPr="00743A41" w:rsidRDefault="00C568D3" w:rsidP="00A37ED6">
            <w:pPr>
              <w:rPr>
                <w:rFonts w:asciiTheme="majorHAnsi" w:hAnsiTheme="majorHAnsi" w:cstheme="majorHAnsi"/>
                <w:b/>
                <w:sz w:val="20"/>
                <w:szCs w:val="20"/>
              </w:rPr>
            </w:pPr>
            <w:r w:rsidRPr="00743A41">
              <w:rPr>
                <w:rFonts w:asciiTheme="majorHAnsi" w:hAnsiTheme="majorHAnsi" w:cstheme="majorHAnsi"/>
                <w:b/>
                <w:bCs/>
                <w:iCs/>
                <w:color w:val="000000"/>
                <w:sz w:val="20"/>
                <w:szCs w:val="20"/>
              </w:rPr>
              <w:t>PH 101</w:t>
            </w:r>
            <w:r w:rsidRPr="00743A41">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C568D3" w:rsidRPr="00743A41" w:rsidRDefault="00C568D3" w:rsidP="00A37ED6">
            <w:pPr>
              <w:rPr>
                <w:rFonts w:asciiTheme="majorHAnsi" w:hAnsiTheme="majorHAnsi" w:cstheme="majorHAnsi"/>
                <w:sz w:val="20"/>
                <w:szCs w:val="20"/>
              </w:rPr>
            </w:pPr>
            <w:r w:rsidRPr="00743A41">
              <w:rPr>
                <w:rFonts w:asciiTheme="majorHAnsi" w:hAnsiTheme="majorHAnsi" w:cstheme="majorHAnsi"/>
                <w:sz w:val="20"/>
                <w:szCs w:val="20"/>
              </w:rPr>
              <w:t>Online exam for Module: Introduction to Public Health</w:t>
            </w:r>
          </w:p>
        </w:tc>
      </w:tr>
      <w:tr w:rsidR="00C568D3" w:rsidRPr="00743A41" w:rsidTr="00F026B3">
        <w:trPr>
          <w:cantSplit/>
          <w:trHeight w:val="765"/>
        </w:trPr>
        <w:tc>
          <w:tcPr>
            <w:tcW w:w="1667" w:type="pct"/>
            <w:tcMar>
              <w:top w:w="0" w:type="dxa"/>
              <w:left w:w="108" w:type="dxa"/>
              <w:bottom w:w="0" w:type="dxa"/>
              <w:right w:w="108" w:type="dxa"/>
            </w:tcMar>
            <w:hideMark/>
          </w:tcPr>
          <w:p w:rsidR="00C568D3" w:rsidRPr="00743A41" w:rsidRDefault="00C568D3" w:rsidP="00A37ED6">
            <w:pPr>
              <w:rPr>
                <w:rFonts w:asciiTheme="majorHAnsi" w:hAnsiTheme="majorHAnsi" w:cstheme="majorHAnsi"/>
                <w:color w:val="000000"/>
                <w:sz w:val="20"/>
                <w:szCs w:val="20"/>
              </w:rPr>
            </w:pPr>
            <w:r w:rsidRPr="00743A41">
              <w:rPr>
                <w:rFonts w:asciiTheme="majorHAnsi" w:hAnsiTheme="majorHAnsi" w:cstheme="majorHAnsi"/>
                <w:color w:val="000000"/>
                <w:sz w:val="20"/>
                <w:szCs w:val="20"/>
              </w:rPr>
              <w:t xml:space="preserve">3. Explain the role of quantitative and qualitative methods and sciences in describing and assessing a population’s health </w:t>
            </w:r>
          </w:p>
        </w:tc>
        <w:tc>
          <w:tcPr>
            <w:tcW w:w="1667" w:type="pct"/>
            <w:tcMar>
              <w:top w:w="0" w:type="dxa"/>
              <w:left w:w="108" w:type="dxa"/>
              <w:bottom w:w="0" w:type="dxa"/>
              <w:right w:w="108" w:type="dxa"/>
            </w:tcMar>
          </w:tcPr>
          <w:p w:rsidR="00C568D3" w:rsidRPr="00743A41" w:rsidRDefault="00C568D3" w:rsidP="00A37ED6">
            <w:pPr>
              <w:rPr>
                <w:rFonts w:asciiTheme="majorHAnsi" w:hAnsiTheme="majorHAnsi" w:cstheme="majorHAnsi"/>
                <w:b/>
                <w:sz w:val="20"/>
                <w:szCs w:val="20"/>
              </w:rPr>
            </w:pPr>
            <w:r w:rsidRPr="00743A41">
              <w:rPr>
                <w:rFonts w:asciiTheme="majorHAnsi" w:hAnsiTheme="majorHAnsi" w:cstheme="majorHAnsi"/>
                <w:b/>
                <w:bCs/>
                <w:iCs/>
                <w:color w:val="000000"/>
                <w:sz w:val="20"/>
                <w:szCs w:val="20"/>
              </w:rPr>
              <w:t>PH 101</w:t>
            </w:r>
            <w:r w:rsidRPr="00743A41">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C568D3" w:rsidRPr="00743A41" w:rsidRDefault="00C568D3" w:rsidP="00A37ED6">
            <w:pPr>
              <w:rPr>
                <w:rFonts w:asciiTheme="majorHAnsi" w:hAnsiTheme="majorHAnsi" w:cstheme="majorHAnsi"/>
                <w:sz w:val="20"/>
                <w:szCs w:val="20"/>
              </w:rPr>
            </w:pPr>
            <w:r w:rsidRPr="00743A41">
              <w:rPr>
                <w:rFonts w:asciiTheme="majorHAnsi" w:hAnsiTheme="majorHAnsi" w:cstheme="majorHAnsi"/>
                <w:sz w:val="20"/>
                <w:szCs w:val="20"/>
              </w:rPr>
              <w:t>Online exam for Module: Introduction to Epidemiology</w:t>
            </w:r>
          </w:p>
          <w:p w:rsidR="00C568D3" w:rsidRPr="00743A41" w:rsidRDefault="00C568D3" w:rsidP="00A37ED6">
            <w:pPr>
              <w:rPr>
                <w:rFonts w:asciiTheme="majorHAnsi" w:hAnsiTheme="majorHAnsi" w:cstheme="majorHAnsi"/>
                <w:sz w:val="20"/>
                <w:szCs w:val="20"/>
              </w:rPr>
            </w:pPr>
            <w:r w:rsidRPr="00743A41">
              <w:rPr>
                <w:rFonts w:asciiTheme="majorHAnsi" w:hAnsiTheme="majorHAnsi" w:cstheme="majorHAnsi"/>
                <w:sz w:val="20"/>
                <w:szCs w:val="20"/>
              </w:rPr>
              <w:t>Online exam for Module: Evidence-based Public Health</w:t>
            </w:r>
          </w:p>
          <w:p w:rsidR="00C568D3" w:rsidRPr="00743A41" w:rsidRDefault="00C568D3" w:rsidP="00A37ED6">
            <w:pPr>
              <w:rPr>
                <w:rFonts w:asciiTheme="majorHAnsi" w:hAnsiTheme="majorHAnsi" w:cstheme="majorHAnsi"/>
                <w:sz w:val="20"/>
                <w:szCs w:val="20"/>
              </w:rPr>
            </w:pPr>
          </w:p>
        </w:tc>
      </w:tr>
      <w:tr w:rsidR="00C568D3" w:rsidRPr="00743A41" w:rsidTr="00F026B3">
        <w:trPr>
          <w:cantSplit/>
          <w:trHeight w:val="765"/>
        </w:trPr>
        <w:tc>
          <w:tcPr>
            <w:tcW w:w="1667" w:type="pct"/>
            <w:tcMar>
              <w:top w:w="0" w:type="dxa"/>
              <w:left w:w="108" w:type="dxa"/>
              <w:bottom w:w="0" w:type="dxa"/>
              <w:right w:w="108" w:type="dxa"/>
            </w:tcMar>
            <w:hideMark/>
          </w:tcPr>
          <w:p w:rsidR="00C568D3" w:rsidRPr="00743A41" w:rsidRDefault="00C568D3" w:rsidP="00A37ED6">
            <w:pPr>
              <w:rPr>
                <w:rFonts w:asciiTheme="majorHAnsi" w:hAnsiTheme="majorHAnsi" w:cstheme="majorHAnsi"/>
                <w:color w:val="000000"/>
                <w:sz w:val="20"/>
                <w:szCs w:val="20"/>
              </w:rPr>
            </w:pPr>
            <w:r w:rsidRPr="00743A41">
              <w:rPr>
                <w:rFonts w:asciiTheme="majorHAnsi" w:hAnsiTheme="majorHAnsi" w:cstheme="majorHAnsi"/>
                <w:color w:val="000000"/>
                <w:sz w:val="20"/>
                <w:szCs w:val="20"/>
              </w:rPr>
              <w:t>4. List major causes and trends of morbidity and mortality in the US or other community relevant to the school or program</w:t>
            </w:r>
          </w:p>
        </w:tc>
        <w:tc>
          <w:tcPr>
            <w:tcW w:w="1667" w:type="pct"/>
            <w:tcMar>
              <w:top w:w="0" w:type="dxa"/>
              <w:left w:w="108" w:type="dxa"/>
              <w:bottom w:w="0" w:type="dxa"/>
              <w:right w:w="108" w:type="dxa"/>
            </w:tcMar>
          </w:tcPr>
          <w:p w:rsidR="00C568D3" w:rsidRPr="00743A41" w:rsidRDefault="00C568D3" w:rsidP="00A37ED6">
            <w:pPr>
              <w:rPr>
                <w:rFonts w:asciiTheme="majorHAnsi" w:hAnsiTheme="majorHAnsi" w:cstheme="majorHAnsi"/>
                <w:b/>
                <w:sz w:val="20"/>
                <w:szCs w:val="20"/>
              </w:rPr>
            </w:pPr>
            <w:r w:rsidRPr="00743A41">
              <w:rPr>
                <w:rFonts w:asciiTheme="majorHAnsi" w:hAnsiTheme="majorHAnsi" w:cstheme="majorHAnsi"/>
                <w:b/>
                <w:bCs/>
                <w:iCs/>
                <w:color w:val="000000"/>
                <w:sz w:val="20"/>
                <w:szCs w:val="20"/>
              </w:rPr>
              <w:t>PH 101</w:t>
            </w:r>
            <w:r w:rsidRPr="00743A41">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C568D3" w:rsidRPr="00743A41" w:rsidRDefault="00C568D3" w:rsidP="00A37ED6">
            <w:pPr>
              <w:rPr>
                <w:rFonts w:asciiTheme="majorHAnsi" w:hAnsiTheme="majorHAnsi" w:cstheme="majorHAnsi"/>
                <w:sz w:val="20"/>
                <w:szCs w:val="20"/>
              </w:rPr>
            </w:pPr>
            <w:r w:rsidRPr="00743A41">
              <w:rPr>
                <w:rFonts w:asciiTheme="majorHAnsi" w:hAnsiTheme="majorHAnsi" w:cstheme="majorHAnsi"/>
                <w:sz w:val="20"/>
                <w:szCs w:val="20"/>
              </w:rPr>
              <w:t>Online exam for Module: Burden of Disease</w:t>
            </w:r>
          </w:p>
          <w:p w:rsidR="00C568D3" w:rsidRPr="00743A41" w:rsidRDefault="00C568D3" w:rsidP="00A37ED6">
            <w:pPr>
              <w:rPr>
                <w:rFonts w:asciiTheme="majorHAnsi" w:hAnsiTheme="majorHAnsi" w:cstheme="majorHAnsi"/>
                <w:sz w:val="20"/>
                <w:szCs w:val="20"/>
              </w:rPr>
            </w:pPr>
          </w:p>
        </w:tc>
      </w:tr>
      <w:tr w:rsidR="00C568D3" w:rsidRPr="00743A41" w:rsidTr="00F026B3">
        <w:trPr>
          <w:cantSplit/>
          <w:trHeight w:val="765"/>
        </w:trPr>
        <w:tc>
          <w:tcPr>
            <w:tcW w:w="1667" w:type="pct"/>
            <w:tcMar>
              <w:top w:w="0" w:type="dxa"/>
              <w:left w:w="108" w:type="dxa"/>
              <w:bottom w:w="0" w:type="dxa"/>
              <w:right w:w="108" w:type="dxa"/>
            </w:tcMar>
            <w:hideMark/>
          </w:tcPr>
          <w:p w:rsidR="00C568D3" w:rsidRPr="00743A41" w:rsidRDefault="00C568D3" w:rsidP="00A37ED6">
            <w:pPr>
              <w:rPr>
                <w:rFonts w:asciiTheme="majorHAnsi" w:hAnsiTheme="majorHAnsi" w:cstheme="majorHAnsi"/>
                <w:color w:val="000000"/>
                <w:sz w:val="20"/>
                <w:szCs w:val="20"/>
              </w:rPr>
            </w:pPr>
            <w:r w:rsidRPr="00743A41">
              <w:rPr>
                <w:rFonts w:asciiTheme="majorHAnsi" w:hAnsiTheme="majorHAnsi" w:cstheme="majorHAnsi"/>
                <w:color w:val="000000"/>
                <w:sz w:val="20"/>
                <w:szCs w:val="20"/>
              </w:rPr>
              <w:t>5. Discuss the science of primary, secondary and tertiary prevention in population health, including health promotion, screening, etc.</w:t>
            </w:r>
          </w:p>
        </w:tc>
        <w:tc>
          <w:tcPr>
            <w:tcW w:w="1667" w:type="pct"/>
            <w:tcMar>
              <w:top w:w="0" w:type="dxa"/>
              <w:left w:w="108" w:type="dxa"/>
              <w:bottom w:w="0" w:type="dxa"/>
              <w:right w:w="108" w:type="dxa"/>
            </w:tcMar>
          </w:tcPr>
          <w:p w:rsidR="00C568D3" w:rsidRPr="00743A41" w:rsidRDefault="00C568D3" w:rsidP="00A37ED6">
            <w:pPr>
              <w:rPr>
                <w:rFonts w:asciiTheme="majorHAnsi" w:hAnsiTheme="majorHAnsi" w:cstheme="majorHAnsi"/>
                <w:b/>
                <w:sz w:val="20"/>
                <w:szCs w:val="20"/>
              </w:rPr>
            </w:pPr>
            <w:r w:rsidRPr="00743A41">
              <w:rPr>
                <w:rFonts w:asciiTheme="majorHAnsi" w:hAnsiTheme="majorHAnsi" w:cstheme="majorHAnsi"/>
                <w:b/>
                <w:bCs/>
                <w:iCs/>
                <w:color w:val="000000"/>
                <w:sz w:val="20"/>
                <w:szCs w:val="20"/>
              </w:rPr>
              <w:t>PH 101</w:t>
            </w:r>
            <w:r w:rsidRPr="00743A41">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C568D3" w:rsidRPr="00743A41" w:rsidRDefault="00C568D3" w:rsidP="00A37ED6">
            <w:pPr>
              <w:rPr>
                <w:rFonts w:asciiTheme="majorHAnsi" w:hAnsiTheme="majorHAnsi" w:cstheme="majorHAnsi"/>
                <w:sz w:val="20"/>
                <w:szCs w:val="20"/>
              </w:rPr>
            </w:pPr>
            <w:r w:rsidRPr="00743A41">
              <w:rPr>
                <w:rFonts w:asciiTheme="majorHAnsi" w:hAnsiTheme="majorHAnsi" w:cstheme="majorHAnsi"/>
                <w:sz w:val="20"/>
                <w:szCs w:val="20"/>
              </w:rPr>
              <w:t>Online exam for Module: Disease Prevention and Control</w:t>
            </w:r>
          </w:p>
          <w:p w:rsidR="00C568D3" w:rsidRPr="00743A41" w:rsidRDefault="00C568D3" w:rsidP="00A37ED6">
            <w:pPr>
              <w:rPr>
                <w:rFonts w:asciiTheme="majorHAnsi" w:hAnsiTheme="majorHAnsi" w:cstheme="majorHAnsi"/>
                <w:sz w:val="20"/>
                <w:szCs w:val="20"/>
              </w:rPr>
            </w:pPr>
          </w:p>
        </w:tc>
      </w:tr>
      <w:tr w:rsidR="00C568D3" w:rsidRPr="00743A41" w:rsidTr="00F026B3">
        <w:trPr>
          <w:cantSplit/>
          <w:trHeight w:val="510"/>
        </w:trPr>
        <w:tc>
          <w:tcPr>
            <w:tcW w:w="1667" w:type="pct"/>
            <w:tcMar>
              <w:top w:w="0" w:type="dxa"/>
              <w:left w:w="108" w:type="dxa"/>
              <w:bottom w:w="0" w:type="dxa"/>
              <w:right w:w="108" w:type="dxa"/>
            </w:tcMar>
            <w:hideMark/>
          </w:tcPr>
          <w:p w:rsidR="00C568D3" w:rsidRPr="00743A41" w:rsidRDefault="00C568D3" w:rsidP="00A37ED6">
            <w:pPr>
              <w:rPr>
                <w:rFonts w:asciiTheme="majorHAnsi" w:hAnsiTheme="majorHAnsi" w:cstheme="majorHAnsi"/>
                <w:color w:val="000000"/>
                <w:sz w:val="20"/>
                <w:szCs w:val="20"/>
              </w:rPr>
            </w:pPr>
            <w:r w:rsidRPr="00743A41">
              <w:rPr>
                <w:rFonts w:asciiTheme="majorHAnsi" w:hAnsiTheme="majorHAnsi" w:cstheme="majorHAnsi"/>
                <w:color w:val="000000"/>
                <w:sz w:val="20"/>
                <w:szCs w:val="20"/>
              </w:rPr>
              <w:t xml:space="preserve">6. Explain the critical importance of evidence in advancing public health knowledge </w:t>
            </w:r>
          </w:p>
        </w:tc>
        <w:tc>
          <w:tcPr>
            <w:tcW w:w="1667" w:type="pct"/>
            <w:tcMar>
              <w:top w:w="0" w:type="dxa"/>
              <w:left w:w="108" w:type="dxa"/>
              <w:bottom w:w="0" w:type="dxa"/>
              <w:right w:w="108" w:type="dxa"/>
            </w:tcMar>
          </w:tcPr>
          <w:p w:rsidR="00C568D3" w:rsidRPr="00743A41" w:rsidRDefault="00C568D3" w:rsidP="00A37ED6">
            <w:pPr>
              <w:rPr>
                <w:rFonts w:asciiTheme="majorHAnsi" w:hAnsiTheme="majorHAnsi" w:cstheme="majorHAnsi"/>
                <w:b/>
                <w:sz w:val="20"/>
                <w:szCs w:val="20"/>
              </w:rPr>
            </w:pPr>
            <w:r w:rsidRPr="00743A41">
              <w:rPr>
                <w:rFonts w:asciiTheme="majorHAnsi" w:hAnsiTheme="majorHAnsi" w:cstheme="majorHAnsi"/>
                <w:b/>
                <w:bCs/>
                <w:iCs/>
                <w:color w:val="000000"/>
                <w:sz w:val="20"/>
                <w:szCs w:val="20"/>
              </w:rPr>
              <w:t>PH 101</w:t>
            </w:r>
            <w:r w:rsidRPr="00743A41">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C568D3" w:rsidRPr="00743A41" w:rsidRDefault="00C568D3" w:rsidP="00A37ED6">
            <w:pPr>
              <w:rPr>
                <w:rFonts w:asciiTheme="majorHAnsi" w:hAnsiTheme="majorHAnsi" w:cstheme="majorHAnsi"/>
                <w:sz w:val="20"/>
                <w:szCs w:val="20"/>
              </w:rPr>
            </w:pPr>
            <w:r w:rsidRPr="00743A41">
              <w:rPr>
                <w:rFonts w:asciiTheme="majorHAnsi" w:hAnsiTheme="majorHAnsi" w:cstheme="majorHAnsi"/>
                <w:sz w:val="20"/>
                <w:szCs w:val="20"/>
              </w:rPr>
              <w:t xml:space="preserve">Online exam for Module: </w:t>
            </w:r>
          </w:p>
          <w:p w:rsidR="00C568D3" w:rsidRPr="00743A41" w:rsidRDefault="00C568D3" w:rsidP="00A37ED6">
            <w:pPr>
              <w:rPr>
                <w:rFonts w:asciiTheme="majorHAnsi" w:hAnsiTheme="majorHAnsi" w:cstheme="majorHAnsi"/>
                <w:sz w:val="20"/>
                <w:szCs w:val="20"/>
              </w:rPr>
            </w:pPr>
            <w:r w:rsidRPr="00743A41">
              <w:rPr>
                <w:rFonts w:asciiTheme="majorHAnsi" w:hAnsiTheme="majorHAnsi" w:cstheme="majorHAnsi"/>
                <w:sz w:val="20"/>
                <w:szCs w:val="20"/>
              </w:rPr>
              <w:t>Evidence-based Public Health</w:t>
            </w:r>
          </w:p>
        </w:tc>
      </w:tr>
      <w:tr w:rsidR="00C568D3" w:rsidRPr="00743A41" w:rsidTr="00F026B3">
        <w:trPr>
          <w:cantSplit/>
          <w:trHeight w:val="510"/>
        </w:trPr>
        <w:tc>
          <w:tcPr>
            <w:tcW w:w="1667" w:type="pct"/>
            <w:tcMar>
              <w:top w:w="0" w:type="dxa"/>
              <w:left w:w="108" w:type="dxa"/>
              <w:bottom w:w="0" w:type="dxa"/>
              <w:right w:w="108" w:type="dxa"/>
            </w:tcMar>
            <w:hideMark/>
          </w:tcPr>
          <w:p w:rsidR="00C568D3" w:rsidRPr="00743A41" w:rsidRDefault="00C568D3" w:rsidP="00A37ED6">
            <w:pPr>
              <w:rPr>
                <w:rFonts w:asciiTheme="majorHAnsi" w:hAnsiTheme="majorHAnsi" w:cstheme="majorHAnsi"/>
                <w:color w:val="000000"/>
                <w:sz w:val="20"/>
                <w:szCs w:val="20"/>
              </w:rPr>
            </w:pPr>
            <w:r w:rsidRPr="00743A41">
              <w:rPr>
                <w:rFonts w:asciiTheme="majorHAnsi" w:hAnsiTheme="majorHAnsi" w:cstheme="majorHAnsi"/>
                <w:color w:val="000000"/>
                <w:sz w:val="20"/>
                <w:szCs w:val="20"/>
              </w:rPr>
              <w:t>7. Explain effects of environmental factors on a population’s health</w:t>
            </w:r>
          </w:p>
        </w:tc>
        <w:tc>
          <w:tcPr>
            <w:tcW w:w="1667" w:type="pct"/>
            <w:tcMar>
              <w:top w:w="0" w:type="dxa"/>
              <w:left w:w="108" w:type="dxa"/>
              <w:bottom w:w="0" w:type="dxa"/>
              <w:right w:w="108" w:type="dxa"/>
            </w:tcMar>
          </w:tcPr>
          <w:p w:rsidR="00C568D3" w:rsidRPr="00743A41" w:rsidRDefault="00C568D3" w:rsidP="00A37ED6">
            <w:pPr>
              <w:rPr>
                <w:rFonts w:asciiTheme="majorHAnsi" w:hAnsiTheme="majorHAnsi" w:cstheme="majorHAnsi"/>
                <w:b/>
                <w:sz w:val="20"/>
                <w:szCs w:val="20"/>
              </w:rPr>
            </w:pPr>
            <w:r w:rsidRPr="00743A41">
              <w:rPr>
                <w:rFonts w:asciiTheme="majorHAnsi" w:hAnsiTheme="majorHAnsi" w:cstheme="majorHAnsi"/>
                <w:b/>
                <w:bCs/>
                <w:iCs/>
                <w:color w:val="000000"/>
                <w:sz w:val="20"/>
                <w:szCs w:val="20"/>
              </w:rPr>
              <w:t>PH 101</w:t>
            </w:r>
            <w:r w:rsidRPr="00743A41">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C568D3" w:rsidRPr="00743A41" w:rsidRDefault="00C568D3" w:rsidP="00A37ED6">
            <w:pPr>
              <w:rPr>
                <w:rFonts w:asciiTheme="majorHAnsi" w:hAnsiTheme="majorHAnsi" w:cstheme="majorHAnsi"/>
                <w:sz w:val="20"/>
                <w:szCs w:val="20"/>
              </w:rPr>
            </w:pPr>
            <w:r w:rsidRPr="00743A41">
              <w:rPr>
                <w:rFonts w:asciiTheme="majorHAnsi" w:hAnsiTheme="majorHAnsi" w:cstheme="majorHAnsi"/>
                <w:sz w:val="20"/>
                <w:szCs w:val="20"/>
              </w:rPr>
              <w:t>Online exam for Module: Environmental Health</w:t>
            </w:r>
          </w:p>
        </w:tc>
      </w:tr>
      <w:tr w:rsidR="00C568D3" w:rsidRPr="00743A41" w:rsidTr="00F026B3">
        <w:trPr>
          <w:cantSplit/>
          <w:trHeight w:val="510"/>
        </w:trPr>
        <w:tc>
          <w:tcPr>
            <w:tcW w:w="1667" w:type="pct"/>
            <w:tcMar>
              <w:top w:w="0" w:type="dxa"/>
              <w:left w:w="108" w:type="dxa"/>
              <w:bottom w:w="0" w:type="dxa"/>
              <w:right w:w="108" w:type="dxa"/>
            </w:tcMar>
            <w:hideMark/>
          </w:tcPr>
          <w:p w:rsidR="00C568D3" w:rsidRPr="00743A41" w:rsidRDefault="00C568D3" w:rsidP="00A37ED6">
            <w:pPr>
              <w:rPr>
                <w:rFonts w:asciiTheme="majorHAnsi" w:hAnsiTheme="majorHAnsi" w:cstheme="majorHAnsi"/>
                <w:color w:val="000000"/>
                <w:sz w:val="20"/>
                <w:szCs w:val="20"/>
              </w:rPr>
            </w:pPr>
            <w:r w:rsidRPr="00743A41">
              <w:rPr>
                <w:rFonts w:asciiTheme="majorHAnsi" w:hAnsiTheme="majorHAnsi" w:cstheme="majorHAnsi"/>
                <w:color w:val="000000"/>
                <w:sz w:val="20"/>
                <w:szCs w:val="20"/>
              </w:rPr>
              <w:t>8. Explain biological and genetic factors that affect a population’s health</w:t>
            </w:r>
          </w:p>
        </w:tc>
        <w:tc>
          <w:tcPr>
            <w:tcW w:w="1667" w:type="pct"/>
            <w:tcMar>
              <w:top w:w="0" w:type="dxa"/>
              <w:left w:w="108" w:type="dxa"/>
              <w:bottom w:w="0" w:type="dxa"/>
              <w:right w:w="108" w:type="dxa"/>
            </w:tcMar>
          </w:tcPr>
          <w:p w:rsidR="00C568D3" w:rsidRPr="00743A41" w:rsidRDefault="00C568D3" w:rsidP="00A37ED6">
            <w:pPr>
              <w:rPr>
                <w:rFonts w:asciiTheme="majorHAnsi" w:hAnsiTheme="majorHAnsi" w:cstheme="majorHAnsi"/>
                <w:b/>
                <w:sz w:val="20"/>
                <w:szCs w:val="20"/>
              </w:rPr>
            </w:pPr>
            <w:r w:rsidRPr="00743A41">
              <w:rPr>
                <w:rFonts w:asciiTheme="majorHAnsi" w:hAnsiTheme="majorHAnsi" w:cstheme="majorHAnsi"/>
                <w:b/>
                <w:bCs/>
                <w:iCs/>
                <w:color w:val="000000"/>
                <w:sz w:val="20"/>
                <w:szCs w:val="20"/>
              </w:rPr>
              <w:t>PH 101</w:t>
            </w:r>
            <w:r w:rsidRPr="00743A41">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C568D3" w:rsidRPr="00743A41" w:rsidRDefault="00C568D3" w:rsidP="00A37ED6">
            <w:pPr>
              <w:pStyle w:val="ListParagraph"/>
              <w:ind w:left="0"/>
              <w:rPr>
                <w:rFonts w:asciiTheme="majorHAnsi" w:hAnsiTheme="majorHAnsi" w:cstheme="majorHAnsi"/>
                <w:szCs w:val="20"/>
              </w:rPr>
            </w:pPr>
            <w:r w:rsidRPr="00743A41">
              <w:rPr>
                <w:rFonts w:asciiTheme="majorHAnsi" w:hAnsiTheme="majorHAnsi" w:cstheme="majorHAnsi"/>
                <w:szCs w:val="20"/>
              </w:rPr>
              <w:t>Online exam for Module: Public Health Biology and Human Disease</w:t>
            </w:r>
          </w:p>
          <w:p w:rsidR="00C568D3" w:rsidRPr="00743A41" w:rsidRDefault="00C568D3" w:rsidP="00A37ED6">
            <w:pPr>
              <w:rPr>
                <w:rFonts w:asciiTheme="majorHAnsi" w:hAnsiTheme="majorHAnsi" w:cstheme="majorHAnsi"/>
                <w:sz w:val="20"/>
                <w:szCs w:val="20"/>
              </w:rPr>
            </w:pPr>
          </w:p>
        </w:tc>
      </w:tr>
      <w:tr w:rsidR="00C568D3" w:rsidRPr="00743A41" w:rsidTr="00F026B3">
        <w:trPr>
          <w:cantSplit/>
          <w:trHeight w:val="510"/>
        </w:trPr>
        <w:tc>
          <w:tcPr>
            <w:tcW w:w="1667" w:type="pct"/>
            <w:tcMar>
              <w:top w:w="0" w:type="dxa"/>
              <w:left w:w="108" w:type="dxa"/>
              <w:bottom w:w="0" w:type="dxa"/>
              <w:right w:w="108" w:type="dxa"/>
            </w:tcMar>
            <w:hideMark/>
          </w:tcPr>
          <w:p w:rsidR="00C568D3" w:rsidRPr="00743A41" w:rsidRDefault="00C568D3" w:rsidP="00A37ED6">
            <w:pPr>
              <w:rPr>
                <w:rFonts w:asciiTheme="majorHAnsi" w:hAnsiTheme="majorHAnsi" w:cstheme="majorHAnsi"/>
                <w:color w:val="000000"/>
                <w:sz w:val="20"/>
                <w:szCs w:val="20"/>
              </w:rPr>
            </w:pPr>
            <w:r w:rsidRPr="00743A41">
              <w:rPr>
                <w:rFonts w:asciiTheme="majorHAnsi" w:hAnsiTheme="majorHAnsi" w:cstheme="majorHAnsi"/>
                <w:color w:val="000000"/>
                <w:sz w:val="20"/>
                <w:szCs w:val="20"/>
              </w:rPr>
              <w:t>9. Explain behavioral and psychological factors that affect a population’s health</w:t>
            </w:r>
          </w:p>
        </w:tc>
        <w:tc>
          <w:tcPr>
            <w:tcW w:w="1667" w:type="pct"/>
            <w:tcMar>
              <w:top w:w="0" w:type="dxa"/>
              <w:left w:w="108" w:type="dxa"/>
              <w:bottom w:w="0" w:type="dxa"/>
              <w:right w:w="108" w:type="dxa"/>
            </w:tcMar>
          </w:tcPr>
          <w:p w:rsidR="00C568D3" w:rsidRPr="00743A41" w:rsidRDefault="00C568D3" w:rsidP="00A37ED6">
            <w:pPr>
              <w:rPr>
                <w:rFonts w:asciiTheme="majorHAnsi" w:hAnsiTheme="majorHAnsi" w:cstheme="majorHAnsi"/>
                <w:b/>
                <w:sz w:val="20"/>
                <w:szCs w:val="20"/>
              </w:rPr>
            </w:pPr>
            <w:r w:rsidRPr="00743A41">
              <w:rPr>
                <w:rFonts w:asciiTheme="majorHAnsi" w:hAnsiTheme="majorHAnsi" w:cstheme="majorHAnsi"/>
                <w:b/>
                <w:bCs/>
                <w:iCs/>
                <w:color w:val="000000"/>
                <w:sz w:val="20"/>
                <w:szCs w:val="20"/>
              </w:rPr>
              <w:t>PH 101</w:t>
            </w:r>
            <w:r w:rsidRPr="00743A41">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C568D3" w:rsidRPr="00743A41" w:rsidRDefault="00C568D3" w:rsidP="00A37ED6">
            <w:pPr>
              <w:pStyle w:val="ListParagraph"/>
              <w:ind w:left="0"/>
              <w:rPr>
                <w:rFonts w:asciiTheme="majorHAnsi" w:hAnsiTheme="majorHAnsi" w:cstheme="majorHAnsi"/>
                <w:szCs w:val="20"/>
              </w:rPr>
            </w:pPr>
            <w:r w:rsidRPr="00743A41">
              <w:rPr>
                <w:rFonts w:asciiTheme="majorHAnsi" w:hAnsiTheme="majorHAnsi" w:cstheme="majorHAnsi"/>
                <w:szCs w:val="20"/>
              </w:rPr>
              <w:t>Online exam for Module: Health Determinants</w:t>
            </w:r>
          </w:p>
          <w:p w:rsidR="00C568D3" w:rsidRPr="00743A41" w:rsidRDefault="00C568D3" w:rsidP="00A37ED6">
            <w:pPr>
              <w:pStyle w:val="ListParagraph"/>
              <w:ind w:left="0"/>
              <w:rPr>
                <w:rFonts w:asciiTheme="majorHAnsi" w:hAnsiTheme="majorHAnsi" w:cstheme="majorHAnsi"/>
                <w:szCs w:val="20"/>
              </w:rPr>
            </w:pPr>
          </w:p>
          <w:p w:rsidR="00C568D3" w:rsidRPr="00743A41" w:rsidRDefault="00C568D3" w:rsidP="00A37ED6">
            <w:pPr>
              <w:rPr>
                <w:rFonts w:asciiTheme="majorHAnsi" w:hAnsiTheme="majorHAnsi" w:cstheme="majorHAnsi"/>
                <w:sz w:val="20"/>
                <w:szCs w:val="20"/>
              </w:rPr>
            </w:pPr>
          </w:p>
        </w:tc>
      </w:tr>
      <w:tr w:rsidR="00C568D3" w:rsidRPr="00743A41" w:rsidTr="00F026B3">
        <w:trPr>
          <w:cantSplit/>
          <w:trHeight w:val="765"/>
        </w:trPr>
        <w:tc>
          <w:tcPr>
            <w:tcW w:w="1667" w:type="pct"/>
            <w:tcMar>
              <w:top w:w="0" w:type="dxa"/>
              <w:left w:w="108" w:type="dxa"/>
              <w:bottom w:w="0" w:type="dxa"/>
              <w:right w:w="108" w:type="dxa"/>
            </w:tcMar>
            <w:hideMark/>
          </w:tcPr>
          <w:p w:rsidR="00C568D3" w:rsidRPr="00743A41" w:rsidRDefault="00C568D3" w:rsidP="00A37ED6">
            <w:pPr>
              <w:rPr>
                <w:rFonts w:asciiTheme="majorHAnsi" w:hAnsiTheme="majorHAnsi" w:cstheme="majorHAnsi"/>
                <w:color w:val="000000"/>
                <w:sz w:val="20"/>
                <w:szCs w:val="20"/>
              </w:rPr>
            </w:pPr>
            <w:r w:rsidRPr="00743A41">
              <w:rPr>
                <w:rFonts w:asciiTheme="majorHAnsi" w:hAnsiTheme="majorHAnsi" w:cstheme="majorHAnsi"/>
                <w:color w:val="000000"/>
                <w:sz w:val="20"/>
                <w:szCs w:val="20"/>
              </w:rPr>
              <w:t>10. Explain the social, political and economic determinants of health and how they contribute to population health and health inequities</w:t>
            </w:r>
          </w:p>
        </w:tc>
        <w:tc>
          <w:tcPr>
            <w:tcW w:w="1667" w:type="pct"/>
            <w:tcMar>
              <w:top w:w="0" w:type="dxa"/>
              <w:left w:w="108" w:type="dxa"/>
              <w:bottom w:w="0" w:type="dxa"/>
              <w:right w:w="108" w:type="dxa"/>
            </w:tcMar>
          </w:tcPr>
          <w:p w:rsidR="00C568D3" w:rsidRPr="00743A41" w:rsidRDefault="00C568D3" w:rsidP="00A37ED6">
            <w:pPr>
              <w:rPr>
                <w:rFonts w:asciiTheme="majorHAnsi" w:hAnsiTheme="majorHAnsi" w:cstheme="majorHAnsi"/>
                <w:b/>
                <w:sz w:val="20"/>
                <w:szCs w:val="20"/>
              </w:rPr>
            </w:pPr>
            <w:r w:rsidRPr="00743A41">
              <w:rPr>
                <w:rFonts w:asciiTheme="majorHAnsi" w:hAnsiTheme="majorHAnsi" w:cstheme="majorHAnsi"/>
                <w:b/>
                <w:bCs/>
                <w:iCs/>
                <w:color w:val="000000"/>
                <w:sz w:val="20"/>
                <w:szCs w:val="20"/>
              </w:rPr>
              <w:t>PH 101</w:t>
            </w:r>
            <w:r w:rsidRPr="00743A41">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C568D3" w:rsidRPr="00743A41" w:rsidRDefault="00C568D3" w:rsidP="00A37ED6">
            <w:pPr>
              <w:pStyle w:val="ListParagraph"/>
              <w:ind w:left="0"/>
              <w:rPr>
                <w:rFonts w:asciiTheme="majorHAnsi" w:hAnsiTheme="majorHAnsi" w:cstheme="majorHAnsi"/>
                <w:szCs w:val="20"/>
              </w:rPr>
            </w:pPr>
            <w:r w:rsidRPr="00743A41">
              <w:rPr>
                <w:rFonts w:asciiTheme="majorHAnsi" w:hAnsiTheme="majorHAnsi" w:cstheme="majorHAnsi"/>
                <w:szCs w:val="20"/>
              </w:rPr>
              <w:t>Online exam for Module: Health Determinants</w:t>
            </w:r>
          </w:p>
          <w:p w:rsidR="00C568D3" w:rsidRPr="00743A41" w:rsidRDefault="00C568D3" w:rsidP="00A37ED6">
            <w:pPr>
              <w:rPr>
                <w:rFonts w:asciiTheme="majorHAnsi" w:hAnsiTheme="majorHAnsi" w:cstheme="majorHAnsi"/>
                <w:sz w:val="20"/>
                <w:szCs w:val="20"/>
              </w:rPr>
            </w:pPr>
          </w:p>
        </w:tc>
      </w:tr>
      <w:tr w:rsidR="00C568D3" w:rsidRPr="00743A41" w:rsidTr="00F026B3">
        <w:trPr>
          <w:cantSplit/>
          <w:trHeight w:val="510"/>
        </w:trPr>
        <w:tc>
          <w:tcPr>
            <w:tcW w:w="1667" w:type="pct"/>
            <w:tcMar>
              <w:top w:w="0" w:type="dxa"/>
              <w:left w:w="108" w:type="dxa"/>
              <w:bottom w:w="0" w:type="dxa"/>
              <w:right w:w="108" w:type="dxa"/>
            </w:tcMar>
            <w:hideMark/>
          </w:tcPr>
          <w:p w:rsidR="00C568D3" w:rsidRPr="00743A41" w:rsidRDefault="00C568D3" w:rsidP="00A37ED6">
            <w:pPr>
              <w:rPr>
                <w:rFonts w:asciiTheme="majorHAnsi" w:hAnsiTheme="majorHAnsi" w:cstheme="majorHAnsi"/>
                <w:color w:val="000000"/>
                <w:sz w:val="20"/>
                <w:szCs w:val="20"/>
              </w:rPr>
            </w:pPr>
            <w:r w:rsidRPr="00743A41">
              <w:rPr>
                <w:rFonts w:asciiTheme="majorHAnsi" w:hAnsiTheme="majorHAnsi" w:cstheme="majorHAnsi"/>
                <w:color w:val="000000"/>
                <w:sz w:val="20"/>
                <w:szCs w:val="20"/>
              </w:rPr>
              <w:t>11. Explain how globalization affects global burdens of disease</w:t>
            </w:r>
          </w:p>
        </w:tc>
        <w:tc>
          <w:tcPr>
            <w:tcW w:w="1667" w:type="pct"/>
            <w:tcMar>
              <w:top w:w="0" w:type="dxa"/>
              <w:left w:w="108" w:type="dxa"/>
              <w:bottom w:w="0" w:type="dxa"/>
              <w:right w:w="108" w:type="dxa"/>
            </w:tcMar>
          </w:tcPr>
          <w:p w:rsidR="00C568D3" w:rsidRPr="00743A41" w:rsidRDefault="00C568D3" w:rsidP="00A37ED6">
            <w:pPr>
              <w:rPr>
                <w:rFonts w:asciiTheme="majorHAnsi" w:hAnsiTheme="majorHAnsi" w:cstheme="majorHAnsi"/>
                <w:b/>
                <w:sz w:val="20"/>
                <w:szCs w:val="20"/>
              </w:rPr>
            </w:pPr>
            <w:r w:rsidRPr="00743A41">
              <w:rPr>
                <w:rFonts w:asciiTheme="majorHAnsi" w:hAnsiTheme="majorHAnsi" w:cstheme="majorHAnsi"/>
                <w:b/>
                <w:bCs/>
                <w:iCs/>
                <w:color w:val="000000"/>
                <w:sz w:val="20"/>
                <w:szCs w:val="20"/>
              </w:rPr>
              <w:t>PH 101</w:t>
            </w:r>
            <w:r w:rsidRPr="00743A41">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C568D3" w:rsidRPr="00743A41" w:rsidRDefault="00C568D3" w:rsidP="00A37ED6">
            <w:pPr>
              <w:rPr>
                <w:rFonts w:asciiTheme="majorHAnsi" w:hAnsiTheme="majorHAnsi" w:cstheme="majorHAnsi"/>
                <w:sz w:val="20"/>
                <w:szCs w:val="20"/>
              </w:rPr>
            </w:pPr>
            <w:r w:rsidRPr="00743A41">
              <w:rPr>
                <w:rFonts w:asciiTheme="majorHAnsi" w:hAnsiTheme="majorHAnsi" w:cstheme="majorHAnsi"/>
                <w:sz w:val="20"/>
                <w:szCs w:val="20"/>
              </w:rPr>
              <w:t xml:space="preserve">Online exam for Module: Impact of Globalization on Health </w:t>
            </w:r>
          </w:p>
        </w:tc>
      </w:tr>
      <w:tr w:rsidR="00C568D3" w:rsidRPr="00743A41" w:rsidTr="00F026B3">
        <w:trPr>
          <w:cantSplit/>
          <w:trHeight w:val="780"/>
        </w:trPr>
        <w:tc>
          <w:tcPr>
            <w:tcW w:w="1667" w:type="pct"/>
            <w:tcMar>
              <w:top w:w="0" w:type="dxa"/>
              <w:left w:w="108" w:type="dxa"/>
              <w:bottom w:w="0" w:type="dxa"/>
              <w:right w:w="108" w:type="dxa"/>
            </w:tcMar>
            <w:hideMark/>
          </w:tcPr>
          <w:p w:rsidR="00C568D3" w:rsidRPr="00743A41" w:rsidRDefault="00C568D3" w:rsidP="00A37ED6">
            <w:pPr>
              <w:rPr>
                <w:rFonts w:asciiTheme="majorHAnsi" w:hAnsiTheme="majorHAnsi" w:cstheme="majorHAnsi"/>
                <w:color w:val="000000"/>
                <w:sz w:val="20"/>
                <w:szCs w:val="20"/>
              </w:rPr>
            </w:pPr>
            <w:r w:rsidRPr="00743A41">
              <w:rPr>
                <w:rFonts w:asciiTheme="majorHAnsi" w:hAnsiTheme="majorHAnsi" w:cstheme="majorHAnsi"/>
                <w:color w:val="000000"/>
                <w:sz w:val="20"/>
                <w:szCs w:val="20"/>
              </w:rPr>
              <w:t>12. Explain an ecological perspective on the connections among human health, animal health and ecosystem health (e.g., One Health)</w:t>
            </w:r>
          </w:p>
        </w:tc>
        <w:tc>
          <w:tcPr>
            <w:tcW w:w="1667" w:type="pct"/>
            <w:tcMar>
              <w:top w:w="0" w:type="dxa"/>
              <w:left w:w="108" w:type="dxa"/>
              <w:bottom w:w="0" w:type="dxa"/>
              <w:right w:w="108" w:type="dxa"/>
            </w:tcMar>
          </w:tcPr>
          <w:p w:rsidR="00C568D3" w:rsidRPr="00743A41" w:rsidRDefault="00C568D3" w:rsidP="00A37ED6">
            <w:pPr>
              <w:rPr>
                <w:rFonts w:asciiTheme="majorHAnsi" w:hAnsiTheme="majorHAnsi" w:cstheme="majorHAnsi"/>
                <w:b/>
                <w:sz w:val="20"/>
                <w:szCs w:val="20"/>
              </w:rPr>
            </w:pPr>
            <w:r w:rsidRPr="00743A41">
              <w:rPr>
                <w:rFonts w:asciiTheme="majorHAnsi" w:hAnsiTheme="majorHAnsi" w:cstheme="majorHAnsi"/>
                <w:b/>
                <w:bCs/>
                <w:iCs/>
                <w:color w:val="000000"/>
                <w:sz w:val="20"/>
                <w:szCs w:val="20"/>
              </w:rPr>
              <w:t>PH 101</w:t>
            </w:r>
            <w:r w:rsidRPr="00743A41">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C568D3" w:rsidRPr="00743A41" w:rsidRDefault="00C568D3" w:rsidP="00A37ED6">
            <w:pPr>
              <w:rPr>
                <w:rFonts w:asciiTheme="majorHAnsi" w:hAnsiTheme="majorHAnsi" w:cstheme="majorHAnsi"/>
                <w:sz w:val="20"/>
                <w:szCs w:val="20"/>
              </w:rPr>
            </w:pPr>
            <w:r w:rsidRPr="00743A41">
              <w:rPr>
                <w:rFonts w:asciiTheme="majorHAnsi" w:hAnsiTheme="majorHAnsi" w:cstheme="majorHAnsi"/>
                <w:sz w:val="20"/>
                <w:szCs w:val="20"/>
              </w:rPr>
              <w:t>Online exam for Module One Health</w:t>
            </w:r>
          </w:p>
          <w:p w:rsidR="00C568D3" w:rsidRPr="00743A41" w:rsidRDefault="00C568D3" w:rsidP="00A37ED6">
            <w:pPr>
              <w:rPr>
                <w:rFonts w:asciiTheme="majorHAnsi" w:hAnsiTheme="majorHAnsi" w:cstheme="majorHAnsi"/>
                <w:sz w:val="20"/>
                <w:szCs w:val="20"/>
              </w:rPr>
            </w:pPr>
          </w:p>
        </w:tc>
      </w:tr>
    </w:tbl>
    <w:p w:rsidR="00933038" w:rsidRPr="00743A41" w:rsidRDefault="00933038" w:rsidP="00A37ED6">
      <w:pPr>
        <w:shd w:val="clear" w:color="auto" w:fill="FFFFFF"/>
        <w:ind w:left="720"/>
        <w:jc w:val="both"/>
        <w:rPr>
          <w:rFonts w:asciiTheme="majorHAnsi" w:eastAsia="Arial Unicode MS" w:hAnsiTheme="majorHAnsi" w:cstheme="majorHAnsi"/>
          <w:sz w:val="20"/>
          <w:szCs w:val="20"/>
        </w:rPr>
      </w:pPr>
    </w:p>
    <w:p w:rsidR="00933038" w:rsidRPr="00743A41" w:rsidRDefault="00933038" w:rsidP="00A37ED6">
      <w:pPr>
        <w:numPr>
          <w:ilvl w:val="0"/>
          <w:numId w:val="18"/>
        </w:numPr>
        <w:shd w:val="clear" w:color="auto" w:fill="FFFFFF"/>
        <w:ind w:left="720"/>
        <w:jc w:val="both"/>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rPr>
        <w:t xml:space="preserve">Document the methods described above. This documentation must include all referenced syllabi, samples of tests or other assessments and web links or handbook excerpts that describe admissions prerequisites, as applicable. </w:t>
      </w:r>
    </w:p>
    <w:p w:rsidR="00933038" w:rsidRPr="00743A41" w:rsidRDefault="00933038" w:rsidP="00A37ED6">
      <w:pPr>
        <w:shd w:val="clear" w:color="auto" w:fill="FFFFFF"/>
        <w:jc w:val="both"/>
        <w:rPr>
          <w:rFonts w:asciiTheme="majorHAnsi" w:eastAsia="Arial Unicode MS" w:hAnsiTheme="majorHAnsi" w:cstheme="majorHAnsi"/>
          <w:sz w:val="20"/>
          <w:szCs w:val="20"/>
        </w:rPr>
      </w:pPr>
    </w:p>
    <w:p w:rsidR="009014E6" w:rsidRPr="00743A41" w:rsidRDefault="009014E6" w:rsidP="00A37ED6">
      <w:pPr>
        <w:shd w:val="clear" w:color="auto" w:fill="FFFFFF"/>
        <w:ind w:left="720"/>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rPr>
        <w:t xml:space="preserve">PH 101 Foundations in Public Health is a required course for all students enrolled in a degree-seeking program matriculating in fall 2019 or later. This course is an online, not-for-credit course that </w:t>
      </w:r>
      <w:r w:rsidR="00997F02" w:rsidRPr="00743A41">
        <w:rPr>
          <w:rFonts w:asciiTheme="majorHAnsi" w:eastAsia="Arial Unicode MS" w:hAnsiTheme="majorHAnsi" w:cstheme="majorHAnsi"/>
          <w:sz w:val="20"/>
          <w:szCs w:val="20"/>
        </w:rPr>
        <w:t xml:space="preserve">is designed to meet </w:t>
      </w:r>
      <w:r w:rsidRPr="00743A41">
        <w:rPr>
          <w:rFonts w:asciiTheme="majorHAnsi" w:eastAsia="Arial Unicode MS" w:hAnsiTheme="majorHAnsi" w:cstheme="majorHAnsi"/>
          <w:sz w:val="20"/>
          <w:szCs w:val="20"/>
        </w:rPr>
        <w:t>the Foun</w:t>
      </w:r>
      <w:r w:rsidR="00425DEF" w:rsidRPr="00743A41">
        <w:rPr>
          <w:rFonts w:asciiTheme="majorHAnsi" w:eastAsia="Arial Unicode MS" w:hAnsiTheme="majorHAnsi" w:cstheme="majorHAnsi"/>
          <w:sz w:val="20"/>
          <w:szCs w:val="20"/>
        </w:rPr>
        <w:t>dational Public Health Knowledge</w:t>
      </w:r>
      <w:r w:rsidR="00997F02" w:rsidRPr="00743A41">
        <w:rPr>
          <w:rFonts w:asciiTheme="majorHAnsi" w:eastAsia="Arial Unicode MS" w:hAnsiTheme="majorHAnsi" w:cstheme="majorHAnsi"/>
          <w:sz w:val="20"/>
          <w:szCs w:val="20"/>
        </w:rPr>
        <w:t xml:space="preserve"> objectives set forth by CEPH</w:t>
      </w:r>
      <w:r w:rsidR="007F2DBE">
        <w:rPr>
          <w:rFonts w:asciiTheme="majorHAnsi" w:eastAsia="Arial Unicode MS" w:hAnsiTheme="majorHAnsi" w:cstheme="majorHAnsi"/>
          <w:sz w:val="20"/>
          <w:szCs w:val="20"/>
        </w:rPr>
        <w:t xml:space="preserve"> in </w:t>
      </w:r>
      <w:hyperlink w:anchor="_D1._MPH_&amp;" w:history="1">
        <w:r w:rsidR="007F2DBE" w:rsidRPr="00BE3648">
          <w:rPr>
            <w:rStyle w:val="Hyperlink"/>
            <w:rFonts w:asciiTheme="majorHAnsi" w:eastAsia="Arial Unicode MS" w:hAnsiTheme="majorHAnsi" w:cstheme="majorHAnsi"/>
            <w:i/>
            <w:sz w:val="20"/>
            <w:szCs w:val="20"/>
          </w:rPr>
          <w:t>Criterion D1. MPH and DrPH Foundational Public Health Knowledge</w:t>
        </w:r>
      </w:hyperlink>
      <w:r w:rsidR="00425DEF" w:rsidRPr="00743A41">
        <w:rPr>
          <w:rFonts w:asciiTheme="majorHAnsi" w:eastAsia="Arial Unicode MS" w:hAnsiTheme="majorHAnsi" w:cstheme="majorHAnsi"/>
          <w:sz w:val="20"/>
          <w:szCs w:val="20"/>
        </w:rPr>
        <w:t xml:space="preserve">. </w:t>
      </w:r>
      <w:r w:rsidRPr="00743A41">
        <w:rPr>
          <w:rFonts w:asciiTheme="majorHAnsi" w:eastAsia="Arial Unicode MS" w:hAnsiTheme="majorHAnsi" w:cstheme="majorHAnsi"/>
          <w:sz w:val="20"/>
          <w:szCs w:val="20"/>
        </w:rPr>
        <w:t xml:space="preserve">Students are added to the course in </w:t>
      </w:r>
      <w:r w:rsidR="00566095">
        <w:rPr>
          <w:rFonts w:asciiTheme="majorHAnsi" w:eastAsia="Arial Unicode MS" w:hAnsiTheme="majorHAnsi" w:cstheme="majorHAnsi"/>
          <w:sz w:val="20"/>
          <w:szCs w:val="20"/>
        </w:rPr>
        <w:t xml:space="preserve">the </w:t>
      </w:r>
      <w:r w:rsidRPr="00743A41">
        <w:rPr>
          <w:rFonts w:asciiTheme="majorHAnsi" w:eastAsia="Arial Unicode MS" w:hAnsiTheme="majorHAnsi" w:cstheme="majorHAnsi"/>
          <w:sz w:val="20"/>
          <w:szCs w:val="20"/>
        </w:rPr>
        <w:t>Canvas</w:t>
      </w:r>
      <w:r w:rsidR="00566095">
        <w:rPr>
          <w:rFonts w:asciiTheme="majorHAnsi" w:eastAsia="Arial Unicode MS" w:hAnsiTheme="majorHAnsi" w:cstheme="majorHAnsi"/>
          <w:sz w:val="20"/>
          <w:szCs w:val="20"/>
        </w:rPr>
        <w:t xml:space="preserve"> Learning Management System (LMS) </w:t>
      </w:r>
      <w:r w:rsidRPr="00743A41">
        <w:rPr>
          <w:rFonts w:asciiTheme="majorHAnsi" w:eastAsia="Arial Unicode MS" w:hAnsiTheme="majorHAnsi" w:cstheme="majorHAnsi"/>
          <w:sz w:val="20"/>
          <w:szCs w:val="20"/>
        </w:rPr>
        <w:t xml:space="preserve">during their first semester. Students must complete the course within one year of matriculation.  </w:t>
      </w:r>
    </w:p>
    <w:p w:rsidR="009014E6" w:rsidRPr="00743A41" w:rsidRDefault="009014E6" w:rsidP="00A37ED6">
      <w:pPr>
        <w:shd w:val="clear" w:color="auto" w:fill="FFFFFF"/>
        <w:ind w:left="720"/>
        <w:rPr>
          <w:rFonts w:asciiTheme="majorHAnsi" w:eastAsia="Arial Unicode MS" w:hAnsiTheme="majorHAnsi" w:cstheme="majorHAnsi"/>
          <w:sz w:val="20"/>
          <w:szCs w:val="20"/>
        </w:rPr>
      </w:pPr>
    </w:p>
    <w:p w:rsidR="009014E6" w:rsidRPr="00743A41" w:rsidRDefault="009014E6" w:rsidP="00A37ED6">
      <w:pPr>
        <w:shd w:val="clear" w:color="auto" w:fill="FFFFFF"/>
        <w:ind w:left="720"/>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rPr>
        <w:t>Degree-seeking students who have previously completed a CEPH-accredited degree program (bachelor’s</w:t>
      </w:r>
      <w:r w:rsidR="00B67015" w:rsidRPr="00743A41">
        <w:rPr>
          <w:rFonts w:asciiTheme="majorHAnsi" w:eastAsia="Arial Unicode MS" w:hAnsiTheme="majorHAnsi" w:cstheme="majorHAnsi"/>
          <w:sz w:val="20"/>
          <w:szCs w:val="20"/>
        </w:rPr>
        <w:t xml:space="preserve"> degree</w:t>
      </w:r>
      <w:r w:rsidRPr="00743A41">
        <w:rPr>
          <w:rFonts w:asciiTheme="majorHAnsi" w:eastAsia="Arial Unicode MS" w:hAnsiTheme="majorHAnsi" w:cstheme="majorHAnsi"/>
          <w:sz w:val="20"/>
          <w:szCs w:val="20"/>
        </w:rPr>
        <w:t xml:space="preserve">, </w:t>
      </w:r>
      <w:r w:rsidR="00C80908" w:rsidRPr="00743A41">
        <w:rPr>
          <w:rFonts w:asciiTheme="majorHAnsi" w:eastAsia="Arial Unicode MS" w:hAnsiTheme="majorHAnsi" w:cstheme="majorHAnsi"/>
          <w:sz w:val="20"/>
          <w:szCs w:val="20"/>
        </w:rPr>
        <w:t>master’s</w:t>
      </w:r>
      <w:r w:rsidRPr="00743A41">
        <w:rPr>
          <w:rFonts w:asciiTheme="majorHAnsi" w:eastAsia="Arial Unicode MS" w:hAnsiTheme="majorHAnsi" w:cstheme="majorHAnsi"/>
          <w:sz w:val="20"/>
          <w:szCs w:val="20"/>
        </w:rPr>
        <w:t xml:space="preserve"> </w:t>
      </w:r>
      <w:r w:rsidR="00B67015" w:rsidRPr="00743A41">
        <w:rPr>
          <w:rFonts w:asciiTheme="majorHAnsi" w:eastAsia="Arial Unicode MS" w:hAnsiTheme="majorHAnsi" w:cstheme="majorHAnsi"/>
          <w:sz w:val="20"/>
          <w:szCs w:val="20"/>
        </w:rPr>
        <w:t>degree, or</w:t>
      </w:r>
      <w:r w:rsidRPr="00743A41">
        <w:rPr>
          <w:rFonts w:asciiTheme="majorHAnsi" w:eastAsia="Arial Unicode MS" w:hAnsiTheme="majorHAnsi" w:cstheme="majorHAnsi"/>
          <w:sz w:val="20"/>
          <w:szCs w:val="20"/>
        </w:rPr>
        <w:t xml:space="preserve"> doctoral degree) are eligible to waive the PH 101 Foundational in Public Health course requirement. After a request to waive the PH 101 Foundations in Public Health is submitted, the Office of Academic Affairs and Student Services will verify that the student has successfully completed a CEPH-accredited program prior to awarding the waiver.</w:t>
      </w:r>
      <w:r w:rsidR="00871207">
        <w:rPr>
          <w:rFonts w:asciiTheme="majorHAnsi" w:eastAsia="Arial Unicode MS" w:hAnsiTheme="majorHAnsi" w:cstheme="majorHAnsi"/>
          <w:sz w:val="20"/>
          <w:szCs w:val="20"/>
        </w:rPr>
        <w:t xml:space="preserve"> The Public Health 101 Waiver Request form is available in the electronic resource file (</w:t>
      </w:r>
      <w:r w:rsidR="00871207" w:rsidRPr="007D20E3">
        <w:rPr>
          <w:rFonts w:asciiTheme="majorHAnsi" w:eastAsia="Arial Unicode MS" w:hAnsiTheme="majorHAnsi" w:cstheme="majorHAnsi"/>
          <w:i/>
          <w:sz w:val="20"/>
          <w:szCs w:val="20"/>
        </w:rPr>
        <w:t xml:space="preserve">ERF, </w:t>
      </w:r>
      <w:r w:rsidR="007D20E3" w:rsidRPr="007D20E3">
        <w:rPr>
          <w:rFonts w:asciiTheme="majorHAnsi" w:eastAsia="Arial Unicode MS" w:hAnsiTheme="majorHAnsi" w:cstheme="majorHAnsi"/>
          <w:i/>
          <w:sz w:val="20"/>
          <w:szCs w:val="20"/>
        </w:rPr>
        <w:t>D1. MPH &amp; DrPH Foundational Public Health Knowledge, Public Health 101 Waiver Request</w:t>
      </w:r>
      <w:r w:rsidR="007D20E3">
        <w:rPr>
          <w:rFonts w:asciiTheme="majorHAnsi" w:eastAsia="Arial Unicode MS" w:hAnsiTheme="majorHAnsi" w:cstheme="majorHAnsi"/>
          <w:sz w:val="20"/>
          <w:szCs w:val="20"/>
        </w:rPr>
        <w:t>).</w:t>
      </w:r>
    </w:p>
    <w:p w:rsidR="00F35156" w:rsidRPr="00743A41" w:rsidRDefault="00F35156" w:rsidP="00A37ED6">
      <w:pPr>
        <w:shd w:val="clear" w:color="auto" w:fill="FFFFFF"/>
        <w:ind w:left="720"/>
        <w:jc w:val="both"/>
        <w:rPr>
          <w:rFonts w:asciiTheme="majorHAnsi" w:eastAsia="Arial Unicode MS" w:hAnsiTheme="majorHAnsi" w:cstheme="majorHAnsi"/>
          <w:sz w:val="20"/>
          <w:szCs w:val="20"/>
        </w:rPr>
      </w:pPr>
    </w:p>
    <w:p w:rsidR="00933038" w:rsidRPr="00743A41" w:rsidRDefault="00A22114" w:rsidP="00A37ED6">
      <w:pPr>
        <w:shd w:val="clear" w:color="auto" w:fill="FFFFFF"/>
        <w:ind w:left="720"/>
        <w:jc w:val="both"/>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rPr>
        <w:t>Associated documents in the electronic resource file:</w:t>
      </w:r>
    </w:p>
    <w:p w:rsidR="009C479E" w:rsidRPr="00F36007" w:rsidRDefault="00570E2F" w:rsidP="00A37ED6">
      <w:pPr>
        <w:pStyle w:val="ListParagraph"/>
        <w:numPr>
          <w:ilvl w:val="0"/>
          <w:numId w:val="138"/>
        </w:numPr>
        <w:shd w:val="clear" w:color="auto" w:fill="FFFFFF"/>
        <w:rPr>
          <w:rFonts w:asciiTheme="majorHAnsi" w:eastAsia="Arial Unicode MS" w:hAnsiTheme="majorHAnsi" w:cstheme="majorHAnsi"/>
          <w:i/>
          <w:szCs w:val="20"/>
        </w:rPr>
      </w:pPr>
      <w:r w:rsidRPr="00F36007">
        <w:rPr>
          <w:rFonts w:asciiTheme="majorHAnsi" w:eastAsia="Arial Unicode MS" w:hAnsiTheme="majorHAnsi" w:cstheme="majorHAnsi"/>
          <w:i/>
        </w:rPr>
        <w:t>D1. MPH &amp; DrPH Foundational Public Health Knowledge</w:t>
      </w:r>
    </w:p>
    <w:p w:rsidR="009C479E" w:rsidRPr="00F36007" w:rsidRDefault="00570E2F" w:rsidP="00A37ED6">
      <w:pPr>
        <w:pStyle w:val="ListParagraph"/>
        <w:numPr>
          <w:ilvl w:val="1"/>
          <w:numId w:val="138"/>
        </w:numPr>
        <w:shd w:val="clear" w:color="auto" w:fill="FFFFFF"/>
        <w:rPr>
          <w:rFonts w:asciiTheme="majorHAnsi" w:eastAsia="Arial Unicode MS" w:hAnsiTheme="majorHAnsi" w:cstheme="majorHAnsi"/>
          <w:i/>
          <w:szCs w:val="20"/>
        </w:rPr>
      </w:pPr>
      <w:r w:rsidRPr="00F36007">
        <w:rPr>
          <w:rFonts w:asciiTheme="majorHAnsi" w:hAnsiTheme="majorHAnsi" w:cstheme="majorHAnsi"/>
          <w:i/>
        </w:rPr>
        <w:t>PH 101 Foundations in Public Health, Syllabus</w:t>
      </w:r>
    </w:p>
    <w:p w:rsidR="00F35156" w:rsidRPr="00F36007" w:rsidRDefault="00570E2F" w:rsidP="00A37ED6">
      <w:pPr>
        <w:pStyle w:val="ListParagraph"/>
        <w:numPr>
          <w:ilvl w:val="1"/>
          <w:numId w:val="138"/>
        </w:numPr>
        <w:shd w:val="clear" w:color="auto" w:fill="FFFFFF"/>
        <w:rPr>
          <w:rFonts w:asciiTheme="majorHAnsi" w:eastAsia="Arial Unicode MS" w:hAnsiTheme="majorHAnsi" w:cstheme="majorHAnsi"/>
          <w:i/>
          <w:szCs w:val="20"/>
        </w:rPr>
      </w:pPr>
      <w:r w:rsidRPr="00F36007">
        <w:rPr>
          <w:rFonts w:asciiTheme="majorHAnsi" w:hAnsiTheme="majorHAnsi" w:cstheme="majorHAnsi"/>
          <w:i/>
        </w:rPr>
        <w:t>PH 101 Foundations in Public Health, Exams</w:t>
      </w:r>
    </w:p>
    <w:p w:rsidR="00933038" w:rsidRPr="00F36007" w:rsidRDefault="00570E2F" w:rsidP="00A37ED6">
      <w:pPr>
        <w:pStyle w:val="ListParagraph"/>
        <w:numPr>
          <w:ilvl w:val="1"/>
          <w:numId w:val="138"/>
        </w:numPr>
        <w:shd w:val="clear" w:color="auto" w:fill="FFFFFF"/>
        <w:rPr>
          <w:rFonts w:asciiTheme="majorHAnsi" w:eastAsia="Arial Unicode MS" w:hAnsiTheme="majorHAnsi" w:cstheme="majorHAnsi"/>
          <w:i/>
          <w:szCs w:val="20"/>
        </w:rPr>
      </w:pPr>
      <w:r w:rsidRPr="00F36007">
        <w:rPr>
          <w:rFonts w:asciiTheme="majorHAnsi" w:eastAsia="Arial Unicode MS" w:hAnsiTheme="majorHAnsi" w:cstheme="majorHAnsi"/>
          <w:i/>
        </w:rPr>
        <w:t>PH 101 Waiver Request Form</w:t>
      </w:r>
      <w:r w:rsidR="00BF5B7C" w:rsidRPr="00F36007">
        <w:rPr>
          <w:rFonts w:asciiTheme="majorHAnsi" w:eastAsia="Arial Unicode MS" w:hAnsiTheme="majorHAnsi" w:cstheme="majorHAnsi"/>
          <w:i/>
          <w:szCs w:val="20"/>
        </w:rPr>
        <w:t xml:space="preserve"> </w:t>
      </w:r>
    </w:p>
    <w:p w:rsidR="00F35156" w:rsidRPr="00743A41" w:rsidRDefault="00F35156" w:rsidP="00A37ED6">
      <w:pPr>
        <w:ind w:left="720"/>
        <w:jc w:val="both"/>
        <w:rPr>
          <w:rFonts w:asciiTheme="majorHAnsi" w:eastAsia="Calibri" w:hAnsiTheme="majorHAnsi" w:cstheme="majorHAnsi"/>
          <w:sz w:val="20"/>
          <w:szCs w:val="20"/>
        </w:rPr>
      </w:pPr>
    </w:p>
    <w:p w:rsidR="00933038" w:rsidRPr="00743A41" w:rsidRDefault="00933038" w:rsidP="00A37ED6">
      <w:pPr>
        <w:numPr>
          <w:ilvl w:val="0"/>
          <w:numId w:val="18"/>
        </w:numPr>
        <w:ind w:left="720"/>
        <w:jc w:val="both"/>
        <w:rPr>
          <w:rFonts w:asciiTheme="majorHAnsi" w:eastAsia="Calibri" w:hAnsiTheme="majorHAnsi" w:cstheme="majorHAnsi"/>
          <w:sz w:val="20"/>
          <w:szCs w:val="20"/>
        </w:rPr>
      </w:pPr>
      <w:r w:rsidRPr="00743A41">
        <w:rPr>
          <w:rFonts w:asciiTheme="majorHAnsi" w:eastAsia="Arial Unicode MS" w:hAnsiTheme="majorHAnsi" w:cstheme="majorHAnsi"/>
          <w:sz w:val="20"/>
          <w:szCs w:val="20"/>
        </w:rPr>
        <w:t xml:space="preserve">If applicable, assessment of strengths and weaknesses related to this criterion and plans for improvement in this area. </w:t>
      </w:r>
    </w:p>
    <w:p w:rsidR="00933038" w:rsidRPr="00743A41" w:rsidRDefault="00933038" w:rsidP="00A37ED6">
      <w:pPr>
        <w:jc w:val="both"/>
        <w:rPr>
          <w:rFonts w:asciiTheme="majorHAnsi" w:eastAsia="Arial Unicode MS" w:hAnsiTheme="majorHAnsi" w:cstheme="majorHAnsi"/>
          <w:sz w:val="20"/>
          <w:szCs w:val="20"/>
        </w:rPr>
      </w:pPr>
    </w:p>
    <w:p w:rsidR="007A61EE" w:rsidRPr="00743A41" w:rsidRDefault="00160093" w:rsidP="00A37ED6">
      <w:pPr>
        <w:keepNext/>
        <w:ind w:left="720"/>
        <w:jc w:val="both"/>
        <w:rPr>
          <w:rFonts w:asciiTheme="majorHAnsi" w:eastAsia="Calibri" w:hAnsiTheme="majorHAnsi" w:cstheme="majorHAnsi"/>
          <w:i/>
          <w:sz w:val="20"/>
          <w:szCs w:val="20"/>
        </w:rPr>
      </w:pPr>
      <w:r w:rsidRPr="00743A41">
        <w:rPr>
          <w:rFonts w:asciiTheme="majorHAnsi" w:hAnsiTheme="majorHAnsi" w:cstheme="majorHAnsi"/>
          <w:i/>
          <w:sz w:val="20"/>
          <w:szCs w:val="20"/>
        </w:rPr>
        <w:t xml:space="preserve">Not applicable. </w:t>
      </w:r>
    </w:p>
    <w:p w:rsidR="00933038" w:rsidRPr="00743A41" w:rsidRDefault="00933038" w:rsidP="00A37ED6">
      <w:pPr>
        <w:ind w:left="720"/>
        <w:jc w:val="both"/>
        <w:rPr>
          <w:rFonts w:asciiTheme="majorHAnsi" w:eastAsia="Calibri" w:hAnsiTheme="majorHAnsi" w:cstheme="majorHAnsi"/>
          <w:i/>
          <w:sz w:val="20"/>
          <w:szCs w:val="20"/>
        </w:rPr>
      </w:pPr>
    </w:p>
    <w:p w:rsidR="00933038" w:rsidRPr="00743A41" w:rsidRDefault="00933038" w:rsidP="00A37ED6">
      <w:pPr>
        <w:rPr>
          <w:rStyle w:val="Heading1Char"/>
        </w:rPr>
      </w:pPr>
      <w:bookmarkStart w:id="67" w:name="_Toc464487868"/>
    </w:p>
    <w:p w:rsidR="008C073D" w:rsidRPr="00743A41" w:rsidRDefault="008C073D" w:rsidP="00A37ED6">
      <w:pPr>
        <w:rPr>
          <w:rStyle w:val="Heading1Char"/>
        </w:rPr>
      </w:pPr>
      <w:bookmarkStart w:id="68" w:name="_D2._MPH_Foundational"/>
      <w:bookmarkStart w:id="69" w:name="_Toc7118201"/>
      <w:bookmarkEnd w:id="68"/>
      <w:r w:rsidRPr="00743A41">
        <w:rPr>
          <w:rStyle w:val="Heading1Char"/>
          <w:b w:val="0"/>
          <w:bCs w:val="0"/>
        </w:rPr>
        <w:br w:type="page"/>
      </w:r>
    </w:p>
    <w:p w:rsidR="00933038" w:rsidRPr="00743A41" w:rsidRDefault="00933038" w:rsidP="007A68BE">
      <w:pPr>
        <w:pStyle w:val="Heading1"/>
      </w:pPr>
      <w:bookmarkStart w:id="70" w:name="_D2._MPH_Foundational_1"/>
      <w:bookmarkEnd w:id="70"/>
      <w:r w:rsidRPr="00743A41">
        <w:rPr>
          <w:rStyle w:val="Heading1Char"/>
          <w:b/>
          <w:bCs/>
        </w:rPr>
        <w:t xml:space="preserve">D2. </w:t>
      </w:r>
      <w:r w:rsidRPr="00743A41">
        <w:rPr>
          <w:rStyle w:val="Heading1Char"/>
          <w:b/>
        </w:rPr>
        <w:t>MPH Foundational Competencies</w:t>
      </w:r>
      <w:bookmarkEnd w:id="69"/>
      <w:r w:rsidRPr="00743A41">
        <w:rPr>
          <w:rStyle w:val="Heading1Char"/>
          <w:b/>
        </w:rPr>
        <w:t xml:space="preserve"> </w:t>
      </w:r>
      <w:bookmarkEnd w:id="67"/>
    </w:p>
    <w:p w:rsidR="00933038" w:rsidRPr="00743A41" w:rsidRDefault="00933038" w:rsidP="00A37ED6">
      <w:pPr>
        <w:keepNext/>
        <w:jc w:val="both"/>
        <w:rPr>
          <w:rFonts w:asciiTheme="majorHAnsi" w:eastAsia="Arial Unicode MS" w:hAnsiTheme="majorHAnsi" w:cstheme="majorHAnsi"/>
          <w:b/>
          <w:sz w:val="20"/>
          <w:szCs w:val="20"/>
        </w:rPr>
      </w:pPr>
    </w:p>
    <w:p w:rsidR="00933038" w:rsidRPr="00743A41" w:rsidRDefault="00933038" w:rsidP="00A37ED6">
      <w:pPr>
        <w:jc w:val="both"/>
        <w:rPr>
          <w:rFonts w:asciiTheme="majorHAnsi" w:eastAsia="Arial Unicode MS" w:hAnsiTheme="majorHAnsi" w:cstheme="majorHAnsi"/>
          <w:b/>
          <w:sz w:val="20"/>
          <w:szCs w:val="20"/>
        </w:rPr>
      </w:pPr>
      <w:r w:rsidRPr="00743A41">
        <w:rPr>
          <w:rFonts w:asciiTheme="majorHAnsi" w:eastAsia="Arial Unicode MS" w:hAnsiTheme="majorHAnsi" w:cstheme="majorHAnsi"/>
          <w:b/>
          <w:sz w:val="20"/>
          <w:szCs w:val="20"/>
        </w:rPr>
        <w:t>The school documents at least one specific, required assessment activity (eg, component of existing course, paper, presentation, test) for each competency, during which faculty or other qualified individuals (eg, preceptors) validate the student’s ability to perform the competency.</w:t>
      </w:r>
    </w:p>
    <w:p w:rsidR="00933038" w:rsidRPr="00743A41" w:rsidRDefault="00933038" w:rsidP="00A37ED6">
      <w:pPr>
        <w:jc w:val="both"/>
        <w:rPr>
          <w:rFonts w:asciiTheme="majorHAnsi" w:eastAsia="Arial Unicode MS" w:hAnsiTheme="majorHAnsi" w:cstheme="majorHAnsi"/>
          <w:b/>
          <w:sz w:val="20"/>
          <w:szCs w:val="20"/>
        </w:rPr>
      </w:pPr>
    </w:p>
    <w:p w:rsidR="00933038" w:rsidRPr="00743A41" w:rsidRDefault="00933038" w:rsidP="00A37ED6">
      <w:pPr>
        <w:jc w:val="both"/>
        <w:rPr>
          <w:rFonts w:asciiTheme="majorHAnsi" w:eastAsia="Arial Unicode MS" w:hAnsiTheme="majorHAnsi" w:cstheme="majorHAnsi"/>
          <w:b/>
          <w:sz w:val="20"/>
          <w:szCs w:val="20"/>
        </w:rPr>
      </w:pPr>
      <w:r w:rsidRPr="00743A41">
        <w:rPr>
          <w:rFonts w:asciiTheme="majorHAnsi" w:eastAsia="Arial Unicode MS" w:hAnsiTheme="majorHAnsi" w:cstheme="majorHAnsi"/>
          <w:b/>
          <w:sz w:val="20"/>
          <w:szCs w:val="20"/>
        </w:rPr>
        <w:t xml:space="preserve">Assessment opportunities may occur in foundational courses that are common to all students, in courses that are required for a concentration or in other educational requirements outside of designated coursework, but the school must assess </w:t>
      </w:r>
      <w:r w:rsidRPr="00743A41">
        <w:rPr>
          <w:rFonts w:asciiTheme="majorHAnsi" w:eastAsia="Arial Unicode MS" w:hAnsiTheme="majorHAnsi" w:cstheme="majorHAnsi"/>
          <w:b/>
          <w:i/>
          <w:sz w:val="20"/>
          <w:szCs w:val="20"/>
        </w:rPr>
        <w:t>all</w:t>
      </w:r>
      <w:r w:rsidRPr="00743A41">
        <w:rPr>
          <w:rFonts w:asciiTheme="majorHAnsi" w:eastAsia="Arial Unicode MS" w:hAnsiTheme="majorHAnsi" w:cstheme="majorHAnsi"/>
          <w:b/>
          <w:sz w:val="20"/>
          <w:szCs w:val="20"/>
        </w:rPr>
        <w:t xml:space="preserve"> MPH students, at least once, on each competency. Assessment may occur in simulations, group projects, presentations, written products, etc. This requirement also applies to students completing an MPH in combination with another degree (eg, joint, dual, concurrent degrees). For combined degree students, assessment may take place in either degree school. </w:t>
      </w:r>
    </w:p>
    <w:p w:rsidR="00933038" w:rsidRPr="00743A41" w:rsidRDefault="00933038" w:rsidP="00A37ED6">
      <w:pPr>
        <w:keepNext/>
        <w:shd w:val="clear" w:color="auto" w:fill="FFFFFF"/>
        <w:jc w:val="both"/>
        <w:rPr>
          <w:rFonts w:asciiTheme="majorHAnsi" w:eastAsia="Arial Unicode MS" w:hAnsiTheme="majorHAnsi" w:cstheme="majorHAnsi"/>
          <w:sz w:val="20"/>
          <w:szCs w:val="20"/>
        </w:rPr>
      </w:pPr>
    </w:p>
    <w:p w:rsidR="00933038" w:rsidRPr="00743A41" w:rsidRDefault="00933038" w:rsidP="00A37ED6">
      <w:pPr>
        <w:numPr>
          <w:ilvl w:val="0"/>
          <w:numId w:val="19"/>
        </w:numPr>
        <w:shd w:val="clear" w:color="auto" w:fill="FFFFFF"/>
        <w:jc w:val="both"/>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rPr>
        <w:t xml:space="preserve">List the coursework and other learning experiences required for the school’s MPH degrees, including the required curriculum for each concentration and combined degree option. Information may be provided in the format of Template D2-1 or in hyperlinks to student handbooks or webpages, but the documentation must present a clear depiction of the requirements for each MPH degree. </w:t>
      </w:r>
    </w:p>
    <w:p w:rsidR="00933038" w:rsidRPr="00743A41" w:rsidRDefault="00933038" w:rsidP="00A37ED6">
      <w:pPr>
        <w:shd w:val="clear" w:color="auto" w:fill="FFFFFF"/>
        <w:ind w:left="720" w:hanging="360"/>
        <w:jc w:val="both"/>
        <w:rPr>
          <w:rFonts w:asciiTheme="majorHAnsi" w:eastAsia="Arial Unicode MS" w:hAnsiTheme="majorHAnsi" w:cstheme="majorHAnsi"/>
          <w:sz w:val="20"/>
          <w:szCs w:val="20"/>
        </w:rPr>
      </w:pPr>
    </w:p>
    <w:p w:rsidR="00997F02" w:rsidRPr="00F36007" w:rsidRDefault="00997F02" w:rsidP="00A37ED6">
      <w:pPr>
        <w:shd w:val="clear" w:color="auto" w:fill="FFFFFF"/>
        <w:ind w:left="720"/>
        <w:jc w:val="both"/>
        <w:rPr>
          <w:rFonts w:asciiTheme="majorHAnsi" w:eastAsia="Arial Unicode MS" w:hAnsiTheme="majorHAnsi" w:cstheme="majorHAnsi"/>
          <w:sz w:val="20"/>
          <w:szCs w:val="20"/>
        </w:rPr>
      </w:pPr>
      <w:r w:rsidRPr="00F36007">
        <w:rPr>
          <w:rFonts w:asciiTheme="majorHAnsi" w:eastAsia="Arial Unicode MS" w:hAnsiTheme="majorHAnsi" w:cstheme="majorHAnsi"/>
          <w:sz w:val="20"/>
          <w:szCs w:val="20"/>
        </w:rPr>
        <w:t xml:space="preserve">All MPH students at the UTHealth School of Public Health are required to complete a series of core courses that are designed to meet the MPH Foundational Competencies set forth by CEPH. </w:t>
      </w:r>
      <w:r w:rsidR="00C1558B" w:rsidRPr="00F36007">
        <w:rPr>
          <w:rFonts w:asciiTheme="majorHAnsi" w:eastAsia="Arial Unicode MS" w:hAnsiTheme="majorHAnsi" w:cstheme="majorHAnsi"/>
          <w:sz w:val="20"/>
          <w:szCs w:val="20"/>
        </w:rPr>
        <w:t xml:space="preserve">The </w:t>
      </w:r>
      <w:r w:rsidR="00E36C70" w:rsidRPr="00F36007">
        <w:rPr>
          <w:rFonts w:asciiTheme="majorHAnsi" w:hAnsiTheme="majorHAnsi" w:cstheme="majorHAnsi"/>
          <w:sz w:val="20"/>
          <w:szCs w:val="20"/>
        </w:rPr>
        <w:t>six core courses for all MPH degree programs</w:t>
      </w:r>
      <w:r w:rsidR="003D31FD" w:rsidRPr="00F36007">
        <w:rPr>
          <w:rFonts w:asciiTheme="majorHAnsi" w:eastAsia="Arial Unicode MS" w:hAnsiTheme="majorHAnsi" w:cstheme="majorHAnsi"/>
          <w:sz w:val="20"/>
          <w:szCs w:val="20"/>
        </w:rPr>
        <w:t xml:space="preserve"> are defined in </w:t>
      </w:r>
      <w:hyperlink w:anchor="TableD21" w:history="1">
        <w:r w:rsidR="003D31FD" w:rsidRPr="00F36007">
          <w:rPr>
            <w:rStyle w:val="Hyperlink"/>
            <w:rFonts w:asciiTheme="majorHAnsi" w:eastAsia="Arial Unicode MS" w:hAnsiTheme="majorHAnsi" w:cstheme="majorHAnsi"/>
            <w:sz w:val="20"/>
            <w:szCs w:val="20"/>
          </w:rPr>
          <w:t>Table D</w:t>
        </w:r>
        <w:r w:rsidR="00151152" w:rsidRPr="00F36007">
          <w:rPr>
            <w:rStyle w:val="Hyperlink"/>
            <w:rFonts w:asciiTheme="majorHAnsi" w:eastAsia="Arial Unicode MS" w:hAnsiTheme="majorHAnsi" w:cstheme="majorHAnsi"/>
            <w:sz w:val="20"/>
            <w:szCs w:val="20"/>
          </w:rPr>
          <w:t>.</w:t>
        </w:r>
        <w:r w:rsidR="003D31FD" w:rsidRPr="00F36007">
          <w:rPr>
            <w:rStyle w:val="Hyperlink"/>
            <w:rFonts w:asciiTheme="majorHAnsi" w:eastAsia="Arial Unicode MS" w:hAnsiTheme="majorHAnsi" w:cstheme="majorHAnsi"/>
            <w:sz w:val="20"/>
            <w:szCs w:val="20"/>
          </w:rPr>
          <w:t>2.1.</w:t>
        </w:r>
      </w:hyperlink>
      <w:r w:rsidR="003D31FD" w:rsidRPr="00F36007">
        <w:rPr>
          <w:rFonts w:asciiTheme="majorHAnsi" w:eastAsia="Arial Unicode MS" w:hAnsiTheme="majorHAnsi" w:cstheme="majorHAnsi"/>
          <w:sz w:val="20"/>
          <w:szCs w:val="20"/>
        </w:rPr>
        <w:t xml:space="preserve"> below and </w:t>
      </w:r>
      <w:r w:rsidR="00CE5676">
        <w:rPr>
          <w:rFonts w:asciiTheme="majorHAnsi" w:eastAsia="Arial Unicode MS" w:hAnsiTheme="majorHAnsi" w:cstheme="majorHAnsi"/>
          <w:sz w:val="20"/>
          <w:szCs w:val="20"/>
        </w:rPr>
        <w:t>are available in the electronic resource file</w:t>
      </w:r>
      <w:r w:rsidR="003D31FD" w:rsidRPr="00F36007">
        <w:rPr>
          <w:rFonts w:asciiTheme="majorHAnsi" w:eastAsia="Arial Unicode MS" w:hAnsiTheme="majorHAnsi" w:cstheme="majorHAnsi"/>
          <w:sz w:val="20"/>
          <w:szCs w:val="20"/>
        </w:rPr>
        <w:t xml:space="preserve"> (</w:t>
      </w:r>
      <w:r w:rsidR="00E36C70" w:rsidRPr="00F36007">
        <w:rPr>
          <w:rFonts w:asciiTheme="majorHAnsi" w:hAnsiTheme="majorHAnsi" w:cstheme="majorHAnsi"/>
          <w:i/>
          <w:sz w:val="20"/>
          <w:szCs w:val="20"/>
        </w:rPr>
        <w:t>ERF, D2.1. Requirements for MPH</w:t>
      </w:r>
      <w:r w:rsidR="00E36C70" w:rsidRPr="00F36007">
        <w:rPr>
          <w:rFonts w:asciiTheme="majorHAnsi" w:hAnsiTheme="majorHAnsi" w:cstheme="majorHAnsi"/>
          <w:sz w:val="20"/>
          <w:szCs w:val="20"/>
        </w:rPr>
        <w:t xml:space="preserve"> </w:t>
      </w:r>
      <w:r w:rsidR="00E36C70" w:rsidRPr="00F36007">
        <w:rPr>
          <w:rFonts w:asciiTheme="majorHAnsi" w:hAnsiTheme="majorHAnsi" w:cstheme="majorHAnsi"/>
          <w:i/>
          <w:sz w:val="20"/>
          <w:szCs w:val="20"/>
        </w:rPr>
        <w:t>Degrees</w:t>
      </w:r>
      <w:r w:rsidR="003D31FD" w:rsidRPr="00F36007">
        <w:rPr>
          <w:rFonts w:asciiTheme="majorHAnsi" w:eastAsia="Arial Unicode MS" w:hAnsiTheme="majorHAnsi" w:cstheme="majorHAnsi"/>
          <w:sz w:val="20"/>
          <w:szCs w:val="20"/>
        </w:rPr>
        <w:t>).</w:t>
      </w:r>
    </w:p>
    <w:p w:rsidR="00105E3B" w:rsidRPr="00F36007" w:rsidRDefault="003D31FD" w:rsidP="00A37ED6">
      <w:pPr>
        <w:shd w:val="clear" w:color="auto" w:fill="FFFFFF"/>
        <w:ind w:left="720"/>
        <w:jc w:val="both"/>
        <w:rPr>
          <w:rFonts w:asciiTheme="majorHAnsi" w:eastAsia="Arial Unicode MS" w:hAnsiTheme="majorHAnsi" w:cstheme="majorHAnsi"/>
          <w:sz w:val="20"/>
          <w:szCs w:val="20"/>
        </w:rPr>
      </w:pPr>
      <w:r w:rsidRPr="00F36007">
        <w:rPr>
          <w:rFonts w:asciiTheme="majorHAnsi" w:eastAsia="Arial Unicode MS" w:hAnsiTheme="majorHAnsi" w:cstheme="majorHAnsi"/>
          <w:sz w:val="20"/>
          <w:szCs w:val="20"/>
        </w:rPr>
        <w:br/>
      </w:r>
      <w:r w:rsidR="00D77B51" w:rsidRPr="00F36007">
        <w:rPr>
          <w:rFonts w:asciiTheme="majorHAnsi" w:hAnsiTheme="majorHAnsi" w:cstheme="majorHAnsi"/>
          <w:sz w:val="20"/>
          <w:szCs w:val="20"/>
        </w:rPr>
        <w:t>Table D.2.1. UTHealth School of Public Health Core Courses for MPH Degree Programs</w:t>
      </w:r>
      <w:r w:rsidRPr="00F36007">
        <w:rPr>
          <w:rFonts w:asciiTheme="majorHAnsi" w:eastAsia="Arial Unicode MS" w:hAnsiTheme="majorHAnsi" w:cstheme="majorHAnsi"/>
          <w:sz w:val="20"/>
          <w:szCs w:val="20"/>
        </w:rPr>
        <w:t xml:space="preserve"> </w:t>
      </w:r>
    </w:p>
    <w:tbl>
      <w:tblPr>
        <w:tblStyle w:val="15"/>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60"/>
        <w:gridCol w:w="5670"/>
      </w:tblGrid>
      <w:tr w:rsidR="00C1558B" w:rsidRPr="00743A41" w:rsidTr="00152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one" w:sz="0" w:space="0" w:color="auto"/>
              <w:bottom w:val="none" w:sz="0" w:space="0" w:color="auto"/>
              <w:right w:val="none" w:sz="0" w:space="0" w:color="auto"/>
            </w:tcBorders>
          </w:tcPr>
          <w:p w:rsidR="00C1558B" w:rsidRPr="00743A41" w:rsidRDefault="00C1558B" w:rsidP="00A37ED6">
            <w:pPr>
              <w:jc w:val="center"/>
              <w:rPr>
                <w:rFonts w:asciiTheme="majorHAnsi" w:hAnsiTheme="majorHAnsi" w:cstheme="majorHAnsi"/>
                <w:sz w:val="20"/>
                <w:szCs w:val="20"/>
              </w:rPr>
            </w:pPr>
            <w:r w:rsidRPr="00743A41">
              <w:rPr>
                <w:rFonts w:asciiTheme="majorHAnsi" w:hAnsiTheme="majorHAnsi" w:cstheme="majorHAnsi"/>
                <w:sz w:val="20"/>
                <w:szCs w:val="20"/>
              </w:rPr>
              <w:t>Course Prefix and Number</w:t>
            </w:r>
          </w:p>
        </w:tc>
        <w:tc>
          <w:tcPr>
            <w:tcW w:w="1260" w:type="dxa"/>
            <w:tcBorders>
              <w:top w:val="none" w:sz="0" w:space="0" w:color="auto"/>
              <w:left w:val="none" w:sz="0" w:space="0" w:color="auto"/>
              <w:bottom w:val="none" w:sz="0" w:space="0" w:color="auto"/>
              <w:right w:val="none" w:sz="0" w:space="0" w:color="auto"/>
            </w:tcBorders>
          </w:tcPr>
          <w:p w:rsidR="00C1558B" w:rsidRPr="00743A41" w:rsidRDefault="00C1558B" w:rsidP="00A37ED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t>Credits</w:t>
            </w:r>
          </w:p>
        </w:tc>
        <w:tc>
          <w:tcPr>
            <w:tcW w:w="5670" w:type="dxa"/>
            <w:tcBorders>
              <w:top w:val="none" w:sz="0" w:space="0" w:color="auto"/>
              <w:left w:val="none" w:sz="0" w:space="0" w:color="auto"/>
              <w:bottom w:val="none" w:sz="0" w:space="0" w:color="auto"/>
            </w:tcBorders>
          </w:tcPr>
          <w:p w:rsidR="00C1558B" w:rsidRPr="00743A41" w:rsidRDefault="00C1558B" w:rsidP="00A37ED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t>Course name</w:t>
            </w:r>
          </w:p>
        </w:tc>
      </w:tr>
      <w:tr w:rsidR="00105E3B" w:rsidRPr="00743A41" w:rsidTr="00152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105E3B" w:rsidRPr="00743A41" w:rsidRDefault="00105E3B" w:rsidP="00A37ED6">
            <w:pPr>
              <w:rPr>
                <w:rFonts w:asciiTheme="majorHAnsi" w:hAnsiTheme="majorHAnsi" w:cstheme="majorHAnsi"/>
                <w:b w:val="0"/>
                <w:sz w:val="20"/>
                <w:szCs w:val="20"/>
              </w:rPr>
            </w:pPr>
            <w:r w:rsidRPr="00743A41">
              <w:rPr>
                <w:rFonts w:asciiTheme="majorHAnsi" w:hAnsiTheme="majorHAnsi" w:cstheme="majorHAnsi"/>
                <w:sz w:val="20"/>
                <w:szCs w:val="20"/>
              </w:rPr>
              <w:t>PHM 1110L</w:t>
            </w:r>
          </w:p>
        </w:tc>
        <w:tc>
          <w:tcPr>
            <w:tcW w:w="1260" w:type="dxa"/>
          </w:tcPr>
          <w:p w:rsidR="00105E3B" w:rsidRPr="00743A41" w:rsidRDefault="00105E3B"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t>3</w:t>
            </w:r>
          </w:p>
        </w:tc>
        <w:tc>
          <w:tcPr>
            <w:tcW w:w="5670" w:type="dxa"/>
          </w:tcPr>
          <w:p w:rsidR="00105E3B" w:rsidRPr="00743A41" w:rsidRDefault="00105E3B" w:rsidP="00A37ED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t>Health Promotion and Behavioral Sciences in Public Health</w:t>
            </w:r>
          </w:p>
        </w:tc>
      </w:tr>
      <w:tr w:rsidR="00105E3B" w:rsidRPr="00743A41" w:rsidTr="001525ED">
        <w:tc>
          <w:tcPr>
            <w:cnfStyle w:val="001000000000" w:firstRow="0" w:lastRow="0" w:firstColumn="1" w:lastColumn="0" w:oddVBand="0" w:evenVBand="0" w:oddHBand="0" w:evenHBand="0" w:firstRowFirstColumn="0" w:firstRowLastColumn="0" w:lastRowFirstColumn="0" w:lastRowLastColumn="0"/>
            <w:tcW w:w="1710" w:type="dxa"/>
          </w:tcPr>
          <w:p w:rsidR="00105E3B" w:rsidRPr="00743A41" w:rsidRDefault="00105E3B" w:rsidP="00A37ED6">
            <w:pPr>
              <w:rPr>
                <w:rFonts w:asciiTheme="majorHAnsi" w:hAnsiTheme="majorHAnsi" w:cstheme="majorHAnsi"/>
                <w:b w:val="0"/>
                <w:sz w:val="20"/>
                <w:szCs w:val="20"/>
              </w:rPr>
            </w:pPr>
            <w:r w:rsidRPr="00743A41">
              <w:rPr>
                <w:rFonts w:asciiTheme="majorHAnsi" w:hAnsiTheme="majorHAnsi" w:cstheme="majorHAnsi"/>
                <w:sz w:val="20"/>
                <w:szCs w:val="20"/>
              </w:rPr>
              <w:t>PHM 1690L</w:t>
            </w:r>
          </w:p>
        </w:tc>
        <w:tc>
          <w:tcPr>
            <w:tcW w:w="1260" w:type="dxa"/>
          </w:tcPr>
          <w:p w:rsidR="00105E3B" w:rsidRPr="00743A41" w:rsidRDefault="00105E3B" w:rsidP="00A37ED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t>4</w:t>
            </w:r>
          </w:p>
        </w:tc>
        <w:tc>
          <w:tcPr>
            <w:tcW w:w="5670" w:type="dxa"/>
          </w:tcPr>
          <w:p w:rsidR="00105E3B" w:rsidRPr="00743A41" w:rsidRDefault="00105E3B" w:rsidP="00A37ED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t>Introduction to Biostatistics in Public Health</w:t>
            </w:r>
          </w:p>
        </w:tc>
      </w:tr>
      <w:tr w:rsidR="00105E3B" w:rsidRPr="00743A41" w:rsidTr="00152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105E3B" w:rsidRPr="00743A41" w:rsidRDefault="00105E3B" w:rsidP="00A37ED6">
            <w:pPr>
              <w:rPr>
                <w:rFonts w:asciiTheme="majorHAnsi" w:hAnsiTheme="majorHAnsi" w:cstheme="majorHAnsi"/>
                <w:b w:val="0"/>
                <w:sz w:val="20"/>
                <w:szCs w:val="20"/>
              </w:rPr>
            </w:pPr>
            <w:r w:rsidRPr="00743A41">
              <w:rPr>
                <w:rFonts w:asciiTheme="majorHAnsi" w:hAnsiTheme="majorHAnsi" w:cstheme="majorHAnsi"/>
                <w:sz w:val="20"/>
                <w:szCs w:val="20"/>
              </w:rPr>
              <w:t>PHM 2110L</w:t>
            </w:r>
          </w:p>
        </w:tc>
        <w:tc>
          <w:tcPr>
            <w:tcW w:w="1260" w:type="dxa"/>
          </w:tcPr>
          <w:p w:rsidR="00105E3B" w:rsidRPr="00743A41" w:rsidRDefault="00105E3B"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t>3</w:t>
            </w:r>
          </w:p>
        </w:tc>
        <w:tc>
          <w:tcPr>
            <w:tcW w:w="5670" w:type="dxa"/>
          </w:tcPr>
          <w:p w:rsidR="00105E3B" w:rsidRPr="00743A41" w:rsidRDefault="00105E3B" w:rsidP="00A37ED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t>Public Health Ecology &amp; the Human Environment</w:t>
            </w:r>
          </w:p>
        </w:tc>
      </w:tr>
      <w:tr w:rsidR="00105E3B" w:rsidRPr="00743A41" w:rsidTr="001525ED">
        <w:tc>
          <w:tcPr>
            <w:cnfStyle w:val="001000000000" w:firstRow="0" w:lastRow="0" w:firstColumn="1" w:lastColumn="0" w:oddVBand="0" w:evenVBand="0" w:oddHBand="0" w:evenHBand="0" w:firstRowFirstColumn="0" w:firstRowLastColumn="0" w:lastRowFirstColumn="0" w:lastRowLastColumn="0"/>
            <w:tcW w:w="1710" w:type="dxa"/>
          </w:tcPr>
          <w:p w:rsidR="00105E3B" w:rsidRPr="00743A41" w:rsidRDefault="00105E3B" w:rsidP="00A37ED6">
            <w:pPr>
              <w:rPr>
                <w:rFonts w:asciiTheme="majorHAnsi" w:hAnsiTheme="majorHAnsi" w:cstheme="majorHAnsi"/>
                <w:b w:val="0"/>
                <w:sz w:val="20"/>
                <w:szCs w:val="20"/>
              </w:rPr>
            </w:pPr>
            <w:r w:rsidRPr="00743A41">
              <w:rPr>
                <w:rFonts w:asciiTheme="majorHAnsi" w:hAnsiTheme="majorHAnsi" w:cstheme="majorHAnsi"/>
                <w:sz w:val="20"/>
                <w:szCs w:val="20"/>
              </w:rPr>
              <w:t>PHM 2612L</w:t>
            </w:r>
          </w:p>
        </w:tc>
        <w:tc>
          <w:tcPr>
            <w:tcW w:w="1260" w:type="dxa"/>
          </w:tcPr>
          <w:p w:rsidR="00105E3B" w:rsidRPr="00743A41" w:rsidRDefault="00105E3B" w:rsidP="00A37ED6">
            <w:pPr>
              <w:tabs>
                <w:tab w:val="center" w:pos="264"/>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t>3</w:t>
            </w:r>
          </w:p>
        </w:tc>
        <w:tc>
          <w:tcPr>
            <w:tcW w:w="5670" w:type="dxa"/>
          </w:tcPr>
          <w:p w:rsidR="00105E3B" w:rsidRPr="00743A41" w:rsidRDefault="00105E3B" w:rsidP="00A37ED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t>Epidemiology I</w:t>
            </w:r>
          </w:p>
        </w:tc>
      </w:tr>
      <w:tr w:rsidR="00105E3B" w:rsidRPr="00743A41" w:rsidTr="00152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105E3B" w:rsidRPr="00743A41" w:rsidRDefault="00105E3B" w:rsidP="00A37ED6">
            <w:pPr>
              <w:rPr>
                <w:rFonts w:asciiTheme="majorHAnsi" w:hAnsiTheme="majorHAnsi" w:cstheme="majorHAnsi"/>
                <w:b w:val="0"/>
                <w:sz w:val="20"/>
                <w:szCs w:val="20"/>
              </w:rPr>
            </w:pPr>
            <w:r w:rsidRPr="00743A41">
              <w:rPr>
                <w:rFonts w:asciiTheme="majorHAnsi" w:hAnsiTheme="majorHAnsi" w:cstheme="majorHAnsi"/>
                <w:sz w:val="20"/>
                <w:szCs w:val="20"/>
              </w:rPr>
              <w:t>PHM 3715L</w:t>
            </w:r>
          </w:p>
        </w:tc>
        <w:tc>
          <w:tcPr>
            <w:tcW w:w="1260" w:type="dxa"/>
          </w:tcPr>
          <w:p w:rsidR="00105E3B" w:rsidRPr="00743A41" w:rsidRDefault="00105E3B" w:rsidP="00A37ED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t>3</w:t>
            </w:r>
          </w:p>
        </w:tc>
        <w:tc>
          <w:tcPr>
            <w:tcW w:w="5670" w:type="dxa"/>
          </w:tcPr>
          <w:p w:rsidR="00105E3B" w:rsidRPr="00743A41" w:rsidRDefault="00105E3B" w:rsidP="00A37ED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t>Management and Policy Concepts in Public Health</w:t>
            </w:r>
          </w:p>
        </w:tc>
      </w:tr>
      <w:tr w:rsidR="00105E3B" w:rsidRPr="00743A41" w:rsidTr="001525ED">
        <w:tc>
          <w:tcPr>
            <w:cnfStyle w:val="001000000000" w:firstRow="0" w:lastRow="0" w:firstColumn="1" w:lastColumn="0" w:oddVBand="0" w:evenVBand="0" w:oddHBand="0" w:evenHBand="0" w:firstRowFirstColumn="0" w:firstRowLastColumn="0" w:lastRowFirstColumn="0" w:lastRowLastColumn="0"/>
            <w:tcW w:w="1710" w:type="dxa"/>
          </w:tcPr>
          <w:p w:rsidR="00105E3B" w:rsidRPr="00743A41" w:rsidRDefault="00105E3B" w:rsidP="00A37ED6">
            <w:pPr>
              <w:rPr>
                <w:rFonts w:asciiTheme="majorHAnsi" w:hAnsiTheme="majorHAnsi" w:cstheme="majorHAnsi"/>
                <w:b w:val="0"/>
                <w:sz w:val="20"/>
                <w:szCs w:val="20"/>
              </w:rPr>
            </w:pPr>
            <w:r w:rsidRPr="00743A41">
              <w:rPr>
                <w:rFonts w:asciiTheme="majorHAnsi" w:hAnsiTheme="majorHAnsi" w:cstheme="majorHAnsi"/>
                <w:sz w:val="20"/>
                <w:szCs w:val="20"/>
              </w:rPr>
              <w:t>PHM 5015L</w:t>
            </w:r>
          </w:p>
        </w:tc>
        <w:tc>
          <w:tcPr>
            <w:tcW w:w="1260" w:type="dxa"/>
          </w:tcPr>
          <w:p w:rsidR="00105E3B" w:rsidRPr="00743A41" w:rsidRDefault="00105E3B" w:rsidP="00A37ED6">
            <w:pPr>
              <w:tabs>
                <w:tab w:val="left" w:pos="208"/>
                <w:tab w:val="center" w:pos="264"/>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t>2</w:t>
            </w:r>
          </w:p>
        </w:tc>
        <w:tc>
          <w:tcPr>
            <w:tcW w:w="5670" w:type="dxa"/>
          </w:tcPr>
          <w:p w:rsidR="00105E3B" w:rsidRPr="00743A41" w:rsidRDefault="00105E3B" w:rsidP="00A37ED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43A41">
              <w:rPr>
                <w:rFonts w:asciiTheme="majorHAnsi" w:hAnsiTheme="majorHAnsi" w:cstheme="majorHAnsi"/>
                <w:sz w:val="20"/>
                <w:szCs w:val="20"/>
              </w:rPr>
              <w:t>Introduction to Qualitative Research in Public Health</w:t>
            </w:r>
          </w:p>
        </w:tc>
      </w:tr>
    </w:tbl>
    <w:p w:rsidR="00105E3B" w:rsidRPr="00743A41" w:rsidRDefault="00105E3B" w:rsidP="00A37ED6">
      <w:pPr>
        <w:shd w:val="clear" w:color="auto" w:fill="FFFFFF"/>
        <w:ind w:left="720"/>
        <w:jc w:val="both"/>
        <w:rPr>
          <w:rFonts w:asciiTheme="majorHAnsi" w:eastAsia="Arial Unicode MS" w:hAnsiTheme="majorHAnsi" w:cstheme="majorHAnsi"/>
          <w:sz w:val="20"/>
          <w:szCs w:val="20"/>
        </w:rPr>
      </w:pPr>
    </w:p>
    <w:p w:rsidR="00DF33C8" w:rsidRPr="00F36007" w:rsidRDefault="00DF33C8" w:rsidP="00A37ED6">
      <w:pPr>
        <w:shd w:val="clear" w:color="auto" w:fill="FFFFFF"/>
        <w:ind w:left="720"/>
        <w:jc w:val="both"/>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rPr>
        <w:t>The specific requirements for each MPH concentration can be found in the degree planners located in the electronic resource file (</w:t>
      </w:r>
      <w:r w:rsidR="00417DE3" w:rsidRPr="00F36007">
        <w:rPr>
          <w:rFonts w:asciiTheme="majorHAnsi" w:eastAsia="Arial Unicode MS" w:hAnsiTheme="majorHAnsi" w:cstheme="majorHAnsi"/>
          <w:i/>
          <w:sz w:val="20"/>
          <w:szCs w:val="20"/>
        </w:rPr>
        <w:t xml:space="preserve">ERF, </w:t>
      </w:r>
      <w:r w:rsidR="00417DE3" w:rsidRPr="00F36007">
        <w:rPr>
          <w:rFonts w:asciiTheme="majorHAnsi" w:hAnsiTheme="majorHAnsi" w:cstheme="majorHAnsi"/>
          <w:i/>
          <w:sz w:val="20"/>
          <w:szCs w:val="20"/>
        </w:rPr>
        <w:t>D2.1. Requirements for MPH Degrees</w:t>
      </w:r>
      <w:r w:rsidRPr="00F36007">
        <w:rPr>
          <w:rFonts w:asciiTheme="majorHAnsi" w:eastAsia="Arial Unicode MS" w:hAnsiTheme="majorHAnsi" w:cstheme="majorHAnsi"/>
          <w:sz w:val="20"/>
          <w:szCs w:val="20"/>
        </w:rPr>
        <w:t>).</w:t>
      </w:r>
    </w:p>
    <w:p w:rsidR="00DF33C8" w:rsidRPr="00F36007" w:rsidRDefault="00DF33C8" w:rsidP="00A37ED6">
      <w:pPr>
        <w:shd w:val="clear" w:color="auto" w:fill="FFFFFF"/>
        <w:ind w:left="720"/>
        <w:jc w:val="both"/>
        <w:rPr>
          <w:rFonts w:asciiTheme="majorHAnsi" w:eastAsia="Arial Unicode MS" w:hAnsiTheme="majorHAnsi" w:cstheme="majorHAnsi"/>
          <w:sz w:val="20"/>
          <w:szCs w:val="20"/>
        </w:rPr>
      </w:pPr>
    </w:p>
    <w:p w:rsidR="00933038" w:rsidRPr="00F36007" w:rsidRDefault="002A53B5" w:rsidP="00A37ED6">
      <w:pPr>
        <w:shd w:val="clear" w:color="auto" w:fill="FFFFFF"/>
        <w:ind w:left="1080" w:hanging="360"/>
        <w:rPr>
          <w:rFonts w:asciiTheme="majorHAnsi" w:eastAsia="Arial Unicode MS" w:hAnsiTheme="majorHAnsi" w:cstheme="majorHAnsi"/>
          <w:sz w:val="20"/>
          <w:szCs w:val="20"/>
        </w:rPr>
      </w:pPr>
      <w:r w:rsidRPr="00F36007">
        <w:rPr>
          <w:rFonts w:asciiTheme="majorHAnsi" w:eastAsia="Arial Unicode MS" w:hAnsiTheme="majorHAnsi" w:cstheme="majorHAnsi"/>
          <w:sz w:val="20"/>
          <w:szCs w:val="20"/>
        </w:rPr>
        <w:t>Associated documents in the electronic resource file:</w:t>
      </w:r>
    </w:p>
    <w:p w:rsidR="00417DE3" w:rsidRPr="00F36007" w:rsidRDefault="00417DE3" w:rsidP="00FC4AEF">
      <w:pPr>
        <w:pStyle w:val="ListParagraph"/>
        <w:numPr>
          <w:ilvl w:val="0"/>
          <w:numId w:val="138"/>
        </w:numPr>
        <w:shd w:val="clear" w:color="auto" w:fill="FFFFFF"/>
        <w:rPr>
          <w:rFonts w:asciiTheme="majorHAnsi" w:eastAsia="Arial Unicode MS" w:hAnsiTheme="majorHAnsi" w:cstheme="majorHAnsi"/>
          <w:i/>
          <w:szCs w:val="20"/>
        </w:rPr>
      </w:pPr>
      <w:r w:rsidRPr="00F36007">
        <w:rPr>
          <w:rFonts w:asciiTheme="majorHAnsi" w:eastAsia="Arial Unicode MS" w:hAnsiTheme="majorHAnsi" w:cstheme="majorHAnsi"/>
          <w:i/>
          <w:szCs w:val="20"/>
        </w:rPr>
        <w:t>D2.1 Requirements for MPH Degrees</w:t>
      </w:r>
    </w:p>
    <w:p w:rsidR="00417DE3" w:rsidRPr="00F36007" w:rsidRDefault="00417DE3" w:rsidP="00FC4AEF">
      <w:pPr>
        <w:pStyle w:val="ListParagraph"/>
        <w:numPr>
          <w:ilvl w:val="1"/>
          <w:numId w:val="130"/>
        </w:numPr>
        <w:jc w:val="both"/>
        <w:rPr>
          <w:rFonts w:asciiTheme="majorHAnsi" w:eastAsia="Arial Unicode MS" w:hAnsiTheme="majorHAnsi" w:cstheme="majorHAnsi"/>
          <w:i/>
          <w:szCs w:val="20"/>
        </w:rPr>
      </w:pPr>
      <w:r w:rsidRPr="00F36007">
        <w:rPr>
          <w:rFonts w:asciiTheme="majorHAnsi" w:eastAsia="Arial Unicode MS" w:hAnsiTheme="majorHAnsi" w:cstheme="majorHAnsi"/>
          <w:i/>
          <w:szCs w:val="20"/>
        </w:rPr>
        <w:t>MPH in Community Health Practice, Degree Planner</w:t>
      </w:r>
    </w:p>
    <w:p w:rsidR="008D3257" w:rsidRPr="00F36007" w:rsidRDefault="008D3257" w:rsidP="00FC4AEF">
      <w:pPr>
        <w:pStyle w:val="ListParagraph"/>
        <w:numPr>
          <w:ilvl w:val="1"/>
          <w:numId w:val="130"/>
        </w:numPr>
        <w:jc w:val="both"/>
        <w:rPr>
          <w:rFonts w:asciiTheme="majorHAnsi" w:eastAsia="Arial Unicode MS" w:hAnsiTheme="majorHAnsi" w:cstheme="majorHAnsi"/>
          <w:i/>
          <w:szCs w:val="20"/>
        </w:rPr>
      </w:pPr>
      <w:r w:rsidRPr="00F36007">
        <w:rPr>
          <w:rFonts w:asciiTheme="majorHAnsi" w:eastAsia="Arial Unicode MS" w:hAnsiTheme="majorHAnsi" w:cstheme="majorHAnsi"/>
          <w:i/>
          <w:szCs w:val="20"/>
        </w:rPr>
        <w:t>MPH Customized, Degree Planner</w:t>
      </w:r>
    </w:p>
    <w:p w:rsidR="008D3257" w:rsidRPr="00F36007" w:rsidRDefault="008D3257" w:rsidP="00FC4AEF">
      <w:pPr>
        <w:pStyle w:val="ListParagraph"/>
        <w:numPr>
          <w:ilvl w:val="1"/>
          <w:numId w:val="130"/>
        </w:numPr>
        <w:jc w:val="both"/>
        <w:rPr>
          <w:rFonts w:asciiTheme="majorHAnsi" w:eastAsia="Arial Unicode MS" w:hAnsiTheme="majorHAnsi" w:cstheme="majorHAnsi"/>
          <w:i/>
          <w:szCs w:val="20"/>
        </w:rPr>
      </w:pPr>
      <w:r w:rsidRPr="00F36007">
        <w:rPr>
          <w:rFonts w:asciiTheme="majorHAnsi" w:eastAsia="Arial Unicode MS" w:hAnsiTheme="majorHAnsi" w:cstheme="majorHAnsi"/>
          <w:i/>
          <w:szCs w:val="20"/>
        </w:rPr>
        <w:t>MPH in Environmental Health, Degree Planner</w:t>
      </w:r>
    </w:p>
    <w:p w:rsidR="008D3257" w:rsidRPr="00F36007" w:rsidRDefault="008D3257" w:rsidP="00FC4AEF">
      <w:pPr>
        <w:pStyle w:val="ListParagraph"/>
        <w:numPr>
          <w:ilvl w:val="1"/>
          <w:numId w:val="130"/>
        </w:numPr>
        <w:jc w:val="both"/>
        <w:rPr>
          <w:rFonts w:asciiTheme="majorHAnsi" w:eastAsia="Arial Unicode MS" w:hAnsiTheme="majorHAnsi" w:cstheme="majorHAnsi"/>
          <w:i/>
          <w:szCs w:val="20"/>
        </w:rPr>
      </w:pPr>
      <w:r w:rsidRPr="00F36007">
        <w:rPr>
          <w:rFonts w:asciiTheme="majorHAnsi" w:eastAsia="Arial Unicode MS" w:hAnsiTheme="majorHAnsi" w:cstheme="majorHAnsi"/>
          <w:i/>
          <w:szCs w:val="20"/>
        </w:rPr>
        <w:t>MPH in Epidemiology, Degree Planner</w:t>
      </w:r>
    </w:p>
    <w:p w:rsidR="008D3257" w:rsidRPr="00F36007" w:rsidRDefault="008D3257" w:rsidP="00FC4AEF">
      <w:pPr>
        <w:pStyle w:val="ListParagraph"/>
        <w:numPr>
          <w:ilvl w:val="1"/>
          <w:numId w:val="130"/>
        </w:numPr>
        <w:jc w:val="both"/>
        <w:rPr>
          <w:rFonts w:asciiTheme="majorHAnsi" w:eastAsia="Arial Unicode MS" w:hAnsiTheme="majorHAnsi" w:cstheme="majorHAnsi"/>
          <w:i/>
          <w:szCs w:val="20"/>
        </w:rPr>
      </w:pPr>
      <w:r w:rsidRPr="00F36007">
        <w:rPr>
          <w:rFonts w:asciiTheme="majorHAnsi" w:eastAsia="Arial Unicode MS" w:hAnsiTheme="majorHAnsi" w:cstheme="majorHAnsi"/>
          <w:i/>
          <w:szCs w:val="20"/>
        </w:rPr>
        <w:t>MPH in Health Promotion and Health Education, Degree Planner</w:t>
      </w:r>
    </w:p>
    <w:p w:rsidR="008D3257" w:rsidRPr="00F36007" w:rsidRDefault="008D3257" w:rsidP="00FC4AEF">
      <w:pPr>
        <w:pStyle w:val="ListParagraph"/>
        <w:numPr>
          <w:ilvl w:val="1"/>
          <w:numId w:val="130"/>
        </w:numPr>
        <w:jc w:val="both"/>
        <w:rPr>
          <w:rFonts w:asciiTheme="majorHAnsi" w:eastAsia="Arial Unicode MS" w:hAnsiTheme="majorHAnsi" w:cstheme="majorHAnsi"/>
          <w:i/>
          <w:szCs w:val="20"/>
        </w:rPr>
      </w:pPr>
      <w:r w:rsidRPr="00F36007">
        <w:rPr>
          <w:rFonts w:asciiTheme="majorHAnsi" w:eastAsia="Arial Unicode MS" w:hAnsiTheme="majorHAnsi" w:cstheme="majorHAnsi"/>
          <w:i/>
          <w:szCs w:val="20"/>
        </w:rPr>
        <w:t>MPH in Health Promotion and Health Education, Dietetic Internship, Degree Planner</w:t>
      </w:r>
    </w:p>
    <w:p w:rsidR="008D3257" w:rsidRPr="00F36007" w:rsidRDefault="008D3257" w:rsidP="00FC4AEF">
      <w:pPr>
        <w:pStyle w:val="ListParagraph"/>
        <w:numPr>
          <w:ilvl w:val="1"/>
          <w:numId w:val="130"/>
        </w:numPr>
        <w:jc w:val="both"/>
        <w:rPr>
          <w:rFonts w:asciiTheme="majorHAnsi" w:eastAsia="Arial Unicode MS" w:hAnsiTheme="majorHAnsi" w:cstheme="majorHAnsi"/>
          <w:i/>
          <w:szCs w:val="20"/>
        </w:rPr>
      </w:pPr>
      <w:r w:rsidRPr="00F36007">
        <w:rPr>
          <w:rFonts w:asciiTheme="majorHAnsi" w:eastAsia="Arial Unicode MS" w:hAnsiTheme="majorHAnsi" w:cstheme="majorHAnsi"/>
          <w:i/>
          <w:szCs w:val="20"/>
        </w:rPr>
        <w:t>MPH in Health Services Organization, Degree Planner</w:t>
      </w:r>
    </w:p>
    <w:p w:rsidR="008D3257" w:rsidRPr="006E28EE" w:rsidRDefault="008D3257" w:rsidP="00FC4AEF">
      <w:pPr>
        <w:pStyle w:val="ListParagraph"/>
        <w:numPr>
          <w:ilvl w:val="1"/>
          <w:numId w:val="130"/>
        </w:numPr>
        <w:jc w:val="both"/>
        <w:rPr>
          <w:rFonts w:eastAsia="Arial Unicode MS"/>
          <w:i/>
        </w:rPr>
      </w:pPr>
      <w:r w:rsidRPr="00F36007">
        <w:rPr>
          <w:rFonts w:asciiTheme="majorHAnsi" w:eastAsia="Arial Unicode MS" w:hAnsiTheme="majorHAnsi" w:cstheme="majorHAnsi"/>
          <w:i/>
          <w:szCs w:val="20"/>
        </w:rPr>
        <w:t xml:space="preserve">MPH in Healthcare Management, Degree Planner </w:t>
      </w:r>
    </w:p>
    <w:p w:rsidR="002A53B5" w:rsidRPr="00743A41" w:rsidRDefault="002A53B5" w:rsidP="00A37ED6">
      <w:pPr>
        <w:shd w:val="clear" w:color="auto" w:fill="FFFFFF"/>
        <w:ind w:left="720" w:hanging="360"/>
        <w:jc w:val="both"/>
        <w:rPr>
          <w:rFonts w:asciiTheme="majorHAnsi" w:eastAsia="Arial Unicode MS" w:hAnsiTheme="majorHAnsi" w:cstheme="majorHAnsi"/>
          <w:sz w:val="20"/>
          <w:szCs w:val="20"/>
        </w:rPr>
      </w:pPr>
    </w:p>
    <w:p w:rsidR="00933038" w:rsidRPr="00743A41" w:rsidRDefault="00933038" w:rsidP="00A37ED6">
      <w:pPr>
        <w:numPr>
          <w:ilvl w:val="0"/>
          <w:numId w:val="19"/>
        </w:numPr>
        <w:shd w:val="clear" w:color="auto" w:fill="FFFFFF"/>
        <w:jc w:val="both"/>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rPr>
        <w:t>Provide a matrix,</w:t>
      </w:r>
      <w:r w:rsidR="00F36007">
        <w:rPr>
          <w:rFonts w:asciiTheme="majorHAnsi" w:eastAsia="Arial Unicode MS" w:hAnsiTheme="majorHAnsi" w:cstheme="majorHAnsi"/>
          <w:sz w:val="20"/>
          <w:szCs w:val="20"/>
        </w:rPr>
        <w:t xml:space="preserve"> in the format of Template D2-2 </w:t>
      </w:r>
      <w:r w:rsidRPr="00743A41">
        <w:rPr>
          <w:rFonts w:asciiTheme="majorHAnsi" w:eastAsia="Arial Unicode MS" w:hAnsiTheme="majorHAnsi" w:cstheme="majorHAnsi"/>
          <w:sz w:val="20"/>
          <w:szCs w:val="20"/>
        </w:rPr>
        <w:t xml:space="preserve">that indicates the assessment activity for each of the foundational competencies. If the school addresses all of the listed foundational competencies in a single, common core curriculum, the school need only present a single matrix. If combined degree students do not complete the same core curriculum as students in the standalone MPH school, the school must present a separate matrix for each combined degree. If the school relies on concentration-specific courses to assess some of the foundational competencies listed above, the school must present a separate matrix for each concentration. </w:t>
      </w:r>
    </w:p>
    <w:p w:rsidR="00D120A9" w:rsidRPr="00743A41" w:rsidRDefault="00D120A9" w:rsidP="006E28EE">
      <w:pPr>
        <w:shd w:val="clear" w:color="auto" w:fill="FFFFFF"/>
        <w:ind w:left="720"/>
        <w:jc w:val="both"/>
        <w:rPr>
          <w:rFonts w:asciiTheme="majorHAnsi" w:eastAsia="Arial Unicode MS" w:hAnsiTheme="majorHAnsi" w:cstheme="majorHAnsi"/>
          <w:sz w:val="20"/>
          <w:szCs w:val="20"/>
        </w:rPr>
      </w:pPr>
    </w:p>
    <w:p w:rsidR="00D120A9" w:rsidRPr="00743A41" w:rsidRDefault="00D120A9" w:rsidP="006E28EE">
      <w:pPr>
        <w:shd w:val="clear" w:color="auto" w:fill="FFFFFF"/>
        <w:ind w:left="720"/>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rPr>
        <w:t xml:space="preserve">Documentation to validate didactic coverage and assessment of </w:t>
      </w:r>
      <w:r w:rsidR="00061D19" w:rsidRPr="00743A41">
        <w:rPr>
          <w:rFonts w:asciiTheme="majorHAnsi" w:eastAsia="Arial Unicode MS" w:hAnsiTheme="majorHAnsi" w:cstheme="majorHAnsi"/>
          <w:sz w:val="20"/>
          <w:szCs w:val="20"/>
        </w:rPr>
        <w:t>the MPH Foundational Competencies</w:t>
      </w:r>
      <w:r w:rsidRPr="00743A41">
        <w:rPr>
          <w:rFonts w:asciiTheme="majorHAnsi" w:eastAsia="Arial Unicode MS" w:hAnsiTheme="majorHAnsi" w:cstheme="majorHAnsi"/>
          <w:sz w:val="20"/>
          <w:szCs w:val="20"/>
        </w:rPr>
        <w:t xml:space="preserve"> </w:t>
      </w:r>
      <w:r w:rsidR="00D60DA2">
        <w:rPr>
          <w:rFonts w:asciiTheme="majorHAnsi" w:eastAsia="Arial Unicode MS" w:hAnsiTheme="majorHAnsi" w:cstheme="majorHAnsi"/>
          <w:sz w:val="20"/>
          <w:szCs w:val="20"/>
        </w:rPr>
        <w:t>is available in the electronic resource file</w:t>
      </w:r>
      <w:r w:rsidRPr="00743A41">
        <w:rPr>
          <w:rFonts w:asciiTheme="majorHAnsi" w:eastAsia="Arial Unicode MS" w:hAnsiTheme="majorHAnsi" w:cstheme="majorHAnsi"/>
          <w:sz w:val="20"/>
          <w:szCs w:val="20"/>
        </w:rPr>
        <w:t xml:space="preserve"> (</w:t>
      </w:r>
      <w:r w:rsidRPr="00743A41">
        <w:rPr>
          <w:rFonts w:asciiTheme="majorHAnsi" w:eastAsia="Arial Unicode MS" w:hAnsiTheme="majorHAnsi" w:cstheme="majorHAnsi"/>
          <w:i/>
          <w:sz w:val="20"/>
          <w:szCs w:val="20"/>
        </w:rPr>
        <w:t xml:space="preserve">ERF, </w:t>
      </w:r>
      <w:r w:rsidR="00B47F28" w:rsidRPr="00743A41">
        <w:rPr>
          <w:rFonts w:asciiTheme="majorHAnsi" w:eastAsia="Arial Unicode MS" w:hAnsiTheme="majorHAnsi" w:cstheme="majorHAnsi"/>
          <w:i/>
          <w:sz w:val="20"/>
          <w:szCs w:val="20"/>
        </w:rPr>
        <w:t>D2. MPH Foundational Competencies</w:t>
      </w:r>
      <w:r w:rsidRPr="00743A41">
        <w:rPr>
          <w:rFonts w:asciiTheme="majorHAnsi" w:eastAsia="Arial Unicode MS" w:hAnsiTheme="majorHAnsi" w:cstheme="majorHAnsi"/>
          <w:sz w:val="20"/>
          <w:szCs w:val="20"/>
        </w:rPr>
        <w:t>).</w:t>
      </w:r>
    </w:p>
    <w:p w:rsidR="00853D6B" w:rsidRPr="00743A41" w:rsidRDefault="00853D6B" w:rsidP="00A37ED6">
      <w:pPr>
        <w:rPr>
          <w:rFonts w:asciiTheme="majorHAnsi" w:eastAsia="Arial" w:hAnsiTheme="majorHAnsi" w:cstheme="majorHAnsi"/>
          <w:sz w:val="20"/>
          <w:szCs w:val="20"/>
        </w:rPr>
      </w:pPr>
    </w:p>
    <w:p w:rsidR="007B2DC1" w:rsidRPr="00743A41" w:rsidRDefault="00CE5676" w:rsidP="006E28EE">
      <w:pPr>
        <w:shd w:val="clear" w:color="auto" w:fill="FFFFFF"/>
        <w:ind w:left="720"/>
        <w:rPr>
          <w:rStyle w:val="Hyperlink"/>
          <w:rFonts w:asciiTheme="majorHAnsi" w:eastAsia="Arial" w:hAnsiTheme="majorHAnsi" w:cstheme="majorHAnsi"/>
          <w:sz w:val="20"/>
          <w:szCs w:val="20"/>
        </w:rPr>
      </w:pPr>
      <w:r>
        <w:rPr>
          <w:rFonts w:asciiTheme="majorHAnsi" w:hAnsiTheme="majorHAnsi" w:cstheme="majorHAnsi"/>
          <w:sz w:val="20"/>
          <w:szCs w:val="20"/>
        </w:rPr>
        <w:t xml:space="preserve">Table D.2.2. </w:t>
      </w:r>
      <w:r w:rsidR="00D77040" w:rsidRPr="00F36007">
        <w:rPr>
          <w:rFonts w:asciiTheme="majorHAnsi" w:hAnsiTheme="majorHAnsi" w:cstheme="majorHAnsi"/>
          <w:sz w:val="20"/>
          <w:szCs w:val="20"/>
        </w:rPr>
        <w:t xml:space="preserve">Assessment of MPH Foundational Competencies for all MPH Concentrations </w:t>
      </w:r>
      <w:r w:rsidR="00D77040" w:rsidRPr="00F36007">
        <w:rPr>
          <w:rFonts w:asciiTheme="majorHAnsi" w:eastAsia="Arial" w:hAnsiTheme="majorHAnsi" w:cstheme="majorHAnsi"/>
          <w:sz w:val="20"/>
          <w:szCs w:val="20"/>
        </w:rPr>
        <w:t>(</w:t>
      </w:r>
      <w:r w:rsidR="00D77040" w:rsidRPr="006E28EE">
        <w:rPr>
          <w:rFonts w:asciiTheme="majorHAnsi" w:eastAsia="Arial" w:hAnsiTheme="majorHAnsi" w:cstheme="majorHAnsi"/>
          <w:i/>
          <w:sz w:val="20"/>
          <w:szCs w:val="20"/>
        </w:rPr>
        <w:t>ERF, D2. MPH Foundational Competencies</w:t>
      </w:r>
      <w:r w:rsidR="00D77040" w:rsidRPr="00743A41">
        <w:rPr>
          <w:rFonts w:asciiTheme="majorHAnsi" w:eastAsia="Arial" w:hAnsiTheme="majorHAnsi" w:cstheme="majorHAnsi"/>
          <w:sz w:val="20"/>
          <w:szCs w:val="20"/>
        </w:rPr>
        <w:t>)</w:t>
      </w:r>
    </w:p>
    <w:tbl>
      <w:tblPr>
        <w:tblW w:w="4668"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891"/>
        <w:gridCol w:w="4859"/>
      </w:tblGrid>
      <w:tr w:rsidR="00562E73" w:rsidRPr="00F36007" w:rsidTr="006E28EE">
        <w:trPr>
          <w:cantSplit/>
          <w:trHeight w:val="315"/>
          <w:tblHeader/>
        </w:trPr>
        <w:tc>
          <w:tcPr>
            <w:tcW w:w="1134" w:type="pct"/>
            <w:shd w:val="clear" w:color="000000" w:fill="D9D9D9"/>
            <w:tcMar>
              <w:left w:w="29" w:type="dxa"/>
              <w:right w:w="29" w:type="dxa"/>
            </w:tcMar>
          </w:tcPr>
          <w:p w:rsidR="007B2DC1" w:rsidRPr="00F36007" w:rsidRDefault="007B2DC1" w:rsidP="00A37ED6">
            <w:pPr>
              <w:jc w:val="center"/>
              <w:rPr>
                <w:rFonts w:asciiTheme="majorHAnsi" w:eastAsia="Times New Roman" w:hAnsiTheme="majorHAnsi" w:cstheme="majorHAnsi"/>
                <w:b/>
                <w:bCs/>
                <w:color w:val="000000"/>
                <w:sz w:val="20"/>
                <w:szCs w:val="20"/>
              </w:rPr>
            </w:pPr>
            <w:r w:rsidRPr="00F36007">
              <w:rPr>
                <w:rFonts w:asciiTheme="majorHAnsi" w:eastAsia="Times New Roman" w:hAnsiTheme="majorHAnsi" w:cstheme="majorHAnsi"/>
                <w:b/>
                <w:bCs/>
                <w:color w:val="000000"/>
                <w:sz w:val="20"/>
                <w:szCs w:val="20"/>
              </w:rPr>
              <w:t>Competency</w:t>
            </w:r>
          </w:p>
        </w:tc>
        <w:tc>
          <w:tcPr>
            <w:tcW w:w="1083" w:type="pct"/>
            <w:shd w:val="clear" w:color="000000" w:fill="D9D9D9"/>
            <w:tcMar>
              <w:left w:w="29" w:type="dxa"/>
              <w:right w:w="29" w:type="dxa"/>
            </w:tcMar>
          </w:tcPr>
          <w:p w:rsidR="007B2DC1" w:rsidRPr="00F36007" w:rsidRDefault="007B2DC1" w:rsidP="00A37ED6">
            <w:pPr>
              <w:jc w:val="center"/>
              <w:rPr>
                <w:rFonts w:asciiTheme="majorHAnsi" w:eastAsia="Times New Roman" w:hAnsiTheme="majorHAnsi" w:cstheme="majorHAnsi"/>
                <w:b/>
                <w:bCs/>
                <w:color w:val="000000"/>
                <w:sz w:val="20"/>
                <w:szCs w:val="20"/>
              </w:rPr>
            </w:pPr>
            <w:r w:rsidRPr="00F36007">
              <w:rPr>
                <w:rFonts w:asciiTheme="majorHAnsi" w:eastAsia="Times New Roman" w:hAnsiTheme="majorHAnsi" w:cstheme="majorHAnsi"/>
                <w:b/>
                <w:bCs/>
                <w:color w:val="000000"/>
                <w:sz w:val="20"/>
                <w:szCs w:val="20"/>
              </w:rPr>
              <w:t>Course number(s) and name(s)</w:t>
            </w:r>
          </w:p>
        </w:tc>
        <w:tc>
          <w:tcPr>
            <w:tcW w:w="2783" w:type="pct"/>
            <w:shd w:val="clear" w:color="000000" w:fill="D9D9D9"/>
            <w:tcMar>
              <w:left w:w="29" w:type="dxa"/>
              <w:right w:w="29" w:type="dxa"/>
            </w:tcMar>
          </w:tcPr>
          <w:p w:rsidR="007B2DC1" w:rsidRPr="00F36007" w:rsidRDefault="007B2DC1" w:rsidP="00A37ED6">
            <w:pPr>
              <w:jc w:val="center"/>
              <w:rPr>
                <w:rFonts w:asciiTheme="majorHAnsi" w:eastAsia="Times New Roman" w:hAnsiTheme="majorHAnsi" w:cstheme="majorHAnsi"/>
                <w:b/>
                <w:bCs/>
                <w:color w:val="000000"/>
                <w:sz w:val="20"/>
                <w:szCs w:val="20"/>
              </w:rPr>
            </w:pPr>
            <w:r w:rsidRPr="00F36007">
              <w:rPr>
                <w:rFonts w:asciiTheme="majorHAnsi" w:eastAsia="Times New Roman" w:hAnsiTheme="majorHAnsi" w:cstheme="majorHAnsi"/>
                <w:b/>
                <w:bCs/>
                <w:color w:val="000000"/>
                <w:sz w:val="20"/>
                <w:szCs w:val="20"/>
              </w:rPr>
              <w:t>Specific assessment opportunity</w:t>
            </w:r>
          </w:p>
        </w:tc>
      </w:tr>
      <w:tr w:rsidR="007B2DC1" w:rsidRPr="00F36007" w:rsidTr="00DE072A">
        <w:trPr>
          <w:cantSplit/>
          <w:trHeight w:val="70"/>
        </w:trPr>
        <w:tc>
          <w:tcPr>
            <w:tcW w:w="5000" w:type="pct"/>
            <w:gridSpan w:val="3"/>
            <w:shd w:val="clear" w:color="000000" w:fill="D9D9D9"/>
            <w:noWrap/>
            <w:tcMar>
              <w:left w:w="29" w:type="dxa"/>
              <w:right w:w="29" w:type="dxa"/>
            </w:tcMar>
            <w:hideMark/>
          </w:tcPr>
          <w:p w:rsidR="007B2DC1" w:rsidRPr="00F36007" w:rsidRDefault="007B2DC1" w:rsidP="00A37ED6">
            <w:pPr>
              <w:jc w:val="both"/>
              <w:rPr>
                <w:rFonts w:asciiTheme="majorHAnsi" w:eastAsia="Times New Roman" w:hAnsiTheme="majorHAnsi" w:cstheme="majorHAnsi"/>
                <w:b/>
                <w:bCs/>
                <w:color w:val="000000"/>
                <w:sz w:val="20"/>
                <w:szCs w:val="20"/>
              </w:rPr>
            </w:pPr>
            <w:r w:rsidRPr="00F36007">
              <w:rPr>
                <w:rFonts w:asciiTheme="majorHAnsi" w:eastAsia="Times New Roman" w:hAnsiTheme="majorHAnsi" w:cstheme="majorHAnsi"/>
                <w:b/>
                <w:bCs/>
                <w:color w:val="000000"/>
                <w:sz w:val="20"/>
                <w:szCs w:val="20"/>
              </w:rPr>
              <w:t>Evidence-based Approaches to Public Health</w:t>
            </w:r>
          </w:p>
        </w:tc>
      </w:tr>
      <w:tr w:rsidR="00562E73" w:rsidRPr="00F36007" w:rsidTr="006E28EE">
        <w:trPr>
          <w:cantSplit/>
          <w:trHeight w:val="510"/>
        </w:trPr>
        <w:tc>
          <w:tcPr>
            <w:tcW w:w="1134" w:type="pct"/>
            <w:shd w:val="clear" w:color="auto" w:fill="auto"/>
            <w:tcMar>
              <w:left w:w="29" w:type="dxa"/>
              <w:right w:w="29" w:type="dxa"/>
            </w:tcMar>
            <w:hideMark/>
          </w:tcPr>
          <w:p w:rsidR="007B2DC1" w:rsidRPr="00F36007" w:rsidRDefault="007B2DC1" w:rsidP="00A37ED6">
            <w:pPr>
              <w:rPr>
                <w:rFonts w:asciiTheme="majorHAnsi" w:eastAsia="Times New Roman" w:hAnsiTheme="majorHAnsi" w:cstheme="majorHAnsi"/>
                <w:color w:val="000000"/>
                <w:sz w:val="20"/>
                <w:szCs w:val="20"/>
              </w:rPr>
            </w:pPr>
            <w:r w:rsidRPr="00F36007">
              <w:rPr>
                <w:rFonts w:asciiTheme="majorHAnsi" w:eastAsia="Times New Roman" w:hAnsiTheme="majorHAnsi" w:cstheme="majorHAnsi"/>
                <w:color w:val="000000"/>
                <w:sz w:val="20"/>
                <w:szCs w:val="20"/>
              </w:rPr>
              <w:t>MPH-1. Apply epidemiological methods to the breadth of settings and situations in public health practice</w:t>
            </w:r>
          </w:p>
        </w:tc>
        <w:tc>
          <w:tcPr>
            <w:tcW w:w="1083" w:type="pct"/>
            <w:shd w:val="clear" w:color="auto" w:fill="auto"/>
            <w:tcMar>
              <w:left w:w="29" w:type="dxa"/>
              <w:right w:w="29" w:type="dxa"/>
            </w:tcMar>
            <w:hideMark/>
          </w:tcPr>
          <w:p w:rsidR="007B2DC1" w:rsidRPr="00F36007" w:rsidRDefault="00DE38DA" w:rsidP="00FC4AEF">
            <w:pPr>
              <w:rPr>
                <w:rFonts w:asciiTheme="majorHAnsi" w:eastAsia="Times New Roman" w:hAnsiTheme="majorHAnsi" w:cstheme="majorHAnsi"/>
                <w:color w:val="000000"/>
                <w:sz w:val="20"/>
                <w:szCs w:val="20"/>
              </w:rPr>
            </w:pPr>
            <w:r w:rsidRPr="00740AE3">
              <w:rPr>
                <w:rFonts w:asciiTheme="majorHAnsi" w:hAnsiTheme="majorHAnsi" w:cstheme="majorHAnsi"/>
                <w:b/>
                <w:sz w:val="20"/>
                <w:szCs w:val="20"/>
              </w:rPr>
              <w:t>PHM 2612</w:t>
            </w:r>
            <w:r w:rsidRPr="00F36007">
              <w:rPr>
                <w:rFonts w:asciiTheme="majorHAnsi" w:hAnsiTheme="majorHAnsi" w:cstheme="majorHAnsi"/>
                <w:sz w:val="20"/>
                <w:szCs w:val="20"/>
              </w:rPr>
              <w:t xml:space="preserve"> Epidemiology I</w:t>
            </w:r>
            <w:r w:rsidR="004922F8" w:rsidRPr="00F36007" w:rsidDel="004F694A">
              <w:rPr>
                <w:rFonts w:asciiTheme="majorHAnsi" w:eastAsia="Times New Roman" w:hAnsiTheme="majorHAnsi" w:cstheme="majorHAnsi"/>
                <w:b/>
                <w:color w:val="000000"/>
                <w:sz w:val="20"/>
                <w:szCs w:val="20"/>
              </w:rPr>
              <w:t xml:space="preserve"> </w:t>
            </w:r>
          </w:p>
        </w:tc>
        <w:tc>
          <w:tcPr>
            <w:tcW w:w="2783" w:type="pct"/>
            <w:shd w:val="clear" w:color="auto" w:fill="auto"/>
            <w:tcMar>
              <w:left w:w="29" w:type="dxa"/>
              <w:right w:w="29" w:type="dxa"/>
            </w:tcMar>
            <w:hideMark/>
          </w:tcPr>
          <w:p w:rsidR="00C273E7" w:rsidRPr="00F36007" w:rsidRDefault="00DE38DA" w:rsidP="00A37ED6">
            <w:pPr>
              <w:rPr>
                <w:rFonts w:asciiTheme="majorHAnsi" w:hAnsiTheme="majorHAnsi" w:cstheme="majorHAnsi"/>
                <w:color w:val="000000"/>
                <w:sz w:val="20"/>
                <w:szCs w:val="20"/>
              </w:rPr>
            </w:pPr>
            <w:r w:rsidRPr="00F36007">
              <w:rPr>
                <w:rFonts w:asciiTheme="majorHAnsi" w:hAnsiTheme="majorHAnsi" w:cstheme="majorHAnsi"/>
                <w:sz w:val="20"/>
                <w:szCs w:val="20"/>
              </w:rPr>
              <w:t>Course Homework Assignments, Quizzes, Midterm Exam, and Final Exam</w:t>
            </w:r>
            <w:r w:rsidR="00C273E7" w:rsidRPr="00F36007">
              <w:rPr>
                <w:rFonts w:asciiTheme="majorHAnsi" w:hAnsiTheme="majorHAnsi" w:cstheme="majorHAnsi"/>
                <w:color w:val="000000"/>
                <w:sz w:val="20"/>
                <w:szCs w:val="20"/>
              </w:rPr>
              <w:t>: Students complete a number of homework assignments and in-class quizzes</w:t>
            </w:r>
            <w:r w:rsidR="00686F20" w:rsidRPr="00F36007">
              <w:rPr>
                <w:rFonts w:asciiTheme="majorHAnsi" w:hAnsiTheme="majorHAnsi" w:cstheme="majorHAnsi"/>
                <w:color w:val="000000"/>
                <w:sz w:val="20"/>
                <w:szCs w:val="20"/>
              </w:rPr>
              <w:t>, as well as a midterm and final exam,</w:t>
            </w:r>
            <w:r w:rsidR="00C273E7" w:rsidRPr="00F36007">
              <w:rPr>
                <w:rFonts w:asciiTheme="majorHAnsi" w:hAnsiTheme="majorHAnsi" w:cstheme="majorHAnsi"/>
                <w:color w:val="000000"/>
                <w:sz w:val="20"/>
                <w:szCs w:val="20"/>
              </w:rPr>
              <w:t xml:space="preserve"> in which they apply epidemiological methods to a breadth of settings and situations in public health. </w:t>
            </w:r>
          </w:p>
          <w:p w:rsidR="007B2DC1" w:rsidRPr="00F36007" w:rsidRDefault="007B2DC1" w:rsidP="00A37ED6">
            <w:pPr>
              <w:rPr>
                <w:rFonts w:asciiTheme="majorHAnsi" w:eastAsia="Times New Roman" w:hAnsiTheme="majorHAnsi" w:cstheme="majorHAnsi"/>
                <w:i/>
                <w:color w:val="000000"/>
                <w:sz w:val="20"/>
                <w:szCs w:val="20"/>
              </w:rPr>
            </w:pPr>
          </w:p>
        </w:tc>
      </w:tr>
      <w:tr w:rsidR="00562E73" w:rsidRPr="00F36007" w:rsidTr="006E28EE">
        <w:trPr>
          <w:cantSplit/>
          <w:trHeight w:val="471"/>
        </w:trPr>
        <w:tc>
          <w:tcPr>
            <w:tcW w:w="1134" w:type="pct"/>
            <w:vMerge w:val="restart"/>
            <w:shd w:val="clear" w:color="auto" w:fill="auto"/>
            <w:tcMar>
              <w:left w:w="29" w:type="dxa"/>
              <w:right w:w="29" w:type="dxa"/>
            </w:tcMar>
            <w:hideMark/>
          </w:tcPr>
          <w:p w:rsidR="007B2DC1" w:rsidRPr="00F36007" w:rsidRDefault="007B2DC1" w:rsidP="00A37ED6">
            <w:pPr>
              <w:rPr>
                <w:rFonts w:asciiTheme="majorHAnsi" w:eastAsia="Times New Roman" w:hAnsiTheme="majorHAnsi" w:cstheme="majorHAnsi"/>
                <w:color w:val="000000"/>
                <w:sz w:val="20"/>
                <w:szCs w:val="20"/>
              </w:rPr>
            </w:pPr>
            <w:r w:rsidRPr="00F36007">
              <w:rPr>
                <w:rFonts w:asciiTheme="majorHAnsi" w:eastAsia="Times New Roman" w:hAnsiTheme="majorHAnsi" w:cstheme="majorHAnsi"/>
                <w:color w:val="000000"/>
                <w:sz w:val="20"/>
                <w:szCs w:val="20"/>
              </w:rPr>
              <w:t>MPH-2. Select quantitative and qualitative data collection methods appropriate for a given public health context</w:t>
            </w:r>
          </w:p>
        </w:tc>
        <w:tc>
          <w:tcPr>
            <w:tcW w:w="1083" w:type="pct"/>
            <w:shd w:val="clear" w:color="auto" w:fill="auto"/>
            <w:tcMar>
              <w:left w:w="29" w:type="dxa"/>
              <w:right w:w="29" w:type="dxa"/>
            </w:tcMar>
          </w:tcPr>
          <w:p w:rsidR="007B2DC1" w:rsidRPr="00F36007" w:rsidRDefault="00DE38DA" w:rsidP="00FC4AEF">
            <w:pPr>
              <w:rPr>
                <w:rFonts w:asciiTheme="majorHAnsi" w:eastAsia="Times New Roman" w:hAnsiTheme="majorHAnsi" w:cstheme="majorHAnsi"/>
                <w:i/>
                <w:color w:val="000000"/>
                <w:sz w:val="20"/>
                <w:szCs w:val="20"/>
              </w:rPr>
            </w:pPr>
            <w:r w:rsidRPr="00740AE3">
              <w:rPr>
                <w:rFonts w:asciiTheme="majorHAnsi" w:hAnsiTheme="majorHAnsi" w:cstheme="majorHAnsi"/>
                <w:b/>
                <w:sz w:val="20"/>
                <w:szCs w:val="20"/>
              </w:rPr>
              <w:t>PHM 5015</w:t>
            </w:r>
            <w:r w:rsidRPr="00F36007">
              <w:rPr>
                <w:rFonts w:asciiTheme="majorHAnsi" w:hAnsiTheme="majorHAnsi" w:cstheme="majorHAnsi"/>
                <w:sz w:val="20"/>
                <w:szCs w:val="20"/>
              </w:rPr>
              <w:t xml:space="preserve"> Introduction to Qualitative Research in Public Health</w:t>
            </w:r>
            <w:r w:rsidR="007B2DC1" w:rsidRPr="00F36007">
              <w:rPr>
                <w:rFonts w:asciiTheme="majorHAnsi" w:eastAsia="Times New Roman" w:hAnsiTheme="majorHAnsi" w:cstheme="majorHAnsi"/>
                <w:color w:val="000000"/>
                <w:sz w:val="20"/>
                <w:szCs w:val="20"/>
              </w:rPr>
              <w:t xml:space="preserve"> </w:t>
            </w:r>
            <w:r w:rsidR="007B2DC1" w:rsidRPr="00F36007">
              <w:rPr>
                <w:rFonts w:asciiTheme="majorHAnsi" w:eastAsia="Times New Roman" w:hAnsiTheme="majorHAnsi" w:cstheme="majorHAnsi"/>
                <w:i/>
                <w:color w:val="000000"/>
                <w:sz w:val="20"/>
                <w:szCs w:val="20"/>
              </w:rPr>
              <w:t>(Qualitative)</w:t>
            </w:r>
            <w:r w:rsidR="00E376B9" w:rsidRPr="00F36007">
              <w:rPr>
                <w:rFonts w:asciiTheme="majorHAnsi" w:eastAsia="Times New Roman" w:hAnsiTheme="majorHAnsi" w:cstheme="majorHAnsi"/>
                <w:i/>
                <w:color w:val="000000"/>
                <w:sz w:val="20"/>
                <w:szCs w:val="20"/>
              </w:rPr>
              <w:t xml:space="preserve"> </w:t>
            </w:r>
          </w:p>
        </w:tc>
        <w:tc>
          <w:tcPr>
            <w:tcW w:w="2783" w:type="pct"/>
            <w:shd w:val="clear" w:color="auto" w:fill="auto"/>
            <w:tcMar>
              <w:left w:w="29" w:type="dxa"/>
              <w:right w:w="29" w:type="dxa"/>
            </w:tcMar>
          </w:tcPr>
          <w:p w:rsidR="007B2DC1" w:rsidRPr="00F36007" w:rsidRDefault="00DE38DA" w:rsidP="00A37ED6">
            <w:pPr>
              <w:rPr>
                <w:rFonts w:asciiTheme="majorHAnsi" w:eastAsia="Times New Roman" w:hAnsiTheme="majorHAnsi" w:cstheme="majorHAnsi"/>
                <w:sz w:val="20"/>
                <w:szCs w:val="20"/>
              </w:rPr>
            </w:pPr>
            <w:r w:rsidRPr="00F36007">
              <w:rPr>
                <w:rFonts w:asciiTheme="majorHAnsi" w:hAnsiTheme="majorHAnsi" w:cstheme="majorHAnsi"/>
                <w:sz w:val="20"/>
                <w:szCs w:val="20"/>
              </w:rPr>
              <w:t>Qualitative Methods Selection</w:t>
            </w:r>
            <w:r w:rsidR="007B2DC1" w:rsidRPr="00F36007">
              <w:rPr>
                <w:rFonts w:asciiTheme="majorHAnsi" w:eastAsia="Times New Roman" w:hAnsiTheme="majorHAnsi" w:cstheme="majorHAnsi"/>
                <w:sz w:val="20"/>
                <w:szCs w:val="20"/>
              </w:rPr>
              <w:t>: Students review different public health scenarios (research questions/target populations) and select which qualitative method is most appropriate (observation/field notes, mapping, interviews, focus groups, some combination of above)</w:t>
            </w:r>
          </w:p>
          <w:p w:rsidR="007B2DC1" w:rsidRPr="00F36007" w:rsidRDefault="007B2DC1" w:rsidP="00A37ED6">
            <w:pPr>
              <w:rPr>
                <w:rFonts w:asciiTheme="majorHAnsi" w:eastAsia="Times New Roman" w:hAnsiTheme="majorHAnsi" w:cstheme="majorHAnsi"/>
                <w:sz w:val="20"/>
                <w:szCs w:val="20"/>
              </w:rPr>
            </w:pPr>
            <w:r w:rsidRPr="00F36007">
              <w:rPr>
                <w:rFonts w:asciiTheme="majorHAnsi" w:eastAsia="Times New Roman" w:hAnsiTheme="majorHAnsi" w:cstheme="majorHAnsi"/>
                <w:sz w:val="20"/>
                <w:szCs w:val="20"/>
              </w:rPr>
              <w:t> </w:t>
            </w:r>
          </w:p>
          <w:p w:rsidR="007B2DC1" w:rsidRPr="00F36007" w:rsidRDefault="009B57FD" w:rsidP="00A37ED6">
            <w:pPr>
              <w:rPr>
                <w:rFonts w:asciiTheme="majorHAnsi" w:eastAsia="Times New Roman" w:hAnsiTheme="majorHAnsi" w:cstheme="majorHAnsi"/>
                <w:sz w:val="20"/>
                <w:szCs w:val="20"/>
              </w:rPr>
            </w:pPr>
            <w:r w:rsidRPr="007061A4">
              <w:rPr>
                <w:rFonts w:asciiTheme="majorHAnsi" w:eastAsia="Times New Roman" w:hAnsiTheme="majorHAnsi" w:cstheme="majorHAnsi"/>
                <w:sz w:val="20"/>
                <w:szCs w:val="20"/>
              </w:rPr>
              <w:t>Field N</w:t>
            </w:r>
            <w:r w:rsidR="00DE38DA" w:rsidRPr="007061A4">
              <w:rPr>
                <w:rFonts w:asciiTheme="majorHAnsi" w:hAnsiTheme="majorHAnsi" w:cstheme="majorHAnsi"/>
                <w:sz w:val="20"/>
                <w:szCs w:val="20"/>
              </w:rPr>
              <w:t>otes</w:t>
            </w:r>
            <w:r w:rsidR="00DE38DA" w:rsidRPr="00F36007">
              <w:rPr>
                <w:rFonts w:asciiTheme="majorHAnsi" w:hAnsiTheme="majorHAnsi" w:cstheme="majorHAnsi"/>
                <w:sz w:val="20"/>
                <w:szCs w:val="20"/>
              </w:rPr>
              <w:t xml:space="preserve"> &amp; Mapping:</w:t>
            </w:r>
            <w:r w:rsidR="007B2DC1" w:rsidRPr="00F36007">
              <w:rPr>
                <w:rFonts w:asciiTheme="majorHAnsi" w:eastAsia="Times New Roman" w:hAnsiTheme="majorHAnsi" w:cstheme="majorHAnsi"/>
                <w:sz w:val="20"/>
                <w:szCs w:val="20"/>
              </w:rPr>
              <w:t xml:space="preserve"> Each student should conduct a 40-minute observation in a public location of your choice (e.g., Hermann Park, hospital cafeteria, Metrorail platform). Take field notes of everything you observe during this time. Your field notes should also include your reflective thoughts of those observations. In addition to your field notes, sketch a detailed map of your observation location. </w:t>
            </w:r>
          </w:p>
          <w:p w:rsidR="007B2DC1" w:rsidRPr="00F36007" w:rsidRDefault="007B2DC1" w:rsidP="00A37ED6">
            <w:pPr>
              <w:rPr>
                <w:rFonts w:asciiTheme="majorHAnsi" w:eastAsia="Times New Roman" w:hAnsiTheme="majorHAnsi" w:cstheme="majorHAnsi"/>
                <w:sz w:val="20"/>
                <w:szCs w:val="20"/>
              </w:rPr>
            </w:pPr>
            <w:r w:rsidRPr="00F36007">
              <w:rPr>
                <w:rFonts w:asciiTheme="majorHAnsi" w:eastAsia="Times New Roman" w:hAnsiTheme="majorHAnsi" w:cstheme="majorHAnsi"/>
                <w:sz w:val="20"/>
                <w:szCs w:val="20"/>
              </w:rPr>
              <w:t> </w:t>
            </w:r>
          </w:p>
          <w:p w:rsidR="007B2DC1" w:rsidRPr="00F36007" w:rsidRDefault="009B57FD" w:rsidP="00A37ED6">
            <w:pPr>
              <w:rPr>
                <w:rFonts w:asciiTheme="majorHAnsi" w:hAnsiTheme="majorHAnsi" w:cstheme="majorHAnsi"/>
                <w:sz w:val="20"/>
                <w:szCs w:val="20"/>
              </w:rPr>
            </w:pPr>
            <w:r w:rsidRPr="00F36007">
              <w:rPr>
                <w:rFonts w:asciiTheme="majorHAnsi" w:hAnsiTheme="majorHAnsi" w:cstheme="majorHAnsi"/>
                <w:sz w:val="20"/>
                <w:szCs w:val="20"/>
              </w:rPr>
              <w:t>Interview and Focus Group Questions</w:t>
            </w:r>
            <w:r w:rsidR="007B2DC1" w:rsidRPr="00F36007">
              <w:rPr>
                <w:rFonts w:asciiTheme="majorHAnsi" w:eastAsia="Times New Roman" w:hAnsiTheme="majorHAnsi" w:cstheme="majorHAnsi"/>
                <w:sz w:val="20"/>
                <w:szCs w:val="20"/>
              </w:rPr>
              <w:t>: Select a public health topic and write five questions related to that topic that you would ask in an in-depth interview. Please include your public health topic above your five questions. Also include who you are planning to interview (e.g., policymakers, individuals with a specific health condition, healthcare practitioners, specific population). </w:t>
            </w:r>
            <w:r w:rsidR="007B2DC1" w:rsidRPr="00F36007">
              <w:rPr>
                <w:rFonts w:asciiTheme="majorHAnsi" w:hAnsiTheme="majorHAnsi" w:cstheme="majorHAnsi"/>
                <w:sz w:val="20"/>
                <w:szCs w:val="20"/>
                <w:shd w:val="clear" w:color="auto" w:fill="FFFFFF"/>
              </w:rPr>
              <w:t>Based on the same public health topic that you used to write your in-depth interview questions, write five questions related to that topic that you would ask in a focus group. Please include your public health topic above your five questions. Also include who you are planning to include in your focus group (e.g., policymakers, individuals with a specific health condition, healthcare practitioners, and specific population).</w:t>
            </w:r>
          </w:p>
        </w:tc>
      </w:tr>
      <w:tr w:rsidR="00562E73" w:rsidRPr="00F36007" w:rsidTr="006E28EE">
        <w:trPr>
          <w:cantSplit/>
          <w:trHeight w:val="122"/>
        </w:trPr>
        <w:tc>
          <w:tcPr>
            <w:tcW w:w="1134" w:type="pct"/>
            <w:vMerge/>
            <w:shd w:val="clear" w:color="auto" w:fill="auto"/>
            <w:tcMar>
              <w:left w:w="29" w:type="dxa"/>
              <w:right w:w="29" w:type="dxa"/>
            </w:tcMar>
          </w:tcPr>
          <w:p w:rsidR="007B2DC1" w:rsidRPr="00F36007" w:rsidRDefault="007B2DC1" w:rsidP="00A37ED6">
            <w:pPr>
              <w:rPr>
                <w:rFonts w:asciiTheme="majorHAnsi" w:eastAsia="Times New Roman" w:hAnsiTheme="majorHAnsi" w:cstheme="majorHAnsi"/>
                <w:color w:val="000000"/>
                <w:sz w:val="20"/>
                <w:szCs w:val="20"/>
              </w:rPr>
            </w:pPr>
          </w:p>
        </w:tc>
        <w:tc>
          <w:tcPr>
            <w:tcW w:w="1083" w:type="pct"/>
            <w:shd w:val="clear" w:color="auto" w:fill="auto"/>
            <w:tcMar>
              <w:left w:w="29" w:type="dxa"/>
              <w:right w:w="29" w:type="dxa"/>
            </w:tcMar>
          </w:tcPr>
          <w:p w:rsidR="007B2DC1" w:rsidRPr="00F36007" w:rsidRDefault="0053447A" w:rsidP="00FC4AEF">
            <w:pPr>
              <w:rPr>
                <w:rFonts w:asciiTheme="majorHAnsi" w:eastAsia="Times New Roman" w:hAnsiTheme="majorHAnsi" w:cstheme="majorHAnsi"/>
                <w:b/>
                <w:color w:val="000000"/>
                <w:sz w:val="20"/>
                <w:szCs w:val="20"/>
              </w:rPr>
            </w:pPr>
            <w:r w:rsidRPr="00740AE3">
              <w:rPr>
                <w:rFonts w:asciiTheme="majorHAnsi" w:hAnsiTheme="majorHAnsi" w:cstheme="majorHAnsi"/>
                <w:b/>
                <w:sz w:val="20"/>
                <w:szCs w:val="20"/>
              </w:rPr>
              <w:t>PHM 2612</w:t>
            </w:r>
            <w:r w:rsidRPr="00F36007">
              <w:rPr>
                <w:rFonts w:asciiTheme="majorHAnsi" w:hAnsiTheme="majorHAnsi" w:cstheme="majorHAnsi"/>
                <w:sz w:val="20"/>
                <w:szCs w:val="20"/>
              </w:rPr>
              <w:t xml:space="preserve"> Epidemiology I</w:t>
            </w:r>
            <w:r w:rsidR="00BC376C" w:rsidRPr="00F36007" w:rsidDel="004F694A">
              <w:rPr>
                <w:rFonts w:asciiTheme="majorHAnsi" w:eastAsia="Times New Roman" w:hAnsiTheme="majorHAnsi" w:cstheme="majorHAnsi"/>
                <w:b/>
                <w:color w:val="000000"/>
                <w:sz w:val="20"/>
                <w:szCs w:val="20"/>
              </w:rPr>
              <w:t xml:space="preserve"> </w:t>
            </w:r>
            <w:r w:rsidR="007B2DC1" w:rsidRPr="00F36007">
              <w:rPr>
                <w:rFonts w:asciiTheme="majorHAnsi" w:eastAsia="Times New Roman" w:hAnsiTheme="majorHAnsi" w:cstheme="majorHAnsi"/>
                <w:i/>
                <w:color w:val="000000"/>
                <w:sz w:val="20"/>
                <w:szCs w:val="20"/>
              </w:rPr>
              <w:t>(Quantitative)</w:t>
            </w:r>
          </w:p>
        </w:tc>
        <w:tc>
          <w:tcPr>
            <w:tcW w:w="2783" w:type="pct"/>
            <w:shd w:val="clear" w:color="auto" w:fill="auto"/>
            <w:tcMar>
              <w:left w:w="29" w:type="dxa"/>
              <w:right w:w="29" w:type="dxa"/>
            </w:tcMar>
          </w:tcPr>
          <w:p w:rsidR="007B2DC1" w:rsidRPr="00F36007" w:rsidRDefault="0053447A" w:rsidP="00A37ED6">
            <w:pPr>
              <w:rPr>
                <w:rFonts w:asciiTheme="majorHAnsi" w:hAnsiTheme="majorHAnsi" w:cstheme="majorHAnsi"/>
                <w:color w:val="000000"/>
                <w:sz w:val="20"/>
                <w:szCs w:val="20"/>
              </w:rPr>
            </w:pPr>
            <w:r w:rsidRPr="00F36007">
              <w:rPr>
                <w:rFonts w:asciiTheme="majorHAnsi" w:hAnsiTheme="majorHAnsi" w:cstheme="majorHAnsi"/>
                <w:sz w:val="20"/>
                <w:szCs w:val="20"/>
              </w:rPr>
              <w:t>Homework 6, Outbreak Investigation:</w:t>
            </w:r>
            <w:r w:rsidR="007B2DC1" w:rsidRPr="00F36007">
              <w:rPr>
                <w:rFonts w:asciiTheme="majorHAnsi" w:hAnsiTheme="majorHAnsi" w:cstheme="majorHAnsi"/>
                <w:color w:val="000000"/>
                <w:sz w:val="20"/>
                <w:szCs w:val="20"/>
              </w:rPr>
              <w:t xml:space="preserve"> This homework assignment involved utilization of an online interactive module on outbreak investigation. Students were required to identify person, place, and time in relation to foodborne illness outbreak. Additionally appropriate study design and data collection methodology for the situation was also identified. Knowledge </w:t>
            </w:r>
            <w:r w:rsidR="00BD2748" w:rsidRPr="00F36007">
              <w:rPr>
                <w:rFonts w:asciiTheme="majorHAnsi" w:hAnsiTheme="majorHAnsi" w:cstheme="majorHAnsi"/>
                <w:color w:val="000000"/>
                <w:sz w:val="20"/>
                <w:szCs w:val="20"/>
              </w:rPr>
              <w:t>on data</w:t>
            </w:r>
            <w:r w:rsidR="007B2DC1" w:rsidRPr="00F36007">
              <w:rPr>
                <w:rFonts w:asciiTheme="majorHAnsi" w:hAnsiTheme="majorHAnsi" w:cstheme="majorHAnsi"/>
                <w:color w:val="000000"/>
                <w:sz w:val="20"/>
                <w:szCs w:val="20"/>
              </w:rPr>
              <w:t xml:space="preserve"> collection methods were tested in Q19.</w:t>
            </w:r>
          </w:p>
        </w:tc>
      </w:tr>
      <w:tr w:rsidR="00562E73" w:rsidRPr="00F36007" w:rsidTr="006E28EE">
        <w:trPr>
          <w:cantSplit/>
          <w:trHeight w:val="450"/>
        </w:trPr>
        <w:tc>
          <w:tcPr>
            <w:tcW w:w="1134" w:type="pct"/>
            <w:vMerge w:val="restart"/>
            <w:shd w:val="clear" w:color="auto" w:fill="auto"/>
            <w:tcMar>
              <w:left w:w="29" w:type="dxa"/>
              <w:right w:w="29" w:type="dxa"/>
            </w:tcMar>
            <w:hideMark/>
          </w:tcPr>
          <w:p w:rsidR="007B2DC1" w:rsidRPr="00F36007" w:rsidRDefault="007B2DC1" w:rsidP="00A37ED6">
            <w:pPr>
              <w:rPr>
                <w:rFonts w:asciiTheme="majorHAnsi" w:eastAsia="Times New Roman" w:hAnsiTheme="majorHAnsi" w:cstheme="majorHAnsi"/>
                <w:color w:val="000000"/>
                <w:sz w:val="20"/>
                <w:szCs w:val="20"/>
              </w:rPr>
            </w:pPr>
            <w:r w:rsidRPr="00F36007">
              <w:rPr>
                <w:rFonts w:asciiTheme="majorHAnsi" w:eastAsia="Times New Roman" w:hAnsiTheme="majorHAnsi" w:cstheme="majorHAnsi"/>
                <w:color w:val="000000"/>
                <w:sz w:val="20"/>
                <w:szCs w:val="20"/>
              </w:rPr>
              <w:t>MPH-3. Analyze quantitative and qualitative data using biostatistics, informatics, computer-based programming and software, as appropriate</w:t>
            </w:r>
          </w:p>
        </w:tc>
        <w:tc>
          <w:tcPr>
            <w:tcW w:w="1083" w:type="pct"/>
            <w:shd w:val="clear" w:color="auto" w:fill="auto"/>
            <w:tcMar>
              <w:left w:w="29" w:type="dxa"/>
              <w:right w:w="29" w:type="dxa"/>
            </w:tcMar>
            <w:hideMark/>
          </w:tcPr>
          <w:p w:rsidR="007B2DC1" w:rsidRPr="00F36007" w:rsidRDefault="002C1E3E" w:rsidP="00FC4AEF">
            <w:pPr>
              <w:rPr>
                <w:rFonts w:asciiTheme="majorHAnsi" w:eastAsia="Times New Roman" w:hAnsiTheme="majorHAnsi" w:cstheme="majorHAnsi"/>
                <w:color w:val="000000"/>
                <w:sz w:val="20"/>
                <w:szCs w:val="20"/>
              </w:rPr>
            </w:pPr>
            <w:r w:rsidRPr="00740AE3">
              <w:rPr>
                <w:rFonts w:asciiTheme="majorHAnsi" w:hAnsiTheme="majorHAnsi" w:cstheme="majorHAnsi"/>
                <w:b/>
                <w:sz w:val="20"/>
                <w:szCs w:val="20"/>
              </w:rPr>
              <w:t>PHM 5015</w:t>
            </w:r>
            <w:r w:rsidRPr="00F36007">
              <w:rPr>
                <w:rFonts w:asciiTheme="majorHAnsi" w:hAnsiTheme="majorHAnsi" w:cstheme="majorHAnsi"/>
                <w:sz w:val="20"/>
                <w:szCs w:val="20"/>
              </w:rPr>
              <w:t xml:space="preserve"> Introduction to Qualitative Research in Public Health</w:t>
            </w:r>
            <w:r w:rsidR="006B0006" w:rsidRPr="00F36007">
              <w:rPr>
                <w:rFonts w:asciiTheme="majorHAnsi" w:eastAsia="Times New Roman" w:hAnsiTheme="majorHAnsi" w:cstheme="majorHAnsi"/>
                <w:color w:val="000000"/>
                <w:sz w:val="20"/>
                <w:szCs w:val="20"/>
              </w:rPr>
              <w:t xml:space="preserve"> </w:t>
            </w:r>
            <w:r w:rsidR="006B0006" w:rsidRPr="00F36007">
              <w:rPr>
                <w:rFonts w:asciiTheme="majorHAnsi" w:eastAsia="Times New Roman" w:hAnsiTheme="majorHAnsi" w:cstheme="majorHAnsi"/>
                <w:i/>
                <w:color w:val="000000"/>
                <w:sz w:val="20"/>
                <w:szCs w:val="20"/>
              </w:rPr>
              <w:t xml:space="preserve">(Qualitative) </w:t>
            </w:r>
          </w:p>
        </w:tc>
        <w:tc>
          <w:tcPr>
            <w:tcW w:w="2783" w:type="pct"/>
            <w:shd w:val="clear" w:color="auto" w:fill="auto"/>
            <w:tcMar>
              <w:left w:w="29" w:type="dxa"/>
              <w:right w:w="29" w:type="dxa"/>
            </w:tcMar>
            <w:hideMark/>
          </w:tcPr>
          <w:p w:rsidR="007B2DC1" w:rsidRPr="00F36007" w:rsidRDefault="002C1E3E" w:rsidP="00A37ED6">
            <w:pPr>
              <w:rPr>
                <w:rFonts w:asciiTheme="majorHAnsi" w:eastAsia="Times New Roman" w:hAnsiTheme="majorHAnsi" w:cstheme="majorHAnsi"/>
                <w:sz w:val="20"/>
                <w:szCs w:val="20"/>
              </w:rPr>
            </w:pPr>
            <w:r w:rsidRPr="00F36007">
              <w:rPr>
                <w:rFonts w:asciiTheme="majorHAnsi" w:hAnsiTheme="majorHAnsi" w:cstheme="majorHAnsi"/>
                <w:sz w:val="20"/>
                <w:szCs w:val="20"/>
              </w:rPr>
              <w:t>Codebook and Thematic Analysis</w:t>
            </w:r>
            <w:r w:rsidR="007B2DC1" w:rsidRPr="00F36007">
              <w:rPr>
                <w:rFonts w:asciiTheme="majorHAnsi" w:eastAsia="Times New Roman" w:hAnsiTheme="majorHAnsi" w:cstheme="majorHAnsi"/>
                <w:sz w:val="20"/>
                <w:szCs w:val="20"/>
              </w:rPr>
              <w:t>: Code two interview transcripts (transcripts will be provided) by yourself using Microsoft Word and develop a codebook, using the format below. Submit a codebook that consists of 20 codes. </w:t>
            </w:r>
          </w:p>
          <w:p w:rsidR="007B2DC1" w:rsidRPr="00F36007" w:rsidRDefault="007B2DC1" w:rsidP="00A37ED6">
            <w:pPr>
              <w:rPr>
                <w:rFonts w:asciiTheme="majorHAnsi" w:eastAsia="Times New Roman" w:hAnsiTheme="majorHAnsi" w:cstheme="majorHAnsi"/>
                <w:sz w:val="20"/>
                <w:szCs w:val="20"/>
              </w:rPr>
            </w:pPr>
            <w:r w:rsidRPr="00F36007">
              <w:rPr>
                <w:rFonts w:asciiTheme="majorHAnsi" w:eastAsia="Times New Roman" w:hAnsiTheme="majorHAnsi" w:cstheme="majorHAnsi"/>
                <w:sz w:val="20"/>
                <w:szCs w:val="20"/>
              </w:rPr>
              <w:t> </w:t>
            </w:r>
          </w:p>
          <w:p w:rsidR="007B2DC1" w:rsidRPr="00F36007" w:rsidRDefault="007B2DC1" w:rsidP="00A37ED6">
            <w:pPr>
              <w:rPr>
                <w:rFonts w:asciiTheme="majorHAnsi" w:eastAsia="Times New Roman" w:hAnsiTheme="majorHAnsi" w:cstheme="majorHAnsi"/>
                <w:sz w:val="20"/>
                <w:szCs w:val="20"/>
              </w:rPr>
            </w:pPr>
            <w:r w:rsidRPr="00F36007">
              <w:rPr>
                <w:rFonts w:asciiTheme="majorHAnsi" w:eastAsia="Times New Roman" w:hAnsiTheme="majorHAnsi" w:cstheme="majorHAnsi"/>
                <w:sz w:val="20"/>
                <w:szCs w:val="20"/>
              </w:rPr>
              <w:t>Code:</w:t>
            </w:r>
          </w:p>
          <w:p w:rsidR="007B2DC1" w:rsidRPr="00F36007" w:rsidRDefault="007B2DC1" w:rsidP="00A37ED6">
            <w:pPr>
              <w:rPr>
                <w:rFonts w:asciiTheme="majorHAnsi" w:eastAsia="Times New Roman" w:hAnsiTheme="majorHAnsi" w:cstheme="majorHAnsi"/>
                <w:sz w:val="20"/>
                <w:szCs w:val="20"/>
              </w:rPr>
            </w:pPr>
            <w:r w:rsidRPr="00F36007">
              <w:rPr>
                <w:rFonts w:asciiTheme="majorHAnsi" w:eastAsia="Times New Roman" w:hAnsiTheme="majorHAnsi" w:cstheme="majorHAnsi"/>
                <w:sz w:val="20"/>
                <w:szCs w:val="20"/>
              </w:rPr>
              <w:t>Description: </w:t>
            </w:r>
          </w:p>
          <w:p w:rsidR="007B2DC1" w:rsidRPr="00F36007" w:rsidRDefault="007B2DC1" w:rsidP="00A37ED6">
            <w:pPr>
              <w:rPr>
                <w:rFonts w:asciiTheme="majorHAnsi" w:eastAsia="Times New Roman" w:hAnsiTheme="majorHAnsi" w:cstheme="majorHAnsi"/>
                <w:sz w:val="20"/>
                <w:szCs w:val="20"/>
              </w:rPr>
            </w:pPr>
            <w:r w:rsidRPr="00F36007">
              <w:rPr>
                <w:rFonts w:asciiTheme="majorHAnsi" w:eastAsia="Times New Roman" w:hAnsiTheme="majorHAnsi" w:cstheme="majorHAnsi"/>
                <w:sz w:val="20"/>
                <w:szCs w:val="20"/>
              </w:rPr>
              <w:t>When to use: </w:t>
            </w:r>
          </w:p>
          <w:p w:rsidR="007B2DC1" w:rsidRPr="00F36007" w:rsidRDefault="007B2DC1" w:rsidP="00A37ED6">
            <w:pPr>
              <w:rPr>
                <w:rFonts w:asciiTheme="majorHAnsi" w:eastAsia="Times New Roman" w:hAnsiTheme="majorHAnsi" w:cstheme="majorHAnsi"/>
                <w:sz w:val="20"/>
                <w:szCs w:val="20"/>
              </w:rPr>
            </w:pPr>
            <w:r w:rsidRPr="00F36007">
              <w:rPr>
                <w:rFonts w:asciiTheme="majorHAnsi" w:eastAsia="Times New Roman" w:hAnsiTheme="majorHAnsi" w:cstheme="majorHAnsi"/>
                <w:sz w:val="20"/>
                <w:szCs w:val="20"/>
              </w:rPr>
              <w:t>When not to use: </w:t>
            </w:r>
          </w:p>
          <w:p w:rsidR="007B2DC1" w:rsidRPr="00F36007" w:rsidRDefault="007B2DC1" w:rsidP="00A37ED6">
            <w:pPr>
              <w:rPr>
                <w:rFonts w:asciiTheme="majorHAnsi" w:eastAsia="Times New Roman" w:hAnsiTheme="majorHAnsi" w:cstheme="majorHAnsi"/>
                <w:sz w:val="20"/>
                <w:szCs w:val="20"/>
              </w:rPr>
            </w:pPr>
            <w:r w:rsidRPr="00F36007">
              <w:rPr>
                <w:rFonts w:asciiTheme="majorHAnsi" w:eastAsia="Times New Roman" w:hAnsiTheme="majorHAnsi" w:cstheme="majorHAnsi"/>
                <w:sz w:val="20"/>
                <w:szCs w:val="20"/>
              </w:rPr>
              <w:t>Example: </w:t>
            </w:r>
          </w:p>
          <w:p w:rsidR="007B2DC1" w:rsidRPr="00F36007" w:rsidRDefault="007B2DC1" w:rsidP="00A37ED6">
            <w:pPr>
              <w:rPr>
                <w:rFonts w:asciiTheme="majorHAnsi" w:eastAsia="Times New Roman" w:hAnsiTheme="majorHAnsi" w:cstheme="majorHAnsi"/>
                <w:sz w:val="20"/>
                <w:szCs w:val="20"/>
              </w:rPr>
            </w:pPr>
            <w:r w:rsidRPr="00F36007">
              <w:rPr>
                <w:rFonts w:asciiTheme="majorHAnsi" w:eastAsia="Times New Roman" w:hAnsiTheme="majorHAnsi" w:cstheme="majorHAnsi"/>
                <w:sz w:val="20"/>
                <w:szCs w:val="20"/>
              </w:rPr>
              <w:t>                                                     </w:t>
            </w:r>
          </w:p>
          <w:p w:rsidR="007B2DC1" w:rsidRPr="00F36007" w:rsidRDefault="007B2DC1" w:rsidP="00A37ED6">
            <w:pPr>
              <w:rPr>
                <w:rFonts w:asciiTheme="majorHAnsi" w:eastAsia="Times New Roman" w:hAnsiTheme="majorHAnsi" w:cstheme="majorHAnsi"/>
                <w:color w:val="000000"/>
                <w:sz w:val="20"/>
                <w:szCs w:val="20"/>
              </w:rPr>
            </w:pPr>
            <w:r w:rsidRPr="00F36007">
              <w:rPr>
                <w:rFonts w:asciiTheme="majorHAnsi" w:eastAsia="Times New Roman" w:hAnsiTheme="majorHAnsi" w:cstheme="majorHAnsi"/>
                <w:sz w:val="20"/>
                <w:szCs w:val="20"/>
              </w:rPr>
              <w:t>Thematic analysis requirements:  Group 15-20 codes into 2-4 potential themes.</w:t>
            </w:r>
          </w:p>
        </w:tc>
      </w:tr>
      <w:tr w:rsidR="00562E73" w:rsidRPr="00F36007" w:rsidTr="006E28EE">
        <w:trPr>
          <w:cantSplit/>
          <w:trHeight w:val="450"/>
        </w:trPr>
        <w:tc>
          <w:tcPr>
            <w:tcW w:w="1134" w:type="pct"/>
            <w:vMerge/>
            <w:shd w:val="clear" w:color="auto" w:fill="auto"/>
            <w:tcMar>
              <w:left w:w="29" w:type="dxa"/>
              <w:right w:w="29" w:type="dxa"/>
            </w:tcMar>
          </w:tcPr>
          <w:p w:rsidR="007B2DC1" w:rsidRPr="00F36007" w:rsidRDefault="007B2DC1" w:rsidP="00A37ED6">
            <w:pPr>
              <w:rPr>
                <w:rFonts w:asciiTheme="majorHAnsi" w:eastAsia="Times New Roman" w:hAnsiTheme="majorHAnsi" w:cstheme="majorHAnsi"/>
                <w:color w:val="000000"/>
                <w:sz w:val="20"/>
                <w:szCs w:val="20"/>
              </w:rPr>
            </w:pPr>
          </w:p>
        </w:tc>
        <w:tc>
          <w:tcPr>
            <w:tcW w:w="1083" w:type="pct"/>
            <w:shd w:val="clear" w:color="auto" w:fill="auto"/>
            <w:tcMar>
              <w:left w:w="29" w:type="dxa"/>
              <w:right w:w="29" w:type="dxa"/>
            </w:tcMar>
          </w:tcPr>
          <w:p w:rsidR="007B2DC1" w:rsidRPr="00F36007" w:rsidRDefault="00366951" w:rsidP="00FC4AEF">
            <w:pPr>
              <w:rPr>
                <w:rFonts w:asciiTheme="majorHAnsi" w:eastAsia="Times New Roman" w:hAnsiTheme="majorHAnsi" w:cstheme="majorHAnsi"/>
                <w:color w:val="000000"/>
                <w:sz w:val="20"/>
                <w:szCs w:val="20"/>
              </w:rPr>
            </w:pPr>
            <w:r w:rsidRPr="00740AE3">
              <w:rPr>
                <w:rFonts w:asciiTheme="majorHAnsi" w:hAnsiTheme="majorHAnsi" w:cstheme="majorHAnsi"/>
                <w:b/>
                <w:sz w:val="20"/>
                <w:szCs w:val="20"/>
              </w:rPr>
              <w:t>PH 1690</w:t>
            </w:r>
            <w:r w:rsidRPr="00F36007">
              <w:rPr>
                <w:rFonts w:asciiTheme="majorHAnsi" w:hAnsiTheme="majorHAnsi" w:cstheme="majorHAnsi"/>
                <w:sz w:val="20"/>
                <w:szCs w:val="20"/>
              </w:rPr>
              <w:t xml:space="preserve"> Introduction to Biostatistics in Public Health</w:t>
            </w:r>
            <w:r w:rsidR="007B2DC1" w:rsidRPr="00F36007">
              <w:rPr>
                <w:rFonts w:asciiTheme="majorHAnsi" w:eastAsia="Times New Roman" w:hAnsiTheme="majorHAnsi" w:cstheme="majorHAnsi"/>
                <w:color w:val="000000"/>
                <w:sz w:val="20"/>
                <w:szCs w:val="20"/>
              </w:rPr>
              <w:t xml:space="preserve"> </w:t>
            </w:r>
            <w:r w:rsidR="007B2DC1" w:rsidRPr="00F36007">
              <w:rPr>
                <w:rFonts w:asciiTheme="majorHAnsi" w:eastAsia="Times New Roman" w:hAnsiTheme="majorHAnsi" w:cstheme="majorHAnsi"/>
                <w:i/>
                <w:color w:val="000000"/>
                <w:sz w:val="20"/>
                <w:szCs w:val="20"/>
              </w:rPr>
              <w:t>(Quantitative)</w:t>
            </w:r>
          </w:p>
        </w:tc>
        <w:tc>
          <w:tcPr>
            <w:tcW w:w="2783" w:type="pct"/>
            <w:shd w:val="clear" w:color="auto" w:fill="auto"/>
            <w:tcMar>
              <w:left w:w="29" w:type="dxa"/>
              <w:right w:w="29" w:type="dxa"/>
            </w:tcMar>
          </w:tcPr>
          <w:p w:rsidR="007B2DC1" w:rsidRPr="00F36007" w:rsidRDefault="00366951" w:rsidP="00A37ED6">
            <w:pPr>
              <w:rPr>
                <w:rFonts w:asciiTheme="majorHAnsi" w:eastAsia="Times New Roman" w:hAnsiTheme="majorHAnsi" w:cstheme="majorHAnsi"/>
                <w:color w:val="000000"/>
                <w:sz w:val="20"/>
                <w:szCs w:val="20"/>
              </w:rPr>
            </w:pPr>
            <w:r w:rsidRPr="00F36007">
              <w:rPr>
                <w:rFonts w:asciiTheme="majorHAnsi" w:hAnsiTheme="majorHAnsi" w:cstheme="majorHAnsi"/>
                <w:sz w:val="20"/>
                <w:szCs w:val="20"/>
              </w:rPr>
              <w:t>Final Project</w:t>
            </w:r>
            <w:r w:rsidR="007B2DC1" w:rsidRPr="00F36007">
              <w:rPr>
                <w:rFonts w:asciiTheme="majorHAnsi" w:eastAsia="Times New Roman" w:hAnsiTheme="majorHAnsi" w:cstheme="majorHAnsi"/>
                <w:color w:val="000000"/>
                <w:sz w:val="20"/>
                <w:szCs w:val="20"/>
              </w:rPr>
              <w:t xml:space="preserve">: </w:t>
            </w:r>
            <w:r w:rsidR="00BD2748" w:rsidRPr="00F36007">
              <w:rPr>
                <w:rFonts w:asciiTheme="majorHAnsi" w:eastAsia="Times New Roman" w:hAnsiTheme="majorHAnsi" w:cstheme="majorHAnsi"/>
                <w:color w:val="000000"/>
                <w:sz w:val="20"/>
                <w:szCs w:val="20"/>
              </w:rPr>
              <w:t xml:space="preserve">Students </w:t>
            </w:r>
            <w:r w:rsidR="007B2DC1" w:rsidRPr="00F36007">
              <w:rPr>
                <w:rFonts w:asciiTheme="majorHAnsi" w:eastAsia="Times New Roman" w:hAnsiTheme="majorHAnsi" w:cstheme="majorHAnsi"/>
                <w:color w:val="000000"/>
                <w:sz w:val="20"/>
                <w:szCs w:val="20"/>
              </w:rPr>
              <w:t>will select and implement the appropriate statistical tests for different types of data. Students will analyze a real dataset and create a brief report explaining the methods, results using Stata or other statistical software, and a written discussion/interpretation of those results.</w:t>
            </w:r>
          </w:p>
          <w:p w:rsidR="007B2DC1" w:rsidRPr="00F36007" w:rsidRDefault="007B2DC1" w:rsidP="00A37ED6">
            <w:pPr>
              <w:rPr>
                <w:rFonts w:asciiTheme="majorHAnsi" w:eastAsia="Times New Roman" w:hAnsiTheme="majorHAnsi" w:cstheme="majorHAnsi"/>
                <w:color w:val="000000"/>
                <w:sz w:val="20"/>
                <w:szCs w:val="20"/>
              </w:rPr>
            </w:pPr>
          </w:p>
          <w:p w:rsidR="007B2DC1" w:rsidRPr="00F36007" w:rsidRDefault="00366951" w:rsidP="00A37ED6">
            <w:pPr>
              <w:rPr>
                <w:rFonts w:asciiTheme="majorHAnsi" w:eastAsia="Times New Roman" w:hAnsiTheme="majorHAnsi" w:cstheme="majorHAnsi"/>
                <w:color w:val="000000"/>
                <w:sz w:val="20"/>
                <w:szCs w:val="20"/>
              </w:rPr>
            </w:pPr>
            <w:r w:rsidRPr="00F36007">
              <w:rPr>
                <w:rFonts w:asciiTheme="majorHAnsi" w:hAnsiTheme="majorHAnsi" w:cstheme="majorHAnsi"/>
                <w:sz w:val="20"/>
                <w:szCs w:val="20"/>
              </w:rPr>
              <w:t>Final Exam</w:t>
            </w:r>
            <w:r w:rsidR="007B2DC1" w:rsidRPr="00F36007">
              <w:rPr>
                <w:rFonts w:asciiTheme="majorHAnsi" w:eastAsia="Times New Roman" w:hAnsiTheme="majorHAnsi" w:cstheme="majorHAnsi"/>
                <w:color w:val="000000"/>
                <w:sz w:val="20"/>
                <w:szCs w:val="20"/>
              </w:rPr>
              <w:t xml:space="preserve">: </w:t>
            </w:r>
            <w:r w:rsidR="00BD2748" w:rsidRPr="00F36007">
              <w:rPr>
                <w:rFonts w:asciiTheme="majorHAnsi" w:eastAsia="Times New Roman" w:hAnsiTheme="majorHAnsi" w:cstheme="majorHAnsi"/>
                <w:color w:val="000000"/>
                <w:sz w:val="20"/>
                <w:szCs w:val="20"/>
              </w:rPr>
              <w:t>A</w:t>
            </w:r>
            <w:r w:rsidR="007B2DC1" w:rsidRPr="00F36007">
              <w:rPr>
                <w:rFonts w:asciiTheme="majorHAnsi" w:eastAsia="Times New Roman" w:hAnsiTheme="majorHAnsi" w:cstheme="majorHAnsi"/>
                <w:color w:val="000000"/>
                <w:sz w:val="20"/>
                <w:szCs w:val="20"/>
              </w:rPr>
              <w:t xml:space="preserve"> mixture of free response questions and multiple-choice questions asking students to select which statistical method is appropriate for the type of data.</w:t>
            </w:r>
          </w:p>
        </w:tc>
      </w:tr>
      <w:tr w:rsidR="00562E73" w:rsidRPr="00F36007" w:rsidTr="006E28EE">
        <w:trPr>
          <w:cantSplit/>
          <w:trHeight w:val="450"/>
        </w:trPr>
        <w:tc>
          <w:tcPr>
            <w:tcW w:w="1134" w:type="pct"/>
            <w:vMerge/>
            <w:shd w:val="clear" w:color="auto" w:fill="auto"/>
            <w:tcMar>
              <w:left w:w="29" w:type="dxa"/>
              <w:right w:w="29" w:type="dxa"/>
            </w:tcMar>
          </w:tcPr>
          <w:p w:rsidR="007B2DC1" w:rsidRPr="00F36007" w:rsidRDefault="007B2DC1" w:rsidP="00A37ED6">
            <w:pPr>
              <w:rPr>
                <w:rFonts w:asciiTheme="majorHAnsi" w:eastAsia="Times New Roman" w:hAnsiTheme="majorHAnsi" w:cstheme="majorHAnsi"/>
                <w:color w:val="000000"/>
                <w:sz w:val="20"/>
                <w:szCs w:val="20"/>
              </w:rPr>
            </w:pPr>
          </w:p>
        </w:tc>
        <w:tc>
          <w:tcPr>
            <w:tcW w:w="1083" w:type="pct"/>
            <w:shd w:val="clear" w:color="auto" w:fill="auto"/>
            <w:tcMar>
              <w:left w:w="29" w:type="dxa"/>
              <w:right w:w="29" w:type="dxa"/>
            </w:tcMar>
          </w:tcPr>
          <w:p w:rsidR="006A7C86" w:rsidRPr="00F36007" w:rsidRDefault="00366951" w:rsidP="00A37ED6">
            <w:pPr>
              <w:rPr>
                <w:rFonts w:asciiTheme="majorHAnsi" w:eastAsia="Times New Roman" w:hAnsiTheme="majorHAnsi" w:cstheme="majorHAnsi"/>
                <w:bCs/>
                <w:color w:val="000000"/>
                <w:sz w:val="20"/>
                <w:szCs w:val="20"/>
              </w:rPr>
            </w:pPr>
            <w:r w:rsidRPr="00740AE3">
              <w:rPr>
                <w:rFonts w:asciiTheme="majorHAnsi" w:hAnsiTheme="majorHAnsi" w:cstheme="majorHAnsi"/>
                <w:b/>
                <w:sz w:val="20"/>
                <w:szCs w:val="20"/>
              </w:rPr>
              <w:t>PH 1700</w:t>
            </w:r>
            <w:r w:rsidRPr="00F36007">
              <w:rPr>
                <w:rFonts w:asciiTheme="majorHAnsi" w:hAnsiTheme="majorHAnsi" w:cstheme="majorHAnsi"/>
                <w:sz w:val="20"/>
                <w:szCs w:val="20"/>
              </w:rPr>
              <w:t xml:space="preserve"> Intermediate Biostatistics</w:t>
            </w:r>
            <w:r w:rsidR="006A7C86" w:rsidRPr="00F36007">
              <w:rPr>
                <w:rFonts w:asciiTheme="majorHAnsi" w:eastAsia="Times New Roman" w:hAnsiTheme="majorHAnsi" w:cstheme="majorHAnsi"/>
                <w:bCs/>
                <w:color w:val="000000"/>
                <w:sz w:val="20"/>
                <w:szCs w:val="20"/>
              </w:rPr>
              <w:t xml:space="preserve"> </w:t>
            </w:r>
          </w:p>
          <w:p w:rsidR="002B6C8B" w:rsidRPr="00F36007" w:rsidRDefault="002B6C8B" w:rsidP="00A37ED6">
            <w:pPr>
              <w:rPr>
                <w:rFonts w:asciiTheme="majorHAnsi" w:eastAsia="Times New Roman" w:hAnsiTheme="majorHAnsi" w:cstheme="majorHAnsi"/>
                <w:bCs/>
                <w:color w:val="000000"/>
                <w:sz w:val="20"/>
                <w:szCs w:val="20"/>
              </w:rPr>
            </w:pPr>
          </w:p>
          <w:p w:rsidR="002B6C8B" w:rsidRPr="00F36007" w:rsidRDefault="002B6C8B" w:rsidP="00A37ED6">
            <w:pPr>
              <w:rPr>
                <w:rFonts w:asciiTheme="majorHAnsi" w:eastAsia="Times New Roman" w:hAnsiTheme="majorHAnsi" w:cstheme="majorHAnsi"/>
                <w:bCs/>
                <w:color w:val="000000"/>
                <w:sz w:val="20"/>
                <w:szCs w:val="20"/>
              </w:rPr>
            </w:pPr>
          </w:p>
          <w:p w:rsidR="007B2DC1" w:rsidRPr="00F36007" w:rsidRDefault="002B6C8B" w:rsidP="004C2851">
            <w:pPr>
              <w:rPr>
                <w:rFonts w:asciiTheme="majorHAnsi" w:eastAsia="Times New Roman" w:hAnsiTheme="majorHAnsi" w:cstheme="majorHAnsi"/>
                <w:b/>
                <w:color w:val="000000"/>
                <w:sz w:val="20"/>
                <w:szCs w:val="20"/>
              </w:rPr>
            </w:pPr>
            <w:r w:rsidRPr="00F36007">
              <w:rPr>
                <w:rFonts w:asciiTheme="majorHAnsi" w:eastAsia="Times New Roman" w:hAnsiTheme="majorHAnsi" w:cstheme="majorHAnsi"/>
                <w:bCs/>
                <w:i/>
                <w:color w:val="000000"/>
                <w:sz w:val="20"/>
                <w:szCs w:val="20"/>
              </w:rPr>
              <w:t xml:space="preserve">MPH students </w:t>
            </w:r>
            <w:r w:rsidR="001B67F0" w:rsidRPr="00F36007">
              <w:rPr>
                <w:rFonts w:asciiTheme="majorHAnsi" w:eastAsia="Times New Roman" w:hAnsiTheme="majorHAnsi" w:cstheme="majorHAnsi"/>
                <w:bCs/>
                <w:i/>
                <w:color w:val="000000"/>
                <w:sz w:val="20"/>
                <w:szCs w:val="20"/>
              </w:rPr>
              <w:t>with</w:t>
            </w:r>
            <w:r w:rsidRPr="00F36007">
              <w:rPr>
                <w:rFonts w:asciiTheme="majorHAnsi" w:eastAsia="Times New Roman" w:hAnsiTheme="majorHAnsi" w:cstheme="majorHAnsi"/>
                <w:bCs/>
                <w:i/>
                <w:color w:val="000000"/>
                <w:sz w:val="20"/>
                <w:szCs w:val="20"/>
              </w:rPr>
              <w:t xml:space="preserve"> prior coursework equivalent to PH1690 may elect to complete PH 1700.</w:t>
            </w:r>
          </w:p>
        </w:tc>
        <w:tc>
          <w:tcPr>
            <w:tcW w:w="2783" w:type="pct"/>
            <w:shd w:val="clear" w:color="auto" w:fill="auto"/>
            <w:tcMar>
              <w:left w:w="29" w:type="dxa"/>
              <w:right w:w="29" w:type="dxa"/>
            </w:tcMar>
          </w:tcPr>
          <w:p w:rsidR="007B2DC1" w:rsidRPr="00F36007" w:rsidRDefault="00366951" w:rsidP="00A37ED6">
            <w:pPr>
              <w:rPr>
                <w:rFonts w:asciiTheme="majorHAnsi" w:eastAsia="Times New Roman" w:hAnsiTheme="majorHAnsi" w:cstheme="majorHAnsi"/>
                <w:color w:val="000000"/>
                <w:sz w:val="20"/>
                <w:szCs w:val="20"/>
              </w:rPr>
            </w:pPr>
            <w:r w:rsidRPr="00F36007">
              <w:rPr>
                <w:rFonts w:asciiTheme="majorHAnsi" w:hAnsiTheme="majorHAnsi" w:cstheme="majorHAnsi"/>
                <w:sz w:val="20"/>
                <w:szCs w:val="20"/>
              </w:rPr>
              <w:t>Final Project</w:t>
            </w:r>
            <w:r w:rsidR="009D198C" w:rsidRPr="00F36007">
              <w:rPr>
                <w:rFonts w:asciiTheme="majorHAnsi" w:eastAsia="Times New Roman" w:hAnsiTheme="majorHAnsi" w:cstheme="majorHAnsi"/>
                <w:color w:val="000000"/>
                <w:sz w:val="20"/>
                <w:szCs w:val="20"/>
              </w:rPr>
              <w:t>:</w:t>
            </w:r>
            <w:r w:rsidR="007B2DC1" w:rsidRPr="00F36007">
              <w:rPr>
                <w:rFonts w:asciiTheme="majorHAnsi" w:eastAsia="Times New Roman" w:hAnsiTheme="majorHAnsi" w:cstheme="majorHAnsi"/>
                <w:color w:val="000000"/>
                <w:sz w:val="20"/>
                <w:szCs w:val="20"/>
              </w:rPr>
              <w:t xml:space="preserve"> For the project dataset, students will select and implement the appropriate statistical tests for different types of data. Students will analyze a real dataset and create a brief report explaining the methods, results using Stata or other statistical software, and a written discussion/interpretation of those results. Final Exam: a mixture of free response questions and multiple-choice questions asking students to select which statistical method is appropriate for the type of data. </w:t>
            </w:r>
          </w:p>
        </w:tc>
      </w:tr>
      <w:tr w:rsidR="00562E73" w:rsidRPr="00F36007" w:rsidTr="006E28EE">
        <w:trPr>
          <w:cantSplit/>
          <w:trHeight w:val="113"/>
        </w:trPr>
        <w:tc>
          <w:tcPr>
            <w:tcW w:w="1134" w:type="pct"/>
            <w:vMerge/>
            <w:shd w:val="clear" w:color="auto" w:fill="auto"/>
            <w:tcMar>
              <w:left w:w="29" w:type="dxa"/>
              <w:right w:w="29" w:type="dxa"/>
            </w:tcMar>
          </w:tcPr>
          <w:p w:rsidR="007B2DC1" w:rsidRPr="00F36007" w:rsidRDefault="007B2DC1" w:rsidP="00A37ED6">
            <w:pPr>
              <w:rPr>
                <w:rFonts w:asciiTheme="majorHAnsi" w:eastAsia="Times New Roman" w:hAnsiTheme="majorHAnsi" w:cstheme="majorHAnsi"/>
                <w:color w:val="000000"/>
                <w:sz w:val="20"/>
                <w:szCs w:val="20"/>
              </w:rPr>
            </w:pPr>
          </w:p>
        </w:tc>
        <w:tc>
          <w:tcPr>
            <w:tcW w:w="1083" w:type="pct"/>
            <w:shd w:val="clear" w:color="auto" w:fill="auto"/>
            <w:tcMar>
              <w:left w:w="29" w:type="dxa"/>
              <w:right w:w="29" w:type="dxa"/>
            </w:tcMar>
          </w:tcPr>
          <w:p w:rsidR="007B2DC1" w:rsidRPr="00F36007" w:rsidRDefault="005A06BA" w:rsidP="00FC4AEF">
            <w:pPr>
              <w:rPr>
                <w:rFonts w:asciiTheme="majorHAnsi" w:eastAsia="Times New Roman" w:hAnsiTheme="majorHAnsi" w:cstheme="majorHAnsi"/>
                <w:b/>
                <w:color w:val="000000"/>
                <w:sz w:val="20"/>
                <w:szCs w:val="20"/>
              </w:rPr>
            </w:pPr>
            <w:r w:rsidRPr="00740AE3">
              <w:rPr>
                <w:rFonts w:asciiTheme="majorHAnsi" w:hAnsiTheme="majorHAnsi" w:cstheme="majorHAnsi"/>
                <w:b/>
                <w:sz w:val="20"/>
                <w:szCs w:val="20"/>
              </w:rPr>
              <w:t>PHM 2612</w:t>
            </w:r>
            <w:r w:rsidRPr="00F36007">
              <w:rPr>
                <w:rFonts w:asciiTheme="majorHAnsi" w:hAnsiTheme="majorHAnsi" w:cstheme="majorHAnsi"/>
                <w:sz w:val="20"/>
                <w:szCs w:val="20"/>
              </w:rPr>
              <w:t xml:space="preserve"> Epidemiology I</w:t>
            </w:r>
            <w:r w:rsidR="00BC376C" w:rsidRPr="00F36007" w:rsidDel="004F694A">
              <w:rPr>
                <w:rFonts w:asciiTheme="majorHAnsi" w:eastAsia="Times New Roman" w:hAnsiTheme="majorHAnsi" w:cstheme="majorHAnsi"/>
                <w:b/>
                <w:color w:val="000000"/>
                <w:sz w:val="20"/>
                <w:szCs w:val="20"/>
              </w:rPr>
              <w:t xml:space="preserve"> </w:t>
            </w:r>
            <w:r w:rsidR="007B2DC1" w:rsidRPr="00F36007">
              <w:rPr>
                <w:rFonts w:asciiTheme="majorHAnsi" w:eastAsia="Times New Roman" w:hAnsiTheme="majorHAnsi" w:cstheme="majorHAnsi"/>
                <w:i/>
                <w:color w:val="000000"/>
                <w:sz w:val="20"/>
                <w:szCs w:val="20"/>
              </w:rPr>
              <w:t>(Quantitative)</w:t>
            </w:r>
          </w:p>
        </w:tc>
        <w:tc>
          <w:tcPr>
            <w:tcW w:w="2783" w:type="pct"/>
            <w:shd w:val="clear" w:color="auto" w:fill="auto"/>
            <w:tcMar>
              <w:left w:w="29" w:type="dxa"/>
              <w:right w:w="29" w:type="dxa"/>
            </w:tcMar>
          </w:tcPr>
          <w:p w:rsidR="007B2DC1" w:rsidRPr="00F36007" w:rsidRDefault="005A06BA" w:rsidP="00A37ED6">
            <w:pPr>
              <w:rPr>
                <w:rFonts w:asciiTheme="majorHAnsi" w:eastAsia="Times New Roman" w:hAnsiTheme="majorHAnsi" w:cstheme="majorHAnsi"/>
                <w:i/>
                <w:color w:val="000000"/>
                <w:sz w:val="20"/>
                <w:szCs w:val="20"/>
              </w:rPr>
            </w:pPr>
            <w:r w:rsidRPr="00F36007">
              <w:rPr>
                <w:rFonts w:asciiTheme="majorHAnsi" w:hAnsiTheme="majorHAnsi" w:cstheme="majorHAnsi"/>
                <w:sz w:val="20"/>
                <w:szCs w:val="20"/>
              </w:rPr>
              <w:t>Homework 3, Adjusted Rates</w:t>
            </w:r>
            <w:r w:rsidR="007B2DC1" w:rsidRPr="00F36007">
              <w:rPr>
                <w:rFonts w:asciiTheme="majorHAnsi" w:hAnsiTheme="majorHAnsi" w:cstheme="majorHAnsi"/>
                <w:color w:val="000000"/>
                <w:sz w:val="20"/>
                <w:szCs w:val="20"/>
              </w:rPr>
              <w:t>: This homework assignment contained problems that assessed risk and rate measures. Adjusted rates were also calculated on example problems. Additionally this exercise further reinforced concepts of prevalence and incidence.</w:t>
            </w:r>
          </w:p>
        </w:tc>
      </w:tr>
      <w:tr w:rsidR="00562E73" w:rsidRPr="00F36007" w:rsidTr="006E28EE">
        <w:trPr>
          <w:cantSplit/>
          <w:trHeight w:val="450"/>
        </w:trPr>
        <w:tc>
          <w:tcPr>
            <w:tcW w:w="1134" w:type="pct"/>
            <w:vMerge w:val="restart"/>
            <w:shd w:val="clear" w:color="auto" w:fill="auto"/>
            <w:tcMar>
              <w:left w:w="29" w:type="dxa"/>
              <w:right w:w="29" w:type="dxa"/>
            </w:tcMar>
            <w:hideMark/>
          </w:tcPr>
          <w:p w:rsidR="007B2DC1" w:rsidRPr="00F36007" w:rsidRDefault="007B2DC1" w:rsidP="00A37ED6">
            <w:pPr>
              <w:rPr>
                <w:rFonts w:asciiTheme="majorHAnsi" w:eastAsia="Times New Roman" w:hAnsiTheme="majorHAnsi" w:cstheme="majorHAnsi"/>
                <w:color w:val="000000"/>
                <w:sz w:val="20"/>
                <w:szCs w:val="20"/>
              </w:rPr>
            </w:pPr>
            <w:r w:rsidRPr="00F36007">
              <w:rPr>
                <w:rFonts w:asciiTheme="majorHAnsi" w:eastAsia="Times New Roman" w:hAnsiTheme="majorHAnsi" w:cstheme="majorHAnsi"/>
                <w:color w:val="000000"/>
                <w:sz w:val="20"/>
                <w:szCs w:val="20"/>
              </w:rPr>
              <w:t>MPH-4. Interpret results of data analysis for public health research, policy or practice</w:t>
            </w:r>
          </w:p>
        </w:tc>
        <w:tc>
          <w:tcPr>
            <w:tcW w:w="1083" w:type="pct"/>
            <w:shd w:val="clear" w:color="auto" w:fill="auto"/>
            <w:tcMar>
              <w:left w:w="29" w:type="dxa"/>
              <w:right w:w="29" w:type="dxa"/>
            </w:tcMar>
            <w:hideMark/>
          </w:tcPr>
          <w:p w:rsidR="007B2DC1" w:rsidRPr="00F36007" w:rsidRDefault="005A06BA" w:rsidP="00FC4AEF">
            <w:pPr>
              <w:rPr>
                <w:rFonts w:asciiTheme="majorHAnsi" w:eastAsia="Times New Roman" w:hAnsiTheme="majorHAnsi" w:cstheme="majorHAnsi"/>
                <w:color w:val="000000"/>
                <w:sz w:val="20"/>
                <w:szCs w:val="20"/>
              </w:rPr>
            </w:pPr>
            <w:r w:rsidRPr="00740AE3">
              <w:rPr>
                <w:rFonts w:asciiTheme="majorHAnsi" w:hAnsiTheme="majorHAnsi" w:cstheme="majorHAnsi"/>
                <w:b/>
                <w:sz w:val="20"/>
                <w:szCs w:val="20"/>
              </w:rPr>
              <w:t>PHM 1110</w:t>
            </w:r>
            <w:r w:rsidRPr="00F36007">
              <w:rPr>
                <w:rFonts w:asciiTheme="majorHAnsi" w:hAnsiTheme="majorHAnsi" w:cstheme="majorHAnsi"/>
                <w:sz w:val="20"/>
                <w:szCs w:val="20"/>
              </w:rPr>
              <w:t xml:space="preserve"> Health Promotion and Behavioral Sciences in Public Health</w:t>
            </w:r>
            <w:r w:rsidR="007B2DC1" w:rsidRPr="00F36007">
              <w:rPr>
                <w:rFonts w:asciiTheme="majorHAnsi" w:eastAsia="Times New Roman" w:hAnsiTheme="majorHAnsi" w:cstheme="majorHAnsi"/>
                <w:color w:val="000000"/>
                <w:sz w:val="20"/>
                <w:szCs w:val="20"/>
              </w:rPr>
              <w:t xml:space="preserve"> </w:t>
            </w:r>
            <w:r w:rsidR="007B2DC1" w:rsidRPr="00F36007">
              <w:rPr>
                <w:rFonts w:asciiTheme="majorHAnsi" w:eastAsia="Times New Roman" w:hAnsiTheme="majorHAnsi" w:cstheme="majorHAnsi"/>
                <w:i/>
                <w:color w:val="000000"/>
                <w:sz w:val="20"/>
                <w:szCs w:val="20"/>
              </w:rPr>
              <w:t>(Qualitative)</w:t>
            </w:r>
          </w:p>
        </w:tc>
        <w:tc>
          <w:tcPr>
            <w:tcW w:w="2783" w:type="pct"/>
            <w:shd w:val="clear" w:color="auto" w:fill="auto"/>
            <w:tcMar>
              <w:left w:w="29" w:type="dxa"/>
              <w:right w:w="29" w:type="dxa"/>
            </w:tcMar>
            <w:hideMark/>
          </w:tcPr>
          <w:p w:rsidR="007B2DC1" w:rsidRPr="00F36007" w:rsidRDefault="005A06BA" w:rsidP="00A37ED6">
            <w:pPr>
              <w:rPr>
                <w:rFonts w:asciiTheme="majorHAnsi" w:eastAsia="Times New Roman" w:hAnsiTheme="majorHAnsi" w:cstheme="majorHAnsi"/>
                <w:color w:val="000000"/>
                <w:sz w:val="20"/>
                <w:szCs w:val="20"/>
              </w:rPr>
            </w:pPr>
            <w:r w:rsidRPr="00F36007">
              <w:rPr>
                <w:rFonts w:asciiTheme="majorHAnsi" w:hAnsiTheme="majorHAnsi" w:cstheme="majorHAnsi"/>
                <w:sz w:val="20"/>
                <w:szCs w:val="20"/>
              </w:rPr>
              <w:t xml:space="preserve">Evidence </w:t>
            </w:r>
            <w:r w:rsidRPr="00AF5600">
              <w:rPr>
                <w:rFonts w:asciiTheme="majorHAnsi" w:hAnsiTheme="majorHAnsi" w:cstheme="majorHAnsi"/>
                <w:sz w:val="20"/>
                <w:szCs w:val="20"/>
              </w:rPr>
              <w:t>Table</w:t>
            </w:r>
            <w:r w:rsidR="007B2DC1" w:rsidRPr="00AF5600">
              <w:rPr>
                <w:rFonts w:asciiTheme="majorHAnsi" w:eastAsia="Times New Roman" w:hAnsiTheme="majorHAnsi" w:cstheme="majorHAnsi"/>
                <w:color w:val="000000"/>
                <w:sz w:val="20"/>
                <w:szCs w:val="20"/>
              </w:rPr>
              <w:t xml:space="preserve"> (</w:t>
            </w:r>
            <w:r w:rsidR="0021789A" w:rsidRPr="00AF5600">
              <w:rPr>
                <w:rFonts w:asciiTheme="majorHAnsi" w:eastAsia="Times New Roman" w:hAnsiTheme="majorHAnsi" w:cstheme="majorHAnsi"/>
                <w:color w:val="000000"/>
                <w:sz w:val="20"/>
                <w:szCs w:val="20"/>
              </w:rPr>
              <w:t xml:space="preserve">and </w:t>
            </w:r>
            <w:r w:rsidRPr="00AF5600">
              <w:rPr>
                <w:rFonts w:asciiTheme="majorHAnsi" w:hAnsiTheme="majorHAnsi" w:cstheme="majorHAnsi"/>
                <w:sz w:val="20"/>
                <w:szCs w:val="20"/>
              </w:rPr>
              <w:t>Example</w:t>
            </w:r>
            <w:r w:rsidR="007B2DC1" w:rsidRPr="00403A81">
              <w:rPr>
                <w:rFonts w:asciiTheme="majorHAnsi" w:eastAsia="Times New Roman" w:hAnsiTheme="majorHAnsi" w:cstheme="majorHAnsi"/>
                <w:color w:val="000000"/>
                <w:sz w:val="20"/>
                <w:szCs w:val="20"/>
              </w:rPr>
              <w:t>):</w:t>
            </w:r>
            <w:r w:rsidR="007B2DC1" w:rsidRPr="00F36007">
              <w:rPr>
                <w:rFonts w:asciiTheme="majorHAnsi" w:eastAsia="Times New Roman" w:hAnsiTheme="majorHAnsi" w:cstheme="majorHAnsi"/>
                <w:color w:val="000000"/>
                <w:sz w:val="20"/>
                <w:szCs w:val="20"/>
              </w:rPr>
              <w:t xml:space="preserve"> Students will develop and complete a theory evidence table that includes the results from three peer-reviewed public health research article that uses one of the health behavior theories covered in class. In order to complete the evidence table, students must interpret the data analysis results from this research article and describe how these finding impact public health research, policy or practice.</w:t>
            </w:r>
          </w:p>
        </w:tc>
      </w:tr>
      <w:tr w:rsidR="00562E73" w:rsidRPr="00F36007" w:rsidTr="006E28EE">
        <w:trPr>
          <w:cantSplit/>
          <w:trHeight w:val="450"/>
        </w:trPr>
        <w:tc>
          <w:tcPr>
            <w:tcW w:w="1134" w:type="pct"/>
            <w:vMerge/>
            <w:shd w:val="clear" w:color="auto" w:fill="auto"/>
            <w:tcMar>
              <w:left w:w="29" w:type="dxa"/>
              <w:right w:w="29" w:type="dxa"/>
            </w:tcMar>
          </w:tcPr>
          <w:p w:rsidR="007B2DC1" w:rsidRPr="00F36007" w:rsidRDefault="007B2DC1" w:rsidP="00A37ED6">
            <w:pPr>
              <w:rPr>
                <w:rFonts w:asciiTheme="majorHAnsi" w:eastAsia="Times New Roman" w:hAnsiTheme="majorHAnsi" w:cstheme="majorHAnsi"/>
                <w:color w:val="000000"/>
                <w:sz w:val="20"/>
                <w:szCs w:val="20"/>
              </w:rPr>
            </w:pPr>
          </w:p>
        </w:tc>
        <w:tc>
          <w:tcPr>
            <w:tcW w:w="1083" w:type="pct"/>
            <w:shd w:val="clear" w:color="auto" w:fill="auto"/>
            <w:tcMar>
              <w:left w:w="29" w:type="dxa"/>
              <w:right w:w="29" w:type="dxa"/>
            </w:tcMar>
          </w:tcPr>
          <w:p w:rsidR="007B2DC1" w:rsidRPr="00F36007" w:rsidRDefault="0074569B" w:rsidP="00FC4AEF">
            <w:pPr>
              <w:rPr>
                <w:rFonts w:asciiTheme="majorHAnsi" w:eastAsia="Times New Roman" w:hAnsiTheme="majorHAnsi" w:cstheme="majorHAnsi"/>
                <w:color w:val="000000"/>
                <w:sz w:val="20"/>
                <w:szCs w:val="20"/>
              </w:rPr>
            </w:pPr>
            <w:r w:rsidRPr="00740AE3">
              <w:rPr>
                <w:rFonts w:asciiTheme="majorHAnsi" w:hAnsiTheme="majorHAnsi" w:cstheme="majorHAnsi"/>
                <w:b/>
                <w:sz w:val="20"/>
                <w:szCs w:val="20"/>
              </w:rPr>
              <w:t>PH 1690</w:t>
            </w:r>
            <w:r w:rsidRPr="00F36007">
              <w:rPr>
                <w:rFonts w:asciiTheme="majorHAnsi" w:hAnsiTheme="majorHAnsi" w:cstheme="majorHAnsi"/>
                <w:sz w:val="20"/>
                <w:szCs w:val="20"/>
              </w:rPr>
              <w:t xml:space="preserve"> Introduction to Biostatistics in Public Health</w:t>
            </w:r>
            <w:r w:rsidR="005C720A" w:rsidRPr="00F36007">
              <w:rPr>
                <w:rFonts w:asciiTheme="majorHAnsi" w:eastAsia="Times New Roman" w:hAnsiTheme="majorHAnsi" w:cstheme="majorHAnsi"/>
                <w:color w:val="000000"/>
                <w:sz w:val="20"/>
                <w:szCs w:val="20"/>
              </w:rPr>
              <w:t xml:space="preserve"> </w:t>
            </w:r>
            <w:r w:rsidR="005C720A" w:rsidRPr="00F36007">
              <w:rPr>
                <w:rFonts w:asciiTheme="majorHAnsi" w:eastAsia="Times New Roman" w:hAnsiTheme="majorHAnsi" w:cstheme="majorHAnsi"/>
                <w:i/>
                <w:color w:val="000000"/>
                <w:sz w:val="20"/>
                <w:szCs w:val="20"/>
              </w:rPr>
              <w:t>(Quantitative)</w:t>
            </w:r>
          </w:p>
        </w:tc>
        <w:tc>
          <w:tcPr>
            <w:tcW w:w="2783" w:type="pct"/>
            <w:shd w:val="clear" w:color="auto" w:fill="auto"/>
            <w:tcMar>
              <w:left w:w="29" w:type="dxa"/>
              <w:right w:w="29" w:type="dxa"/>
            </w:tcMar>
            <w:vAlign w:val="center"/>
          </w:tcPr>
          <w:p w:rsidR="002B6C8B" w:rsidRPr="00F36007" w:rsidRDefault="0074569B" w:rsidP="00A37ED6">
            <w:pPr>
              <w:rPr>
                <w:rFonts w:asciiTheme="majorHAnsi" w:eastAsia="Times New Roman" w:hAnsiTheme="majorHAnsi" w:cstheme="majorHAnsi"/>
                <w:color w:val="000000"/>
                <w:sz w:val="20"/>
                <w:szCs w:val="20"/>
              </w:rPr>
            </w:pPr>
            <w:r w:rsidRPr="00F36007">
              <w:rPr>
                <w:rFonts w:asciiTheme="majorHAnsi" w:hAnsiTheme="majorHAnsi" w:cstheme="majorHAnsi"/>
                <w:sz w:val="20"/>
                <w:szCs w:val="20"/>
              </w:rPr>
              <w:t>Final Project</w:t>
            </w:r>
            <w:r w:rsidR="002B6C8B" w:rsidRPr="00F36007">
              <w:rPr>
                <w:rFonts w:asciiTheme="majorHAnsi" w:eastAsia="Times New Roman" w:hAnsiTheme="majorHAnsi" w:cstheme="majorHAnsi"/>
                <w:color w:val="000000"/>
                <w:sz w:val="20"/>
                <w:szCs w:val="20"/>
              </w:rPr>
              <w:t>: Students will select and implement the appropriate statistical tests for different types of data. Students will analyze a real dataset and create a brief report explaining the methods, results using Stata or other statistical software, and a written discussion/interpretation of those results.</w:t>
            </w:r>
          </w:p>
          <w:p w:rsidR="002B6C8B" w:rsidRPr="00F36007" w:rsidRDefault="002B6C8B" w:rsidP="00A37ED6">
            <w:pPr>
              <w:rPr>
                <w:rFonts w:asciiTheme="majorHAnsi" w:eastAsia="Times New Roman" w:hAnsiTheme="majorHAnsi" w:cstheme="majorHAnsi"/>
                <w:color w:val="000000"/>
                <w:sz w:val="20"/>
                <w:szCs w:val="20"/>
              </w:rPr>
            </w:pPr>
          </w:p>
          <w:p w:rsidR="007B2DC1" w:rsidRPr="00F36007" w:rsidRDefault="0074569B" w:rsidP="00A37ED6">
            <w:pPr>
              <w:rPr>
                <w:rFonts w:asciiTheme="majorHAnsi" w:eastAsia="Times New Roman" w:hAnsiTheme="majorHAnsi" w:cstheme="majorHAnsi"/>
                <w:color w:val="000000"/>
                <w:sz w:val="20"/>
                <w:szCs w:val="20"/>
              </w:rPr>
            </w:pPr>
            <w:r w:rsidRPr="00F36007">
              <w:rPr>
                <w:rFonts w:asciiTheme="majorHAnsi" w:hAnsiTheme="majorHAnsi" w:cstheme="majorHAnsi"/>
                <w:sz w:val="20"/>
                <w:szCs w:val="20"/>
              </w:rPr>
              <w:t>Final Exam</w:t>
            </w:r>
            <w:r w:rsidR="002B6C8B" w:rsidRPr="00F36007">
              <w:rPr>
                <w:rFonts w:asciiTheme="majorHAnsi" w:eastAsia="Times New Roman" w:hAnsiTheme="majorHAnsi" w:cstheme="majorHAnsi"/>
                <w:color w:val="000000"/>
                <w:sz w:val="20"/>
                <w:szCs w:val="20"/>
              </w:rPr>
              <w:t>: A mixture of free response questions and multiple-choice questions asking students to select which statistical method is appropriate for the type of data.</w:t>
            </w:r>
          </w:p>
        </w:tc>
      </w:tr>
      <w:tr w:rsidR="00562E73" w:rsidRPr="00F36007" w:rsidTr="006E28EE">
        <w:trPr>
          <w:cantSplit/>
          <w:trHeight w:val="450"/>
        </w:trPr>
        <w:tc>
          <w:tcPr>
            <w:tcW w:w="1134" w:type="pct"/>
            <w:vMerge/>
            <w:shd w:val="clear" w:color="auto" w:fill="auto"/>
            <w:tcMar>
              <w:left w:w="29" w:type="dxa"/>
              <w:right w:w="29" w:type="dxa"/>
            </w:tcMar>
          </w:tcPr>
          <w:p w:rsidR="007B2DC1" w:rsidRPr="00F36007" w:rsidRDefault="007B2DC1" w:rsidP="00A37ED6">
            <w:pPr>
              <w:rPr>
                <w:rFonts w:asciiTheme="majorHAnsi" w:eastAsia="Times New Roman" w:hAnsiTheme="majorHAnsi" w:cstheme="majorHAnsi"/>
                <w:color w:val="000000"/>
                <w:sz w:val="20"/>
                <w:szCs w:val="20"/>
              </w:rPr>
            </w:pPr>
          </w:p>
        </w:tc>
        <w:tc>
          <w:tcPr>
            <w:tcW w:w="1083" w:type="pct"/>
            <w:shd w:val="clear" w:color="auto" w:fill="auto"/>
            <w:tcMar>
              <w:left w:w="29" w:type="dxa"/>
              <w:right w:w="29" w:type="dxa"/>
            </w:tcMar>
          </w:tcPr>
          <w:p w:rsidR="005C720A" w:rsidRPr="00F36007" w:rsidRDefault="00A234C9" w:rsidP="00A37ED6">
            <w:pPr>
              <w:rPr>
                <w:rFonts w:asciiTheme="majorHAnsi" w:eastAsia="Times New Roman" w:hAnsiTheme="majorHAnsi" w:cstheme="majorHAnsi"/>
                <w:bCs/>
                <w:color w:val="000000"/>
                <w:sz w:val="20"/>
                <w:szCs w:val="20"/>
              </w:rPr>
            </w:pPr>
            <w:r w:rsidRPr="00740AE3">
              <w:rPr>
                <w:rFonts w:asciiTheme="majorHAnsi" w:hAnsiTheme="majorHAnsi" w:cstheme="majorHAnsi"/>
                <w:b/>
                <w:sz w:val="20"/>
                <w:szCs w:val="20"/>
              </w:rPr>
              <w:t>PH 1700</w:t>
            </w:r>
            <w:r w:rsidRPr="00F36007">
              <w:rPr>
                <w:rFonts w:asciiTheme="majorHAnsi" w:hAnsiTheme="majorHAnsi" w:cstheme="majorHAnsi"/>
                <w:sz w:val="20"/>
                <w:szCs w:val="20"/>
              </w:rPr>
              <w:t xml:space="preserve"> Intermediate Biostatistics</w:t>
            </w:r>
            <w:r w:rsidR="005C720A" w:rsidRPr="00F36007">
              <w:rPr>
                <w:rFonts w:asciiTheme="majorHAnsi" w:eastAsia="Times New Roman" w:hAnsiTheme="majorHAnsi" w:cstheme="majorHAnsi"/>
                <w:bCs/>
                <w:color w:val="000000"/>
                <w:sz w:val="20"/>
                <w:szCs w:val="20"/>
              </w:rPr>
              <w:t xml:space="preserve"> </w:t>
            </w:r>
          </w:p>
          <w:p w:rsidR="005C720A" w:rsidRPr="00F36007" w:rsidRDefault="005C720A" w:rsidP="00A37ED6">
            <w:pPr>
              <w:rPr>
                <w:rFonts w:asciiTheme="majorHAnsi" w:eastAsia="Times New Roman" w:hAnsiTheme="majorHAnsi" w:cstheme="majorHAnsi"/>
                <w:bCs/>
                <w:color w:val="000000"/>
                <w:sz w:val="20"/>
                <w:szCs w:val="20"/>
              </w:rPr>
            </w:pPr>
          </w:p>
          <w:p w:rsidR="007B2DC1" w:rsidRPr="00F36007" w:rsidRDefault="005C720A" w:rsidP="00A37ED6">
            <w:pPr>
              <w:rPr>
                <w:rFonts w:asciiTheme="majorHAnsi" w:eastAsia="Times New Roman" w:hAnsiTheme="majorHAnsi" w:cstheme="majorHAnsi"/>
                <w:b/>
                <w:color w:val="000000"/>
                <w:sz w:val="20"/>
                <w:szCs w:val="20"/>
              </w:rPr>
            </w:pPr>
            <w:r w:rsidRPr="00F36007">
              <w:rPr>
                <w:rFonts w:asciiTheme="majorHAnsi" w:eastAsia="Times New Roman" w:hAnsiTheme="majorHAnsi" w:cstheme="majorHAnsi"/>
                <w:bCs/>
                <w:i/>
                <w:color w:val="000000"/>
                <w:sz w:val="20"/>
                <w:szCs w:val="20"/>
              </w:rPr>
              <w:t>MPH students with prior coursework equivalent to PH1690 may elect to complete PH 1700.</w:t>
            </w:r>
          </w:p>
        </w:tc>
        <w:tc>
          <w:tcPr>
            <w:tcW w:w="2783" w:type="pct"/>
            <w:shd w:val="clear" w:color="auto" w:fill="auto"/>
            <w:tcMar>
              <w:left w:w="29" w:type="dxa"/>
              <w:right w:w="29" w:type="dxa"/>
            </w:tcMar>
          </w:tcPr>
          <w:p w:rsidR="007B2DC1" w:rsidRPr="00F36007" w:rsidRDefault="00A234C9" w:rsidP="00A37ED6">
            <w:pPr>
              <w:rPr>
                <w:rFonts w:asciiTheme="majorHAnsi" w:eastAsia="Times New Roman" w:hAnsiTheme="majorHAnsi" w:cstheme="majorHAnsi"/>
                <w:color w:val="000000"/>
                <w:sz w:val="20"/>
                <w:szCs w:val="20"/>
              </w:rPr>
            </w:pPr>
            <w:r w:rsidRPr="00F36007">
              <w:rPr>
                <w:rFonts w:asciiTheme="majorHAnsi" w:hAnsiTheme="majorHAnsi" w:cstheme="majorHAnsi"/>
                <w:sz w:val="20"/>
                <w:szCs w:val="20"/>
              </w:rPr>
              <w:t>Final Project</w:t>
            </w:r>
            <w:r w:rsidR="009D198C" w:rsidRPr="00F36007">
              <w:rPr>
                <w:rFonts w:asciiTheme="majorHAnsi" w:eastAsia="Times New Roman" w:hAnsiTheme="majorHAnsi" w:cstheme="majorHAnsi"/>
                <w:color w:val="000000"/>
                <w:sz w:val="20"/>
                <w:szCs w:val="20"/>
              </w:rPr>
              <w:t xml:space="preserve">: </w:t>
            </w:r>
            <w:r w:rsidR="007B2DC1" w:rsidRPr="00F36007">
              <w:rPr>
                <w:rFonts w:asciiTheme="majorHAnsi" w:eastAsia="Times New Roman" w:hAnsiTheme="majorHAnsi" w:cstheme="majorHAnsi"/>
                <w:color w:val="000000"/>
                <w:sz w:val="20"/>
                <w:szCs w:val="20"/>
              </w:rPr>
              <w:t>Interpret results from a real dataset and create a brief report explaining the methods, results using Stata or other statistical software, and a written discussion/interpretation of those results.</w:t>
            </w:r>
          </w:p>
        </w:tc>
      </w:tr>
      <w:tr w:rsidR="00562E73" w:rsidRPr="00F36007" w:rsidTr="006E28EE">
        <w:trPr>
          <w:cantSplit/>
          <w:trHeight w:val="185"/>
        </w:trPr>
        <w:tc>
          <w:tcPr>
            <w:tcW w:w="1134" w:type="pct"/>
            <w:vMerge/>
            <w:shd w:val="clear" w:color="auto" w:fill="auto"/>
            <w:tcMar>
              <w:left w:w="29" w:type="dxa"/>
              <w:right w:w="29" w:type="dxa"/>
            </w:tcMar>
          </w:tcPr>
          <w:p w:rsidR="007B2DC1" w:rsidRPr="00F36007" w:rsidRDefault="007B2DC1" w:rsidP="00A37ED6">
            <w:pPr>
              <w:rPr>
                <w:rFonts w:asciiTheme="majorHAnsi" w:eastAsia="Times New Roman" w:hAnsiTheme="majorHAnsi" w:cstheme="majorHAnsi"/>
                <w:color w:val="000000"/>
                <w:sz w:val="20"/>
                <w:szCs w:val="20"/>
              </w:rPr>
            </w:pPr>
          </w:p>
        </w:tc>
        <w:tc>
          <w:tcPr>
            <w:tcW w:w="1083" w:type="pct"/>
            <w:shd w:val="clear" w:color="auto" w:fill="auto"/>
            <w:tcMar>
              <w:left w:w="29" w:type="dxa"/>
              <w:right w:w="29" w:type="dxa"/>
            </w:tcMar>
          </w:tcPr>
          <w:p w:rsidR="007B2DC1" w:rsidRPr="00F36007" w:rsidRDefault="00E23099" w:rsidP="00FC4AEF">
            <w:pPr>
              <w:rPr>
                <w:rFonts w:asciiTheme="majorHAnsi" w:eastAsia="Times New Roman" w:hAnsiTheme="majorHAnsi" w:cstheme="majorHAnsi"/>
                <w:b/>
                <w:color w:val="000000"/>
                <w:sz w:val="20"/>
                <w:szCs w:val="20"/>
              </w:rPr>
            </w:pPr>
            <w:r w:rsidRPr="00740AE3">
              <w:rPr>
                <w:rFonts w:asciiTheme="majorHAnsi" w:hAnsiTheme="majorHAnsi" w:cstheme="majorHAnsi"/>
                <w:b/>
                <w:sz w:val="20"/>
                <w:szCs w:val="20"/>
              </w:rPr>
              <w:t>PHM 2612</w:t>
            </w:r>
            <w:r w:rsidRPr="00F36007">
              <w:rPr>
                <w:rFonts w:asciiTheme="majorHAnsi" w:hAnsiTheme="majorHAnsi" w:cstheme="majorHAnsi"/>
                <w:sz w:val="20"/>
                <w:szCs w:val="20"/>
              </w:rPr>
              <w:t xml:space="preserve"> Epidemiology I</w:t>
            </w:r>
          </w:p>
        </w:tc>
        <w:tc>
          <w:tcPr>
            <w:tcW w:w="2783" w:type="pct"/>
            <w:shd w:val="clear" w:color="auto" w:fill="auto"/>
            <w:tcMar>
              <w:left w:w="29" w:type="dxa"/>
              <w:right w:w="29" w:type="dxa"/>
            </w:tcMar>
          </w:tcPr>
          <w:p w:rsidR="007B2DC1" w:rsidRPr="00F36007" w:rsidRDefault="00E23099" w:rsidP="00A37ED6">
            <w:pPr>
              <w:rPr>
                <w:rFonts w:asciiTheme="majorHAnsi" w:eastAsia="Times New Roman" w:hAnsiTheme="majorHAnsi" w:cstheme="majorHAnsi"/>
                <w:i/>
                <w:color w:val="000000"/>
                <w:sz w:val="20"/>
                <w:szCs w:val="20"/>
              </w:rPr>
            </w:pPr>
            <w:r w:rsidRPr="00F36007">
              <w:rPr>
                <w:rFonts w:asciiTheme="majorHAnsi" w:hAnsiTheme="majorHAnsi" w:cstheme="majorHAnsi"/>
                <w:sz w:val="20"/>
                <w:szCs w:val="20"/>
              </w:rPr>
              <w:t>Homework 9, Cohort</w:t>
            </w:r>
            <w:r w:rsidR="007B2DC1" w:rsidRPr="00F36007">
              <w:rPr>
                <w:rFonts w:asciiTheme="majorHAnsi" w:hAnsiTheme="majorHAnsi" w:cstheme="majorHAnsi"/>
                <w:color w:val="000000"/>
                <w:sz w:val="20"/>
                <w:szCs w:val="20"/>
              </w:rPr>
              <w:t>: This homework assignment was based on cohort study design. Students were expected to calculate risk and ratio measures based on example cohort studies. Additionally interpretation of relative risks and knowledge of cohort study characteristics, including bias and advantages/disadvantages, were also tested.</w:t>
            </w:r>
          </w:p>
        </w:tc>
      </w:tr>
      <w:tr w:rsidR="00562E73" w:rsidRPr="00F36007" w:rsidTr="006E28EE">
        <w:trPr>
          <w:cantSplit/>
          <w:trHeight w:val="185"/>
        </w:trPr>
        <w:tc>
          <w:tcPr>
            <w:tcW w:w="1134" w:type="pct"/>
            <w:vMerge/>
            <w:shd w:val="clear" w:color="auto" w:fill="auto"/>
            <w:tcMar>
              <w:left w:w="29" w:type="dxa"/>
              <w:right w:w="29" w:type="dxa"/>
            </w:tcMar>
          </w:tcPr>
          <w:p w:rsidR="00534D8C" w:rsidRPr="00F36007" w:rsidRDefault="00534D8C" w:rsidP="00A37ED6">
            <w:pPr>
              <w:rPr>
                <w:rFonts w:asciiTheme="majorHAnsi" w:eastAsia="Times New Roman" w:hAnsiTheme="majorHAnsi" w:cstheme="majorHAnsi"/>
                <w:color w:val="000000"/>
                <w:sz w:val="20"/>
                <w:szCs w:val="20"/>
              </w:rPr>
            </w:pPr>
          </w:p>
        </w:tc>
        <w:tc>
          <w:tcPr>
            <w:tcW w:w="1083" w:type="pct"/>
            <w:shd w:val="clear" w:color="auto" w:fill="auto"/>
            <w:tcMar>
              <w:left w:w="29" w:type="dxa"/>
              <w:right w:w="29" w:type="dxa"/>
            </w:tcMar>
          </w:tcPr>
          <w:p w:rsidR="00534D8C" w:rsidRPr="00F36007" w:rsidRDefault="006E3D5E" w:rsidP="00FC4AEF">
            <w:pPr>
              <w:rPr>
                <w:rFonts w:asciiTheme="majorHAnsi" w:eastAsia="Times New Roman" w:hAnsiTheme="majorHAnsi" w:cstheme="majorHAnsi"/>
                <w:color w:val="000000"/>
                <w:sz w:val="20"/>
                <w:szCs w:val="20"/>
              </w:rPr>
            </w:pPr>
            <w:hyperlink r:id="rId25" w:history="1">
              <w:r w:rsidR="0076110D" w:rsidRPr="00740AE3">
                <w:rPr>
                  <w:rFonts w:asciiTheme="majorHAnsi" w:hAnsiTheme="majorHAnsi" w:cstheme="majorHAnsi"/>
                  <w:b/>
                  <w:sz w:val="20"/>
                  <w:szCs w:val="20"/>
                </w:rPr>
                <w:t xml:space="preserve">PHM 5015 </w:t>
              </w:r>
              <w:r w:rsidR="0076110D" w:rsidRPr="00F36007">
                <w:rPr>
                  <w:rFonts w:asciiTheme="majorHAnsi" w:hAnsiTheme="majorHAnsi" w:cstheme="majorHAnsi"/>
                  <w:sz w:val="20"/>
                  <w:szCs w:val="20"/>
                </w:rPr>
                <w:t>Introduction to Qualitative Research in Public Health</w:t>
              </w:r>
            </w:hyperlink>
            <w:r w:rsidR="00543E67" w:rsidRPr="00F36007">
              <w:rPr>
                <w:rFonts w:asciiTheme="majorHAnsi" w:eastAsia="Times New Roman" w:hAnsiTheme="majorHAnsi" w:cstheme="majorHAnsi"/>
                <w:sz w:val="20"/>
                <w:szCs w:val="20"/>
              </w:rPr>
              <w:t xml:space="preserve"> </w:t>
            </w:r>
            <w:r w:rsidR="00534D8C" w:rsidRPr="00F36007">
              <w:rPr>
                <w:rFonts w:asciiTheme="majorHAnsi" w:eastAsia="Times New Roman" w:hAnsiTheme="majorHAnsi" w:cstheme="majorHAnsi"/>
                <w:i/>
                <w:color w:val="000000"/>
                <w:sz w:val="20"/>
                <w:szCs w:val="20"/>
              </w:rPr>
              <w:t>(Qualitative)</w:t>
            </w:r>
          </w:p>
        </w:tc>
        <w:tc>
          <w:tcPr>
            <w:tcW w:w="2783" w:type="pct"/>
            <w:shd w:val="clear" w:color="auto" w:fill="auto"/>
            <w:tcMar>
              <w:left w:w="29" w:type="dxa"/>
              <w:right w:w="29" w:type="dxa"/>
            </w:tcMar>
          </w:tcPr>
          <w:p w:rsidR="00534D8C" w:rsidRPr="00F36007" w:rsidRDefault="0076110D" w:rsidP="00A37ED6">
            <w:pPr>
              <w:rPr>
                <w:rFonts w:asciiTheme="majorHAnsi" w:hAnsiTheme="majorHAnsi" w:cstheme="majorHAnsi"/>
                <w:sz w:val="20"/>
                <w:szCs w:val="20"/>
              </w:rPr>
            </w:pPr>
            <w:r w:rsidRPr="00F36007">
              <w:rPr>
                <w:rFonts w:asciiTheme="majorHAnsi" w:hAnsiTheme="majorHAnsi" w:cstheme="majorHAnsi"/>
                <w:sz w:val="20"/>
                <w:szCs w:val="20"/>
              </w:rPr>
              <w:t>Theme Section Write Up</w:t>
            </w:r>
            <w:r w:rsidR="00E47704" w:rsidRPr="00F36007">
              <w:rPr>
                <w:rFonts w:asciiTheme="majorHAnsi" w:hAnsiTheme="majorHAnsi" w:cstheme="majorHAnsi"/>
                <w:bCs/>
                <w:sz w:val="20"/>
                <w:szCs w:val="20"/>
              </w:rPr>
              <w:t>:</w:t>
            </w:r>
            <w:r w:rsidR="00AF5600">
              <w:rPr>
                <w:rFonts w:asciiTheme="majorHAnsi" w:hAnsiTheme="majorHAnsi" w:cstheme="majorHAnsi"/>
                <w:sz w:val="20"/>
                <w:szCs w:val="20"/>
              </w:rPr>
              <w:t xml:space="preserve"> t</w:t>
            </w:r>
            <w:r w:rsidR="00534D8C" w:rsidRPr="00F36007">
              <w:rPr>
                <w:rFonts w:asciiTheme="majorHAnsi" w:hAnsiTheme="majorHAnsi" w:cstheme="majorHAnsi"/>
                <w:sz w:val="20"/>
                <w:szCs w:val="20"/>
              </w:rPr>
              <w:t xml:space="preserve">he theme-section write up, or what is usually referred to as the results section in qualitative articles, should be informed by your thematic analysis of the two assigned transcripts. Below is the outline of the information that should be included in </w:t>
            </w:r>
            <w:r w:rsidR="00E47704" w:rsidRPr="00F36007">
              <w:rPr>
                <w:rFonts w:asciiTheme="majorHAnsi" w:hAnsiTheme="majorHAnsi" w:cstheme="majorHAnsi"/>
                <w:sz w:val="20"/>
                <w:szCs w:val="20"/>
              </w:rPr>
              <w:t>the final paper</w:t>
            </w:r>
            <w:r w:rsidR="00534D8C" w:rsidRPr="00F36007">
              <w:rPr>
                <w:rFonts w:asciiTheme="majorHAnsi" w:hAnsiTheme="majorHAnsi" w:cstheme="majorHAnsi"/>
                <w:sz w:val="20"/>
                <w:szCs w:val="20"/>
              </w:rPr>
              <w:t xml:space="preserve">. </w:t>
            </w:r>
          </w:p>
          <w:p w:rsidR="00534D8C" w:rsidRPr="00F36007" w:rsidRDefault="00534D8C" w:rsidP="00A37ED6">
            <w:pPr>
              <w:rPr>
                <w:rFonts w:asciiTheme="majorHAnsi" w:hAnsiTheme="majorHAnsi" w:cstheme="majorHAnsi"/>
                <w:sz w:val="20"/>
                <w:szCs w:val="20"/>
              </w:rPr>
            </w:pPr>
          </w:p>
          <w:p w:rsidR="00534D8C" w:rsidRPr="00F36007" w:rsidRDefault="00534D8C" w:rsidP="00A37ED6">
            <w:pPr>
              <w:rPr>
                <w:rFonts w:asciiTheme="majorHAnsi" w:hAnsiTheme="majorHAnsi" w:cstheme="majorHAnsi"/>
                <w:sz w:val="20"/>
                <w:szCs w:val="20"/>
              </w:rPr>
            </w:pPr>
            <w:r w:rsidRPr="00F36007">
              <w:rPr>
                <w:rFonts w:asciiTheme="majorHAnsi" w:hAnsiTheme="majorHAnsi" w:cstheme="majorHAnsi"/>
                <w:sz w:val="20"/>
                <w:szCs w:val="20"/>
              </w:rPr>
              <w:t>1) Analysis: Clearly and concisely describe the process of using thematic content analysis - from coding to themes</w:t>
            </w:r>
            <w:r w:rsidR="0076110D" w:rsidRPr="00F36007">
              <w:rPr>
                <w:rFonts w:asciiTheme="majorHAnsi" w:hAnsiTheme="majorHAnsi" w:cstheme="majorHAnsi"/>
                <w:sz w:val="20"/>
                <w:szCs w:val="20"/>
              </w:rPr>
              <w:t xml:space="preserve">. </w:t>
            </w:r>
          </w:p>
          <w:p w:rsidR="00534D8C" w:rsidRPr="00F36007" w:rsidRDefault="00534D8C" w:rsidP="00A37ED6">
            <w:pPr>
              <w:rPr>
                <w:rFonts w:asciiTheme="majorHAnsi" w:hAnsiTheme="majorHAnsi" w:cstheme="majorHAnsi"/>
                <w:sz w:val="20"/>
                <w:szCs w:val="20"/>
              </w:rPr>
            </w:pPr>
          </w:p>
          <w:p w:rsidR="0013741C" w:rsidRPr="00F36007" w:rsidRDefault="00534D8C" w:rsidP="00FC4AEF">
            <w:pPr>
              <w:rPr>
                <w:rFonts w:asciiTheme="majorHAnsi" w:hAnsiTheme="majorHAnsi" w:cstheme="majorHAnsi"/>
                <w:sz w:val="20"/>
                <w:szCs w:val="20"/>
              </w:rPr>
            </w:pPr>
            <w:r w:rsidRPr="00F36007">
              <w:rPr>
                <w:rFonts w:asciiTheme="majorHAnsi" w:hAnsiTheme="majorHAnsi" w:cstheme="majorHAnsi"/>
                <w:sz w:val="20"/>
                <w:szCs w:val="20"/>
              </w:rPr>
              <w:t>2) Results: Present your findings in a very clear and organized way. Identify two to three themes and provide explicit descriptions of themes. Each theme should be introduced, supported with evidence (a couple of cited quotations), and include a final summary statement. Quotes from interviews should be appropriately formatted and incorporated into the text. Each cited quotation should be appropriately introduced, cited (recording number, type of interviewee, and dated), and followed by an analytical sentence (provide a synthesis of information around each quote). It should be clear to the reader where information is coming from.</w:t>
            </w:r>
          </w:p>
        </w:tc>
      </w:tr>
      <w:tr w:rsidR="00534D8C" w:rsidRPr="00F36007" w:rsidTr="00DE072A">
        <w:trPr>
          <w:cantSplit/>
          <w:trHeight w:val="300"/>
        </w:trPr>
        <w:tc>
          <w:tcPr>
            <w:tcW w:w="5000" w:type="pct"/>
            <w:gridSpan w:val="3"/>
            <w:shd w:val="clear" w:color="000000" w:fill="D9D9D9"/>
            <w:noWrap/>
            <w:tcMar>
              <w:left w:w="29" w:type="dxa"/>
              <w:right w:w="29" w:type="dxa"/>
            </w:tcMar>
            <w:hideMark/>
          </w:tcPr>
          <w:p w:rsidR="00534D8C" w:rsidRPr="00F36007" w:rsidRDefault="00534D8C" w:rsidP="00A37ED6">
            <w:pPr>
              <w:jc w:val="both"/>
              <w:rPr>
                <w:rFonts w:asciiTheme="majorHAnsi" w:eastAsia="Times New Roman" w:hAnsiTheme="majorHAnsi" w:cstheme="majorHAnsi"/>
                <w:b/>
                <w:bCs/>
                <w:color w:val="000000"/>
                <w:sz w:val="20"/>
                <w:szCs w:val="20"/>
              </w:rPr>
            </w:pPr>
            <w:r w:rsidRPr="00F36007">
              <w:rPr>
                <w:rFonts w:asciiTheme="majorHAnsi" w:eastAsia="Times New Roman" w:hAnsiTheme="majorHAnsi" w:cstheme="majorHAnsi"/>
                <w:b/>
                <w:bCs/>
                <w:color w:val="000000"/>
                <w:sz w:val="20"/>
                <w:szCs w:val="20"/>
              </w:rPr>
              <w:t>Public Health &amp; Health Care Systems</w:t>
            </w:r>
          </w:p>
        </w:tc>
      </w:tr>
      <w:tr w:rsidR="00562E73" w:rsidRPr="00F36007" w:rsidTr="006E28EE">
        <w:trPr>
          <w:cantSplit/>
          <w:trHeight w:val="765"/>
        </w:trPr>
        <w:tc>
          <w:tcPr>
            <w:tcW w:w="1134" w:type="pct"/>
            <w:shd w:val="clear" w:color="auto" w:fill="auto"/>
            <w:tcMar>
              <w:left w:w="29" w:type="dxa"/>
              <w:right w:w="29" w:type="dxa"/>
            </w:tcMar>
            <w:hideMark/>
          </w:tcPr>
          <w:p w:rsidR="00534D8C" w:rsidRPr="00F36007" w:rsidRDefault="00534D8C" w:rsidP="00A37ED6">
            <w:pPr>
              <w:rPr>
                <w:rFonts w:asciiTheme="majorHAnsi" w:eastAsia="Times New Roman" w:hAnsiTheme="majorHAnsi" w:cstheme="majorHAnsi"/>
                <w:color w:val="000000"/>
                <w:sz w:val="20"/>
                <w:szCs w:val="20"/>
              </w:rPr>
            </w:pPr>
            <w:r w:rsidRPr="00F36007">
              <w:rPr>
                <w:rFonts w:asciiTheme="majorHAnsi" w:eastAsia="Times New Roman" w:hAnsiTheme="majorHAnsi" w:cstheme="majorHAnsi"/>
                <w:color w:val="000000"/>
                <w:sz w:val="20"/>
                <w:szCs w:val="20"/>
              </w:rPr>
              <w:t>MPH-5. Compare the organization, structure and function of health care, public health and regulatory systems across national and international settings</w:t>
            </w:r>
          </w:p>
        </w:tc>
        <w:tc>
          <w:tcPr>
            <w:tcW w:w="1083" w:type="pct"/>
            <w:shd w:val="clear" w:color="auto" w:fill="auto"/>
            <w:noWrap/>
            <w:tcMar>
              <w:left w:w="29" w:type="dxa"/>
              <w:right w:w="29" w:type="dxa"/>
            </w:tcMar>
            <w:hideMark/>
          </w:tcPr>
          <w:p w:rsidR="00534D8C" w:rsidRPr="00F36007" w:rsidRDefault="00C82A0A" w:rsidP="00FC4AEF">
            <w:pPr>
              <w:rPr>
                <w:rFonts w:asciiTheme="majorHAnsi" w:eastAsia="Times New Roman" w:hAnsiTheme="majorHAnsi" w:cstheme="majorHAnsi"/>
                <w:color w:val="000000"/>
                <w:sz w:val="20"/>
                <w:szCs w:val="20"/>
              </w:rPr>
            </w:pPr>
            <w:r w:rsidRPr="00740AE3">
              <w:rPr>
                <w:rFonts w:asciiTheme="majorHAnsi" w:hAnsiTheme="majorHAnsi" w:cstheme="majorHAnsi"/>
                <w:b/>
                <w:sz w:val="20"/>
                <w:szCs w:val="20"/>
              </w:rPr>
              <w:t>PHM 3715</w:t>
            </w:r>
            <w:r w:rsidRPr="00F36007">
              <w:rPr>
                <w:rFonts w:asciiTheme="majorHAnsi" w:hAnsiTheme="majorHAnsi" w:cstheme="majorHAnsi"/>
                <w:sz w:val="20"/>
                <w:szCs w:val="20"/>
              </w:rPr>
              <w:t xml:space="preserve"> Management and Policy Concepts in Public Health</w:t>
            </w:r>
          </w:p>
        </w:tc>
        <w:tc>
          <w:tcPr>
            <w:tcW w:w="2783" w:type="pct"/>
            <w:shd w:val="clear" w:color="auto" w:fill="auto"/>
            <w:noWrap/>
            <w:tcMar>
              <w:left w:w="29" w:type="dxa"/>
              <w:right w:w="29" w:type="dxa"/>
            </w:tcMar>
          </w:tcPr>
          <w:p w:rsidR="00534D8C" w:rsidRPr="00F36007" w:rsidRDefault="00C82A0A" w:rsidP="00FC4AEF">
            <w:pPr>
              <w:rPr>
                <w:rFonts w:asciiTheme="majorHAnsi" w:eastAsia="Times New Roman" w:hAnsiTheme="majorHAnsi" w:cstheme="majorHAnsi"/>
                <w:color w:val="000000"/>
                <w:sz w:val="20"/>
                <w:szCs w:val="20"/>
              </w:rPr>
            </w:pPr>
            <w:r w:rsidRPr="00F36007">
              <w:rPr>
                <w:rFonts w:asciiTheme="majorHAnsi" w:hAnsiTheme="majorHAnsi" w:cstheme="majorHAnsi"/>
                <w:sz w:val="20"/>
                <w:szCs w:val="20"/>
              </w:rPr>
              <w:t>Health Systems Comparison Written Assignment</w:t>
            </w:r>
            <w:r w:rsidR="00534D8C" w:rsidRPr="00F36007">
              <w:rPr>
                <w:rFonts w:asciiTheme="majorHAnsi" w:hAnsiTheme="majorHAnsi" w:cstheme="majorHAnsi"/>
                <w:sz w:val="20"/>
                <w:szCs w:val="20"/>
              </w:rPr>
              <w:t>:</w:t>
            </w:r>
            <w:r w:rsidR="00534D8C" w:rsidRPr="00F36007">
              <w:rPr>
                <w:rFonts w:asciiTheme="majorHAnsi" w:hAnsiTheme="majorHAnsi" w:cstheme="majorHAnsi"/>
                <w:b/>
                <w:sz w:val="20"/>
                <w:szCs w:val="20"/>
              </w:rPr>
              <w:t xml:space="preserve"> </w:t>
            </w:r>
            <w:r w:rsidR="00534D8C" w:rsidRPr="00F36007">
              <w:rPr>
                <w:rFonts w:asciiTheme="majorHAnsi" w:hAnsiTheme="majorHAnsi" w:cstheme="majorHAnsi"/>
                <w:sz w:val="20"/>
                <w:szCs w:val="20"/>
              </w:rPr>
              <w:t xml:space="preserve">Each student will write in 3-5 pages a thoughtful analysis of how the organization, structure, and function of the US </w:t>
            </w:r>
            <w:r w:rsidR="00D06EEE" w:rsidRPr="00F36007">
              <w:rPr>
                <w:rFonts w:asciiTheme="majorHAnsi" w:hAnsiTheme="majorHAnsi" w:cstheme="majorHAnsi"/>
                <w:sz w:val="20"/>
                <w:szCs w:val="20"/>
              </w:rPr>
              <w:t>healthcare</w:t>
            </w:r>
            <w:r w:rsidR="00534D8C" w:rsidRPr="00F36007">
              <w:rPr>
                <w:rFonts w:asciiTheme="majorHAnsi" w:hAnsiTheme="majorHAnsi" w:cstheme="majorHAnsi"/>
                <w:sz w:val="20"/>
                <w:szCs w:val="20"/>
              </w:rPr>
              <w:t xml:space="preserve"> system, as well as its public health infrastructure and related regulatory systems compare and contrast with one other country.</w:t>
            </w:r>
          </w:p>
        </w:tc>
      </w:tr>
      <w:tr w:rsidR="00562E73" w:rsidRPr="00F36007" w:rsidTr="006E28EE">
        <w:trPr>
          <w:cantSplit/>
          <w:trHeight w:val="535"/>
        </w:trPr>
        <w:tc>
          <w:tcPr>
            <w:tcW w:w="1134" w:type="pct"/>
            <w:shd w:val="clear" w:color="auto" w:fill="auto"/>
            <w:tcMar>
              <w:left w:w="29" w:type="dxa"/>
              <w:right w:w="29" w:type="dxa"/>
            </w:tcMar>
            <w:hideMark/>
          </w:tcPr>
          <w:p w:rsidR="00456C99" w:rsidRPr="00F36007" w:rsidRDefault="00534D8C" w:rsidP="00FC4AEF">
            <w:pPr>
              <w:rPr>
                <w:rFonts w:asciiTheme="majorHAnsi" w:eastAsia="Times New Roman" w:hAnsiTheme="majorHAnsi" w:cstheme="majorHAnsi"/>
                <w:color w:val="000000"/>
                <w:sz w:val="20"/>
                <w:szCs w:val="20"/>
              </w:rPr>
            </w:pPr>
            <w:r w:rsidRPr="00F36007">
              <w:rPr>
                <w:rFonts w:asciiTheme="majorHAnsi" w:eastAsia="Times New Roman" w:hAnsiTheme="majorHAnsi" w:cstheme="majorHAnsi"/>
                <w:color w:val="000000"/>
                <w:sz w:val="20"/>
                <w:szCs w:val="20"/>
              </w:rPr>
              <w:t>MPH-6. Discuss the means by which structural bias, social inequities and racism undermine health and create challenges to achieving health equity at organizational, community and societal levels</w:t>
            </w:r>
          </w:p>
        </w:tc>
        <w:tc>
          <w:tcPr>
            <w:tcW w:w="1083" w:type="pct"/>
            <w:shd w:val="clear" w:color="auto" w:fill="auto"/>
            <w:tcMar>
              <w:left w:w="29" w:type="dxa"/>
              <w:right w:w="29" w:type="dxa"/>
            </w:tcMar>
            <w:hideMark/>
          </w:tcPr>
          <w:p w:rsidR="00534D8C" w:rsidRPr="00F36007" w:rsidRDefault="0097062D" w:rsidP="00FC4AEF">
            <w:pPr>
              <w:rPr>
                <w:rFonts w:asciiTheme="majorHAnsi" w:eastAsia="Times New Roman" w:hAnsiTheme="majorHAnsi" w:cstheme="majorHAnsi"/>
                <w:color w:val="000000"/>
                <w:sz w:val="20"/>
                <w:szCs w:val="20"/>
              </w:rPr>
            </w:pPr>
            <w:r w:rsidRPr="00740AE3">
              <w:rPr>
                <w:rFonts w:asciiTheme="majorHAnsi" w:hAnsiTheme="majorHAnsi" w:cstheme="majorHAnsi"/>
                <w:b/>
                <w:sz w:val="20"/>
                <w:szCs w:val="20"/>
              </w:rPr>
              <w:t>PHM 1110</w:t>
            </w:r>
            <w:r w:rsidRPr="00F36007">
              <w:rPr>
                <w:rFonts w:asciiTheme="majorHAnsi" w:hAnsiTheme="majorHAnsi" w:cstheme="majorHAnsi"/>
                <w:sz w:val="20"/>
                <w:szCs w:val="20"/>
              </w:rPr>
              <w:t xml:space="preserve"> Health Promotion and Behavioral Sciences in Public Health</w:t>
            </w:r>
          </w:p>
        </w:tc>
        <w:tc>
          <w:tcPr>
            <w:tcW w:w="2783" w:type="pct"/>
            <w:shd w:val="clear" w:color="auto" w:fill="auto"/>
            <w:tcMar>
              <w:left w:w="29" w:type="dxa"/>
              <w:right w:w="29" w:type="dxa"/>
            </w:tcMar>
            <w:hideMark/>
          </w:tcPr>
          <w:p w:rsidR="00534D8C" w:rsidRPr="00F36007" w:rsidRDefault="0097062D" w:rsidP="00A37ED6">
            <w:pPr>
              <w:rPr>
                <w:rFonts w:asciiTheme="majorHAnsi" w:eastAsia="Times New Roman" w:hAnsiTheme="majorHAnsi" w:cstheme="majorHAnsi"/>
                <w:color w:val="000000"/>
                <w:sz w:val="20"/>
                <w:szCs w:val="20"/>
              </w:rPr>
            </w:pPr>
            <w:r w:rsidRPr="00F36007">
              <w:rPr>
                <w:rFonts w:asciiTheme="majorHAnsi" w:hAnsiTheme="majorHAnsi" w:cstheme="majorHAnsi"/>
                <w:sz w:val="20"/>
                <w:szCs w:val="20"/>
              </w:rPr>
              <w:t>Health Equity Paper</w:t>
            </w:r>
            <w:r w:rsidR="00534D8C" w:rsidRPr="00F36007">
              <w:rPr>
                <w:rFonts w:asciiTheme="majorHAnsi" w:eastAsia="Times New Roman" w:hAnsiTheme="majorHAnsi" w:cstheme="majorHAnsi"/>
                <w:color w:val="000000"/>
                <w:sz w:val="20"/>
                <w:szCs w:val="20"/>
              </w:rPr>
              <w:t>: The students will complete the racism i</w:t>
            </w:r>
            <w:r w:rsidR="00AF5600">
              <w:rPr>
                <w:rFonts w:asciiTheme="majorHAnsi" w:eastAsia="Times New Roman" w:hAnsiTheme="majorHAnsi" w:cstheme="majorHAnsi"/>
                <w:color w:val="000000"/>
                <w:sz w:val="20"/>
                <w:szCs w:val="20"/>
              </w:rPr>
              <w:t>mplicit bias test and write a 2-</w:t>
            </w:r>
            <w:r w:rsidR="00534D8C" w:rsidRPr="00F36007">
              <w:rPr>
                <w:rFonts w:asciiTheme="majorHAnsi" w:eastAsia="Times New Roman" w:hAnsiTheme="majorHAnsi" w:cstheme="majorHAnsi"/>
                <w:color w:val="000000"/>
                <w:sz w:val="20"/>
                <w:szCs w:val="20"/>
              </w:rPr>
              <w:t>page reflection paper about their results. Students will complete a written assignment to discuss the means by which structural bias, social inequities, and racism undermine health and create challenges for achieving health equity at organization, community, and societal levels.</w:t>
            </w:r>
          </w:p>
        </w:tc>
      </w:tr>
      <w:tr w:rsidR="00534D8C" w:rsidRPr="00F36007" w:rsidTr="00DE072A">
        <w:trPr>
          <w:cantSplit/>
          <w:trHeight w:val="300"/>
        </w:trPr>
        <w:tc>
          <w:tcPr>
            <w:tcW w:w="5000" w:type="pct"/>
            <w:gridSpan w:val="3"/>
            <w:shd w:val="clear" w:color="000000" w:fill="D9D9D9"/>
            <w:noWrap/>
            <w:tcMar>
              <w:left w:w="29" w:type="dxa"/>
              <w:right w:w="29" w:type="dxa"/>
            </w:tcMar>
            <w:hideMark/>
          </w:tcPr>
          <w:p w:rsidR="00534D8C" w:rsidRPr="00F36007" w:rsidRDefault="00534D8C" w:rsidP="00A37ED6">
            <w:pPr>
              <w:jc w:val="both"/>
              <w:rPr>
                <w:rFonts w:asciiTheme="majorHAnsi" w:eastAsia="Times New Roman" w:hAnsiTheme="majorHAnsi" w:cstheme="majorHAnsi"/>
                <w:b/>
                <w:bCs/>
                <w:color w:val="000000"/>
                <w:sz w:val="20"/>
                <w:szCs w:val="20"/>
              </w:rPr>
            </w:pPr>
            <w:r w:rsidRPr="00F36007">
              <w:rPr>
                <w:rFonts w:asciiTheme="majorHAnsi" w:eastAsia="Times New Roman" w:hAnsiTheme="majorHAnsi" w:cstheme="majorHAnsi"/>
                <w:b/>
                <w:bCs/>
                <w:color w:val="000000"/>
                <w:sz w:val="20"/>
                <w:szCs w:val="20"/>
              </w:rPr>
              <w:t>Planning &amp; Management to Promote Health</w:t>
            </w:r>
          </w:p>
        </w:tc>
      </w:tr>
      <w:tr w:rsidR="00562E73" w:rsidRPr="00F36007" w:rsidTr="006E28EE">
        <w:trPr>
          <w:cantSplit/>
          <w:trHeight w:val="540"/>
        </w:trPr>
        <w:tc>
          <w:tcPr>
            <w:tcW w:w="1134" w:type="pct"/>
            <w:shd w:val="clear" w:color="auto" w:fill="auto"/>
            <w:tcMar>
              <w:left w:w="29" w:type="dxa"/>
              <w:right w:w="29" w:type="dxa"/>
            </w:tcMar>
            <w:hideMark/>
          </w:tcPr>
          <w:p w:rsidR="00534D8C" w:rsidRPr="00F36007" w:rsidRDefault="00534D8C" w:rsidP="00A37ED6">
            <w:pPr>
              <w:rPr>
                <w:rFonts w:asciiTheme="majorHAnsi" w:eastAsia="Times New Roman" w:hAnsiTheme="majorHAnsi" w:cstheme="majorHAnsi"/>
                <w:color w:val="000000"/>
                <w:sz w:val="20"/>
                <w:szCs w:val="20"/>
              </w:rPr>
            </w:pPr>
            <w:r w:rsidRPr="00F36007">
              <w:rPr>
                <w:rFonts w:asciiTheme="majorHAnsi" w:eastAsia="Times New Roman" w:hAnsiTheme="majorHAnsi" w:cstheme="majorHAnsi"/>
                <w:color w:val="000000"/>
                <w:sz w:val="20"/>
                <w:szCs w:val="20"/>
              </w:rPr>
              <w:t>MPH-7. Assess population needs, assets and capacities that affect communities’ health</w:t>
            </w:r>
          </w:p>
        </w:tc>
        <w:tc>
          <w:tcPr>
            <w:tcW w:w="1083" w:type="pct"/>
            <w:shd w:val="clear" w:color="auto" w:fill="auto"/>
            <w:noWrap/>
            <w:tcMar>
              <w:left w:w="29" w:type="dxa"/>
              <w:right w:w="29" w:type="dxa"/>
            </w:tcMar>
            <w:hideMark/>
          </w:tcPr>
          <w:p w:rsidR="00534D8C" w:rsidRPr="00F36007" w:rsidRDefault="00AE24E3" w:rsidP="00FC4AEF">
            <w:pPr>
              <w:rPr>
                <w:rFonts w:asciiTheme="majorHAnsi" w:eastAsia="Times New Roman" w:hAnsiTheme="majorHAnsi" w:cstheme="majorHAnsi"/>
                <w:color w:val="000000"/>
                <w:sz w:val="20"/>
                <w:szCs w:val="20"/>
              </w:rPr>
            </w:pPr>
            <w:r w:rsidRPr="00740AE3">
              <w:rPr>
                <w:rFonts w:asciiTheme="majorHAnsi" w:hAnsiTheme="majorHAnsi" w:cstheme="majorHAnsi"/>
                <w:b/>
                <w:sz w:val="20"/>
                <w:szCs w:val="20"/>
              </w:rPr>
              <w:t>PHM 1110</w:t>
            </w:r>
            <w:r w:rsidRPr="00F36007">
              <w:rPr>
                <w:rFonts w:asciiTheme="majorHAnsi" w:hAnsiTheme="majorHAnsi" w:cstheme="majorHAnsi"/>
                <w:sz w:val="20"/>
                <w:szCs w:val="20"/>
              </w:rPr>
              <w:t xml:space="preserve"> Health Promotion and Behavioral Sciences in Public Health</w:t>
            </w:r>
            <w:r w:rsidRPr="00F36007">
              <w:rPr>
                <w:rFonts w:asciiTheme="majorHAnsi" w:eastAsia="Times New Roman" w:hAnsiTheme="majorHAnsi" w:cstheme="majorHAnsi"/>
                <w:color w:val="000000"/>
                <w:sz w:val="20"/>
                <w:szCs w:val="20"/>
              </w:rPr>
              <w:t xml:space="preserve"> </w:t>
            </w:r>
          </w:p>
        </w:tc>
        <w:tc>
          <w:tcPr>
            <w:tcW w:w="2783" w:type="pct"/>
            <w:shd w:val="clear" w:color="auto" w:fill="auto"/>
            <w:noWrap/>
            <w:tcMar>
              <w:left w:w="29" w:type="dxa"/>
              <w:right w:w="29" w:type="dxa"/>
            </w:tcMar>
            <w:hideMark/>
          </w:tcPr>
          <w:p w:rsidR="00534D8C" w:rsidRPr="00F36007" w:rsidRDefault="009A11D6" w:rsidP="00A37ED6">
            <w:pPr>
              <w:rPr>
                <w:rFonts w:asciiTheme="majorHAnsi" w:eastAsia="Times New Roman" w:hAnsiTheme="majorHAnsi" w:cstheme="majorHAnsi"/>
                <w:color w:val="000000"/>
                <w:sz w:val="20"/>
                <w:szCs w:val="20"/>
              </w:rPr>
            </w:pPr>
            <w:r w:rsidRPr="00F36007">
              <w:rPr>
                <w:rFonts w:asciiTheme="majorHAnsi" w:hAnsiTheme="majorHAnsi" w:cstheme="majorHAnsi"/>
                <w:sz w:val="20"/>
                <w:szCs w:val="20"/>
              </w:rPr>
              <w:t>PRECEDE Model</w:t>
            </w:r>
            <w:r w:rsidR="00534D8C" w:rsidRPr="00F36007">
              <w:rPr>
                <w:rFonts w:asciiTheme="majorHAnsi" w:eastAsia="Times New Roman" w:hAnsiTheme="majorHAnsi" w:cstheme="majorHAnsi"/>
                <w:color w:val="000000"/>
                <w:sz w:val="20"/>
                <w:szCs w:val="20"/>
              </w:rPr>
              <w:t>: Students will complete a PRECEDE model and asset assessment to assess a population’s needs, assets, and capacities that affect a community’s health.</w:t>
            </w:r>
          </w:p>
        </w:tc>
      </w:tr>
      <w:tr w:rsidR="00562E73" w:rsidRPr="00F36007" w:rsidTr="006E28EE">
        <w:trPr>
          <w:cantSplit/>
          <w:trHeight w:val="2006"/>
        </w:trPr>
        <w:tc>
          <w:tcPr>
            <w:tcW w:w="1134" w:type="pct"/>
            <w:vMerge w:val="restart"/>
            <w:shd w:val="clear" w:color="auto" w:fill="auto"/>
            <w:tcMar>
              <w:left w:w="29" w:type="dxa"/>
              <w:right w:w="29" w:type="dxa"/>
            </w:tcMar>
            <w:hideMark/>
          </w:tcPr>
          <w:p w:rsidR="00534D8C" w:rsidRPr="00F36007" w:rsidRDefault="00534D8C" w:rsidP="00A37ED6">
            <w:pPr>
              <w:rPr>
                <w:rFonts w:asciiTheme="majorHAnsi" w:eastAsia="Times New Roman" w:hAnsiTheme="majorHAnsi" w:cstheme="majorHAnsi"/>
                <w:color w:val="000000"/>
                <w:sz w:val="20"/>
                <w:szCs w:val="20"/>
              </w:rPr>
            </w:pPr>
            <w:r w:rsidRPr="00F36007">
              <w:rPr>
                <w:rFonts w:asciiTheme="majorHAnsi" w:eastAsia="Times New Roman" w:hAnsiTheme="majorHAnsi" w:cstheme="majorHAnsi"/>
                <w:color w:val="000000"/>
                <w:sz w:val="20"/>
                <w:szCs w:val="20"/>
              </w:rPr>
              <w:t xml:space="preserve">MPH-8. Apply awareness of cultural values and practices to the design or implementation of public health policies or programs </w:t>
            </w:r>
          </w:p>
        </w:tc>
        <w:tc>
          <w:tcPr>
            <w:tcW w:w="1083" w:type="pct"/>
            <w:shd w:val="clear" w:color="auto" w:fill="auto"/>
            <w:tcMar>
              <w:left w:w="29" w:type="dxa"/>
              <w:right w:w="29" w:type="dxa"/>
            </w:tcMar>
            <w:hideMark/>
          </w:tcPr>
          <w:p w:rsidR="00534D8C" w:rsidRPr="00F36007" w:rsidRDefault="008B32B8" w:rsidP="00FC4AEF">
            <w:pPr>
              <w:rPr>
                <w:rFonts w:asciiTheme="majorHAnsi" w:eastAsia="Times New Roman" w:hAnsiTheme="majorHAnsi" w:cstheme="majorHAnsi"/>
                <w:color w:val="000000"/>
                <w:sz w:val="20"/>
                <w:szCs w:val="20"/>
              </w:rPr>
            </w:pPr>
            <w:r w:rsidRPr="00866923">
              <w:rPr>
                <w:rFonts w:asciiTheme="majorHAnsi" w:hAnsiTheme="majorHAnsi" w:cstheme="majorHAnsi"/>
                <w:b/>
                <w:sz w:val="20"/>
                <w:szCs w:val="20"/>
              </w:rPr>
              <w:t>PHM 1110</w:t>
            </w:r>
            <w:r w:rsidRPr="00F36007">
              <w:rPr>
                <w:rFonts w:asciiTheme="majorHAnsi" w:hAnsiTheme="majorHAnsi" w:cstheme="majorHAnsi"/>
                <w:sz w:val="20"/>
                <w:szCs w:val="20"/>
              </w:rPr>
              <w:t xml:space="preserve"> Health Promotion and Behavioral Sciences in Public Health</w:t>
            </w:r>
            <w:r w:rsidR="00E84199" w:rsidRPr="00F36007">
              <w:rPr>
                <w:rFonts w:asciiTheme="majorHAnsi" w:eastAsia="Times New Roman" w:hAnsiTheme="majorHAnsi" w:cstheme="majorHAnsi"/>
                <w:color w:val="000000"/>
                <w:sz w:val="20"/>
                <w:szCs w:val="20"/>
              </w:rPr>
              <w:t xml:space="preserve"> </w:t>
            </w:r>
          </w:p>
        </w:tc>
        <w:tc>
          <w:tcPr>
            <w:tcW w:w="2783" w:type="pct"/>
            <w:shd w:val="clear" w:color="auto" w:fill="auto"/>
            <w:tcMar>
              <w:left w:w="29" w:type="dxa"/>
              <w:right w:w="29" w:type="dxa"/>
            </w:tcMar>
            <w:hideMark/>
          </w:tcPr>
          <w:p w:rsidR="00534D8C" w:rsidRPr="00F36007" w:rsidRDefault="008B32B8" w:rsidP="00A37ED6">
            <w:pPr>
              <w:rPr>
                <w:rFonts w:asciiTheme="majorHAnsi" w:eastAsia="Times New Roman" w:hAnsiTheme="majorHAnsi" w:cstheme="majorHAnsi"/>
                <w:color w:val="000000"/>
                <w:sz w:val="20"/>
                <w:szCs w:val="20"/>
              </w:rPr>
            </w:pPr>
            <w:r w:rsidRPr="00F36007">
              <w:rPr>
                <w:rFonts w:asciiTheme="majorHAnsi" w:hAnsiTheme="majorHAnsi" w:cstheme="majorHAnsi"/>
                <w:sz w:val="20"/>
                <w:szCs w:val="20"/>
              </w:rPr>
              <w:t>Methods and Practical Applications for Behavior and Environmental Change (How to Change Behavior)</w:t>
            </w:r>
            <w:r w:rsidR="00534D8C" w:rsidRPr="00F36007">
              <w:rPr>
                <w:rFonts w:asciiTheme="majorHAnsi" w:eastAsia="Times New Roman" w:hAnsiTheme="majorHAnsi" w:cstheme="majorHAnsi"/>
                <w:color w:val="000000"/>
                <w:sz w:val="20"/>
                <w:szCs w:val="20"/>
              </w:rPr>
              <w:t xml:space="preserve"> and </w:t>
            </w:r>
            <w:r w:rsidRPr="00F36007">
              <w:rPr>
                <w:rFonts w:asciiTheme="majorHAnsi" w:hAnsiTheme="majorHAnsi" w:cstheme="majorHAnsi"/>
                <w:sz w:val="20"/>
                <w:szCs w:val="20"/>
              </w:rPr>
              <w:t>Implementing Culturally Appropriate Health Promotion Interventions</w:t>
            </w:r>
            <w:r w:rsidR="00534D8C" w:rsidRPr="00F36007">
              <w:rPr>
                <w:rFonts w:asciiTheme="majorHAnsi" w:eastAsia="Times New Roman" w:hAnsiTheme="majorHAnsi" w:cstheme="majorHAnsi"/>
                <w:color w:val="000000"/>
                <w:sz w:val="20"/>
                <w:szCs w:val="20"/>
              </w:rPr>
              <w:t>: Students will apply awareness of cultural values and practices to the design of a public health program or policy by identifying culturally appropriate theoretical behavioral and environmental change methods and practical applications.</w:t>
            </w:r>
          </w:p>
        </w:tc>
      </w:tr>
      <w:tr w:rsidR="00562E73" w:rsidRPr="00F36007" w:rsidTr="006E28EE">
        <w:trPr>
          <w:cantSplit/>
          <w:trHeight w:val="540"/>
        </w:trPr>
        <w:tc>
          <w:tcPr>
            <w:tcW w:w="1134" w:type="pct"/>
            <w:vMerge/>
            <w:shd w:val="clear" w:color="auto" w:fill="auto"/>
            <w:tcMar>
              <w:left w:w="29" w:type="dxa"/>
              <w:right w:w="29" w:type="dxa"/>
            </w:tcMar>
          </w:tcPr>
          <w:p w:rsidR="00534D8C" w:rsidRPr="00F36007" w:rsidRDefault="00534D8C" w:rsidP="00A37ED6">
            <w:pPr>
              <w:rPr>
                <w:rFonts w:asciiTheme="majorHAnsi" w:eastAsia="Times New Roman" w:hAnsiTheme="majorHAnsi" w:cstheme="majorHAnsi"/>
                <w:color w:val="000000"/>
                <w:sz w:val="20"/>
                <w:szCs w:val="20"/>
              </w:rPr>
            </w:pPr>
          </w:p>
        </w:tc>
        <w:tc>
          <w:tcPr>
            <w:tcW w:w="1083" w:type="pct"/>
            <w:shd w:val="clear" w:color="auto" w:fill="auto"/>
            <w:tcMar>
              <w:left w:w="29" w:type="dxa"/>
              <w:right w:w="29" w:type="dxa"/>
            </w:tcMar>
          </w:tcPr>
          <w:p w:rsidR="00534D8C" w:rsidRPr="00F36007" w:rsidRDefault="00722501" w:rsidP="00FC4AEF">
            <w:pPr>
              <w:rPr>
                <w:rFonts w:asciiTheme="majorHAnsi" w:eastAsia="Times New Roman" w:hAnsiTheme="majorHAnsi" w:cstheme="majorHAnsi"/>
                <w:b/>
                <w:color w:val="000000"/>
                <w:sz w:val="20"/>
                <w:szCs w:val="20"/>
              </w:rPr>
            </w:pPr>
            <w:r w:rsidRPr="00866923">
              <w:rPr>
                <w:rFonts w:asciiTheme="majorHAnsi" w:hAnsiTheme="majorHAnsi" w:cstheme="majorHAnsi"/>
                <w:b/>
                <w:sz w:val="20"/>
                <w:szCs w:val="20"/>
              </w:rPr>
              <w:t>PHM 3715</w:t>
            </w:r>
            <w:r w:rsidRPr="00F36007">
              <w:rPr>
                <w:rFonts w:asciiTheme="majorHAnsi" w:hAnsiTheme="majorHAnsi" w:cstheme="majorHAnsi"/>
                <w:sz w:val="20"/>
                <w:szCs w:val="20"/>
              </w:rPr>
              <w:t xml:space="preserve"> Management and Policy Concepts in Public Health</w:t>
            </w:r>
          </w:p>
        </w:tc>
        <w:tc>
          <w:tcPr>
            <w:tcW w:w="2783" w:type="pct"/>
            <w:shd w:val="clear" w:color="auto" w:fill="auto"/>
            <w:tcMar>
              <w:left w:w="29" w:type="dxa"/>
              <w:right w:w="29" w:type="dxa"/>
            </w:tcMar>
          </w:tcPr>
          <w:p w:rsidR="00534D8C" w:rsidRPr="00F36007" w:rsidRDefault="00722501" w:rsidP="00FC4AEF">
            <w:pPr>
              <w:rPr>
                <w:rFonts w:asciiTheme="majorHAnsi" w:hAnsiTheme="majorHAnsi" w:cstheme="majorHAnsi"/>
                <w:sz w:val="20"/>
                <w:szCs w:val="20"/>
              </w:rPr>
            </w:pPr>
            <w:r w:rsidRPr="00F36007">
              <w:rPr>
                <w:rFonts w:asciiTheme="majorHAnsi" w:hAnsiTheme="majorHAnsi" w:cstheme="majorHAnsi"/>
                <w:sz w:val="20"/>
                <w:szCs w:val="20"/>
              </w:rPr>
              <w:t>Policy Project, Written Assignments 2</w:t>
            </w:r>
            <w:r w:rsidR="00870AA0" w:rsidRPr="00F36007">
              <w:rPr>
                <w:rFonts w:asciiTheme="majorHAnsi" w:hAnsiTheme="majorHAnsi" w:cstheme="majorHAnsi"/>
                <w:sz w:val="20"/>
                <w:szCs w:val="20"/>
              </w:rPr>
              <w:t>: Think about and discuss different target audiences affected by your chosen population-based public health policy. Apply your awareness of the cultural values and practices to the design or implementation of this policy.  This is meant to be a critique your policy for cultural competency and should discuss the concepts of tailoring, adaptation, stakeholders, and cultural humility. Generally describe the history and/or steps of how your chosen population-based public health policy came to be in its present form. Discuss the evidence and/or research that was used in your chosen policy process and how ethical considerations influence this process. Create at least 1 culturally competent example of public health policy messaging to communicate your chosen policy to diverse populations and its importance.</w:t>
            </w:r>
          </w:p>
        </w:tc>
      </w:tr>
      <w:tr w:rsidR="00562E73" w:rsidRPr="00F36007" w:rsidTr="006E28EE">
        <w:trPr>
          <w:cantSplit/>
          <w:trHeight w:val="540"/>
        </w:trPr>
        <w:tc>
          <w:tcPr>
            <w:tcW w:w="1134" w:type="pct"/>
            <w:shd w:val="clear" w:color="auto" w:fill="auto"/>
            <w:tcMar>
              <w:left w:w="29" w:type="dxa"/>
              <w:right w:w="29" w:type="dxa"/>
            </w:tcMar>
            <w:hideMark/>
          </w:tcPr>
          <w:p w:rsidR="00534D8C" w:rsidRPr="00F36007" w:rsidRDefault="00534D8C" w:rsidP="00A37ED6">
            <w:pPr>
              <w:rPr>
                <w:rFonts w:asciiTheme="majorHAnsi" w:eastAsia="Times New Roman" w:hAnsiTheme="majorHAnsi" w:cstheme="majorHAnsi"/>
                <w:color w:val="000000"/>
                <w:sz w:val="20"/>
                <w:szCs w:val="20"/>
              </w:rPr>
            </w:pPr>
            <w:r w:rsidRPr="00F36007">
              <w:rPr>
                <w:rFonts w:asciiTheme="majorHAnsi" w:eastAsia="Times New Roman" w:hAnsiTheme="majorHAnsi" w:cstheme="majorHAnsi"/>
                <w:color w:val="000000"/>
                <w:sz w:val="20"/>
                <w:szCs w:val="20"/>
              </w:rPr>
              <w:t>MPH-9. Design a population-based policy, program, project or intervention</w:t>
            </w:r>
          </w:p>
        </w:tc>
        <w:tc>
          <w:tcPr>
            <w:tcW w:w="1083" w:type="pct"/>
            <w:shd w:val="clear" w:color="auto" w:fill="auto"/>
            <w:tcMar>
              <w:left w:w="29" w:type="dxa"/>
              <w:right w:w="29" w:type="dxa"/>
            </w:tcMar>
            <w:hideMark/>
          </w:tcPr>
          <w:p w:rsidR="00534D8C" w:rsidRPr="00F36007" w:rsidRDefault="001856A0" w:rsidP="00FC4AEF">
            <w:pPr>
              <w:rPr>
                <w:rFonts w:asciiTheme="majorHAnsi" w:eastAsia="Times New Roman" w:hAnsiTheme="majorHAnsi" w:cstheme="majorHAnsi"/>
                <w:color w:val="000000"/>
                <w:sz w:val="20"/>
                <w:szCs w:val="20"/>
              </w:rPr>
            </w:pPr>
            <w:r w:rsidRPr="00866923">
              <w:rPr>
                <w:rFonts w:asciiTheme="majorHAnsi" w:hAnsiTheme="majorHAnsi" w:cstheme="majorHAnsi"/>
                <w:b/>
                <w:sz w:val="20"/>
                <w:szCs w:val="20"/>
              </w:rPr>
              <w:t>PHM 1110</w:t>
            </w:r>
            <w:r w:rsidRPr="00F36007">
              <w:rPr>
                <w:rFonts w:asciiTheme="majorHAnsi" w:hAnsiTheme="majorHAnsi" w:cstheme="majorHAnsi"/>
                <w:sz w:val="20"/>
                <w:szCs w:val="20"/>
              </w:rPr>
              <w:t xml:space="preserve"> Health Promotion and Behavioral Sciences in Public Health</w:t>
            </w:r>
            <w:r w:rsidR="00E84199" w:rsidRPr="00F36007">
              <w:rPr>
                <w:rFonts w:asciiTheme="majorHAnsi" w:eastAsia="Times New Roman" w:hAnsiTheme="majorHAnsi" w:cstheme="majorHAnsi"/>
                <w:color w:val="000000"/>
                <w:sz w:val="20"/>
                <w:szCs w:val="20"/>
              </w:rPr>
              <w:t xml:space="preserve"> </w:t>
            </w:r>
            <w:r w:rsidRPr="00F36007">
              <w:rPr>
                <w:rFonts w:asciiTheme="majorHAnsi" w:eastAsia="Times New Roman" w:hAnsiTheme="majorHAnsi" w:cstheme="majorHAnsi"/>
                <w:color w:val="000000"/>
                <w:sz w:val="20"/>
                <w:szCs w:val="20"/>
              </w:rPr>
              <w:t>s</w:t>
            </w:r>
          </w:p>
        </w:tc>
        <w:tc>
          <w:tcPr>
            <w:tcW w:w="2783" w:type="pct"/>
            <w:shd w:val="clear" w:color="auto" w:fill="auto"/>
            <w:tcMar>
              <w:left w:w="29" w:type="dxa"/>
              <w:right w:w="29" w:type="dxa"/>
            </w:tcMar>
            <w:vAlign w:val="center"/>
            <w:hideMark/>
          </w:tcPr>
          <w:p w:rsidR="00534D8C" w:rsidRPr="00F36007" w:rsidRDefault="001856A0" w:rsidP="00A37ED6">
            <w:pPr>
              <w:rPr>
                <w:rFonts w:asciiTheme="majorHAnsi" w:hAnsiTheme="majorHAnsi" w:cstheme="majorHAnsi"/>
                <w:color w:val="000000"/>
                <w:sz w:val="20"/>
                <w:szCs w:val="20"/>
              </w:rPr>
            </w:pPr>
            <w:r w:rsidRPr="00F36007">
              <w:rPr>
                <w:rFonts w:asciiTheme="majorHAnsi" w:hAnsiTheme="majorHAnsi" w:cstheme="majorHAnsi"/>
                <w:sz w:val="20"/>
                <w:szCs w:val="20"/>
              </w:rPr>
              <w:t>Methods and Practical Applications for Behavior and Environmental Change (How to Change Behavior)</w:t>
            </w:r>
            <w:r w:rsidR="00534D8C" w:rsidRPr="00F36007">
              <w:rPr>
                <w:rFonts w:asciiTheme="majorHAnsi" w:eastAsia="Times New Roman" w:hAnsiTheme="majorHAnsi" w:cstheme="majorHAnsi"/>
                <w:color w:val="000000"/>
                <w:sz w:val="20"/>
                <w:szCs w:val="20"/>
              </w:rPr>
              <w:t>: Students will use their selected methods and practical applications to design a culturally-appropriate program policy, program, project or intervention that addresses both behavioral and environmental change for a health topic in the priority population</w:t>
            </w:r>
          </w:p>
        </w:tc>
      </w:tr>
      <w:tr w:rsidR="00562E73" w:rsidRPr="00F36007" w:rsidTr="006E28EE">
        <w:trPr>
          <w:cantSplit/>
          <w:trHeight w:val="755"/>
        </w:trPr>
        <w:tc>
          <w:tcPr>
            <w:tcW w:w="1134" w:type="pct"/>
            <w:shd w:val="clear" w:color="auto" w:fill="auto"/>
            <w:tcMar>
              <w:left w:w="29" w:type="dxa"/>
              <w:right w:w="29" w:type="dxa"/>
            </w:tcMar>
            <w:hideMark/>
          </w:tcPr>
          <w:p w:rsidR="00534D8C" w:rsidRPr="00F36007" w:rsidRDefault="00534D8C" w:rsidP="00A37ED6">
            <w:pPr>
              <w:rPr>
                <w:rFonts w:asciiTheme="majorHAnsi" w:eastAsia="Times New Roman" w:hAnsiTheme="majorHAnsi" w:cstheme="majorHAnsi"/>
                <w:color w:val="000000"/>
                <w:sz w:val="20"/>
                <w:szCs w:val="20"/>
              </w:rPr>
            </w:pPr>
            <w:r w:rsidRPr="00F36007">
              <w:rPr>
                <w:rFonts w:asciiTheme="majorHAnsi" w:eastAsia="Times New Roman" w:hAnsiTheme="majorHAnsi" w:cstheme="majorHAnsi"/>
                <w:color w:val="000000"/>
                <w:sz w:val="20"/>
                <w:szCs w:val="20"/>
              </w:rPr>
              <w:t>MPH-10. Explain basic principles and tools of budget and resource management</w:t>
            </w:r>
          </w:p>
        </w:tc>
        <w:tc>
          <w:tcPr>
            <w:tcW w:w="1083" w:type="pct"/>
            <w:shd w:val="clear" w:color="auto" w:fill="auto"/>
            <w:tcMar>
              <w:left w:w="29" w:type="dxa"/>
              <w:right w:w="29" w:type="dxa"/>
            </w:tcMar>
            <w:hideMark/>
          </w:tcPr>
          <w:p w:rsidR="00534D8C" w:rsidRPr="00F36007" w:rsidRDefault="007417AE" w:rsidP="00FC4AEF">
            <w:pPr>
              <w:rPr>
                <w:rFonts w:asciiTheme="majorHAnsi" w:eastAsia="Times New Roman" w:hAnsiTheme="majorHAnsi" w:cstheme="majorHAnsi"/>
                <w:color w:val="000000"/>
                <w:sz w:val="20"/>
                <w:szCs w:val="20"/>
              </w:rPr>
            </w:pPr>
            <w:r w:rsidRPr="00866923">
              <w:rPr>
                <w:rFonts w:asciiTheme="majorHAnsi" w:hAnsiTheme="majorHAnsi" w:cstheme="majorHAnsi"/>
                <w:b/>
                <w:sz w:val="20"/>
                <w:szCs w:val="20"/>
              </w:rPr>
              <w:t>PHM 3715</w:t>
            </w:r>
            <w:r w:rsidRPr="00F36007">
              <w:rPr>
                <w:rFonts w:asciiTheme="majorHAnsi" w:hAnsiTheme="majorHAnsi" w:cstheme="majorHAnsi"/>
                <w:sz w:val="20"/>
                <w:szCs w:val="20"/>
              </w:rPr>
              <w:t xml:space="preserve"> Management and Policy Concepts in Public Health</w:t>
            </w:r>
          </w:p>
        </w:tc>
        <w:tc>
          <w:tcPr>
            <w:tcW w:w="2783" w:type="pct"/>
            <w:shd w:val="clear" w:color="auto" w:fill="auto"/>
            <w:tcMar>
              <w:left w:w="29" w:type="dxa"/>
              <w:right w:w="29" w:type="dxa"/>
            </w:tcMar>
          </w:tcPr>
          <w:p w:rsidR="00534D8C" w:rsidRPr="00F36007" w:rsidRDefault="007417AE" w:rsidP="00A37ED6">
            <w:pPr>
              <w:rPr>
                <w:rFonts w:asciiTheme="majorHAnsi" w:hAnsiTheme="majorHAnsi" w:cstheme="majorHAnsi"/>
                <w:color w:val="000000"/>
                <w:sz w:val="20"/>
                <w:szCs w:val="20"/>
              </w:rPr>
            </w:pPr>
            <w:r w:rsidRPr="00F36007">
              <w:rPr>
                <w:rFonts w:asciiTheme="majorHAnsi" w:hAnsiTheme="majorHAnsi" w:cstheme="majorHAnsi"/>
                <w:sz w:val="20"/>
                <w:szCs w:val="20"/>
              </w:rPr>
              <w:t>Policy Project, Written Assignment 3</w:t>
            </w:r>
            <w:r w:rsidR="008B1D82" w:rsidRPr="00F36007">
              <w:rPr>
                <w:rFonts w:asciiTheme="majorHAnsi" w:hAnsiTheme="majorHAnsi" w:cstheme="majorHAnsi"/>
                <w:sz w:val="20"/>
                <w:szCs w:val="20"/>
              </w:rPr>
              <w:t xml:space="preserve">: </w:t>
            </w:r>
            <w:r w:rsidR="00534D8C" w:rsidRPr="00F36007">
              <w:rPr>
                <w:rFonts w:asciiTheme="majorHAnsi" w:hAnsiTheme="majorHAnsi" w:cstheme="majorHAnsi"/>
                <w:sz w:val="20"/>
                <w:szCs w:val="20"/>
              </w:rPr>
              <w:t xml:space="preserve">Utilizing your understanding of the basic principles and tools of budgeting and resource management for your policy, create a realistic budget and budget justification that would be needed to implement your policy efforts. Include all discussed financial and human resource management categories. Be sure to assess your recruitment, hiring, training and policy development needs when creating your budget. Using the Centers for Disease Control and Prevention (CDC’s) policy evaluation steps, evaluate your policy’s impact on public health and health equity including equal access challenges and solutions. Propose an opposing goal or counter argument against your policy. Then apply negotiation and/or mediation skills to address the organizational or community challenges to the policy. </w:t>
            </w:r>
          </w:p>
        </w:tc>
      </w:tr>
      <w:tr w:rsidR="00562E73" w:rsidRPr="00F36007" w:rsidTr="006E28EE">
        <w:trPr>
          <w:cantSplit/>
          <w:trHeight w:val="540"/>
        </w:trPr>
        <w:tc>
          <w:tcPr>
            <w:tcW w:w="1134" w:type="pct"/>
            <w:shd w:val="clear" w:color="auto" w:fill="auto"/>
            <w:tcMar>
              <w:left w:w="29" w:type="dxa"/>
              <w:right w:w="29" w:type="dxa"/>
            </w:tcMar>
            <w:hideMark/>
          </w:tcPr>
          <w:p w:rsidR="00534D8C" w:rsidRPr="00F36007" w:rsidRDefault="00534D8C" w:rsidP="00A37ED6">
            <w:pPr>
              <w:rPr>
                <w:rFonts w:asciiTheme="majorHAnsi" w:eastAsia="Times New Roman" w:hAnsiTheme="majorHAnsi" w:cstheme="majorHAnsi"/>
                <w:color w:val="000000"/>
                <w:sz w:val="20"/>
                <w:szCs w:val="20"/>
              </w:rPr>
            </w:pPr>
            <w:r w:rsidRPr="00F36007">
              <w:rPr>
                <w:rFonts w:asciiTheme="majorHAnsi" w:eastAsia="Times New Roman" w:hAnsiTheme="majorHAnsi" w:cstheme="majorHAnsi"/>
                <w:color w:val="000000"/>
                <w:sz w:val="20"/>
                <w:szCs w:val="20"/>
              </w:rPr>
              <w:t>MPH-11. Select methods to evaluate public health programs</w:t>
            </w:r>
          </w:p>
        </w:tc>
        <w:tc>
          <w:tcPr>
            <w:tcW w:w="1083" w:type="pct"/>
            <w:shd w:val="clear" w:color="auto" w:fill="auto"/>
            <w:tcMar>
              <w:left w:w="29" w:type="dxa"/>
              <w:right w:w="29" w:type="dxa"/>
            </w:tcMar>
            <w:hideMark/>
          </w:tcPr>
          <w:p w:rsidR="00534D8C" w:rsidRPr="00F36007" w:rsidRDefault="008B03C0" w:rsidP="00FC4AEF">
            <w:pPr>
              <w:rPr>
                <w:rFonts w:asciiTheme="majorHAnsi" w:eastAsia="Times New Roman" w:hAnsiTheme="majorHAnsi" w:cstheme="majorHAnsi"/>
                <w:color w:val="000000"/>
                <w:sz w:val="20"/>
                <w:szCs w:val="20"/>
              </w:rPr>
            </w:pPr>
            <w:r w:rsidRPr="00866923">
              <w:rPr>
                <w:rFonts w:asciiTheme="majorHAnsi" w:hAnsiTheme="majorHAnsi" w:cstheme="majorHAnsi"/>
                <w:b/>
                <w:sz w:val="20"/>
                <w:szCs w:val="20"/>
              </w:rPr>
              <w:t>PHM 1110</w:t>
            </w:r>
            <w:r w:rsidRPr="00F36007">
              <w:rPr>
                <w:rFonts w:asciiTheme="majorHAnsi" w:hAnsiTheme="majorHAnsi" w:cstheme="majorHAnsi"/>
                <w:sz w:val="20"/>
                <w:szCs w:val="20"/>
              </w:rPr>
              <w:t xml:space="preserve"> Health Promotion and Behavioral Sciences in Public Health</w:t>
            </w:r>
            <w:r w:rsidR="00E84199" w:rsidRPr="00F36007">
              <w:rPr>
                <w:rFonts w:asciiTheme="majorHAnsi" w:eastAsia="Times New Roman" w:hAnsiTheme="majorHAnsi" w:cstheme="majorHAnsi"/>
                <w:color w:val="000000"/>
                <w:sz w:val="20"/>
                <w:szCs w:val="20"/>
              </w:rPr>
              <w:t xml:space="preserve"> </w:t>
            </w:r>
          </w:p>
        </w:tc>
        <w:tc>
          <w:tcPr>
            <w:tcW w:w="2783" w:type="pct"/>
            <w:shd w:val="clear" w:color="auto" w:fill="auto"/>
            <w:tcMar>
              <w:left w:w="29" w:type="dxa"/>
              <w:right w:w="29" w:type="dxa"/>
            </w:tcMar>
            <w:hideMark/>
          </w:tcPr>
          <w:p w:rsidR="002E088F" w:rsidRPr="00F36007" w:rsidRDefault="008B03C0" w:rsidP="00FC4AEF">
            <w:pPr>
              <w:rPr>
                <w:rFonts w:asciiTheme="majorHAnsi" w:hAnsiTheme="majorHAnsi" w:cstheme="majorHAnsi"/>
                <w:sz w:val="20"/>
                <w:szCs w:val="20"/>
              </w:rPr>
            </w:pPr>
            <w:r w:rsidRPr="00F36007">
              <w:rPr>
                <w:rFonts w:asciiTheme="majorHAnsi" w:hAnsiTheme="majorHAnsi" w:cstheme="majorHAnsi"/>
                <w:sz w:val="20"/>
                <w:szCs w:val="20"/>
              </w:rPr>
              <w:t>Program Evaluation</w:t>
            </w:r>
            <w:r w:rsidR="002E792A" w:rsidRPr="00F36007">
              <w:rPr>
                <w:rFonts w:asciiTheme="majorHAnsi" w:hAnsiTheme="majorHAnsi" w:cstheme="majorHAnsi"/>
                <w:sz w:val="20"/>
                <w:szCs w:val="20"/>
              </w:rPr>
              <w:t>: Students will select at least two methods (e.g., formative, process, outcome, efficiency) for evaluating a public health program and will develop evaluation questions based on their selection.</w:t>
            </w:r>
          </w:p>
          <w:p w:rsidR="006D6716" w:rsidRPr="00F36007" w:rsidRDefault="006D6716" w:rsidP="00FC4AEF">
            <w:pPr>
              <w:rPr>
                <w:rFonts w:asciiTheme="majorHAnsi" w:hAnsiTheme="majorHAnsi" w:cstheme="majorHAnsi"/>
                <w:sz w:val="20"/>
                <w:szCs w:val="20"/>
              </w:rPr>
            </w:pPr>
          </w:p>
        </w:tc>
      </w:tr>
      <w:tr w:rsidR="00534D8C" w:rsidRPr="00F36007" w:rsidTr="00DE072A">
        <w:trPr>
          <w:cantSplit/>
          <w:trHeight w:val="300"/>
        </w:trPr>
        <w:tc>
          <w:tcPr>
            <w:tcW w:w="5000" w:type="pct"/>
            <w:gridSpan w:val="3"/>
            <w:shd w:val="clear" w:color="000000" w:fill="D9D9D9"/>
            <w:noWrap/>
            <w:tcMar>
              <w:left w:w="29" w:type="dxa"/>
              <w:right w:w="29" w:type="dxa"/>
            </w:tcMar>
            <w:hideMark/>
          </w:tcPr>
          <w:p w:rsidR="00534D8C" w:rsidRPr="00F36007" w:rsidRDefault="00534D8C" w:rsidP="00A37ED6">
            <w:pPr>
              <w:jc w:val="both"/>
              <w:rPr>
                <w:rFonts w:asciiTheme="majorHAnsi" w:eastAsia="Times New Roman" w:hAnsiTheme="majorHAnsi" w:cstheme="majorHAnsi"/>
                <w:b/>
                <w:bCs/>
                <w:color w:val="000000"/>
                <w:sz w:val="20"/>
                <w:szCs w:val="20"/>
              </w:rPr>
            </w:pPr>
            <w:r w:rsidRPr="00F36007">
              <w:rPr>
                <w:rFonts w:asciiTheme="majorHAnsi" w:eastAsia="Times New Roman" w:hAnsiTheme="majorHAnsi" w:cstheme="majorHAnsi"/>
                <w:b/>
                <w:bCs/>
                <w:color w:val="000000"/>
                <w:sz w:val="20"/>
                <w:szCs w:val="20"/>
              </w:rPr>
              <w:t>Policy in Public Health</w:t>
            </w:r>
          </w:p>
        </w:tc>
      </w:tr>
      <w:tr w:rsidR="00562E73" w:rsidRPr="00F36007" w:rsidTr="006E28EE">
        <w:trPr>
          <w:cantSplit/>
          <w:trHeight w:val="1465"/>
        </w:trPr>
        <w:tc>
          <w:tcPr>
            <w:tcW w:w="1134" w:type="pct"/>
            <w:shd w:val="clear" w:color="auto" w:fill="auto"/>
            <w:tcMar>
              <w:left w:w="29" w:type="dxa"/>
              <w:right w:w="29" w:type="dxa"/>
            </w:tcMar>
            <w:hideMark/>
          </w:tcPr>
          <w:p w:rsidR="00534D8C" w:rsidRPr="00F36007" w:rsidRDefault="00534D8C" w:rsidP="00A37ED6">
            <w:pPr>
              <w:rPr>
                <w:rFonts w:asciiTheme="majorHAnsi" w:eastAsia="Times New Roman" w:hAnsiTheme="majorHAnsi" w:cstheme="majorHAnsi"/>
                <w:color w:val="000000"/>
                <w:sz w:val="20"/>
                <w:szCs w:val="20"/>
              </w:rPr>
            </w:pPr>
            <w:r w:rsidRPr="00F36007">
              <w:rPr>
                <w:rFonts w:asciiTheme="majorHAnsi" w:eastAsia="Times New Roman" w:hAnsiTheme="majorHAnsi" w:cstheme="majorHAnsi"/>
                <w:color w:val="000000"/>
                <w:sz w:val="20"/>
                <w:szCs w:val="20"/>
              </w:rPr>
              <w:t xml:space="preserve">MPH-12. Discuss multiple dimensions of the policy-making process, including the roles of ethics and evidence </w:t>
            </w:r>
          </w:p>
        </w:tc>
        <w:tc>
          <w:tcPr>
            <w:tcW w:w="1083" w:type="pct"/>
            <w:shd w:val="clear" w:color="auto" w:fill="auto"/>
            <w:tcMar>
              <w:left w:w="29" w:type="dxa"/>
              <w:right w:w="29" w:type="dxa"/>
            </w:tcMar>
            <w:hideMark/>
          </w:tcPr>
          <w:p w:rsidR="00534D8C" w:rsidRPr="00F36007" w:rsidRDefault="008B03C0" w:rsidP="00FC4AEF">
            <w:pPr>
              <w:rPr>
                <w:rFonts w:asciiTheme="majorHAnsi" w:eastAsia="Times New Roman" w:hAnsiTheme="majorHAnsi" w:cstheme="majorHAnsi"/>
                <w:color w:val="000000"/>
                <w:sz w:val="20"/>
                <w:szCs w:val="20"/>
              </w:rPr>
            </w:pPr>
            <w:r w:rsidRPr="00866923">
              <w:rPr>
                <w:rFonts w:asciiTheme="majorHAnsi" w:hAnsiTheme="majorHAnsi" w:cstheme="majorHAnsi"/>
                <w:b/>
                <w:sz w:val="20"/>
                <w:szCs w:val="20"/>
              </w:rPr>
              <w:t>PHM 3715</w:t>
            </w:r>
            <w:r w:rsidRPr="00F36007">
              <w:rPr>
                <w:rFonts w:asciiTheme="majorHAnsi" w:hAnsiTheme="majorHAnsi" w:cstheme="majorHAnsi"/>
                <w:sz w:val="20"/>
                <w:szCs w:val="20"/>
              </w:rPr>
              <w:t xml:space="preserve"> Management and Policy Concepts in Public Health</w:t>
            </w:r>
          </w:p>
        </w:tc>
        <w:tc>
          <w:tcPr>
            <w:tcW w:w="2783" w:type="pct"/>
            <w:shd w:val="clear" w:color="auto" w:fill="auto"/>
            <w:tcMar>
              <w:left w:w="29" w:type="dxa"/>
              <w:right w:w="29" w:type="dxa"/>
            </w:tcMar>
            <w:hideMark/>
          </w:tcPr>
          <w:p w:rsidR="00534D8C" w:rsidRPr="00F36007" w:rsidRDefault="008B03C0" w:rsidP="00A37ED6">
            <w:pPr>
              <w:rPr>
                <w:rFonts w:asciiTheme="majorHAnsi" w:hAnsiTheme="majorHAnsi" w:cstheme="majorHAnsi"/>
                <w:color w:val="000000"/>
                <w:sz w:val="20"/>
                <w:szCs w:val="20"/>
              </w:rPr>
            </w:pPr>
            <w:r w:rsidRPr="00F36007">
              <w:rPr>
                <w:rFonts w:asciiTheme="majorHAnsi" w:hAnsiTheme="majorHAnsi" w:cstheme="majorHAnsi"/>
                <w:sz w:val="20"/>
                <w:szCs w:val="20"/>
              </w:rPr>
              <w:t>Policy Project, Written Assignment 1</w:t>
            </w:r>
            <w:r w:rsidR="00FA748A" w:rsidRPr="00F36007">
              <w:rPr>
                <w:rFonts w:asciiTheme="majorHAnsi" w:hAnsiTheme="majorHAnsi" w:cstheme="majorHAnsi"/>
                <w:color w:val="000000"/>
                <w:sz w:val="20"/>
                <w:szCs w:val="20"/>
              </w:rPr>
              <w:t xml:space="preserve">: Choose a public health area of interest and choose a related population-based public health federal, state or local policy. Discuss how you would identify stakeholders in support of your cause, and what strategies you would use to engage your identified stakeholders to build coalitions and partnerships for influencing your public health outcome. Including a stakeholder matrix is recommended, but not required. Additionally, generally describe the history, and/or legislative steps of how your chosen population-based public health policy came to be in its present form. Discuss the evidence and/or research that was used in your chosen policy process and how ethical considerations influence this process. </w:t>
            </w:r>
          </w:p>
        </w:tc>
      </w:tr>
      <w:tr w:rsidR="00562E73" w:rsidRPr="00F36007" w:rsidTr="006E28EE">
        <w:trPr>
          <w:cantSplit/>
          <w:trHeight w:val="535"/>
        </w:trPr>
        <w:tc>
          <w:tcPr>
            <w:tcW w:w="1134" w:type="pct"/>
            <w:vMerge w:val="restart"/>
            <w:shd w:val="clear" w:color="auto" w:fill="auto"/>
            <w:tcMar>
              <w:left w:w="29" w:type="dxa"/>
              <w:right w:w="29" w:type="dxa"/>
            </w:tcMar>
            <w:hideMark/>
          </w:tcPr>
          <w:p w:rsidR="00534D8C" w:rsidRPr="00F36007" w:rsidRDefault="00534D8C" w:rsidP="00A37ED6">
            <w:pPr>
              <w:rPr>
                <w:rFonts w:asciiTheme="majorHAnsi" w:eastAsia="Times New Roman" w:hAnsiTheme="majorHAnsi" w:cstheme="majorHAnsi"/>
                <w:color w:val="000000"/>
                <w:sz w:val="20"/>
                <w:szCs w:val="20"/>
              </w:rPr>
            </w:pPr>
            <w:r w:rsidRPr="00F36007">
              <w:rPr>
                <w:rFonts w:asciiTheme="majorHAnsi" w:eastAsia="Times New Roman" w:hAnsiTheme="majorHAnsi" w:cstheme="majorHAnsi"/>
                <w:color w:val="000000"/>
                <w:sz w:val="20"/>
                <w:szCs w:val="20"/>
              </w:rPr>
              <w:t>MPH-13. Propose strategies to identify stakeholders and build coalitions and partnerships for influencing public health outcomes</w:t>
            </w:r>
          </w:p>
        </w:tc>
        <w:tc>
          <w:tcPr>
            <w:tcW w:w="1083" w:type="pct"/>
            <w:shd w:val="clear" w:color="auto" w:fill="auto"/>
            <w:tcMar>
              <w:left w:w="29" w:type="dxa"/>
              <w:right w:w="29" w:type="dxa"/>
            </w:tcMar>
            <w:hideMark/>
          </w:tcPr>
          <w:p w:rsidR="00534D8C" w:rsidRPr="00F36007" w:rsidRDefault="008B03C0" w:rsidP="00FC4AEF">
            <w:pPr>
              <w:rPr>
                <w:rFonts w:asciiTheme="majorHAnsi" w:eastAsia="Times New Roman" w:hAnsiTheme="majorHAnsi" w:cstheme="majorHAnsi"/>
                <w:color w:val="000000"/>
                <w:sz w:val="20"/>
                <w:szCs w:val="20"/>
              </w:rPr>
            </w:pPr>
            <w:r w:rsidRPr="00866923">
              <w:rPr>
                <w:rFonts w:asciiTheme="majorHAnsi" w:hAnsiTheme="majorHAnsi" w:cstheme="majorHAnsi"/>
                <w:b/>
                <w:sz w:val="20"/>
                <w:szCs w:val="20"/>
              </w:rPr>
              <w:t>PHM 1110</w:t>
            </w:r>
            <w:r w:rsidRPr="00F36007">
              <w:rPr>
                <w:rFonts w:asciiTheme="majorHAnsi" w:hAnsiTheme="majorHAnsi" w:cstheme="majorHAnsi"/>
                <w:sz w:val="20"/>
                <w:szCs w:val="20"/>
              </w:rPr>
              <w:t xml:space="preserve"> Health Promotion and Behavioral Sciences in Public Health</w:t>
            </w:r>
          </w:p>
        </w:tc>
        <w:tc>
          <w:tcPr>
            <w:tcW w:w="2783" w:type="pct"/>
            <w:shd w:val="clear" w:color="auto" w:fill="auto"/>
            <w:tcMar>
              <w:left w:w="29" w:type="dxa"/>
              <w:right w:w="29" w:type="dxa"/>
            </w:tcMar>
            <w:hideMark/>
          </w:tcPr>
          <w:p w:rsidR="00534D8C" w:rsidRPr="00F36007" w:rsidRDefault="008B03C0" w:rsidP="00A37ED6">
            <w:pPr>
              <w:rPr>
                <w:rFonts w:asciiTheme="majorHAnsi" w:hAnsiTheme="majorHAnsi" w:cstheme="majorHAnsi"/>
                <w:color w:val="000000"/>
                <w:sz w:val="20"/>
                <w:szCs w:val="20"/>
              </w:rPr>
            </w:pPr>
            <w:r w:rsidRPr="00F36007">
              <w:rPr>
                <w:rFonts w:asciiTheme="majorHAnsi" w:hAnsiTheme="majorHAnsi" w:cstheme="majorHAnsi"/>
                <w:sz w:val="20"/>
                <w:szCs w:val="20"/>
              </w:rPr>
              <w:t>Community Partnership Paper</w:t>
            </w:r>
            <w:r w:rsidR="00534D8C" w:rsidRPr="00F36007">
              <w:rPr>
                <w:rFonts w:asciiTheme="majorHAnsi" w:eastAsia="Times New Roman" w:hAnsiTheme="majorHAnsi" w:cstheme="majorHAnsi"/>
                <w:color w:val="000000"/>
                <w:sz w:val="20"/>
                <w:szCs w:val="20"/>
              </w:rPr>
              <w:t>: Students will complete a short writing assignment and describe specific stakeholders who would be in their partnership and what unique capacity each stakeholder would bring to the partnership. Students will also discuss how they would structure the partnership and organize meetings to maximize participation.</w:t>
            </w:r>
          </w:p>
        </w:tc>
      </w:tr>
      <w:tr w:rsidR="00562E73" w:rsidRPr="00F36007" w:rsidTr="006E28EE">
        <w:trPr>
          <w:cantSplit/>
          <w:trHeight w:val="535"/>
        </w:trPr>
        <w:tc>
          <w:tcPr>
            <w:tcW w:w="1134" w:type="pct"/>
            <w:vMerge/>
            <w:shd w:val="clear" w:color="auto" w:fill="auto"/>
            <w:tcMar>
              <w:left w:w="29" w:type="dxa"/>
              <w:right w:w="29" w:type="dxa"/>
            </w:tcMar>
          </w:tcPr>
          <w:p w:rsidR="00534D8C" w:rsidRPr="00F36007" w:rsidRDefault="00534D8C" w:rsidP="00A37ED6">
            <w:pPr>
              <w:rPr>
                <w:rFonts w:asciiTheme="majorHAnsi" w:eastAsia="Times New Roman" w:hAnsiTheme="majorHAnsi" w:cstheme="majorHAnsi"/>
                <w:color w:val="000000"/>
                <w:sz w:val="20"/>
                <w:szCs w:val="20"/>
              </w:rPr>
            </w:pPr>
          </w:p>
        </w:tc>
        <w:tc>
          <w:tcPr>
            <w:tcW w:w="1083" w:type="pct"/>
            <w:shd w:val="clear" w:color="auto" w:fill="auto"/>
            <w:tcMar>
              <w:left w:w="29" w:type="dxa"/>
              <w:right w:w="29" w:type="dxa"/>
            </w:tcMar>
          </w:tcPr>
          <w:p w:rsidR="00534D8C" w:rsidRPr="00F36007" w:rsidRDefault="00A87D31" w:rsidP="00FC4AEF">
            <w:pPr>
              <w:rPr>
                <w:rFonts w:asciiTheme="majorHAnsi" w:eastAsia="Times New Roman" w:hAnsiTheme="majorHAnsi" w:cstheme="majorHAnsi"/>
                <w:b/>
                <w:color w:val="000000"/>
                <w:sz w:val="20"/>
                <w:szCs w:val="20"/>
              </w:rPr>
            </w:pPr>
            <w:r w:rsidRPr="00866923">
              <w:rPr>
                <w:rFonts w:asciiTheme="majorHAnsi" w:hAnsiTheme="majorHAnsi" w:cstheme="majorHAnsi"/>
                <w:b/>
                <w:sz w:val="20"/>
                <w:szCs w:val="20"/>
              </w:rPr>
              <w:t>PHM 3715</w:t>
            </w:r>
            <w:r w:rsidRPr="00F36007">
              <w:rPr>
                <w:rFonts w:asciiTheme="majorHAnsi" w:hAnsiTheme="majorHAnsi" w:cstheme="majorHAnsi"/>
                <w:sz w:val="20"/>
                <w:szCs w:val="20"/>
              </w:rPr>
              <w:t xml:space="preserve"> Management and Policy Concepts in Public Health</w:t>
            </w:r>
          </w:p>
        </w:tc>
        <w:tc>
          <w:tcPr>
            <w:tcW w:w="2783" w:type="pct"/>
            <w:shd w:val="clear" w:color="auto" w:fill="auto"/>
            <w:tcMar>
              <w:left w:w="29" w:type="dxa"/>
              <w:right w:w="29" w:type="dxa"/>
            </w:tcMar>
          </w:tcPr>
          <w:p w:rsidR="00534D8C" w:rsidRPr="00F36007" w:rsidRDefault="00A87D31" w:rsidP="00A37ED6">
            <w:pPr>
              <w:rPr>
                <w:rFonts w:asciiTheme="majorHAnsi" w:hAnsiTheme="majorHAnsi" w:cstheme="majorHAnsi"/>
                <w:sz w:val="20"/>
                <w:szCs w:val="20"/>
              </w:rPr>
            </w:pPr>
            <w:r w:rsidRPr="00F36007">
              <w:rPr>
                <w:rFonts w:asciiTheme="majorHAnsi" w:hAnsiTheme="majorHAnsi" w:cstheme="majorHAnsi"/>
                <w:sz w:val="20"/>
                <w:szCs w:val="20"/>
              </w:rPr>
              <w:t>Policy Project, Written Assignment 1</w:t>
            </w:r>
            <w:r w:rsidR="00243CDB" w:rsidRPr="00F36007">
              <w:rPr>
                <w:rFonts w:asciiTheme="majorHAnsi" w:hAnsiTheme="majorHAnsi" w:cstheme="majorHAnsi"/>
                <w:color w:val="000000"/>
                <w:sz w:val="20"/>
                <w:szCs w:val="20"/>
              </w:rPr>
              <w:t>: Choose a public health area of interest and choose a related population-based public health federal, state or local policy. Discuss how you would identify stakeholders in support of your cause, and what strategies you would use to engage your identified stakeholders to build coalitions and partnerships for influencing your public health outcome. Including a stakeholder matrix is recommended, but not required. Additionally, generally describe the history, and/or legislative steps of how your chosen population-based public health policy came to be in its present form. Discuss the evidence and/or research that was used in your chosen policy process and how ethical considerations influence this process.</w:t>
            </w:r>
          </w:p>
        </w:tc>
      </w:tr>
      <w:tr w:rsidR="00562E73" w:rsidRPr="00F36007" w:rsidTr="006E28EE">
        <w:trPr>
          <w:cantSplit/>
          <w:trHeight w:val="707"/>
        </w:trPr>
        <w:tc>
          <w:tcPr>
            <w:tcW w:w="1134" w:type="pct"/>
            <w:shd w:val="clear" w:color="auto" w:fill="auto"/>
            <w:tcMar>
              <w:left w:w="29" w:type="dxa"/>
              <w:right w:w="29" w:type="dxa"/>
            </w:tcMar>
            <w:hideMark/>
          </w:tcPr>
          <w:p w:rsidR="00534D8C" w:rsidRPr="00F36007" w:rsidRDefault="00534D8C" w:rsidP="00A37ED6">
            <w:pPr>
              <w:rPr>
                <w:rFonts w:asciiTheme="majorHAnsi" w:eastAsia="Times New Roman" w:hAnsiTheme="majorHAnsi" w:cstheme="majorHAnsi"/>
                <w:color w:val="000000"/>
                <w:sz w:val="20"/>
                <w:szCs w:val="20"/>
              </w:rPr>
            </w:pPr>
            <w:r w:rsidRPr="00F36007">
              <w:rPr>
                <w:rFonts w:asciiTheme="majorHAnsi" w:eastAsia="Times New Roman" w:hAnsiTheme="majorHAnsi" w:cstheme="majorHAnsi"/>
                <w:color w:val="000000"/>
                <w:sz w:val="20"/>
                <w:szCs w:val="20"/>
              </w:rPr>
              <w:t xml:space="preserve">MPH-14. Advocate for political, social or economic policies and programs that will improve health in </w:t>
            </w:r>
            <w:r w:rsidR="00F36007" w:rsidRPr="00F36007">
              <w:rPr>
                <w:rFonts w:asciiTheme="majorHAnsi" w:eastAsia="Times New Roman" w:hAnsiTheme="majorHAnsi" w:cstheme="majorHAnsi"/>
                <w:color w:val="000000"/>
                <w:sz w:val="20"/>
                <w:szCs w:val="20"/>
              </w:rPr>
              <w:t>MPH-</w:t>
            </w:r>
            <w:r w:rsidR="00F36007" w:rsidRPr="00F36007">
              <w:rPr>
                <w:rFonts w:asciiTheme="majorHAnsi" w:hAnsiTheme="majorHAnsi" w:cstheme="majorHAnsi"/>
                <w:color w:val="000000"/>
                <w:sz w:val="20"/>
                <w:szCs w:val="20"/>
              </w:rPr>
              <w:t xml:space="preserve">16. Apply principles of leadership, governance and management, which include creating a vision, empowering others, fostering collaboration and guiding decision making </w:t>
            </w:r>
            <w:r w:rsidRPr="00F36007">
              <w:rPr>
                <w:rFonts w:asciiTheme="majorHAnsi" w:eastAsia="Times New Roman" w:hAnsiTheme="majorHAnsi" w:cstheme="majorHAnsi"/>
                <w:color w:val="000000"/>
                <w:sz w:val="20"/>
                <w:szCs w:val="20"/>
              </w:rPr>
              <w:t>diverse populations</w:t>
            </w:r>
          </w:p>
        </w:tc>
        <w:tc>
          <w:tcPr>
            <w:tcW w:w="1083" w:type="pct"/>
            <w:shd w:val="clear" w:color="auto" w:fill="auto"/>
            <w:tcMar>
              <w:left w:w="29" w:type="dxa"/>
              <w:right w:w="29" w:type="dxa"/>
            </w:tcMar>
            <w:hideMark/>
          </w:tcPr>
          <w:p w:rsidR="00534D8C" w:rsidRPr="00F36007" w:rsidRDefault="00C26613" w:rsidP="00FC4AEF">
            <w:pPr>
              <w:rPr>
                <w:rFonts w:asciiTheme="majorHAnsi" w:eastAsia="Times New Roman" w:hAnsiTheme="majorHAnsi" w:cstheme="majorHAnsi"/>
                <w:color w:val="000000"/>
                <w:sz w:val="20"/>
                <w:szCs w:val="20"/>
              </w:rPr>
            </w:pPr>
            <w:r w:rsidRPr="00866923">
              <w:rPr>
                <w:rFonts w:asciiTheme="majorHAnsi" w:hAnsiTheme="majorHAnsi" w:cstheme="majorHAnsi"/>
                <w:b/>
                <w:sz w:val="20"/>
                <w:szCs w:val="20"/>
              </w:rPr>
              <w:t>PHM 3715</w:t>
            </w:r>
            <w:r w:rsidRPr="00F36007">
              <w:rPr>
                <w:rFonts w:asciiTheme="majorHAnsi" w:hAnsiTheme="majorHAnsi" w:cstheme="majorHAnsi"/>
                <w:sz w:val="20"/>
                <w:szCs w:val="20"/>
              </w:rPr>
              <w:t xml:space="preserve"> Management and Policy Concepts in Public Health</w:t>
            </w:r>
          </w:p>
        </w:tc>
        <w:tc>
          <w:tcPr>
            <w:tcW w:w="2783" w:type="pct"/>
            <w:shd w:val="clear" w:color="auto" w:fill="auto"/>
            <w:tcMar>
              <w:left w:w="29" w:type="dxa"/>
              <w:right w:w="29" w:type="dxa"/>
            </w:tcMar>
          </w:tcPr>
          <w:p w:rsidR="00534D8C" w:rsidRPr="00F36007" w:rsidRDefault="00534D8C" w:rsidP="00A37ED6">
            <w:pPr>
              <w:rPr>
                <w:rFonts w:asciiTheme="majorHAnsi" w:hAnsiTheme="majorHAnsi" w:cstheme="majorHAnsi"/>
                <w:sz w:val="20"/>
                <w:szCs w:val="20"/>
              </w:rPr>
            </w:pPr>
            <w:r w:rsidRPr="00F36007">
              <w:rPr>
                <w:rFonts w:asciiTheme="majorHAnsi" w:hAnsiTheme="majorHAnsi" w:cstheme="majorHAnsi"/>
                <w:sz w:val="20"/>
                <w:szCs w:val="20"/>
              </w:rPr>
              <w:t xml:space="preserve"> </w:t>
            </w:r>
            <w:r w:rsidR="00C26613" w:rsidRPr="00F36007">
              <w:rPr>
                <w:rFonts w:asciiTheme="majorHAnsi" w:hAnsiTheme="majorHAnsi" w:cstheme="majorHAnsi"/>
                <w:sz w:val="20"/>
                <w:szCs w:val="20"/>
              </w:rPr>
              <w:t>“In the News” Presentation</w:t>
            </w:r>
            <w:r w:rsidRPr="00F36007">
              <w:rPr>
                <w:rFonts w:asciiTheme="majorHAnsi" w:hAnsiTheme="majorHAnsi" w:cstheme="majorHAnsi"/>
                <w:sz w:val="20"/>
                <w:szCs w:val="20"/>
              </w:rPr>
              <w:t xml:space="preserve">: </w:t>
            </w:r>
            <w:r w:rsidR="00243CDB" w:rsidRPr="00F36007">
              <w:rPr>
                <w:rFonts w:asciiTheme="majorHAnsi" w:hAnsiTheme="majorHAnsi" w:cstheme="majorHAnsi"/>
                <w:sz w:val="20"/>
                <w:szCs w:val="20"/>
              </w:rPr>
              <w:t xml:space="preserve">Students will develop a </w:t>
            </w:r>
            <w:r w:rsidRPr="00F36007">
              <w:rPr>
                <w:rFonts w:asciiTheme="majorHAnsi" w:hAnsiTheme="majorHAnsi" w:cstheme="majorHAnsi"/>
                <w:sz w:val="20"/>
                <w:szCs w:val="20"/>
              </w:rPr>
              <w:t>5-8 minute presentation (with PowerPoint) on a current “ripped from the headlines” public health issue of interest. Students will research a public health area of interest</w:t>
            </w:r>
            <w:r w:rsidR="00243CDB" w:rsidRPr="00F36007">
              <w:rPr>
                <w:rFonts w:asciiTheme="majorHAnsi" w:hAnsiTheme="majorHAnsi" w:cstheme="majorHAnsi"/>
                <w:sz w:val="20"/>
                <w:szCs w:val="20"/>
              </w:rPr>
              <w:t xml:space="preserve"> and will</w:t>
            </w:r>
            <w:r w:rsidRPr="00F36007">
              <w:rPr>
                <w:rFonts w:asciiTheme="majorHAnsi" w:hAnsiTheme="majorHAnsi" w:cstheme="majorHAnsi"/>
                <w:sz w:val="20"/>
                <w:szCs w:val="20"/>
              </w:rPr>
              <w:t xml:space="preserve"> advocate politically, socially or economically how the public health policy or program they have chosen could improve the public health of diverse populations</w:t>
            </w:r>
            <w:r w:rsidR="00B841B6" w:rsidRPr="00F36007">
              <w:rPr>
                <w:rFonts w:asciiTheme="majorHAnsi" w:hAnsiTheme="majorHAnsi" w:cstheme="majorHAnsi"/>
                <w:sz w:val="20"/>
                <w:szCs w:val="20"/>
              </w:rPr>
              <w:t xml:space="preserve">. </w:t>
            </w:r>
            <w:r w:rsidRPr="00F36007">
              <w:rPr>
                <w:rFonts w:asciiTheme="majorHAnsi" w:hAnsiTheme="majorHAnsi" w:cstheme="majorHAnsi"/>
                <w:sz w:val="20"/>
                <w:szCs w:val="20"/>
              </w:rPr>
              <w:t>Each Student will be assigned a presentation date and prepare the PowerPoint slides in the following sequence:</w:t>
            </w:r>
          </w:p>
          <w:p w:rsidR="00534D8C" w:rsidRPr="00F36007" w:rsidRDefault="00534D8C" w:rsidP="006E28EE">
            <w:pPr>
              <w:pStyle w:val="ListParagraph"/>
              <w:numPr>
                <w:ilvl w:val="0"/>
                <w:numId w:val="185"/>
              </w:numPr>
              <w:ind w:left="425" w:hanging="180"/>
              <w:rPr>
                <w:rFonts w:asciiTheme="majorHAnsi" w:hAnsiTheme="majorHAnsi" w:cstheme="majorHAnsi"/>
                <w:szCs w:val="20"/>
              </w:rPr>
            </w:pPr>
            <w:r w:rsidRPr="00F36007">
              <w:rPr>
                <w:rFonts w:asciiTheme="majorHAnsi" w:hAnsiTheme="majorHAnsi" w:cstheme="majorHAnsi"/>
                <w:szCs w:val="20"/>
              </w:rPr>
              <w:t xml:space="preserve">1 slide: </w:t>
            </w:r>
            <w:r w:rsidR="00876DA9" w:rsidRPr="00F36007">
              <w:rPr>
                <w:rFonts w:asciiTheme="majorHAnsi" w:hAnsiTheme="majorHAnsi" w:cstheme="majorHAnsi"/>
                <w:szCs w:val="20"/>
              </w:rPr>
              <w:t>B</w:t>
            </w:r>
            <w:r w:rsidRPr="00F36007">
              <w:rPr>
                <w:rFonts w:asciiTheme="majorHAnsi" w:hAnsiTheme="majorHAnsi" w:cstheme="majorHAnsi"/>
                <w:szCs w:val="20"/>
              </w:rPr>
              <w:t xml:space="preserve">ackground of issue; </w:t>
            </w:r>
          </w:p>
          <w:p w:rsidR="00534D8C" w:rsidRPr="00F36007" w:rsidRDefault="00534D8C" w:rsidP="006E28EE">
            <w:pPr>
              <w:pStyle w:val="ListParagraph"/>
              <w:numPr>
                <w:ilvl w:val="0"/>
                <w:numId w:val="185"/>
              </w:numPr>
              <w:ind w:left="425" w:hanging="180"/>
              <w:rPr>
                <w:rFonts w:asciiTheme="majorHAnsi" w:hAnsiTheme="majorHAnsi" w:cstheme="majorHAnsi"/>
                <w:szCs w:val="20"/>
              </w:rPr>
            </w:pPr>
            <w:r w:rsidRPr="00F36007">
              <w:rPr>
                <w:rFonts w:asciiTheme="majorHAnsi" w:hAnsiTheme="majorHAnsi" w:cstheme="majorHAnsi"/>
                <w:szCs w:val="20"/>
              </w:rPr>
              <w:t xml:space="preserve">1 slide: </w:t>
            </w:r>
            <w:r w:rsidR="00876DA9" w:rsidRPr="00F36007">
              <w:rPr>
                <w:rFonts w:asciiTheme="majorHAnsi" w:hAnsiTheme="majorHAnsi" w:cstheme="majorHAnsi"/>
                <w:szCs w:val="20"/>
              </w:rPr>
              <w:t>P</w:t>
            </w:r>
            <w:r w:rsidRPr="00F36007">
              <w:rPr>
                <w:rFonts w:asciiTheme="majorHAnsi" w:hAnsiTheme="majorHAnsi" w:cstheme="majorHAnsi"/>
                <w:szCs w:val="20"/>
              </w:rPr>
              <w:t xml:space="preserve">resent a federal, state or local policy or program related to the public health issue chosen; </w:t>
            </w:r>
          </w:p>
          <w:p w:rsidR="00534D8C" w:rsidRPr="00F36007" w:rsidRDefault="00534D8C" w:rsidP="006E28EE">
            <w:pPr>
              <w:pStyle w:val="ListParagraph"/>
              <w:numPr>
                <w:ilvl w:val="0"/>
                <w:numId w:val="185"/>
              </w:numPr>
              <w:ind w:left="425" w:hanging="180"/>
              <w:rPr>
                <w:rFonts w:asciiTheme="majorHAnsi" w:hAnsiTheme="majorHAnsi" w:cstheme="majorHAnsi"/>
                <w:szCs w:val="20"/>
              </w:rPr>
            </w:pPr>
            <w:r w:rsidRPr="00F36007">
              <w:rPr>
                <w:rFonts w:asciiTheme="majorHAnsi" w:hAnsiTheme="majorHAnsi" w:cstheme="majorHAnsi"/>
                <w:szCs w:val="20"/>
              </w:rPr>
              <w:t xml:space="preserve">1 slide: </w:t>
            </w:r>
            <w:r w:rsidR="00876DA9" w:rsidRPr="00F36007">
              <w:rPr>
                <w:rFonts w:asciiTheme="majorHAnsi" w:hAnsiTheme="majorHAnsi" w:cstheme="majorHAnsi"/>
                <w:szCs w:val="20"/>
              </w:rPr>
              <w:t>P</w:t>
            </w:r>
            <w:r w:rsidRPr="00F36007">
              <w:rPr>
                <w:rFonts w:asciiTheme="majorHAnsi" w:hAnsiTheme="majorHAnsi" w:cstheme="majorHAnsi"/>
                <w:szCs w:val="20"/>
              </w:rPr>
              <w:t xml:space="preserve">ick a target audience (health department/parents/schools…); </w:t>
            </w:r>
          </w:p>
          <w:p w:rsidR="00534D8C" w:rsidRPr="00F36007" w:rsidRDefault="00534D8C" w:rsidP="006E28EE">
            <w:pPr>
              <w:pStyle w:val="ListParagraph"/>
              <w:numPr>
                <w:ilvl w:val="0"/>
                <w:numId w:val="185"/>
              </w:numPr>
              <w:ind w:left="425" w:hanging="180"/>
              <w:rPr>
                <w:rFonts w:asciiTheme="majorHAnsi" w:hAnsiTheme="majorHAnsi" w:cstheme="majorHAnsi"/>
                <w:szCs w:val="20"/>
              </w:rPr>
            </w:pPr>
            <w:r w:rsidRPr="00F36007">
              <w:rPr>
                <w:rFonts w:asciiTheme="majorHAnsi" w:hAnsiTheme="majorHAnsi" w:cstheme="majorHAnsi"/>
                <w:szCs w:val="20"/>
              </w:rPr>
              <w:t xml:space="preserve">1 slide: </w:t>
            </w:r>
            <w:r w:rsidR="00876DA9" w:rsidRPr="00F36007">
              <w:rPr>
                <w:rFonts w:asciiTheme="majorHAnsi" w:hAnsiTheme="majorHAnsi" w:cstheme="majorHAnsi"/>
                <w:szCs w:val="20"/>
              </w:rPr>
              <w:t>D</w:t>
            </w:r>
            <w:r w:rsidRPr="00F36007">
              <w:rPr>
                <w:rFonts w:asciiTheme="majorHAnsi" w:hAnsiTheme="majorHAnsi" w:cstheme="majorHAnsi"/>
                <w:szCs w:val="20"/>
              </w:rPr>
              <w:t>iscuss the cultural competency issues for this target audience;</w:t>
            </w:r>
          </w:p>
          <w:p w:rsidR="00534D8C" w:rsidRPr="00F36007" w:rsidRDefault="00534D8C" w:rsidP="006E28EE">
            <w:pPr>
              <w:pStyle w:val="ListParagraph"/>
              <w:numPr>
                <w:ilvl w:val="0"/>
                <w:numId w:val="185"/>
              </w:numPr>
              <w:ind w:left="425" w:hanging="180"/>
              <w:rPr>
                <w:rFonts w:asciiTheme="majorHAnsi" w:hAnsiTheme="majorHAnsi" w:cstheme="majorHAnsi"/>
                <w:szCs w:val="20"/>
              </w:rPr>
            </w:pPr>
            <w:r w:rsidRPr="00F36007">
              <w:rPr>
                <w:rFonts w:asciiTheme="majorHAnsi" w:hAnsiTheme="majorHAnsi" w:cstheme="majorHAnsi"/>
                <w:szCs w:val="20"/>
              </w:rPr>
              <w:t xml:space="preserve">2 slides: </w:t>
            </w:r>
            <w:r w:rsidR="00876DA9" w:rsidRPr="00F36007">
              <w:rPr>
                <w:rFonts w:asciiTheme="majorHAnsi" w:hAnsiTheme="majorHAnsi" w:cstheme="majorHAnsi"/>
                <w:szCs w:val="20"/>
              </w:rPr>
              <w:t>P</w:t>
            </w:r>
            <w:r w:rsidRPr="00F36007">
              <w:rPr>
                <w:rFonts w:asciiTheme="majorHAnsi" w:hAnsiTheme="majorHAnsi" w:cstheme="majorHAnsi"/>
                <w:szCs w:val="20"/>
              </w:rPr>
              <w:t xml:space="preserve">ick a side and advocate for or against how this policy or program affects and benefits the public health of your target audience and other diverse populations. Please present a fact sheet as part of your advocacy effort. </w:t>
            </w:r>
          </w:p>
          <w:p w:rsidR="00534D8C" w:rsidRPr="00F36007" w:rsidRDefault="00534D8C" w:rsidP="006E28EE">
            <w:pPr>
              <w:pStyle w:val="ListParagraph"/>
              <w:numPr>
                <w:ilvl w:val="0"/>
                <w:numId w:val="185"/>
              </w:numPr>
              <w:ind w:left="425" w:hanging="180"/>
              <w:rPr>
                <w:rFonts w:asciiTheme="majorHAnsi" w:hAnsiTheme="majorHAnsi" w:cstheme="majorHAnsi"/>
                <w:szCs w:val="20"/>
              </w:rPr>
            </w:pPr>
            <w:r w:rsidRPr="00F36007">
              <w:rPr>
                <w:rFonts w:asciiTheme="majorHAnsi" w:hAnsiTheme="majorHAnsi" w:cstheme="majorHAnsi"/>
                <w:szCs w:val="20"/>
              </w:rPr>
              <w:t xml:space="preserve">1 slide: </w:t>
            </w:r>
            <w:r w:rsidR="00876DA9" w:rsidRPr="00F36007">
              <w:rPr>
                <w:rFonts w:asciiTheme="majorHAnsi" w:hAnsiTheme="majorHAnsi" w:cstheme="majorHAnsi"/>
                <w:szCs w:val="20"/>
              </w:rPr>
              <w:t>D</w:t>
            </w:r>
            <w:r w:rsidRPr="00F36007">
              <w:rPr>
                <w:rFonts w:asciiTheme="majorHAnsi" w:hAnsiTheme="majorHAnsi" w:cstheme="majorHAnsi"/>
                <w:szCs w:val="20"/>
              </w:rPr>
              <w:t xml:space="preserve">iscuss why you presented/advocated for your policy as it relates to your target audience and the diverse populations it affects. Describe what venues, methods of delivery (social media, press release, journal article) best fit your audience and your policy circumstances. Present a counter-argument or counter-point briefly as well. </w:t>
            </w:r>
          </w:p>
        </w:tc>
      </w:tr>
      <w:tr w:rsidR="00562E73" w:rsidRPr="00F36007" w:rsidTr="006E28EE">
        <w:trPr>
          <w:cantSplit/>
          <w:trHeight w:val="3986"/>
        </w:trPr>
        <w:tc>
          <w:tcPr>
            <w:tcW w:w="1134" w:type="pct"/>
            <w:shd w:val="clear" w:color="auto" w:fill="auto"/>
            <w:tcMar>
              <w:left w:w="29" w:type="dxa"/>
              <w:right w:w="29" w:type="dxa"/>
            </w:tcMar>
            <w:hideMark/>
          </w:tcPr>
          <w:p w:rsidR="00534D8C" w:rsidRPr="00F36007" w:rsidRDefault="00534D8C" w:rsidP="00A37ED6">
            <w:pPr>
              <w:rPr>
                <w:rFonts w:asciiTheme="majorHAnsi" w:eastAsia="Times New Roman" w:hAnsiTheme="majorHAnsi" w:cstheme="majorHAnsi"/>
                <w:color w:val="000000"/>
                <w:sz w:val="20"/>
                <w:szCs w:val="20"/>
              </w:rPr>
            </w:pPr>
            <w:r w:rsidRPr="00F36007">
              <w:rPr>
                <w:rFonts w:asciiTheme="majorHAnsi" w:eastAsia="Times New Roman" w:hAnsiTheme="majorHAnsi" w:cstheme="majorHAnsi"/>
                <w:color w:val="000000"/>
                <w:sz w:val="20"/>
                <w:szCs w:val="20"/>
              </w:rPr>
              <w:t>MPH-15. Evaluate policies for their impact on public health and health equity</w:t>
            </w:r>
          </w:p>
        </w:tc>
        <w:tc>
          <w:tcPr>
            <w:tcW w:w="1083" w:type="pct"/>
            <w:shd w:val="clear" w:color="auto" w:fill="auto"/>
            <w:tcMar>
              <w:left w:w="29" w:type="dxa"/>
              <w:right w:w="29" w:type="dxa"/>
            </w:tcMar>
            <w:hideMark/>
          </w:tcPr>
          <w:p w:rsidR="00534D8C" w:rsidRPr="00F36007" w:rsidRDefault="00BD6B05" w:rsidP="00FC4AEF">
            <w:pPr>
              <w:rPr>
                <w:rFonts w:asciiTheme="majorHAnsi" w:eastAsia="Times New Roman" w:hAnsiTheme="majorHAnsi" w:cstheme="majorHAnsi"/>
                <w:color w:val="000000"/>
                <w:sz w:val="20"/>
                <w:szCs w:val="20"/>
              </w:rPr>
            </w:pPr>
            <w:r w:rsidRPr="00866923">
              <w:rPr>
                <w:rFonts w:asciiTheme="majorHAnsi" w:hAnsiTheme="majorHAnsi" w:cstheme="majorHAnsi"/>
                <w:b/>
                <w:sz w:val="20"/>
                <w:szCs w:val="20"/>
              </w:rPr>
              <w:t>PHM 3715</w:t>
            </w:r>
            <w:r w:rsidRPr="00F36007">
              <w:rPr>
                <w:rFonts w:asciiTheme="majorHAnsi" w:hAnsiTheme="majorHAnsi" w:cstheme="majorHAnsi"/>
                <w:sz w:val="20"/>
                <w:szCs w:val="20"/>
              </w:rPr>
              <w:t xml:space="preserve"> Management and Policy Concepts in Public </w:t>
            </w:r>
            <w:r w:rsidRPr="00F36007">
              <w:rPr>
                <w:rFonts w:asciiTheme="majorHAnsi" w:eastAsia="Times New Roman" w:hAnsiTheme="majorHAnsi" w:cstheme="majorHAnsi"/>
                <w:sz w:val="20"/>
                <w:szCs w:val="20"/>
              </w:rPr>
              <w:t>Health</w:t>
            </w:r>
          </w:p>
        </w:tc>
        <w:tc>
          <w:tcPr>
            <w:tcW w:w="2783" w:type="pct"/>
            <w:shd w:val="clear" w:color="auto" w:fill="auto"/>
            <w:tcMar>
              <w:left w:w="29" w:type="dxa"/>
              <w:right w:w="29" w:type="dxa"/>
            </w:tcMar>
          </w:tcPr>
          <w:p w:rsidR="001944BF" w:rsidRPr="00F36007" w:rsidRDefault="00A7743A" w:rsidP="00A37ED6">
            <w:pPr>
              <w:rPr>
                <w:rFonts w:asciiTheme="majorHAnsi" w:hAnsiTheme="majorHAnsi" w:cstheme="majorHAnsi"/>
                <w:sz w:val="20"/>
                <w:szCs w:val="20"/>
              </w:rPr>
            </w:pPr>
            <w:r w:rsidRPr="00F36007">
              <w:rPr>
                <w:rFonts w:asciiTheme="majorHAnsi" w:hAnsiTheme="majorHAnsi" w:cstheme="majorHAnsi"/>
                <w:sz w:val="20"/>
                <w:szCs w:val="20"/>
              </w:rPr>
              <w:t>Policy Project, Written Assignment 3</w:t>
            </w:r>
            <w:r w:rsidR="00ED6599" w:rsidRPr="00F36007">
              <w:rPr>
                <w:rFonts w:asciiTheme="majorHAnsi" w:hAnsiTheme="majorHAnsi" w:cstheme="majorHAnsi"/>
                <w:sz w:val="20"/>
                <w:szCs w:val="20"/>
              </w:rPr>
              <w:t xml:space="preserve">: Utilizing your understanding of the basic principles and tools of budgeting and resource management for your policy, create a realistic budget and budget justification that would be needed to implement your policy efforts. Include all discussed financial and human resource management categories. Be sure to assess your recruitment, hiring, training and policy development needs when creating your budget. Using the Centers for Disease Control and Prevention (CDC’s) policy evaluation steps, evaluate your policy’s impact on public health and health equity including equal access challenges and solutions. Propose an opposing goal or counter argument against your policy. Then apply negotiation and/or mediation skills to address the organizational or community challenges to the policy. </w:t>
            </w:r>
          </w:p>
          <w:p w:rsidR="009E2D13" w:rsidRPr="00F36007" w:rsidRDefault="009E2D13" w:rsidP="00A37ED6">
            <w:pPr>
              <w:rPr>
                <w:rFonts w:asciiTheme="majorHAnsi" w:hAnsiTheme="majorHAnsi" w:cstheme="majorHAnsi"/>
                <w:sz w:val="20"/>
                <w:szCs w:val="20"/>
              </w:rPr>
            </w:pPr>
          </w:p>
          <w:p w:rsidR="009E2D13" w:rsidRPr="00F36007" w:rsidRDefault="009E2D13" w:rsidP="00A37ED6">
            <w:pPr>
              <w:rPr>
                <w:rFonts w:asciiTheme="majorHAnsi" w:hAnsiTheme="majorHAnsi" w:cstheme="majorHAnsi"/>
                <w:sz w:val="20"/>
                <w:szCs w:val="20"/>
              </w:rPr>
            </w:pPr>
          </w:p>
          <w:p w:rsidR="007A7572" w:rsidRPr="00F36007" w:rsidRDefault="007A7572" w:rsidP="00A37ED6">
            <w:pPr>
              <w:rPr>
                <w:rFonts w:asciiTheme="majorHAnsi" w:hAnsiTheme="majorHAnsi" w:cstheme="majorHAnsi"/>
                <w:sz w:val="20"/>
                <w:szCs w:val="20"/>
              </w:rPr>
            </w:pPr>
          </w:p>
          <w:p w:rsidR="007A7572" w:rsidRPr="00F36007" w:rsidRDefault="007A7572" w:rsidP="00A37ED6">
            <w:pPr>
              <w:rPr>
                <w:rFonts w:asciiTheme="majorHAnsi" w:hAnsiTheme="majorHAnsi" w:cstheme="majorHAnsi"/>
                <w:sz w:val="20"/>
                <w:szCs w:val="20"/>
              </w:rPr>
            </w:pPr>
          </w:p>
          <w:p w:rsidR="00CE7AAA" w:rsidRPr="00F36007" w:rsidRDefault="00CE7AAA" w:rsidP="00A37ED6">
            <w:pPr>
              <w:rPr>
                <w:rFonts w:asciiTheme="majorHAnsi" w:hAnsiTheme="majorHAnsi" w:cstheme="majorHAnsi"/>
                <w:sz w:val="20"/>
                <w:szCs w:val="20"/>
              </w:rPr>
            </w:pPr>
          </w:p>
          <w:p w:rsidR="00CE7AAA" w:rsidRPr="00F36007" w:rsidRDefault="00CE7AAA" w:rsidP="00A37ED6">
            <w:pPr>
              <w:rPr>
                <w:rFonts w:asciiTheme="majorHAnsi" w:hAnsiTheme="majorHAnsi" w:cstheme="majorHAnsi"/>
                <w:sz w:val="20"/>
                <w:szCs w:val="20"/>
              </w:rPr>
            </w:pPr>
          </w:p>
          <w:p w:rsidR="009E2D13" w:rsidRPr="00F36007" w:rsidRDefault="009E2D13" w:rsidP="00A37ED6">
            <w:pPr>
              <w:rPr>
                <w:rFonts w:asciiTheme="majorHAnsi" w:hAnsiTheme="majorHAnsi" w:cstheme="majorHAnsi"/>
                <w:sz w:val="20"/>
                <w:szCs w:val="20"/>
              </w:rPr>
            </w:pPr>
          </w:p>
        </w:tc>
      </w:tr>
      <w:tr w:rsidR="00534D8C" w:rsidRPr="00F36007" w:rsidTr="00DE072A">
        <w:trPr>
          <w:cantSplit/>
          <w:trHeight w:val="300"/>
        </w:trPr>
        <w:tc>
          <w:tcPr>
            <w:tcW w:w="5000" w:type="pct"/>
            <w:gridSpan w:val="3"/>
            <w:shd w:val="clear" w:color="000000" w:fill="D9D9D9"/>
            <w:noWrap/>
            <w:tcMar>
              <w:left w:w="29" w:type="dxa"/>
              <w:right w:w="29" w:type="dxa"/>
            </w:tcMar>
            <w:hideMark/>
          </w:tcPr>
          <w:p w:rsidR="00534D8C" w:rsidRPr="00F36007" w:rsidRDefault="00534D8C" w:rsidP="00A37ED6">
            <w:pPr>
              <w:jc w:val="both"/>
              <w:rPr>
                <w:rFonts w:asciiTheme="majorHAnsi" w:eastAsia="Times New Roman" w:hAnsiTheme="majorHAnsi" w:cstheme="majorHAnsi"/>
                <w:b/>
                <w:bCs/>
                <w:sz w:val="20"/>
                <w:szCs w:val="20"/>
              </w:rPr>
            </w:pPr>
            <w:r w:rsidRPr="00F36007">
              <w:rPr>
                <w:rFonts w:asciiTheme="majorHAnsi" w:eastAsia="Times New Roman" w:hAnsiTheme="majorHAnsi" w:cstheme="majorHAnsi"/>
                <w:b/>
                <w:bCs/>
                <w:sz w:val="20"/>
                <w:szCs w:val="20"/>
              </w:rPr>
              <w:t>Leadership</w:t>
            </w:r>
          </w:p>
        </w:tc>
      </w:tr>
      <w:tr w:rsidR="00562E73" w:rsidRPr="00F36007" w:rsidTr="006E28EE">
        <w:trPr>
          <w:cantSplit/>
          <w:trHeight w:val="765"/>
        </w:trPr>
        <w:tc>
          <w:tcPr>
            <w:tcW w:w="1134" w:type="pct"/>
            <w:shd w:val="clear" w:color="auto" w:fill="auto"/>
            <w:tcMar>
              <w:left w:w="29" w:type="dxa"/>
              <w:right w:w="29" w:type="dxa"/>
            </w:tcMar>
            <w:hideMark/>
          </w:tcPr>
          <w:p w:rsidR="00534D8C" w:rsidRPr="00F36007" w:rsidRDefault="00534D8C" w:rsidP="00A37ED6">
            <w:pPr>
              <w:rPr>
                <w:rFonts w:asciiTheme="majorHAnsi" w:hAnsiTheme="majorHAnsi" w:cstheme="majorHAnsi"/>
                <w:color w:val="000000"/>
                <w:sz w:val="20"/>
                <w:szCs w:val="20"/>
              </w:rPr>
            </w:pPr>
          </w:p>
        </w:tc>
        <w:tc>
          <w:tcPr>
            <w:tcW w:w="1083" w:type="pct"/>
            <w:shd w:val="clear" w:color="auto" w:fill="auto"/>
            <w:tcMar>
              <w:left w:w="29" w:type="dxa"/>
              <w:right w:w="29" w:type="dxa"/>
            </w:tcMar>
            <w:hideMark/>
          </w:tcPr>
          <w:p w:rsidR="00534D8C" w:rsidRPr="00F36007" w:rsidRDefault="00E044DB" w:rsidP="00FC4AEF">
            <w:pPr>
              <w:rPr>
                <w:rFonts w:asciiTheme="majorHAnsi" w:hAnsiTheme="majorHAnsi" w:cstheme="majorHAnsi"/>
                <w:b/>
                <w:bCs/>
                <w:iCs/>
                <w:color w:val="000000"/>
                <w:sz w:val="20"/>
                <w:szCs w:val="20"/>
              </w:rPr>
            </w:pPr>
            <w:r w:rsidRPr="00866923">
              <w:rPr>
                <w:rFonts w:asciiTheme="majorHAnsi" w:hAnsiTheme="majorHAnsi" w:cstheme="majorHAnsi"/>
                <w:b/>
                <w:sz w:val="20"/>
                <w:szCs w:val="20"/>
              </w:rPr>
              <w:t>PHM 3715</w:t>
            </w:r>
            <w:r w:rsidRPr="00F36007">
              <w:rPr>
                <w:rFonts w:asciiTheme="majorHAnsi" w:hAnsiTheme="majorHAnsi" w:cstheme="majorHAnsi"/>
                <w:sz w:val="20"/>
                <w:szCs w:val="20"/>
              </w:rPr>
              <w:t xml:space="preserve"> Management and Policy Concepts in Public Health</w:t>
            </w:r>
          </w:p>
        </w:tc>
        <w:tc>
          <w:tcPr>
            <w:tcW w:w="2783" w:type="pct"/>
            <w:shd w:val="clear" w:color="auto" w:fill="auto"/>
            <w:tcMar>
              <w:left w:w="29" w:type="dxa"/>
              <w:right w:w="29" w:type="dxa"/>
            </w:tcMar>
          </w:tcPr>
          <w:p w:rsidR="00534D8C" w:rsidRPr="00F36007" w:rsidRDefault="006B6B87" w:rsidP="00A37ED6">
            <w:pPr>
              <w:rPr>
                <w:rFonts w:asciiTheme="majorHAnsi" w:hAnsiTheme="majorHAnsi" w:cstheme="majorHAnsi"/>
                <w:color w:val="000000"/>
                <w:sz w:val="20"/>
                <w:szCs w:val="20"/>
              </w:rPr>
            </w:pPr>
            <w:r w:rsidRPr="00F36007">
              <w:rPr>
                <w:rFonts w:asciiTheme="majorHAnsi" w:hAnsiTheme="majorHAnsi" w:cstheme="majorHAnsi"/>
                <w:sz w:val="20"/>
                <w:szCs w:val="20"/>
              </w:rPr>
              <w:t xml:space="preserve">Case Study </w:t>
            </w:r>
            <w:r w:rsidRPr="00AF5600">
              <w:rPr>
                <w:rFonts w:asciiTheme="majorHAnsi" w:hAnsiTheme="majorHAnsi" w:cstheme="majorHAnsi"/>
                <w:sz w:val="20"/>
                <w:szCs w:val="20"/>
              </w:rPr>
              <w:t>Assignment</w:t>
            </w:r>
            <w:r w:rsidR="00ED6599" w:rsidRPr="00AF5600">
              <w:rPr>
                <w:rFonts w:asciiTheme="majorHAnsi" w:hAnsiTheme="majorHAnsi" w:cstheme="majorHAnsi"/>
                <w:sz w:val="20"/>
                <w:szCs w:val="20"/>
              </w:rPr>
              <w:t xml:space="preserve"> (</w:t>
            </w:r>
            <w:r w:rsidRPr="00AF5600">
              <w:rPr>
                <w:rFonts w:asciiTheme="majorHAnsi" w:hAnsiTheme="majorHAnsi" w:cstheme="majorHAnsi"/>
                <w:sz w:val="20"/>
                <w:szCs w:val="20"/>
              </w:rPr>
              <w:t>and Case</w:t>
            </w:r>
            <w:r w:rsidRPr="00F36007">
              <w:rPr>
                <w:rFonts w:asciiTheme="majorHAnsi" w:hAnsiTheme="majorHAnsi" w:cstheme="majorHAnsi"/>
                <w:sz w:val="20"/>
                <w:szCs w:val="20"/>
              </w:rPr>
              <w:t xml:space="preserve"> Study Example</w:t>
            </w:r>
            <w:r w:rsidR="00ED6599" w:rsidRPr="00F36007">
              <w:rPr>
                <w:rFonts w:asciiTheme="majorHAnsi" w:hAnsiTheme="majorHAnsi" w:cstheme="majorHAnsi"/>
                <w:sz w:val="20"/>
                <w:szCs w:val="20"/>
                <w:u w:val="single"/>
              </w:rPr>
              <w:t>)</w:t>
            </w:r>
            <w:r w:rsidR="00534D8C" w:rsidRPr="00F36007">
              <w:rPr>
                <w:rFonts w:asciiTheme="majorHAnsi" w:hAnsiTheme="majorHAnsi" w:cstheme="majorHAnsi"/>
                <w:sz w:val="20"/>
                <w:szCs w:val="20"/>
              </w:rPr>
              <w:t>: In no more than 5 pages, each student will apply the principles of leadership, governance, and management in the analysis of a presented case study. A thoughtful analysis must include the discussion of appropriate mission, vision, empowerment of others, collaboration, and guided decision-making.</w:t>
            </w:r>
          </w:p>
        </w:tc>
      </w:tr>
      <w:tr w:rsidR="00562E73" w:rsidRPr="00F36007" w:rsidTr="006E28EE">
        <w:trPr>
          <w:cantSplit/>
          <w:trHeight w:val="510"/>
        </w:trPr>
        <w:tc>
          <w:tcPr>
            <w:tcW w:w="1134" w:type="pct"/>
            <w:shd w:val="clear" w:color="auto" w:fill="auto"/>
            <w:tcMar>
              <w:left w:w="29" w:type="dxa"/>
              <w:right w:w="29" w:type="dxa"/>
            </w:tcMar>
            <w:hideMark/>
          </w:tcPr>
          <w:p w:rsidR="00534D8C" w:rsidRPr="00F36007" w:rsidRDefault="00534D8C" w:rsidP="00A37ED6">
            <w:pPr>
              <w:rPr>
                <w:rFonts w:asciiTheme="majorHAnsi" w:hAnsiTheme="majorHAnsi" w:cstheme="majorHAnsi"/>
                <w:color w:val="000000"/>
                <w:sz w:val="20"/>
                <w:szCs w:val="20"/>
              </w:rPr>
            </w:pPr>
            <w:r w:rsidRPr="00F36007">
              <w:rPr>
                <w:rFonts w:asciiTheme="majorHAnsi" w:eastAsia="Times New Roman" w:hAnsiTheme="majorHAnsi" w:cstheme="majorHAnsi"/>
                <w:color w:val="000000"/>
                <w:sz w:val="20"/>
                <w:szCs w:val="20"/>
              </w:rPr>
              <w:t>MPH-</w:t>
            </w:r>
            <w:r w:rsidRPr="00F36007">
              <w:rPr>
                <w:rFonts w:asciiTheme="majorHAnsi" w:hAnsiTheme="majorHAnsi" w:cstheme="majorHAnsi"/>
                <w:color w:val="000000"/>
                <w:sz w:val="20"/>
                <w:szCs w:val="20"/>
              </w:rPr>
              <w:t>17. Apply negotiation and mediation skills to address organizational or community challenges</w:t>
            </w:r>
          </w:p>
        </w:tc>
        <w:tc>
          <w:tcPr>
            <w:tcW w:w="1083" w:type="pct"/>
            <w:shd w:val="clear" w:color="auto" w:fill="auto"/>
            <w:tcMar>
              <w:left w:w="29" w:type="dxa"/>
              <w:right w:w="29" w:type="dxa"/>
            </w:tcMar>
            <w:hideMark/>
          </w:tcPr>
          <w:p w:rsidR="00534D8C" w:rsidRPr="00F36007" w:rsidRDefault="00706D92" w:rsidP="00FC4AEF">
            <w:pPr>
              <w:rPr>
                <w:rFonts w:asciiTheme="majorHAnsi" w:hAnsiTheme="majorHAnsi" w:cstheme="majorHAnsi"/>
                <w:b/>
                <w:bCs/>
                <w:iCs/>
                <w:color w:val="000000"/>
                <w:sz w:val="20"/>
                <w:szCs w:val="20"/>
              </w:rPr>
            </w:pPr>
            <w:r w:rsidRPr="00866923">
              <w:rPr>
                <w:rFonts w:asciiTheme="majorHAnsi" w:hAnsiTheme="majorHAnsi" w:cstheme="majorHAnsi"/>
                <w:b/>
                <w:sz w:val="20"/>
                <w:szCs w:val="20"/>
              </w:rPr>
              <w:t>PHM 3715</w:t>
            </w:r>
            <w:r w:rsidRPr="00F36007">
              <w:rPr>
                <w:rFonts w:asciiTheme="majorHAnsi" w:hAnsiTheme="majorHAnsi" w:cstheme="majorHAnsi"/>
                <w:sz w:val="20"/>
                <w:szCs w:val="20"/>
              </w:rPr>
              <w:t xml:space="preserve"> Management and Policy Concepts in Public Health</w:t>
            </w:r>
          </w:p>
        </w:tc>
        <w:tc>
          <w:tcPr>
            <w:tcW w:w="2783" w:type="pct"/>
            <w:shd w:val="clear" w:color="auto" w:fill="auto"/>
            <w:tcMar>
              <w:left w:w="29" w:type="dxa"/>
              <w:right w:w="29" w:type="dxa"/>
            </w:tcMar>
          </w:tcPr>
          <w:p w:rsidR="00CA261F" w:rsidRPr="00F36007" w:rsidRDefault="00706D92" w:rsidP="00FC4AEF">
            <w:pPr>
              <w:rPr>
                <w:rFonts w:asciiTheme="majorHAnsi" w:hAnsiTheme="majorHAnsi" w:cstheme="majorHAnsi"/>
                <w:sz w:val="20"/>
                <w:szCs w:val="20"/>
              </w:rPr>
            </w:pPr>
            <w:r w:rsidRPr="00F36007">
              <w:rPr>
                <w:rFonts w:asciiTheme="majorHAnsi" w:hAnsiTheme="majorHAnsi" w:cstheme="majorHAnsi"/>
                <w:sz w:val="20"/>
                <w:szCs w:val="20"/>
              </w:rPr>
              <w:t>Policy Project, Written Assignment 3</w:t>
            </w:r>
            <w:r w:rsidR="00AA27BD" w:rsidRPr="00F36007">
              <w:rPr>
                <w:rFonts w:asciiTheme="majorHAnsi" w:hAnsiTheme="majorHAnsi" w:cstheme="majorHAnsi"/>
                <w:sz w:val="20"/>
                <w:szCs w:val="20"/>
              </w:rPr>
              <w:t xml:space="preserve">: Utilizing your understanding of the basic principles and tools of budgeting and resource management for your policy, create a realistic budget and budget justification that would be needed to implement your policy efforts. Include all discussed financial and human resource management categories. Be sure to assess your recruitment, hiring, training and policy development needs when creating your budget. Using the Centers for Disease Control and Prevention (CDC’s) policy evaluation steps, evaluate your policy’s impact on public health and health equity including equal access challenges and solutions. Propose an opposing goal or counter argument against your policy. Then apply negotiation and/or mediation skills to address the organizational or community challenges to the policy. </w:t>
            </w:r>
          </w:p>
        </w:tc>
      </w:tr>
      <w:tr w:rsidR="00534D8C" w:rsidRPr="00F36007" w:rsidTr="00DE072A">
        <w:trPr>
          <w:cantSplit/>
          <w:trHeight w:val="300"/>
        </w:trPr>
        <w:tc>
          <w:tcPr>
            <w:tcW w:w="5000" w:type="pct"/>
            <w:gridSpan w:val="3"/>
            <w:shd w:val="clear" w:color="000000" w:fill="D9D9D9"/>
            <w:noWrap/>
            <w:tcMar>
              <w:left w:w="29" w:type="dxa"/>
              <w:right w:w="29" w:type="dxa"/>
            </w:tcMar>
            <w:hideMark/>
          </w:tcPr>
          <w:p w:rsidR="00534D8C" w:rsidRPr="00F36007" w:rsidRDefault="00534D8C" w:rsidP="00A37ED6">
            <w:pPr>
              <w:jc w:val="both"/>
              <w:rPr>
                <w:rFonts w:asciiTheme="majorHAnsi" w:eastAsia="Times New Roman" w:hAnsiTheme="majorHAnsi" w:cstheme="majorHAnsi"/>
                <w:b/>
                <w:bCs/>
                <w:color w:val="000000"/>
                <w:sz w:val="20"/>
                <w:szCs w:val="20"/>
              </w:rPr>
            </w:pPr>
            <w:r w:rsidRPr="00F36007">
              <w:rPr>
                <w:rFonts w:asciiTheme="majorHAnsi" w:eastAsia="Times New Roman" w:hAnsiTheme="majorHAnsi" w:cstheme="majorHAnsi"/>
                <w:b/>
                <w:bCs/>
                <w:color w:val="000000"/>
                <w:sz w:val="20"/>
                <w:szCs w:val="20"/>
              </w:rPr>
              <w:t>Communication</w:t>
            </w:r>
          </w:p>
        </w:tc>
      </w:tr>
      <w:tr w:rsidR="00562E73" w:rsidRPr="00F36007" w:rsidTr="006E28EE">
        <w:trPr>
          <w:cantSplit/>
          <w:trHeight w:val="540"/>
        </w:trPr>
        <w:tc>
          <w:tcPr>
            <w:tcW w:w="1134" w:type="pct"/>
            <w:shd w:val="clear" w:color="auto" w:fill="auto"/>
            <w:tcMar>
              <w:left w:w="29" w:type="dxa"/>
              <w:right w:w="29" w:type="dxa"/>
            </w:tcMar>
            <w:hideMark/>
          </w:tcPr>
          <w:p w:rsidR="00534D8C" w:rsidRPr="00F36007" w:rsidRDefault="00534D8C" w:rsidP="00A37ED6">
            <w:pPr>
              <w:rPr>
                <w:rFonts w:asciiTheme="majorHAnsi" w:eastAsia="Times New Roman" w:hAnsiTheme="majorHAnsi" w:cstheme="majorHAnsi"/>
                <w:color w:val="000000"/>
                <w:sz w:val="20"/>
                <w:szCs w:val="20"/>
              </w:rPr>
            </w:pPr>
            <w:r w:rsidRPr="00F36007">
              <w:rPr>
                <w:rFonts w:asciiTheme="majorHAnsi" w:eastAsia="Times New Roman" w:hAnsiTheme="majorHAnsi" w:cstheme="majorHAnsi"/>
                <w:color w:val="000000"/>
                <w:sz w:val="20"/>
                <w:szCs w:val="20"/>
              </w:rPr>
              <w:t xml:space="preserve">MPH-18. Select communication strategies for different audiences and sectors </w:t>
            </w:r>
          </w:p>
        </w:tc>
        <w:tc>
          <w:tcPr>
            <w:tcW w:w="1083" w:type="pct"/>
            <w:shd w:val="clear" w:color="auto" w:fill="auto"/>
            <w:tcMar>
              <w:left w:w="29" w:type="dxa"/>
              <w:right w:w="29" w:type="dxa"/>
            </w:tcMar>
          </w:tcPr>
          <w:p w:rsidR="00534D8C" w:rsidRPr="00F36007" w:rsidRDefault="00511D66" w:rsidP="00FC4AEF">
            <w:pPr>
              <w:rPr>
                <w:rFonts w:asciiTheme="majorHAnsi" w:eastAsia="Times New Roman" w:hAnsiTheme="majorHAnsi" w:cstheme="majorHAnsi"/>
                <w:color w:val="000000"/>
                <w:sz w:val="20"/>
                <w:szCs w:val="20"/>
              </w:rPr>
            </w:pPr>
            <w:r w:rsidRPr="00866923">
              <w:rPr>
                <w:rFonts w:asciiTheme="majorHAnsi" w:hAnsiTheme="majorHAnsi" w:cstheme="majorHAnsi"/>
                <w:b/>
                <w:sz w:val="20"/>
                <w:szCs w:val="20"/>
              </w:rPr>
              <w:t>PHWM 2110</w:t>
            </w:r>
            <w:r w:rsidRPr="00F36007">
              <w:rPr>
                <w:rFonts w:asciiTheme="majorHAnsi" w:hAnsiTheme="majorHAnsi" w:cstheme="majorHAnsi"/>
                <w:sz w:val="20"/>
                <w:szCs w:val="20"/>
              </w:rPr>
              <w:t xml:space="preserve"> Public Health Ecology &amp; the Human Environment</w:t>
            </w:r>
          </w:p>
        </w:tc>
        <w:tc>
          <w:tcPr>
            <w:tcW w:w="2783" w:type="pct"/>
            <w:shd w:val="clear" w:color="auto" w:fill="auto"/>
            <w:tcMar>
              <w:left w:w="29" w:type="dxa"/>
              <w:right w:w="29" w:type="dxa"/>
            </w:tcMar>
          </w:tcPr>
          <w:p w:rsidR="006E749D" w:rsidRPr="00F36007" w:rsidRDefault="00511D66" w:rsidP="00A37ED6">
            <w:pPr>
              <w:rPr>
                <w:rFonts w:asciiTheme="majorHAnsi" w:hAnsiTheme="majorHAnsi" w:cstheme="majorHAnsi"/>
                <w:color w:val="000000"/>
                <w:sz w:val="20"/>
                <w:szCs w:val="20"/>
              </w:rPr>
            </w:pPr>
            <w:r w:rsidRPr="00F36007">
              <w:rPr>
                <w:rFonts w:asciiTheme="majorHAnsi" w:hAnsiTheme="majorHAnsi" w:cstheme="majorHAnsi"/>
                <w:sz w:val="20"/>
                <w:szCs w:val="20"/>
              </w:rPr>
              <w:t>Discussion Board Activity</w:t>
            </w:r>
            <w:r w:rsidR="006E749D" w:rsidRPr="00F36007">
              <w:rPr>
                <w:rFonts w:asciiTheme="majorHAnsi" w:hAnsiTheme="majorHAnsi" w:cstheme="majorHAnsi"/>
                <w:color w:val="000000"/>
                <w:sz w:val="20"/>
                <w:szCs w:val="20"/>
              </w:rPr>
              <w:t>: Students will review the content presented in the links to the CDC and AAAS on the following:  know your audience; explaining your science; communicating your results; and presenting a lay audience. Students must then post a discussion board response including the following questions regarding effective presentations to diverse audiences:</w:t>
            </w:r>
          </w:p>
          <w:p w:rsidR="006E749D" w:rsidRPr="00F36007" w:rsidRDefault="006E749D" w:rsidP="009B3F91">
            <w:pPr>
              <w:ind w:left="330" w:hanging="180"/>
              <w:rPr>
                <w:rFonts w:asciiTheme="majorHAnsi" w:hAnsiTheme="majorHAnsi" w:cstheme="majorHAnsi"/>
                <w:color w:val="000000"/>
                <w:sz w:val="20"/>
                <w:szCs w:val="20"/>
              </w:rPr>
            </w:pPr>
            <w:r w:rsidRPr="00F36007">
              <w:rPr>
                <w:rFonts w:asciiTheme="majorHAnsi" w:hAnsiTheme="majorHAnsi" w:cstheme="majorHAnsi"/>
                <w:color w:val="000000"/>
                <w:sz w:val="20"/>
                <w:szCs w:val="20"/>
              </w:rPr>
              <w:t>What are most important elements when communicating with a lay audience?  Be sure to post your response and reply to at least one of your colleagues’ responses.</w:t>
            </w:r>
          </w:p>
          <w:p w:rsidR="006E749D" w:rsidRPr="00F36007" w:rsidRDefault="006E749D" w:rsidP="009B3F91">
            <w:pPr>
              <w:ind w:left="330" w:hanging="180"/>
              <w:rPr>
                <w:rFonts w:asciiTheme="majorHAnsi" w:hAnsiTheme="majorHAnsi" w:cstheme="majorHAnsi"/>
                <w:color w:val="000000"/>
                <w:sz w:val="20"/>
                <w:szCs w:val="20"/>
              </w:rPr>
            </w:pPr>
            <w:r w:rsidRPr="00F36007">
              <w:rPr>
                <w:rFonts w:asciiTheme="majorHAnsi" w:hAnsiTheme="majorHAnsi" w:cstheme="majorHAnsi"/>
                <w:color w:val="000000"/>
                <w:sz w:val="20"/>
                <w:szCs w:val="20"/>
              </w:rPr>
              <w:t>How would your communication approach differ when you consider communication strategies for a lay audience vs a professional audience? Explain the rationale for your choices, based upon what you’ve learned.</w:t>
            </w:r>
          </w:p>
          <w:p w:rsidR="00534D8C" w:rsidRPr="00F36007" w:rsidRDefault="006E749D" w:rsidP="009B3F91">
            <w:pPr>
              <w:ind w:left="330" w:hanging="180"/>
              <w:rPr>
                <w:rFonts w:asciiTheme="majorHAnsi" w:hAnsiTheme="majorHAnsi" w:cstheme="majorHAnsi"/>
                <w:color w:val="000000"/>
                <w:sz w:val="20"/>
                <w:szCs w:val="20"/>
              </w:rPr>
            </w:pPr>
            <w:r w:rsidRPr="00F36007">
              <w:rPr>
                <w:rFonts w:asciiTheme="majorHAnsi" w:hAnsiTheme="majorHAnsi" w:cstheme="majorHAnsi"/>
                <w:color w:val="000000"/>
                <w:sz w:val="20"/>
                <w:szCs w:val="20"/>
              </w:rPr>
              <w:t xml:space="preserve">What strategies are important to consider when communicating science and scientific results to the following groups: community members, policy makers, </w:t>
            </w:r>
            <w:r w:rsidR="00D06EEE" w:rsidRPr="00F36007">
              <w:rPr>
                <w:rFonts w:asciiTheme="majorHAnsi" w:hAnsiTheme="majorHAnsi" w:cstheme="majorHAnsi"/>
                <w:color w:val="000000"/>
                <w:sz w:val="20"/>
                <w:szCs w:val="20"/>
              </w:rPr>
              <w:t>healthcare</w:t>
            </w:r>
            <w:r w:rsidRPr="00F36007">
              <w:rPr>
                <w:rFonts w:asciiTheme="majorHAnsi" w:hAnsiTheme="majorHAnsi" w:cstheme="majorHAnsi"/>
                <w:color w:val="000000"/>
                <w:sz w:val="20"/>
                <w:szCs w:val="20"/>
              </w:rPr>
              <w:t xml:space="preserve"> providers? Explain (based upon what you’ve learned about communication strategies) which communication approaches you would recommend for each of the stakeholders identified above.</w:t>
            </w:r>
          </w:p>
        </w:tc>
      </w:tr>
      <w:tr w:rsidR="00562E73" w:rsidRPr="00F36007" w:rsidTr="006E28EE">
        <w:trPr>
          <w:cantSplit/>
          <w:trHeight w:val="483"/>
        </w:trPr>
        <w:tc>
          <w:tcPr>
            <w:tcW w:w="1134" w:type="pct"/>
            <w:shd w:val="clear" w:color="auto" w:fill="auto"/>
            <w:tcMar>
              <w:left w:w="29" w:type="dxa"/>
              <w:right w:w="29" w:type="dxa"/>
            </w:tcMar>
            <w:hideMark/>
          </w:tcPr>
          <w:p w:rsidR="00E84199" w:rsidRPr="00F36007" w:rsidRDefault="00E84199" w:rsidP="00A37ED6">
            <w:pPr>
              <w:rPr>
                <w:rFonts w:asciiTheme="majorHAnsi" w:eastAsia="Times New Roman" w:hAnsiTheme="majorHAnsi" w:cstheme="majorHAnsi"/>
                <w:color w:val="000000"/>
                <w:sz w:val="20"/>
                <w:szCs w:val="20"/>
              </w:rPr>
            </w:pPr>
            <w:r w:rsidRPr="00F36007">
              <w:rPr>
                <w:rFonts w:asciiTheme="majorHAnsi" w:eastAsia="Times New Roman" w:hAnsiTheme="majorHAnsi" w:cstheme="majorHAnsi"/>
                <w:color w:val="000000"/>
                <w:sz w:val="20"/>
                <w:szCs w:val="20"/>
              </w:rPr>
              <w:t>MPH-19. Communicate audience-appropriate public health content, both in writing and through oral presentation</w:t>
            </w:r>
          </w:p>
        </w:tc>
        <w:tc>
          <w:tcPr>
            <w:tcW w:w="1083" w:type="pct"/>
            <w:shd w:val="clear" w:color="auto" w:fill="auto"/>
            <w:tcMar>
              <w:left w:w="29" w:type="dxa"/>
              <w:right w:w="29" w:type="dxa"/>
            </w:tcMar>
          </w:tcPr>
          <w:p w:rsidR="00E84199" w:rsidRPr="00F36007" w:rsidRDefault="00443947" w:rsidP="00FC4AEF">
            <w:pPr>
              <w:rPr>
                <w:rFonts w:asciiTheme="majorHAnsi" w:eastAsia="Times New Roman" w:hAnsiTheme="majorHAnsi" w:cstheme="majorHAnsi"/>
                <w:color w:val="000000"/>
                <w:sz w:val="20"/>
                <w:szCs w:val="20"/>
              </w:rPr>
            </w:pPr>
            <w:r w:rsidRPr="00866923">
              <w:rPr>
                <w:rFonts w:asciiTheme="majorHAnsi" w:hAnsiTheme="majorHAnsi" w:cstheme="majorHAnsi"/>
                <w:b/>
                <w:sz w:val="20"/>
                <w:szCs w:val="20"/>
              </w:rPr>
              <w:t>PHWM 2110</w:t>
            </w:r>
            <w:r w:rsidRPr="00F36007">
              <w:rPr>
                <w:rFonts w:asciiTheme="majorHAnsi" w:hAnsiTheme="majorHAnsi" w:cstheme="majorHAnsi"/>
                <w:sz w:val="20"/>
                <w:szCs w:val="20"/>
              </w:rPr>
              <w:t xml:space="preserve"> Public Health Ecology &amp; the Human Environment</w:t>
            </w:r>
          </w:p>
        </w:tc>
        <w:tc>
          <w:tcPr>
            <w:tcW w:w="2783" w:type="pct"/>
            <w:shd w:val="clear" w:color="auto" w:fill="auto"/>
            <w:tcMar>
              <w:left w:w="29" w:type="dxa"/>
              <w:right w:w="29" w:type="dxa"/>
            </w:tcMar>
          </w:tcPr>
          <w:p w:rsidR="00395AC6" w:rsidRPr="00F36007" w:rsidRDefault="00443947" w:rsidP="00A37ED6">
            <w:pPr>
              <w:rPr>
                <w:rFonts w:asciiTheme="majorHAnsi" w:hAnsiTheme="majorHAnsi" w:cstheme="majorHAnsi"/>
                <w:color w:val="000000"/>
                <w:sz w:val="20"/>
                <w:szCs w:val="20"/>
              </w:rPr>
            </w:pPr>
            <w:r w:rsidRPr="00F36007">
              <w:rPr>
                <w:rFonts w:asciiTheme="majorHAnsi" w:hAnsiTheme="majorHAnsi" w:cstheme="majorHAnsi"/>
                <w:sz w:val="20"/>
                <w:szCs w:val="20"/>
              </w:rPr>
              <w:t>Written Lay Summary and Elevator Speech</w:t>
            </w:r>
            <w:r w:rsidR="00395AC6" w:rsidRPr="00F36007">
              <w:rPr>
                <w:rFonts w:asciiTheme="majorHAnsi" w:hAnsiTheme="majorHAnsi" w:cstheme="majorHAnsi"/>
                <w:color w:val="000000"/>
                <w:sz w:val="20"/>
                <w:szCs w:val="20"/>
              </w:rPr>
              <w:t xml:space="preserve">: Students will complete an individual written lay summary based on the group paper’s findings. </w:t>
            </w:r>
            <w:r w:rsidR="006A2005" w:rsidRPr="00F36007">
              <w:rPr>
                <w:rFonts w:asciiTheme="majorHAnsi" w:hAnsiTheme="majorHAnsi" w:cstheme="majorHAnsi"/>
                <w:color w:val="000000"/>
                <w:sz w:val="20"/>
                <w:szCs w:val="20"/>
              </w:rPr>
              <w:t xml:space="preserve">Students will then develop and record a three minute elevator speech which summarizes the content in the lay summary paper. </w:t>
            </w:r>
          </w:p>
          <w:p w:rsidR="00395AC6" w:rsidRPr="00F36007" w:rsidRDefault="00395AC6" w:rsidP="00A37ED6">
            <w:pPr>
              <w:rPr>
                <w:rFonts w:asciiTheme="majorHAnsi" w:hAnsiTheme="majorHAnsi" w:cstheme="majorHAnsi"/>
                <w:color w:val="000000"/>
                <w:sz w:val="20"/>
                <w:szCs w:val="20"/>
              </w:rPr>
            </w:pPr>
          </w:p>
          <w:p w:rsidR="00E84199" w:rsidRPr="00F36007" w:rsidRDefault="00D916F3" w:rsidP="00A37ED6">
            <w:pPr>
              <w:rPr>
                <w:rFonts w:asciiTheme="majorHAnsi" w:hAnsiTheme="majorHAnsi" w:cstheme="majorHAnsi"/>
                <w:color w:val="000000"/>
                <w:sz w:val="20"/>
                <w:szCs w:val="20"/>
              </w:rPr>
            </w:pPr>
            <w:r w:rsidRPr="00F36007">
              <w:rPr>
                <w:rFonts w:asciiTheme="majorHAnsi" w:hAnsiTheme="majorHAnsi" w:cstheme="majorHAnsi"/>
                <w:sz w:val="20"/>
                <w:szCs w:val="20"/>
              </w:rPr>
              <w:t>Narrated Stakeholder Meeting Presentation</w:t>
            </w:r>
            <w:r w:rsidR="00395AC6" w:rsidRPr="00F36007">
              <w:rPr>
                <w:rFonts w:asciiTheme="majorHAnsi" w:hAnsiTheme="majorHAnsi" w:cstheme="majorHAnsi"/>
                <w:color w:val="000000"/>
                <w:sz w:val="20"/>
                <w:szCs w:val="20"/>
              </w:rPr>
              <w:t xml:space="preserve">: </w:t>
            </w:r>
            <w:r w:rsidR="00770CD3" w:rsidRPr="00F36007">
              <w:rPr>
                <w:rFonts w:asciiTheme="majorHAnsi" w:hAnsiTheme="majorHAnsi" w:cstheme="majorHAnsi"/>
                <w:color w:val="000000"/>
                <w:sz w:val="20"/>
                <w:szCs w:val="20"/>
              </w:rPr>
              <w:t>Each group member will role play a person representing one of the seven groups we have assigned to you (see MPH-21 for more details). Each member of the group will play one of the fo</w:t>
            </w:r>
            <w:r w:rsidR="00660B58" w:rsidRPr="00F36007">
              <w:rPr>
                <w:rFonts w:asciiTheme="majorHAnsi" w:hAnsiTheme="majorHAnsi" w:cstheme="majorHAnsi"/>
                <w:color w:val="000000"/>
                <w:sz w:val="20"/>
                <w:szCs w:val="20"/>
              </w:rPr>
              <w:t>llowing roles of a policy maker/</w:t>
            </w:r>
            <w:r w:rsidR="00770CD3" w:rsidRPr="00F36007">
              <w:rPr>
                <w:rFonts w:asciiTheme="majorHAnsi" w:hAnsiTheme="majorHAnsi" w:cstheme="majorHAnsi"/>
                <w:color w:val="000000"/>
                <w:sz w:val="20"/>
                <w:szCs w:val="20"/>
              </w:rPr>
              <w:t xml:space="preserve">regulator, community stakeholder, industry stakeholder, environmental health professional (environmental controls), </w:t>
            </w:r>
            <w:r w:rsidR="003834A2" w:rsidRPr="00F36007">
              <w:rPr>
                <w:rFonts w:asciiTheme="majorHAnsi" w:hAnsiTheme="majorHAnsi" w:cstheme="majorHAnsi"/>
                <w:color w:val="000000"/>
                <w:sz w:val="20"/>
                <w:szCs w:val="20"/>
              </w:rPr>
              <w:t>and community</w:t>
            </w:r>
            <w:r w:rsidR="007D2EF2" w:rsidRPr="00F36007">
              <w:rPr>
                <w:rFonts w:asciiTheme="majorHAnsi" w:hAnsiTheme="majorHAnsi" w:cstheme="majorHAnsi"/>
                <w:color w:val="000000"/>
                <w:sz w:val="20"/>
                <w:szCs w:val="20"/>
              </w:rPr>
              <w:t xml:space="preserve"> clinician (nurse/</w:t>
            </w:r>
            <w:r w:rsidR="00770CD3" w:rsidRPr="00F36007">
              <w:rPr>
                <w:rFonts w:asciiTheme="majorHAnsi" w:hAnsiTheme="majorHAnsi" w:cstheme="majorHAnsi"/>
                <w:color w:val="000000"/>
                <w:sz w:val="20"/>
                <w:szCs w:val="20"/>
              </w:rPr>
              <w:t xml:space="preserve">physician) addressing acute &amp; chronic health effects.  </w:t>
            </w:r>
            <w:r w:rsidR="00660B58" w:rsidRPr="00F36007">
              <w:rPr>
                <w:rFonts w:asciiTheme="majorHAnsi" w:hAnsiTheme="majorHAnsi" w:cstheme="majorHAnsi"/>
                <w:color w:val="000000"/>
                <w:sz w:val="20"/>
                <w:szCs w:val="20"/>
              </w:rPr>
              <w:t>The</w:t>
            </w:r>
            <w:r w:rsidR="00770CD3" w:rsidRPr="00F36007">
              <w:rPr>
                <w:rFonts w:asciiTheme="majorHAnsi" w:hAnsiTheme="majorHAnsi" w:cstheme="majorHAnsi"/>
                <w:color w:val="000000"/>
                <w:sz w:val="20"/>
                <w:szCs w:val="20"/>
              </w:rPr>
              <w:t xml:space="preserve"> recorded group meeting should involve a presentation of findings to a stakeholder group representing the group area to which you've been assigned, e.g., policy makers or regulators, or community stakeholders.  One member of </w:t>
            </w:r>
            <w:r w:rsidR="007123AF" w:rsidRPr="00F36007">
              <w:rPr>
                <w:rFonts w:asciiTheme="majorHAnsi" w:hAnsiTheme="majorHAnsi" w:cstheme="majorHAnsi"/>
                <w:color w:val="000000"/>
                <w:sz w:val="20"/>
                <w:szCs w:val="20"/>
              </w:rPr>
              <w:t>each</w:t>
            </w:r>
            <w:r w:rsidR="00770CD3" w:rsidRPr="00F36007">
              <w:rPr>
                <w:rFonts w:asciiTheme="majorHAnsi" w:hAnsiTheme="majorHAnsi" w:cstheme="majorHAnsi"/>
                <w:color w:val="000000"/>
                <w:sz w:val="20"/>
                <w:szCs w:val="20"/>
              </w:rPr>
              <w:t xml:space="preserve"> group will play the r</w:t>
            </w:r>
            <w:r w:rsidR="005020DE" w:rsidRPr="00F36007">
              <w:rPr>
                <w:rFonts w:asciiTheme="majorHAnsi" w:hAnsiTheme="majorHAnsi" w:cstheme="majorHAnsi"/>
                <w:color w:val="000000"/>
                <w:sz w:val="20"/>
                <w:szCs w:val="20"/>
              </w:rPr>
              <w:t>ole of moderator/</w:t>
            </w:r>
            <w:r w:rsidR="00770CD3" w:rsidRPr="00F36007">
              <w:rPr>
                <w:rFonts w:asciiTheme="majorHAnsi" w:hAnsiTheme="majorHAnsi" w:cstheme="majorHAnsi"/>
                <w:color w:val="000000"/>
                <w:sz w:val="20"/>
                <w:szCs w:val="20"/>
              </w:rPr>
              <w:t xml:space="preserve">presenter of the findings of </w:t>
            </w:r>
            <w:r w:rsidR="005020DE" w:rsidRPr="00F36007">
              <w:rPr>
                <w:rFonts w:asciiTheme="majorHAnsi" w:hAnsiTheme="majorHAnsi" w:cstheme="majorHAnsi"/>
                <w:color w:val="000000"/>
                <w:sz w:val="20"/>
                <w:szCs w:val="20"/>
              </w:rPr>
              <w:t xml:space="preserve">the particular group. </w:t>
            </w:r>
            <w:r w:rsidR="00770CD3" w:rsidRPr="00F36007">
              <w:rPr>
                <w:rFonts w:asciiTheme="majorHAnsi" w:hAnsiTheme="majorHAnsi" w:cstheme="majorHAnsi"/>
                <w:color w:val="000000"/>
                <w:sz w:val="20"/>
                <w:szCs w:val="20"/>
              </w:rPr>
              <w:t xml:space="preserve">The remaining group members will play the roles described above. </w:t>
            </w:r>
          </w:p>
        </w:tc>
      </w:tr>
      <w:tr w:rsidR="00562E73" w:rsidRPr="00F36007" w:rsidTr="006E28EE">
        <w:trPr>
          <w:cantSplit/>
          <w:trHeight w:val="510"/>
        </w:trPr>
        <w:tc>
          <w:tcPr>
            <w:tcW w:w="1134" w:type="pct"/>
            <w:shd w:val="clear" w:color="auto" w:fill="auto"/>
            <w:tcMar>
              <w:left w:w="29" w:type="dxa"/>
              <w:right w:w="29" w:type="dxa"/>
            </w:tcMar>
            <w:hideMark/>
          </w:tcPr>
          <w:p w:rsidR="00534D8C" w:rsidRPr="00F36007" w:rsidRDefault="00534D8C" w:rsidP="00A37ED6">
            <w:pPr>
              <w:rPr>
                <w:rFonts w:asciiTheme="majorHAnsi" w:eastAsia="Times New Roman" w:hAnsiTheme="majorHAnsi" w:cstheme="majorHAnsi"/>
                <w:color w:val="000000"/>
                <w:sz w:val="20"/>
                <w:szCs w:val="20"/>
              </w:rPr>
            </w:pPr>
            <w:r w:rsidRPr="00F36007">
              <w:rPr>
                <w:rFonts w:asciiTheme="majorHAnsi" w:eastAsia="Times New Roman" w:hAnsiTheme="majorHAnsi" w:cstheme="majorHAnsi"/>
                <w:color w:val="000000"/>
                <w:sz w:val="20"/>
                <w:szCs w:val="20"/>
              </w:rPr>
              <w:t>MPH-20. Describe the importance of cultural competence in communicating public health content</w:t>
            </w:r>
          </w:p>
        </w:tc>
        <w:tc>
          <w:tcPr>
            <w:tcW w:w="1083" w:type="pct"/>
            <w:shd w:val="clear" w:color="auto" w:fill="auto"/>
            <w:tcMar>
              <w:left w:w="29" w:type="dxa"/>
              <w:right w:w="29" w:type="dxa"/>
            </w:tcMar>
            <w:hideMark/>
          </w:tcPr>
          <w:p w:rsidR="00534D8C" w:rsidRPr="00F36007" w:rsidRDefault="00D916F3" w:rsidP="00FC4AEF">
            <w:pPr>
              <w:rPr>
                <w:rFonts w:asciiTheme="majorHAnsi" w:eastAsia="Times New Roman" w:hAnsiTheme="majorHAnsi" w:cstheme="majorHAnsi"/>
                <w:color w:val="000000"/>
                <w:sz w:val="20"/>
                <w:szCs w:val="20"/>
              </w:rPr>
            </w:pPr>
            <w:r w:rsidRPr="00866923">
              <w:rPr>
                <w:rFonts w:asciiTheme="majorHAnsi" w:hAnsiTheme="majorHAnsi" w:cstheme="majorHAnsi"/>
                <w:b/>
                <w:sz w:val="20"/>
                <w:szCs w:val="20"/>
              </w:rPr>
              <w:t>PHM 3715</w:t>
            </w:r>
            <w:r w:rsidRPr="00F36007">
              <w:rPr>
                <w:rFonts w:asciiTheme="majorHAnsi" w:hAnsiTheme="majorHAnsi" w:cstheme="majorHAnsi"/>
                <w:sz w:val="20"/>
                <w:szCs w:val="20"/>
              </w:rPr>
              <w:t xml:space="preserve"> Management and Policy Concepts in Public Health</w:t>
            </w:r>
          </w:p>
        </w:tc>
        <w:tc>
          <w:tcPr>
            <w:tcW w:w="2783" w:type="pct"/>
            <w:shd w:val="clear" w:color="auto" w:fill="auto"/>
            <w:tcMar>
              <w:left w:w="29" w:type="dxa"/>
              <w:right w:w="29" w:type="dxa"/>
            </w:tcMar>
          </w:tcPr>
          <w:p w:rsidR="00534D8C" w:rsidRPr="00F36007" w:rsidRDefault="00D916F3" w:rsidP="00A37ED6">
            <w:pPr>
              <w:rPr>
                <w:rFonts w:asciiTheme="majorHAnsi" w:hAnsiTheme="majorHAnsi" w:cstheme="majorHAnsi"/>
                <w:sz w:val="20"/>
                <w:szCs w:val="20"/>
              </w:rPr>
            </w:pPr>
            <w:r w:rsidRPr="00F36007">
              <w:rPr>
                <w:rFonts w:asciiTheme="majorHAnsi" w:hAnsiTheme="majorHAnsi" w:cstheme="majorHAnsi"/>
                <w:sz w:val="20"/>
                <w:szCs w:val="20"/>
              </w:rPr>
              <w:t>Policy Project, Written Assignment 2</w:t>
            </w:r>
            <w:r w:rsidR="00F80F81" w:rsidRPr="00F36007">
              <w:rPr>
                <w:rFonts w:asciiTheme="majorHAnsi" w:hAnsiTheme="majorHAnsi" w:cstheme="majorHAnsi"/>
                <w:sz w:val="20"/>
                <w:szCs w:val="20"/>
              </w:rPr>
              <w:t>: Think about and discuss different target audiences affected by your chosen population-based public health policy. Apply your awareness of the cultural values and practices to the design or implementation of this policy.  This is meant to be a critique your policy for cultural competency and should discuss the concepts of tailoring, adaptation, stakeholders, and cultural humility. Generally describe the history and/or steps of how your chosen population-based public health policy came to be in its present form. Discuss the evidence and/or research that was used in your chosen policy process and how ethical considerations influence this process. Create at least 1 culturally competent example of public health policy messaging to communicate your chosen policy to diverse populations and its importance.</w:t>
            </w:r>
          </w:p>
          <w:p w:rsidR="000B7B79" w:rsidRPr="00F36007" w:rsidRDefault="000B7B79" w:rsidP="00A37ED6">
            <w:pPr>
              <w:rPr>
                <w:rFonts w:asciiTheme="majorHAnsi" w:hAnsiTheme="majorHAnsi" w:cstheme="majorHAnsi"/>
                <w:sz w:val="20"/>
                <w:szCs w:val="20"/>
              </w:rPr>
            </w:pPr>
          </w:p>
          <w:p w:rsidR="000B7B79" w:rsidRPr="00F36007" w:rsidRDefault="000B7B79" w:rsidP="00A37ED6">
            <w:pPr>
              <w:rPr>
                <w:rFonts w:asciiTheme="majorHAnsi" w:hAnsiTheme="majorHAnsi" w:cstheme="majorHAnsi"/>
                <w:sz w:val="20"/>
                <w:szCs w:val="20"/>
              </w:rPr>
            </w:pPr>
          </w:p>
          <w:p w:rsidR="000B7B79" w:rsidRPr="00F36007" w:rsidRDefault="000B7B79" w:rsidP="00A37ED6">
            <w:pPr>
              <w:rPr>
                <w:rFonts w:asciiTheme="majorHAnsi" w:hAnsiTheme="majorHAnsi" w:cstheme="majorHAnsi"/>
                <w:sz w:val="20"/>
                <w:szCs w:val="20"/>
              </w:rPr>
            </w:pPr>
          </w:p>
          <w:p w:rsidR="000B7B79" w:rsidRPr="00F36007" w:rsidRDefault="000B7B79" w:rsidP="00A37ED6">
            <w:pPr>
              <w:rPr>
                <w:rFonts w:asciiTheme="majorHAnsi" w:hAnsiTheme="majorHAnsi" w:cstheme="majorHAnsi"/>
                <w:sz w:val="20"/>
                <w:szCs w:val="20"/>
              </w:rPr>
            </w:pPr>
          </w:p>
          <w:p w:rsidR="000B7B79" w:rsidRPr="00F36007" w:rsidRDefault="000B7B79" w:rsidP="00A37ED6">
            <w:pPr>
              <w:rPr>
                <w:rFonts w:asciiTheme="majorHAnsi" w:hAnsiTheme="majorHAnsi" w:cstheme="majorHAnsi"/>
                <w:sz w:val="20"/>
                <w:szCs w:val="20"/>
              </w:rPr>
            </w:pPr>
          </w:p>
          <w:p w:rsidR="000B7B79" w:rsidRPr="00F36007" w:rsidRDefault="000B7B79" w:rsidP="00A37ED6">
            <w:pPr>
              <w:rPr>
                <w:rFonts w:asciiTheme="majorHAnsi" w:hAnsiTheme="majorHAnsi" w:cstheme="majorHAnsi"/>
                <w:sz w:val="20"/>
                <w:szCs w:val="20"/>
              </w:rPr>
            </w:pPr>
          </w:p>
          <w:p w:rsidR="000B7B79" w:rsidRPr="00F36007" w:rsidRDefault="000B7B79" w:rsidP="00A37ED6">
            <w:pPr>
              <w:rPr>
                <w:rFonts w:asciiTheme="majorHAnsi" w:hAnsiTheme="majorHAnsi" w:cstheme="majorHAnsi"/>
                <w:sz w:val="20"/>
                <w:szCs w:val="20"/>
              </w:rPr>
            </w:pPr>
          </w:p>
          <w:p w:rsidR="000B7B79" w:rsidRPr="00F36007" w:rsidRDefault="000B7B79" w:rsidP="00A37ED6">
            <w:pPr>
              <w:rPr>
                <w:rFonts w:asciiTheme="majorHAnsi" w:hAnsiTheme="majorHAnsi" w:cstheme="majorHAnsi"/>
                <w:sz w:val="20"/>
                <w:szCs w:val="20"/>
              </w:rPr>
            </w:pPr>
          </w:p>
          <w:p w:rsidR="000B7B79" w:rsidRPr="00F36007" w:rsidRDefault="000B7B79" w:rsidP="00A37ED6">
            <w:pPr>
              <w:rPr>
                <w:rFonts w:asciiTheme="majorHAnsi" w:hAnsiTheme="majorHAnsi" w:cstheme="majorHAnsi"/>
                <w:sz w:val="20"/>
                <w:szCs w:val="20"/>
              </w:rPr>
            </w:pPr>
          </w:p>
          <w:p w:rsidR="000B7B79" w:rsidRPr="00F36007" w:rsidRDefault="000B7B79" w:rsidP="00A37ED6">
            <w:pPr>
              <w:rPr>
                <w:rFonts w:asciiTheme="majorHAnsi" w:hAnsiTheme="majorHAnsi" w:cstheme="majorHAnsi"/>
                <w:sz w:val="20"/>
                <w:szCs w:val="20"/>
              </w:rPr>
            </w:pPr>
          </w:p>
          <w:p w:rsidR="000B7B79" w:rsidRPr="00F36007" w:rsidRDefault="000B7B79" w:rsidP="00A37ED6">
            <w:pPr>
              <w:rPr>
                <w:rFonts w:asciiTheme="majorHAnsi" w:hAnsiTheme="majorHAnsi" w:cstheme="majorHAnsi"/>
                <w:sz w:val="20"/>
                <w:szCs w:val="20"/>
              </w:rPr>
            </w:pPr>
          </w:p>
          <w:p w:rsidR="000B7B79" w:rsidRPr="00F36007" w:rsidRDefault="000B7B79" w:rsidP="00A37ED6">
            <w:pPr>
              <w:rPr>
                <w:rFonts w:asciiTheme="majorHAnsi" w:hAnsiTheme="majorHAnsi" w:cstheme="majorHAnsi"/>
                <w:sz w:val="20"/>
                <w:szCs w:val="20"/>
              </w:rPr>
            </w:pPr>
          </w:p>
          <w:p w:rsidR="000B7B79" w:rsidRPr="00F36007" w:rsidRDefault="000B7B79" w:rsidP="00A37ED6">
            <w:pPr>
              <w:rPr>
                <w:rFonts w:asciiTheme="majorHAnsi" w:hAnsiTheme="majorHAnsi" w:cstheme="majorHAnsi"/>
                <w:sz w:val="20"/>
                <w:szCs w:val="20"/>
              </w:rPr>
            </w:pPr>
          </w:p>
        </w:tc>
      </w:tr>
      <w:tr w:rsidR="00534D8C" w:rsidRPr="00F36007" w:rsidTr="00DE072A">
        <w:trPr>
          <w:cantSplit/>
          <w:trHeight w:val="300"/>
        </w:trPr>
        <w:tc>
          <w:tcPr>
            <w:tcW w:w="5000" w:type="pct"/>
            <w:gridSpan w:val="3"/>
            <w:shd w:val="clear" w:color="000000" w:fill="D9D9D9"/>
            <w:tcMar>
              <w:left w:w="29" w:type="dxa"/>
              <w:right w:w="29" w:type="dxa"/>
            </w:tcMar>
            <w:hideMark/>
          </w:tcPr>
          <w:p w:rsidR="00534D8C" w:rsidRPr="00F36007" w:rsidRDefault="00534D8C" w:rsidP="00A37ED6">
            <w:pPr>
              <w:rPr>
                <w:rFonts w:asciiTheme="majorHAnsi" w:eastAsia="Times New Roman" w:hAnsiTheme="majorHAnsi" w:cstheme="majorHAnsi"/>
                <w:b/>
                <w:bCs/>
                <w:color w:val="000000"/>
                <w:sz w:val="20"/>
                <w:szCs w:val="20"/>
              </w:rPr>
            </w:pPr>
            <w:r w:rsidRPr="00F36007">
              <w:rPr>
                <w:rFonts w:asciiTheme="majorHAnsi" w:eastAsia="Times New Roman" w:hAnsiTheme="majorHAnsi" w:cstheme="majorHAnsi"/>
                <w:b/>
                <w:bCs/>
                <w:color w:val="000000"/>
                <w:sz w:val="20"/>
                <w:szCs w:val="20"/>
              </w:rPr>
              <w:t>Interprofessional Practice</w:t>
            </w:r>
          </w:p>
        </w:tc>
      </w:tr>
      <w:tr w:rsidR="00562E73" w:rsidRPr="00F36007" w:rsidTr="006E28EE">
        <w:trPr>
          <w:cantSplit/>
          <w:trHeight w:val="540"/>
        </w:trPr>
        <w:tc>
          <w:tcPr>
            <w:tcW w:w="1134" w:type="pct"/>
            <w:shd w:val="clear" w:color="auto" w:fill="auto"/>
            <w:tcMar>
              <w:left w:w="29" w:type="dxa"/>
              <w:right w:w="29" w:type="dxa"/>
            </w:tcMar>
            <w:hideMark/>
          </w:tcPr>
          <w:p w:rsidR="00534D8C" w:rsidRPr="00F36007" w:rsidRDefault="00534D8C" w:rsidP="00A37ED6">
            <w:pPr>
              <w:rPr>
                <w:rFonts w:asciiTheme="majorHAnsi" w:eastAsia="Times New Roman" w:hAnsiTheme="majorHAnsi" w:cstheme="majorHAnsi"/>
                <w:color w:val="000000"/>
                <w:sz w:val="20"/>
                <w:szCs w:val="20"/>
              </w:rPr>
            </w:pPr>
            <w:r w:rsidRPr="00F36007">
              <w:rPr>
                <w:rFonts w:asciiTheme="majorHAnsi" w:eastAsia="Times New Roman" w:hAnsiTheme="majorHAnsi" w:cstheme="majorHAnsi"/>
                <w:color w:val="000000"/>
                <w:sz w:val="20"/>
                <w:szCs w:val="20"/>
              </w:rPr>
              <w:t>MPH-21. Perform effectively on interprofessional teams</w:t>
            </w:r>
          </w:p>
        </w:tc>
        <w:tc>
          <w:tcPr>
            <w:tcW w:w="1083" w:type="pct"/>
            <w:shd w:val="clear" w:color="auto" w:fill="auto"/>
            <w:tcMar>
              <w:left w:w="29" w:type="dxa"/>
              <w:right w:w="29" w:type="dxa"/>
            </w:tcMar>
          </w:tcPr>
          <w:p w:rsidR="00534D8C" w:rsidRPr="00F36007" w:rsidRDefault="00D916F3" w:rsidP="00FC4AEF">
            <w:pPr>
              <w:rPr>
                <w:rFonts w:asciiTheme="majorHAnsi" w:eastAsia="Times New Roman" w:hAnsiTheme="majorHAnsi" w:cstheme="majorHAnsi"/>
                <w:color w:val="000000"/>
                <w:sz w:val="20"/>
                <w:szCs w:val="20"/>
              </w:rPr>
            </w:pPr>
            <w:r w:rsidRPr="00866923">
              <w:rPr>
                <w:rFonts w:asciiTheme="majorHAnsi" w:hAnsiTheme="majorHAnsi" w:cstheme="majorHAnsi"/>
                <w:b/>
                <w:sz w:val="20"/>
                <w:szCs w:val="20"/>
              </w:rPr>
              <w:t>PHWM 2110</w:t>
            </w:r>
            <w:r w:rsidRPr="00F36007">
              <w:rPr>
                <w:rFonts w:asciiTheme="majorHAnsi" w:hAnsiTheme="majorHAnsi" w:cstheme="majorHAnsi"/>
                <w:sz w:val="20"/>
                <w:szCs w:val="20"/>
              </w:rPr>
              <w:t xml:space="preserve"> Public Health Ecology &amp; the Human Environment</w:t>
            </w:r>
          </w:p>
        </w:tc>
        <w:tc>
          <w:tcPr>
            <w:tcW w:w="2783" w:type="pct"/>
            <w:shd w:val="clear" w:color="auto" w:fill="auto"/>
            <w:tcMar>
              <w:left w:w="29" w:type="dxa"/>
              <w:right w:w="29" w:type="dxa"/>
            </w:tcMar>
          </w:tcPr>
          <w:p w:rsidR="00020AE1" w:rsidRPr="00F36007" w:rsidRDefault="00D916F3" w:rsidP="00FC4AEF">
            <w:pPr>
              <w:rPr>
                <w:rFonts w:asciiTheme="majorHAnsi" w:eastAsia="Times New Roman" w:hAnsiTheme="majorHAnsi" w:cstheme="majorHAnsi"/>
                <w:color w:val="000000"/>
                <w:sz w:val="20"/>
                <w:szCs w:val="20"/>
              </w:rPr>
            </w:pPr>
            <w:r w:rsidRPr="00F36007">
              <w:rPr>
                <w:rFonts w:asciiTheme="majorHAnsi" w:hAnsiTheme="majorHAnsi" w:cstheme="majorHAnsi"/>
                <w:sz w:val="20"/>
                <w:szCs w:val="20"/>
              </w:rPr>
              <w:t>Interprofessional Education Activity and Discussion Boards</w:t>
            </w:r>
            <w:r w:rsidR="00D71080" w:rsidRPr="00F36007">
              <w:rPr>
                <w:rFonts w:asciiTheme="majorHAnsi" w:hAnsiTheme="majorHAnsi" w:cstheme="majorHAnsi"/>
                <w:color w:val="000000"/>
                <w:sz w:val="20"/>
                <w:szCs w:val="20"/>
              </w:rPr>
              <w:t>:</w:t>
            </w:r>
            <w:r w:rsidR="00534D8C" w:rsidRPr="00F36007">
              <w:rPr>
                <w:rFonts w:asciiTheme="majorHAnsi" w:hAnsiTheme="majorHAnsi" w:cstheme="majorHAnsi"/>
                <w:color w:val="000000"/>
                <w:sz w:val="20"/>
                <w:szCs w:val="20"/>
              </w:rPr>
              <w:t xml:space="preserve"> </w:t>
            </w:r>
            <w:r w:rsidR="000400DF" w:rsidRPr="00F36007">
              <w:rPr>
                <w:rFonts w:asciiTheme="majorHAnsi" w:hAnsiTheme="majorHAnsi" w:cstheme="majorHAnsi"/>
                <w:color w:val="000000"/>
                <w:sz w:val="20"/>
                <w:szCs w:val="20"/>
              </w:rPr>
              <w:t xml:space="preserve">Students will work in interprofessional groups </w:t>
            </w:r>
            <w:r w:rsidR="00C300EC" w:rsidRPr="00F36007">
              <w:rPr>
                <w:rFonts w:asciiTheme="majorHAnsi" w:hAnsiTheme="majorHAnsi" w:cstheme="majorHAnsi"/>
                <w:color w:val="000000"/>
                <w:sz w:val="20"/>
                <w:szCs w:val="20"/>
              </w:rPr>
              <w:t>determined by student responses</w:t>
            </w:r>
            <w:r w:rsidR="000400DF" w:rsidRPr="00F36007">
              <w:rPr>
                <w:rFonts w:asciiTheme="majorHAnsi" w:hAnsiTheme="majorHAnsi" w:cstheme="majorHAnsi"/>
                <w:color w:val="000000"/>
                <w:sz w:val="20"/>
                <w:szCs w:val="20"/>
              </w:rPr>
              <w:t xml:space="preserve"> to a discussion board </w:t>
            </w:r>
            <w:r w:rsidR="00BA49EC" w:rsidRPr="00F36007">
              <w:rPr>
                <w:rFonts w:asciiTheme="majorHAnsi" w:hAnsiTheme="majorHAnsi" w:cstheme="majorHAnsi"/>
                <w:color w:val="000000"/>
                <w:sz w:val="20"/>
                <w:szCs w:val="20"/>
              </w:rPr>
              <w:t>prompt</w:t>
            </w:r>
            <w:r w:rsidR="000400DF" w:rsidRPr="00F36007">
              <w:rPr>
                <w:rFonts w:asciiTheme="majorHAnsi" w:hAnsiTheme="majorHAnsi" w:cstheme="majorHAnsi"/>
                <w:color w:val="000000"/>
                <w:sz w:val="20"/>
                <w:szCs w:val="20"/>
              </w:rPr>
              <w:t xml:space="preserve"> entitled “Building an Inter-Professional Team for Collaborative Problem Sol</w:t>
            </w:r>
            <w:r w:rsidR="00BA49EC" w:rsidRPr="00F36007">
              <w:rPr>
                <w:rFonts w:asciiTheme="majorHAnsi" w:hAnsiTheme="majorHAnsi" w:cstheme="majorHAnsi"/>
                <w:color w:val="000000"/>
                <w:sz w:val="20"/>
                <w:szCs w:val="20"/>
              </w:rPr>
              <w:t xml:space="preserve">ving”. </w:t>
            </w:r>
            <w:r w:rsidR="000400DF" w:rsidRPr="00F36007">
              <w:rPr>
                <w:rFonts w:asciiTheme="majorHAnsi" w:hAnsiTheme="majorHAnsi" w:cstheme="majorHAnsi"/>
                <w:color w:val="000000"/>
                <w:sz w:val="20"/>
                <w:szCs w:val="20"/>
              </w:rPr>
              <w:t xml:space="preserve">Each student will be asked to submit the following information to the </w:t>
            </w:r>
            <w:r w:rsidR="00C300EC" w:rsidRPr="00F36007">
              <w:rPr>
                <w:rFonts w:asciiTheme="majorHAnsi" w:hAnsiTheme="majorHAnsi" w:cstheme="majorHAnsi"/>
                <w:color w:val="000000"/>
                <w:sz w:val="20"/>
                <w:szCs w:val="20"/>
              </w:rPr>
              <w:t>discussion b</w:t>
            </w:r>
            <w:r w:rsidR="000400DF" w:rsidRPr="00F36007">
              <w:rPr>
                <w:rFonts w:asciiTheme="majorHAnsi" w:hAnsiTheme="majorHAnsi" w:cstheme="majorHAnsi"/>
                <w:color w:val="000000"/>
                <w:sz w:val="20"/>
                <w:szCs w:val="20"/>
              </w:rPr>
              <w:t>oard: Program affiliation (e.g., MPH in Health Promotion, etc.), specific public health interests, professional background (education &amp; work experience).  Based upon the information provided, students will be divided into groups to ensure diverse representation across various health and public health experiences within each group.</w:t>
            </w:r>
            <w:r w:rsidR="00C300EC" w:rsidRPr="00F36007">
              <w:rPr>
                <w:rFonts w:asciiTheme="majorHAnsi" w:hAnsiTheme="majorHAnsi" w:cstheme="majorHAnsi"/>
                <w:color w:val="000000"/>
                <w:sz w:val="20"/>
                <w:szCs w:val="20"/>
              </w:rPr>
              <w:t xml:space="preserve"> Students will then work in an interprofessional</w:t>
            </w:r>
            <w:r w:rsidR="00534D8C" w:rsidRPr="00F36007">
              <w:rPr>
                <w:rFonts w:asciiTheme="majorHAnsi" w:hAnsiTheme="majorHAnsi" w:cstheme="majorHAnsi"/>
                <w:color w:val="000000"/>
                <w:sz w:val="20"/>
                <w:szCs w:val="20"/>
              </w:rPr>
              <w:t xml:space="preserve"> group on the final case study group project for the course. Each student within </w:t>
            </w:r>
            <w:r w:rsidR="00C300EC" w:rsidRPr="00F36007">
              <w:rPr>
                <w:rFonts w:asciiTheme="majorHAnsi" w:hAnsiTheme="majorHAnsi" w:cstheme="majorHAnsi"/>
                <w:color w:val="000000"/>
                <w:sz w:val="20"/>
                <w:szCs w:val="20"/>
              </w:rPr>
              <w:t xml:space="preserve">the </w:t>
            </w:r>
            <w:r w:rsidR="00534D8C" w:rsidRPr="00F36007">
              <w:rPr>
                <w:rFonts w:asciiTheme="majorHAnsi" w:hAnsiTheme="majorHAnsi" w:cstheme="majorHAnsi"/>
                <w:color w:val="000000"/>
                <w:sz w:val="20"/>
                <w:szCs w:val="20"/>
              </w:rPr>
              <w:t xml:space="preserve">group submits through </w:t>
            </w:r>
            <w:r w:rsidR="00561593" w:rsidRPr="00F36007">
              <w:rPr>
                <w:rFonts w:asciiTheme="majorHAnsi" w:hAnsiTheme="majorHAnsi" w:cstheme="majorHAnsi"/>
                <w:color w:val="000000"/>
                <w:sz w:val="20"/>
                <w:szCs w:val="20"/>
              </w:rPr>
              <w:t>a d</w:t>
            </w:r>
            <w:r w:rsidR="00534D8C" w:rsidRPr="00F36007">
              <w:rPr>
                <w:rFonts w:asciiTheme="majorHAnsi" w:hAnsiTheme="majorHAnsi" w:cstheme="majorHAnsi"/>
                <w:color w:val="000000"/>
                <w:sz w:val="20"/>
                <w:szCs w:val="20"/>
              </w:rPr>
              <w:t xml:space="preserve">iscussion </w:t>
            </w:r>
            <w:r w:rsidR="00561593" w:rsidRPr="00F36007">
              <w:rPr>
                <w:rFonts w:asciiTheme="majorHAnsi" w:hAnsiTheme="majorHAnsi" w:cstheme="majorHAnsi"/>
                <w:color w:val="000000"/>
                <w:sz w:val="20"/>
                <w:szCs w:val="20"/>
              </w:rPr>
              <w:t>b</w:t>
            </w:r>
            <w:r w:rsidR="00534D8C" w:rsidRPr="00F36007">
              <w:rPr>
                <w:rFonts w:asciiTheme="majorHAnsi" w:hAnsiTheme="majorHAnsi" w:cstheme="majorHAnsi"/>
                <w:color w:val="000000"/>
                <w:sz w:val="20"/>
                <w:szCs w:val="20"/>
              </w:rPr>
              <w:t xml:space="preserve">oard, an </w:t>
            </w:r>
            <w:r w:rsidR="000400DF" w:rsidRPr="00F36007">
              <w:rPr>
                <w:rFonts w:asciiTheme="majorHAnsi" w:hAnsiTheme="majorHAnsi" w:cstheme="majorHAnsi"/>
                <w:color w:val="000000"/>
                <w:sz w:val="20"/>
                <w:szCs w:val="20"/>
              </w:rPr>
              <w:t>i</w:t>
            </w:r>
            <w:r w:rsidR="00534D8C" w:rsidRPr="00F36007">
              <w:rPr>
                <w:rFonts w:asciiTheme="majorHAnsi" w:hAnsiTheme="majorHAnsi" w:cstheme="majorHAnsi"/>
                <w:color w:val="000000"/>
                <w:sz w:val="20"/>
                <w:szCs w:val="20"/>
              </w:rPr>
              <w:t xml:space="preserve">ndividual assessment of the interprofessional group function, along with a self-assessment of their performance in the group. </w:t>
            </w:r>
          </w:p>
        </w:tc>
      </w:tr>
      <w:tr w:rsidR="00534D8C" w:rsidRPr="00F36007" w:rsidTr="00DE072A">
        <w:trPr>
          <w:cantSplit/>
          <w:trHeight w:val="300"/>
        </w:trPr>
        <w:tc>
          <w:tcPr>
            <w:tcW w:w="5000" w:type="pct"/>
            <w:gridSpan w:val="3"/>
            <w:shd w:val="clear" w:color="000000" w:fill="D9D9D9"/>
            <w:tcMar>
              <w:left w:w="29" w:type="dxa"/>
              <w:right w:w="29" w:type="dxa"/>
            </w:tcMar>
            <w:hideMark/>
          </w:tcPr>
          <w:p w:rsidR="00534D8C" w:rsidRPr="00F36007" w:rsidRDefault="00534D8C" w:rsidP="00A37ED6">
            <w:pPr>
              <w:rPr>
                <w:rFonts w:asciiTheme="majorHAnsi" w:eastAsia="Times New Roman" w:hAnsiTheme="majorHAnsi" w:cstheme="majorHAnsi"/>
                <w:b/>
                <w:bCs/>
                <w:color w:val="000000"/>
                <w:sz w:val="20"/>
                <w:szCs w:val="20"/>
              </w:rPr>
            </w:pPr>
            <w:r w:rsidRPr="00F36007">
              <w:rPr>
                <w:rFonts w:asciiTheme="majorHAnsi" w:eastAsia="Times New Roman" w:hAnsiTheme="majorHAnsi" w:cstheme="majorHAnsi"/>
                <w:b/>
                <w:bCs/>
                <w:color w:val="000000"/>
                <w:sz w:val="20"/>
                <w:szCs w:val="20"/>
              </w:rPr>
              <w:t>Systems Thinking</w:t>
            </w:r>
          </w:p>
        </w:tc>
      </w:tr>
      <w:tr w:rsidR="00562E73" w:rsidRPr="00F36007" w:rsidTr="006E28EE">
        <w:trPr>
          <w:cantSplit/>
          <w:trHeight w:val="540"/>
        </w:trPr>
        <w:tc>
          <w:tcPr>
            <w:tcW w:w="1134" w:type="pct"/>
            <w:shd w:val="clear" w:color="auto" w:fill="auto"/>
            <w:tcMar>
              <w:left w:w="29" w:type="dxa"/>
              <w:right w:w="29" w:type="dxa"/>
            </w:tcMar>
            <w:hideMark/>
          </w:tcPr>
          <w:p w:rsidR="00534D8C" w:rsidRPr="00F36007" w:rsidRDefault="00534D8C" w:rsidP="00A37ED6">
            <w:pPr>
              <w:rPr>
                <w:rFonts w:asciiTheme="majorHAnsi" w:eastAsia="Times New Roman" w:hAnsiTheme="majorHAnsi" w:cstheme="majorHAnsi"/>
                <w:color w:val="000000"/>
                <w:sz w:val="20"/>
                <w:szCs w:val="20"/>
              </w:rPr>
            </w:pPr>
            <w:r w:rsidRPr="00F36007">
              <w:rPr>
                <w:rFonts w:asciiTheme="majorHAnsi" w:eastAsia="Times New Roman" w:hAnsiTheme="majorHAnsi" w:cstheme="majorHAnsi"/>
                <w:color w:val="000000"/>
                <w:sz w:val="20"/>
                <w:szCs w:val="20"/>
              </w:rPr>
              <w:t>MPH-22. Apply systems thinking tools to a public health issue</w:t>
            </w:r>
          </w:p>
        </w:tc>
        <w:tc>
          <w:tcPr>
            <w:tcW w:w="1083" w:type="pct"/>
            <w:shd w:val="clear" w:color="auto" w:fill="auto"/>
            <w:tcMar>
              <w:left w:w="29" w:type="dxa"/>
              <w:right w:w="29" w:type="dxa"/>
            </w:tcMar>
          </w:tcPr>
          <w:p w:rsidR="00534D8C" w:rsidRPr="00F36007" w:rsidRDefault="0015192B" w:rsidP="00FC4AEF">
            <w:pPr>
              <w:rPr>
                <w:rFonts w:asciiTheme="majorHAnsi" w:eastAsia="Times New Roman" w:hAnsiTheme="majorHAnsi" w:cstheme="majorHAnsi"/>
                <w:color w:val="000000"/>
                <w:sz w:val="20"/>
                <w:szCs w:val="20"/>
              </w:rPr>
            </w:pPr>
            <w:r w:rsidRPr="00866923">
              <w:rPr>
                <w:rFonts w:asciiTheme="majorHAnsi" w:hAnsiTheme="majorHAnsi" w:cstheme="majorHAnsi"/>
                <w:b/>
                <w:sz w:val="20"/>
                <w:szCs w:val="20"/>
              </w:rPr>
              <w:t>PHWM 2110</w:t>
            </w:r>
            <w:r w:rsidRPr="00F36007">
              <w:rPr>
                <w:rFonts w:asciiTheme="majorHAnsi" w:hAnsiTheme="majorHAnsi" w:cstheme="majorHAnsi"/>
                <w:sz w:val="20"/>
                <w:szCs w:val="20"/>
              </w:rPr>
              <w:t xml:space="preserve"> Public Health Ecology &amp; the Human Environment</w:t>
            </w:r>
          </w:p>
        </w:tc>
        <w:tc>
          <w:tcPr>
            <w:tcW w:w="2783" w:type="pct"/>
            <w:shd w:val="clear" w:color="auto" w:fill="auto"/>
            <w:tcMar>
              <w:left w:w="29" w:type="dxa"/>
              <w:right w:w="29" w:type="dxa"/>
            </w:tcMar>
          </w:tcPr>
          <w:p w:rsidR="0019353B" w:rsidRPr="00F36007" w:rsidRDefault="0015192B" w:rsidP="00A37ED6">
            <w:pPr>
              <w:rPr>
                <w:rFonts w:asciiTheme="majorHAnsi" w:hAnsiTheme="majorHAnsi" w:cstheme="majorHAnsi"/>
                <w:color w:val="000000"/>
                <w:sz w:val="20"/>
                <w:szCs w:val="20"/>
              </w:rPr>
            </w:pPr>
            <w:r w:rsidRPr="00F36007">
              <w:rPr>
                <w:rFonts w:asciiTheme="majorHAnsi" w:hAnsiTheme="majorHAnsi" w:cstheme="majorHAnsi"/>
                <w:sz w:val="20"/>
                <w:szCs w:val="20"/>
              </w:rPr>
              <w:t>Quiz</w:t>
            </w:r>
            <w:r w:rsidR="0019353B" w:rsidRPr="00F36007">
              <w:rPr>
                <w:rFonts w:asciiTheme="majorHAnsi" w:hAnsiTheme="majorHAnsi" w:cstheme="majorHAnsi"/>
                <w:color w:val="000000"/>
                <w:sz w:val="20"/>
                <w:szCs w:val="20"/>
              </w:rPr>
              <w:t xml:space="preserve">: Students will complete a quiz that covers an introduction to systems thinking concepts. </w:t>
            </w:r>
          </w:p>
          <w:p w:rsidR="0019353B" w:rsidRPr="00F36007" w:rsidRDefault="0019353B" w:rsidP="00A37ED6">
            <w:pPr>
              <w:rPr>
                <w:rFonts w:asciiTheme="majorHAnsi" w:hAnsiTheme="majorHAnsi" w:cstheme="majorHAnsi"/>
                <w:color w:val="000000"/>
                <w:sz w:val="20"/>
                <w:szCs w:val="20"/>
              </w:rPr>
            </w:pPr>
          </w:p>
          <w:p w:rsidR="0019353B" w:rsidRPr="00F36007" w:rsidRDefault="0015192B" w:rsidP="00A37ED6">
            <w:pPr>
              <w:rPr>
                <w:rFonts w:asciiTheme="majorHAnsi" w:hAnsiTheme="majorHAnsi" w:cstheme="majorHAnsi"/>
                <w:color w:val="000000"/>
                <w:sz w:val="20"/>
                <w:szCs w:val="20"/>
              </w:rPr>
            </w:pPr>
            <w:r w:rsidRPr="00F36007">
              <w:rPr>
                <w:rFonts w:asciiTheme="majorHAnsi" w:hAnsiTheme="majorHAnsi" w:cstheme="majorHAnsi"/>
                <w:sz w:val="20"/>
                <w:szCs w:val="20"/>
              </w:rPr>
              <w:t>Discussion Boards</w:t>
            </w:r>
            <w:r w:rsidR="0019353B" w:rsidRPr="00F36007">
              <w:rPr>
                <w:rFonts w:asciiTheme="majorHAnsi" w:hAnsiTheme="majorHAnsi" w:cstheme="majorHAnsi"/>
                <w:color w:val="000000"/>
                <w:sz w:val="20"/>
                <w:szCs w:val="20"/>
              </w:rPr>
              <w:t xml:space="preserve">: Students will be </w:t>
            </w:r>
            <w:r w:rsidR="00F229A1" w:rsidRPr="00F36007">
              <w:rPr>
                <w:rFonts w:asciiTheme="majorHAnsi" w:hAnsiTheme="majorHAnsi" w:cstheme="majorHAnsi"/>
                <w:color w:val="000000"/>
                <w:sz w:val="20"/>
                <w:szCs w:val="20"/>
              </w:rPr>
              <w:t xml:space="preserve">asked to complete two discussion boards related to systems thinking. In the first, students will discuss systems thinking’s components that are applicable to the case study presented in the module. Students will then complete a secondary discussion board in which they must draw a causal loop diagram based on the principles of systems thinking and must incorporate key elements of the case study presented in the course. </w:t>
            </w:r>
          </w:p>
          <w:p w:rsidR="00F229A1" w:rsidRPr="00F36007" w:rsidRDefault="00F229A1" w:rsidP="00A37ED6">
            <w:pPr>
              <w:rPr>
                <w:rFonts w:asciiTheme="majorHAnsi" w:hAnsiTheme="majorHAnsi" w:cstheme="majorHAnsi"/>
                <w:color w:val="000000"/>
                <w:sz w:val="20"/>
                <w:szCs w:val="20"/>
              </w:rPr>
            </w:pPr>
          </w:p>
          <w:p w:rsidR="00F229A1" w:rsidRPr="00F36007" w:rsidRDefault="0015192B" w:rsidP="00A37ED6">
            <w:pPr>
              <w:rPr>
                <w:rFonts w:asciiTheme="majorHAnsi" w:eastAsia="Times New Roman" w:hAnsiTheme="majorHAnsi" w:cstheme="majorHAnsi"/>
                <w:color w:val="000000"/>
                <w:sz w:val="20"/>
                <w:szCs w:val="20"/>
              </w:rPr>
            </w:pPr>
            <w:r w:rsidRPr="00F36007">
              <w:rPr>
                <w:rFonts w:asciiTheme="majorHAnsi" w:hAnsiTheme="majorHAnsi" w:cstheme="majorHAnsi"/>
                <w:sz w:val="20"/>
                <w:szCs w:val="20"/>
              </w:rPr>
              <w:t>Final Project</w:t>
            </w:r>
            <w:r w:rsidR="00F229A1" w:rsidRPr="00F36007">
              <w:rPr>
                <w:rFonts w:asciiTheme="majorHAnsi" w:hAnsiTheme="majorHAnsi" w:cstheme="majorHAnsi"/>
                <w:color w:val="000000"/>
                <w:sz w:val="20"/>
                <w:szCs w:val="20"/>
              </w:rPr>
              <w:t xml:space="preserve">: Students will each develop a causal loop diagram in the group project that draws upon principles of systems thinking. Students will then collaborate and submit a final causal loop diagram as part of the final project. </w:t>
            </w:r>
          </w:p>
        </w:tc>
      </w:tr>
    </w:tbl>
    <w:p w:rsidR="00933038" w:rsidRPr="00743A41" w:rsidRDefault="00933038" w:rsidP="00A37ED6">
      <w:pPr>
        <w:pStyle w:val="ListParagraph"/>
        <w:ind w:left="0"/>
        <w:jc w:val="both"/>
        <w:rPr>
          <w:rFonts w:asciiTheme="majorHAnsi" w:eastAsia="Arial Unicode MS" w:hAnsiTheme="majorHAnsi" w:cstheme="majorHAnsi"/>
          <w:szCs w:val="20"/>
        </w:rPr>
      </w:pPr>
    </w:p>
    <w:p w:rsidR="00933038" w:rsidRPr="00743A41" w:rsidRDefault="00933038" w:rsidP="00A37ED6">
      <w:pPr>
        <w:numPr>
          <w:ilvl w:val="0"/>
          <w:numId w:val="19"/>
        </w:numPr>
        <w:shd w:val="clear" w:color="auto" w:fill="FFFFFF"/>
        <w:ind w:left="360"/>
        <w:jc w:val="both"/>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rPr>
        <w:t xml:space="preserve">Include the most recent syllabus from each course listed in Template D2-1, or written guidelines, such as a handbook, for any required elements listed in Template D2-1 that do not have a syllabus. </w:t>
      </w:r>
    </w:p>
    <w:p w:rsidR="00933038" w:rsidRPr="00743A41" w:rsidRDefault="00933038" w:rsidP="00A37ED6">
      <w:pPr>
        <w:shd w:val="clear" w:color="auto" w:fill="FFFFFF"/>
        <w:jc w:val="both"/>
        <w:rPr>
          <w:rFonts w:asciiTheme="majorHAnsi" w:eastAsia="Arial Unicode MS" w:hAnsiTheme="majorHAnsi" w:cstheme="majorHAnsi"/>
          <w:sz w:val="20"/>
          <w:szCs w:val="20"/>
        </w:rPr>
      </w:pPr>
    </w:p>
    <w:p w:rsidR="00933038" w:rsidRPr="00743A41" w:rsidRDefault="00677385" w:rsidP="00A37ED6">
      <w:pPr>
        <w:pStyle w:val="ListParagraph"/>
        <w:ind w:left="0" w:firstLine="360"/>
        <w:rPr>
          <w:rFonts w:asciiTheme="majorHAnsi" w:eastAsia="Arial Unicode MS" w:hAnsiTheme="majorHAnsi" w:cstheme="majorHAnsi"/>
          <w:szCs w:val="20"/>
        </w:rPr>
      </w:pPr>
      <w:r w:rsidRPr="00743A41">
        <w:rPr>
          <w:rFonts w:asciiTheme="majorHAnsi" w:eastAsia="Arial Unicode MS" w:hAnsiTheme="majorHAnsi" w:cstheme="majorHAnsi"/>
          <w:szCs w:val="20"/>
        </w:rPr>
        <w:t>Associated documents in the electronic resource file:</w:t>
      </w:r>
    </w:p>
    <w:p w:rsidR="009268D2" w:rsidRPr="006E28EE" w:rsidRDefault="009367D4" w:rsidP="009367D4">
      <w:pPr>
        <w:pStyle w:val="ListParagraph"/>
        <w:numPr>
          <w:ilvl w:val="0"/>
          <w:numId w:val="138"/>
        </w:numPr>
        <w:rPr>
          <w:rFonts w:asciiTheme="majorHAnsi" w:eastAsia="Arial Unicode MS" w:hAnsiTheme="majorHAnsi" w:cstheme="majorHAnsi"/>
          <w:i/>
          <w:szCs w:val="20"/>
        </w:rPr>
      </w:pPr>
      <w:r w:rsidRPr="006E28EE">
        <w:rPr>
          <w:rFonts w:asciiTheme="majorHAnsi" w:hAnsiTheme="majorHAnsi"/>
          <w:szCs w:val="20"/>
        </w:rPr>
        <w:t xml:space="preserve"> </w:t>
      </w:r>
      <w:r w:rsidRPr="00743A41">
        <w:rPr>
          <w:rFonts w:asciiTheme="majorHAnsi" w:eastAsia="Arial Unicode MS" w:hAnsiTheme="majorHAnsi" w:cstheme="majorHAnsi"/>
          <w:i/>
          <w:szCs w:val="20"/>
        </w:rPr>
        <w:t>D2. MPH Foundational Competencies</w:t>
      </w:r>
    </w:p>
    <w:p w:rsidR="009268D2" w:rsidRPr="00F36007" w:rsidRDefault="00B923A7" w:rsidP="00A37ED6">
      <w:pPr>
        <w:pStyle w:val="ListParagraph"/>
        <w:numPr>
          <w:ilvl w:val="1"/>
          <w:numId w:val="138"/>
        </w:numPr>
        <w:rPr>
          <w:rFonts w:asciiTheme="majorHAnsi" w:eastAsia="Arial Unicode MS" w:hAnsiTheme="majorHAnsi" w:cstheme="majorHAnsi"/>
          <w:i/>
          <w:szCs w:val="20"/>
        </w:rPr>
      </w:pPr>
      <w:r w:rsidRPr="00F36007">
        <w:rPr>
          <w:rFonts w:asciiTheme="majorHAnsi" w:eastAsia="Arial Unicode MS" w:hAnsiTheme="majorHAnsi" w:cstheme="majorHAnsi"/>
          <w:i/>
          <w:szCs w:val="20"/>
        </w:rPr>
        <w:t>D2.3. P</w:t>
      </w:r>
      <w:r w:rsidR="000A5C2D" w:rsidRPr="00F36007">
        <w:rPr>
          <w:rFonts w:asciiTheme="majorHAnsi" w:eastAsia="Arial Unicode MS" w:hAnsiTheme="majorHAnsi" w:cstheme="majorHAnsi"/>
          <w:i/>
        </w:rPr>
        <w:t>H 1690 Introduction to Biostatistics in Public Health, Syllabus and Assessments</w:t>
      </w:r>
    </w:p>
    <w:p w:rsidR="009268D2" w:rsidRPr="00F36007" w:rsidRDefault="00B923A7" w:rsidP="00A37ED6">
      <w:pPr>
        <w:pStyle w:val="ListParagraph"/>
        <w:numPr>
          <w:ilvl w:val="1"/>
          <w:numId w:val="138"/>
        </w:numPr>
        <w:rPr>
          <w:rFonts w:asciiTheme="majorHAnsi" w:eastAsia="Arial Unicode MS" w:hAnsiTheme="majorHAnsi" w:cstheme="majorHAnsi"/>
          <w:i/>
          <w:szCs w:val="20"/>
        </w:rPr>
      </w:pPr>
      <w:r w:rsidRPr="00F36007">
        <w:rPr>
          <w:rFonts w:asciiTheme="majorHAnsi" w:eastAsia="Arial Unicode MS" w:hAnsiTheme="majorHAnsi" w:cstheme="majorHAnsi"/>
          <w:i/>
          <w:szCs w:val="20"/>
        </w:rPr>
        <w:t xml:space="preserve">D2.3. </w:t>
      </w:r>
      <w:r w:rsidR="000A5C2D" w:rsidRPr="00F36007">
        <w:rPr>
          <w:rFonts w:asciiTheme="majorHAnsi" w:eastAsia="Arial Unicode MS" w:hAnsiTheme="majorHAnsi" w:cstheme="majorHAnsi"/>
          <w:i/>
        </w:rPr>
        <w:t>PH 1700 Intermediate Biostatistics, Syllabus and Assessments</w:t>
      </w:r>
    </w:p>
    <w:p w:rsidR="009268D2" w:rsidRPr="00F36007" w:rsidRDefault="00B923A7" w:rsidP="00A37ED6">
      <w:pPr>
        <w:pStyle w:val="ListParagraph"/>
        <w:numPr>
          <w:ilvl w:val="1"/>
          <w:numId w:val="138"/>
        </w:numPr>
        <w:rPr>
          <w:rFonts w:asciiTheme="majorHAnsi" w:eastAsia="Arial Unicode MS" w:hAnsiTheme="majorHAnsi" w:cstheme="majorHAnsi"/>
          <w:i/>
          <w:szCs w:val="20"/>
        </w:rPr>
      </w:pPr>
      <w:r w:rsidRPr="00F36007">
        <w:rPr>
          <w:rFonts w:asciiTheme="majorHAnsi" w:eastAsia="Arial Unicode MS" w:hAnsiTheme="majorHAnsi" w:cstheme="majorHAnsi"/>
          <w:i/>
          <w:szCs w:val="20"/>
        </w:rPr>
        <w:t xml:space="preserve">D2.3. </w:t>
      </w:r>
      <w:r w:rsidR="000A5C2D" w:rsidRPr="00F36007">
        <w:rPr>
          <w:rFonts w:asciiTheme="majorHAnsi" w:eastAsia="Arial Unicode MS" w:hAnsiTheme="majorHAnsi" w:cstheme="majorHAnsi"/>
          <w:i/>
        </w:rPr>
        <w:t>PHM 1110 Health Promotion and Behavioral Sciences in Public Health, Syllabus and Assessments</w:t>
      </w:r>
    </w:p>
    <w:p w:rsidR="009268D2" w:rsidRPr="00F36007" w:rsidRDefault="00B923A7" w:rsidP="00A37ED6">
      <w:pPr>
        <w:pStyle w:val="ListParagraph"/>
        <w:numPr>
          <w:ilvl w:val="1"/>
          <w:numId w:val="138"/>
        </w:numPr>
        <w:rPr>
          <w:rFonts w:asciiTheme="majorHAnsi" w:eastAsia="Arial Unicode MS" w:hAnsiTheme="majorHAnsi" w:cstheme="majorHAnsi"/>
          <w:i/>
          <w:szCs w:val="20"/>
        </w:rPr>
      </w:pPr>
      <w:r w:rsidRPr="00F36007">
        <w:rPr>
          <w:rFonts w:asciiTheme="majorHAnsi" w:eastAsia="Arial Unicode MS" w:hAnsiTheme="majorHAnsi" w:cstheme="majorHAnsi"/>
          <w:i/>
          <w:szCs w:val="20"/>
        </w:rPr>
        <w:t xml:space="preserve">D2.3. </w:t>
      </w:r>
      <w:r w:rsidR="000A5C2D" w:rsidRPr="00F36007">
        <w:rPr>
          <w:rFonts w:asciiTheme="majorHAnsi" w:eastAsia="Arial Unicode MS" w:hAnsiTheme="majorHAnsi" w:cstheme="majorHAnsi"/>
          <w:i/>
        </w:rPr>
        <w:t>PHM 2612 Epidemiology I, Syllabus and Assessments</w:t>
      </w:r>
    </w:p>
    <w:p w:rsidR="009268D2" w:rsidRPr="00F36007" w:rsidRDefault="00B923A7" w:rsidP="00A37ED6">
      <w:pPr>
        <w:pStyle w:val="ListParagraph"/>
        <w:numPr>
          <w:ilvl w:val="1"/>
          <w:numId w:val="138"/>
        </w:numPr>
        <w:rPr>
          <w:rFonts w:asciiTheme="majorHAnsi" w:eastAsia="Arial Unicode MS" w:hAnsiTheme="majorHAnsi" w:cstheme="majorHAnsi"/>
          <w:i/>
          <w:szCs w:val="20"/>
        </w:rPr>
      </w:pPr>
      <w:r w:rsidRPr="00F36007">
        <w:rPr>
          <w:rFonts w:asciiTheme="majorHAnsi" w:eastAsia="Arial Unicode MS" w:hAnsiTheme="majorHAnsi" w:cstheme="majorHAnsi"/>
          <w:i/>
          <w:szCs w:val="20"/>
        </w:rPr>
        <w:t xml:space="preserve">D2.3. </w:t>
      </w:r>
      <w:r w:rsidR="000A5C2D" w:rsidRPr="00F36007">
        <w:rPr>
          <w:rFonts w:asciiTheme="majorHAnsi" w:eastAsia="Arial Unicode MS" w:hAnsiTheme="majorHAnsi" w:cstheme="majorHAnsi"/>
          <w:i/>
        </w:rPr>
        <w:t>PHM 3715 Management and Policy Concepts in Public Health, Syllabus and Assessments</w:t>
      </w:r>
    </w:p>
    <w:p w:rsidR="009268D2" w:rsidRPr="006E28EE" w:rsidRDefault="00B923A7" w:rsidP="00A37ED6">
      <w:pPr>
        <w:pStyle w:val="ListParagraph"/>
        <w:numPr>
          <w:ilvl w:val="1"/>
          <w:numId w:val="138"/>
        </w:numPr>
        <w:rPr>
          <w:rFonts w:asciiTheme="majorHAnsi" w:eastAsia="Arial Unicode MS" w:hAnsiTheme="majorHAnsi" w:cstheme="majorHAnsi"/>
          <w:i/>
          <w:szCs w:val="20"/>
        </w:rPr>
      </w:pPr>
      <w:r w:rsidRPr="00743A41">
        <w:rPr>
          <w:rFonts w:asciiTheme="majorHAnsi" w:eastAsia="Arial Unicode MS" w:hAnsiTheme="majorHAnsi" w:cstheme="majorHAnsi"/>
          <w:i/>
          <w:szCs w:val="20"/>
        </w:rPr>
        <w:t>D2.</w:t>
      </w:r>
      <w:r w:rsidRPr="00F36007">
        <w:rPr>
          <w:rFonts w:asciiTheme="majorHAnsi" w:eastAsia="Arial Unicode MS" w:hAnsiTheme="majorHAnsi" w:cstheme="majorHAnsi"/>
          <w:i/>
          <w:szCs w:val="20"/>
        </w:rPr>
        <w:t xml:space="preserve">3. </w:t>
      </w:r>
      <w:r w:rsidR="000A5C2D" w:rsidRPr="00F36007">
        <w:rPr>
          <w:rFonts w:asciiTheme="majorHAnsi" w:eastAsia="Arial Unicode MS" w:hAnsiTheme="majorHAnsi" w:cstheme="majorHAnsi"/>
          <w:i/>
        </w:rPr>
        <w:t>PHM 5015 Introduction to Qualitative Research in Public Health, Syllabus and Assessments</w:t>
      </w:r>
    </w:p>
    <w:p w:rsidR="009268D2" w:rsidRPr="00F36007" w:rsidRDefault="00B923A7" w:rsidP="00A37ED6">
      <w:pPr>
        <w:pStyle w:val="ListParagraph"/>
        <w:numPr>
          <w:ilvl w:val="1"/>
          <w:numId w:val="138"/>
        </w:numPr>
        <w:rPr>
          <w:rFonts w:asciiTheme="majorHAnsi" w:eastAsia="Arial Unicode MS" w:hAnsiTheme="majorHAnsi" w:cstheme="majorHAnsi"/>
          <w:i/>
          <w:szCs w:val="20"/>
        </w:rPr>
      </w:pPr>
      <w:r w:rsidRPr="00F36007">
        <w:rPr>
          <w:rFonts w:asciiTheme="majorHAnsi" w:eastAsia="Arial Unicode MS" w:hAnsiTheme="majorHAnsi" w:cstheme="majorHAnsi"/>
          <w:i/>
          <w:szCs w:val="20"/>
        </w:rPr>
        <w:t xml:space="preserve">D2.3. </w:t>
      </w:r>
      <w:r w:rsidR="000A5C2D" w:rsidRPr="00F36007">
        <w:rPr>
          <w:rFonts w:asciiTheme="majorHAnsi" w:eastAsia="Arial Unicode MS" w:hAnsiTheme="majorHAnsi" w:cstheme="majorHAnsi"/>
          <w:i/>
        </w:rPr>
        <w:t>PHWM 2110 Public Health Ecology and the Human Environment, Syllabus and Assessments</w:t>
      </w:r>
    </w:p>
    <w:p w:rsidR="00821EAB" w:rsidRPr="00743A41" w:rsidRDefault="00677385" w:rsidP="00A37ED6">
      <w:pPr>
        <w:pStyle w:val="ListParagraph"/>
        <w:ind w:left="1080"/>
        <w:rPr>
          <w:rFonts w:asciiTheme="majorHAnsi" w:eastAsia="Arial Unicode MS" w:hAnsiTheme="majorHAnsi" w:cstheme="majorHAnsi"/>
          <w:szCs w:val="20"/>
        </w:rPr>
      </w:pPr>
      <w:r w:rsidRPr="00743A41">
        <w:rPr>
          <w:rFonts w:asciiTheme="majorHAnsi" w:eastAsia="Arial Unicode MS" w:hAnsiTheme="majorHAnsi" w:cstheme="majorHAnsi"/>
          <w:szCs w:val="20"/>
        </w:rPr>
        <w:t xml:space="preserve"> </w:t>
      </w:r>
    </w:p>
    <w:p w:rsidR="00933038" w:rsidRPr="00743A41" w:rsidRDefault="00933038" w:rsidP="00A37ED6">
      <w:pPr>
        <w:numPr>
          <w:ilvl w:val="0"/>
          <w:numId w:val="19"/>
        </w:numPr>
        <w:shd w:val="clear" w:color="auto" w:fill="FFFFFF"/>
        <w:ind w:left="360"/>
        <w:jc w:val="both"/>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rPr>
        <w:t xml:space="preserve">If applicable, assess strengths and weaknesses related to this criterion and plans for improvement in this area. </w:t>
      </w:r>
    </w:p>
    <w:p w:rsidR="00933038" w:rsidRPr="00743A41" w:rsidRDefault="00933038" w:rsidP="00A37ED6">
      <w:pPr>
        <w:shd w:val="clear" w:color="auto" w:fill="FFFFFF"/>
        <w:jc w:val="both"/>
        <w:rPr>
          <w:rFonts w:asciiTheme="majorHAnsi" w:eastAsia="Arial Unicode MS" w:hAnsiTheme="majorHAnsi" w:cstheme="majorHAnsi"/>
          <w:sz w:val="20"/>
          <w:szCs w:val="20"/>
        </w:rPr>
      </w:pPr>
    </w:p>
    <w:p w:rsidR="008C47DE" w:rsidRPr="00743A41" w:rsidRDefault="00D0486B" w:rsidP="00A37ED6">
      <w:pPr>
        <w:keepNext/>
        <w:ind w:left="360"/>
        <w:jc w:val="both"/>
        <w:rPr>
          <w:rFonts w:asciiTheme="majorHAnsi" w:eastAsia="Calibri" w:hAnsiTheme="majorHAnsi" w:cstheme="majorHAnsi"/>
          <w:i/>
          <w:sz w:val="20"/>
          <w:szCs w:val="20"/>
        </w:rPr>
      </w:pPr>
      <w:r w:rsidRPr="00743A41">
        <w:rPr>
          <w:rFonts w:asciiTheme="majorHAnsi" w:hAnsiTheme="majorHAnsi" w:cstheme="majorHAnsi"/>
          <w:i/>
          <w:sz w:val="20"/>
          <w:szCs w:val="20"/>
        </w:rPr>
        <w:t xml:space="preserve">Not applicable. </w:t>
      </w:r>
    </w:p>
    <w:p w:rsidR="00933038" w:rsidRPr="00743A41" w:rsidRDefault="00933038" w:rsidP="00A37ED6">
      <w:pPr>
        <w:shd w:val="clear" w:color="auto" w:fill="FFFFFF"/>
        <w:ind w:left="360"/>
        <w:jc w:val="both"/>
        <w:rPr>
          <w:rFonts w:asciiTheme="majorHAnsi" w:eastAsia="Arial Unicode MS" w:hAnsiTheme="majorHAnsi" w:cstheme="majorHAnsi"/>
          <w:i/>
          <w:sz w:val="20"/>
          <w:szCs w:val="20"/>
        </w:rPr>
      </w:pPr>
    </w:p>
    <w:p w:rsidR="00933038" w:rsidRPr="00743A41" w:rsidRDefault="00933038" w:rsidP="00A37ED6">
      <w:pPr>
        <w:rPr>
          <w:rFonts w:asciiTheme="majorHAnsi" w:hAnsiTheme="majorHAnsi" w:cstheme="majorHAnsi"/>
          <w:sz w:val="20"/>
          <w:szCs w:val="20"/>
        </w:rPr>
      </w:pPr>
    </w:p>
    <w:p w:rsidR="00933038" w:rsidRPr="00743A41" w:rsidRDefault="00933038" w:rsidP="00A37ED6">
      <w:pPr>
        <w:rPr>
          <w:rFonts w:asciiTheme="majorHAnsi" w:eastAsia="Arial Unicode MS" w:hAnsiTheme="majorHAnsi" w:cstheme="majorHAnsi"/>
          <w:b/>
          <w:bCs/>
          <w:kern w:val="32"/>
          <w:sz w:val="20"/>
          <w:szCs w:val="20"/>
          <w:lang w:eastAsia="x-none"/>
        </w:rPr>
      </w:pPr>
      <w:r w:rsidRPr="00743A41">
        <w:rPr>
          <w:rFonts w:asciiTheme="majorHAnsi" w:hAnsiTheme="majorHAnsi" w:cstheme="majorHAnsi"/>
          <w:sz w:val="20"/>
          <w:szCs w:val="20"/>
        </w:rPr>
        <w:br w:type="page"/>
      </w:r>
    </w:p>
    <w:p w:rsidR="00933038" w:rsidRPr="00743A41" w:rsidRDefault="00933038" w:rsidP="007A68BE">
      <w:pPr>
        <w:pStyle w:val="Heading1"/>
      </w:pPr>
      <w:bookmarkStart w:id="71" w:name="_D3._DrPH_Foundational"/>
      <w:bookmarkStart w:id="72" w:name="_Toc7118202"/>
      <w:bookmarkEnd w:id="71"/>
      <w:r w:rsidRPr="00743A41">
        <w:t>D3. DrPH Foundational Competencies (if applicable)</w:t>
      </w:r>
      <w:bookmarkEnd w:id="72"/>
    </w:p>
    <w:p w:rsidR="00933038" w:rsidRPr="00743A41" w:rsidRDefault="00933038" w:rsidP="00A37ED6">
      <w:pPr>
        <w:jc w:val="both"/>
        <w:rPr>
          <w:rFonts w:asciiTheme="majorHAnsi" w:hAnsiTheme="majorHAnsi" w:cstheme="majorHAnsi"/>
          <w:sz w:val="20"/>
          <w:szCs w:val="20"/>
          <w:highlight w:val="yellow"/>
        </w:rPr>
      </w:pPr>
    </w:p>
    <w:p w:rsidR="00933038" w:rsidRPr="00743A41" w:rsidRDefault="00933038" w:rsidP="00A37ED6">
      <w:pPr>
        <w:jc w:val="both"/>
        <w:rPr>
          <w:rFonts w:asciiTheme="majorHAnsi" w:eastAsia="Arial Unicode MS" w:hAnsiTheme="majorHAnsi" w:cstheme="majorHAnsi"/>
          <w:b/>
          <w:sz w:val="20"/>
          <w:szCs w:val="20"/>
        </w:rPr>
      </w:pPr>
      <w:r w:rsidRPr="00743A41">
        <w:rPr>
          <w:rFonts w:asciiTheme="majorHAnsi" w:eastAsia="Arial Unicode MS" w:hAnsiTheme="majorHAnsi" w:cstheme="majorHAnsi"/>
          <w:b/>
          <w:sz w:val="20"/>
          <w:szCs w:val="20"/>
        </w:rPr>
        <w:t xml:space="preserve">The school documents at least one specific, required assessment activity (eg, component of existing course, paper, presentation, test) for each competency, during which faculty or other qualified individuals (eg, preceptors) validate the student’s ability to perform the competency. </w:t>
      </w:r>
    </w:p>
    <w:p w:rsidR="00933038" w:rsidRPr="00743A41" w:rsidRDefault="00933038" w:rsidP="00A37ED6">
      <w:pPr>
        <w:jc w:val="both"/>
        <w:rPr>
          <w:rFonts w:asciiTheme="majorHAnsi" w:eastAsia="Arial Unicode MS" w:hAnsiTheme="majorHAnsi" w:cstheme="majorHAnsi"/>
          <w:b/>
          <w:sz w:val="20"/>
          <w:szCs w:val="20"/>
        </w:rPr>
      </w:pPr>
    </w:p>
    <w:p w:rsidR="00933038" w:rsidRPr="00743A41" w:rsidRDefault="00933038" w:rsidP="00A37ED6">
      <w:pPr>
        <w:jc w:val="both"/>
        <w:rPr>
          <w:rFonts w:asciiTheme="majorHAnsi" w:eastAsia="Arial Unicode MS" w:hAnsiTheme="majorHAnsi" w:cstheme="majorHAnsi"/>
          <w:b/>
          <w:sz w:val="20"/>
          <w:szCs w:val="20"/>
        </w:rPr>
      </w:pPr>
      <w:r w:rsidRPr="00743A41">
        <w:rPr>
          <w:rFonts w:asciiTheme="majorHAnsi" w:eastAsia="Arial Unicode MS" w:hAnsiTheme="majorHAnsi" w:cstheme="majorHAnsi"/>
          <w:b/>
          <w:sz w:val="20"/>
          <w:szCs w:val="20"/>
        </w:rPr>
        <w:t xml:space="preserve">Assessment opportunities may occur in foundational courses that are common to all students, in courses that are required for a concentration or in other educational requirements outside of designated coursework, but the school must assess </w:t>
      </w:r>
      <w:r w:rsidRPr="00743A41">
        <w:rPr>
          <w:rFonts w:asciiTheme="majorHAnsi" w:eastAsia="Arial Unicode MS" w:hAnsiTheme="majorHAnsi" w:cstheme="majorHAnsi"/>
          <w:b/>
          <w:i/>
          <w:sz w:val="20"/>
          <w:szCs w:val="20"/>
        </w:rPr>
        <w:t>all</w:t>
      </w:r>
      <w:r w:rsidRPr="00743A41">
        <w:rPr>
          <w:rFonts w:asciiTheme="majorHAnsi" w:eastAsia="Arial Unicode MS" w:hAnsiTheme="majorHAnsi" w:cstheme="majorHAnsi"/>
          <w:b/>
          <w:sz w:val="20"/>
          <w:szCs w:val="20"/>
        </w:rPr>
        <w:t xml:space="preserve"> DrPH students, at least once, on each competency. Assessment may occur in simulations, group projects, presentations, written products, etc. </w:t>
      </w:r>
    </w:p>
    <w:p w:rsidR="00933038" w:rsidRPr="00743A41" w:rsidRDefault="00933038" w:rsidP="00A37ED6">
      <w:pPr>
        <w:shd w:val="clear" w:color="auto" w:fill="FFFFFF"/>
        <w:jc w:val="both"/>
        <w:rPr>
          <w:rFonts w:asciiTheme="majorHAnsi" w:eastAsia="Arial Unicode MS" w:hAnsiTheme="majorHAnsi" w:cstheme="majorHAnsi"/>
          <w:sz w:val="20"/>
          <w:szCs w:val="20"/>
        </w:rPr>
      </w:pPr>
    </w:p>
    <w:p w:rsidR="00933038" w:rsidRPr="00743A41" w:rsidRDefault="00933038" w:rsidP="00A37ED6">
      <w:pPr>
        <w:numPr>
          <w:ilvl w:val="0"/>
          <w:numId w:val="20"/>
        </w:numPr>
        <w:shd w:val="clear" w:color="auto" w:fill="FFFFFF"/>
        <w:ind w:left="720"/>
        <w:jc w:val="both"/>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rPr>
        <w:t xml:space="preserve">List the coursework and other learning experiences required for the school’s DrPH degrees. Information may be provided in the format of Template D3-1 or in hyperlinks to student handbooks or webpages, but the documentation must present a clear depiction of the requirements for each DrPH degree. </w:t>
      </w:r>
    </w:p>
    <w:p w:rsidR="00933038" w:rsidRPr="00743A41" w:rsidRDefault="00933038" w:rsidP="00A37ED6">
      <w:pPr>
        <w:shd w:val="clear" w:color="auto" w:fill="FFFFFF"/>
        <w:ind w:left="720" w:hanging="360"/>
        <w:jc w:val="both"/>
        <w:rPr>
          <w:rFonts w:asciiTheme="majorHAnsi" w:eastAsia="Arial Unicode MS" w:hAnsiTheme="majorHAnsi" w:cstheme="majorHAnsi"/>
          <w:sz w:val="20"/>
          <w:szCs w:val="20"/>
        </w:rPr>
      </w:pPr>
    </w:p>
    <w:p w:rsidR="00457F5C" w:rsidRPr="00743A41" w:rsidRDefault="00457F5C" w:rsidP="00457F5C">
      <w:pPr>
        <w:shd w:val="clear" w:color="auto" w:fill="FFFFFF"/>
        <w:ind w:left="720"/>
        <w:jc w:val="both"/>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rPr>
        <w:t>The specific requirements for each DrPH concentration can be found in the degree planners located in the electronic resource file (</w:t>
      </w:r>
      <w:r w:rsidRPr="00743A41">
        <w:rPr>
          <w:rFonts w:asciiTheme="majorHAnsi" w:eastAsia="Arial Unicode MS" w:hAnsiTheme="majorHAnsi" w:cstheme="majorHAnsi"/>
          <w:i/>
          <w:sz w:val="20"/>
          <w:szCs w:val="20"/>
        </w:rPr>
        <w:t xml:space="preserve">ERF, </w:t>
      </w:r>
      <w:r w:rsidR="00F0697E" w:rsidRPr="00743A41">
        <w:rPr>
          <w:rFonts w:asciiTheme="majorHAnsi" w:eastAsia="Arial Unicode MS" w:hAnsiTheme="majorHAnsi" w:cstheme="majorHAnsi"/>
          <w:i/>
          <w:sz w:val="20"/>
          <w:szCs w:val="20"/>
        </w:rPr>
        <w:t>D3.1. Requirements for DrPH Degrees</w:t>
      </w:r>
      <w:r w:rsidRPr="00743A41">
        <w:rPr>
          <w:rFonts w:asciiTheme="majorHAnsi" w:eastAsia="Arial Unicode MS" w:hAnsiTheme="majorHAnsi" w:cstheme="majorHAnsi"/>
          <w:sz w:val="20"/>
          <w:szCs w:val="20"/>
        </w:rPr>
        <w:t>).</w:t>
      </w:r>
    </w:p>
    <w:p w:rsidR="00457F5C" w:rsidRPr="00743A41" w:rsidRDefault="00457F5C" w:rsidP="006E28EE">
      <w:pPr>
        <w:shd w:val="clear" w:color="auto" w:fill="FFFFFF"/>
        <w:jc w:val="both"/>
        <w:rPr>
          <w:rFonts w:asciiTheme="majorHAnsi" w:eastAsia="Arial Unicode MS" w:hAnsiTheme="majorHAnsi" w:cstheme="majorHAnsi"/>
          <w:sz w:val="20"/>
          <w:szCs w:val="20"/>
        </w:rPr>
      </w:pPr>
    </w:p>
    <w:p w:rsidR="00E1704A" w:rsidRPr="00743A41" w:rsidRDefault="00E1704A" w:rsidP="00A37ED6">
      <w:pPr>
        <w:shd w:val="clear" w:color="auto" w:fill="FFFFFF"/>
        <w:ind w:left="1080" w:hanging="360"/>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rPr>
        <w:t>Associated documents in the electronic resource file:</w:t>
      </w:r>
    </w:p>
    <w:p w:rsidR="00E1704A" w:rsidRPr="00F36007" w:rsidRDefault="007537D2" w:rsidP="00A37ED6">
      <w:pPr>
        <w:pStyle w:val="ListParagraph"/>
        <w:numPr>
          <w:ilvl w:val="0"/>
          <w:numId w:val="138"/>
        </w:numPr>
        <w:shd w:val="clear" w:color="auto" w:fill="FFFFFF"/>
        <w:rPr>
          <w:rFonts w:asciiTheme="majorHAnsi" w:eastAsia="Arial Unicode MS" w:hAnsiTheme="majorHAnsi" w:cstheme="majorHAnsi"/>
          <w:i/>
          <w:szCs w:val="20"/>
        </w:rPr>
      </w:pPr>
      <w:r w:rsidRPr="00F36007">
        <w:rPr>
          <w:rFonts w:asciiTheme="majorHAnsi" w:eastAsia="Arial Unicode MS" w:hAnsiTheme="majorHAnsi" w:cstheme="majorHAnsi"/>
          <w:i/>
        </w:rPr>
        <w:t>D3.1 Requirements for DrPH Degrees</w:t>
      </w:r>
    </w:p>
    <w:p w:rsidR="00E206E3" w:rsidRPr="00F36007" w:rsidRDefault="007537D2" w:rsidP="00A37ED6">
      <w:pPr>
        <w:pStyle w:val="ListParagraph"/>
        <w:numPr>
          <w:ilvl w:val="1"/>
          <w:numId w:val="130"/>
        </w:numPr>
        <w:jc w:val="both"/>
        <w:rPr>
          <w:rFonts w:asciiTheme="majorHAnsi" w:eastAsia="Arial Unicode MS" w:hAnsiTheme="majorHAnsi" w:cstheme="majorHAnsi"/>
          <w:i/>
          <w:szCs w:val="20"/>
        </w:rPr>
      </w:pPr>
      <w:r w:rsidRPr="00F36007">
        <w:rPr>
          <w:rFonts w:asciiTheme="majorHAnsi" w:eastAsia="Arial Unicode MS" w:hAnsiTheme="majorHAnsi" w:cstheme="majorHAnsi"/>
          <w:i/>
        </w:rPr>
        <w:t>DrPH in Community Health Practice, Degree Planner</w:t>
      </w:r>
    </w:p>
    <w:p w:rsidR="007537D2" w:rsidRPr="00F36007" w:rsidRDefault="007537D2" w:rsidP="00FC4AEF">
      <w:pPr>
        <w:pStyle w:val="ListParagraph"/>
        <w:numPr>
          <w:ilvl w:val="1"/>
          <w:numId w:val="130"/>
        </w:numPr>
        <w:jc w:val="both"/>
        <w:rPr>
          <w:rFonts w:asciiTheme="majorHAnsi" w:eastAsia="Arial Unicode MS" w:hAnsiTheme="majorHAnsi" w:cstheme="majorHAnsi"/>
          <w:i/>
        </w:rPr>
      </w:pPr>
      <w:r w:rsidRPr="00F36007">
        <w:rPr>
          <w:rFonts w:asciiTheme="majorHAnsi" w:eastAsia="Arial Unicode MS" w:hAnsiTheme="majorHAnsi" w:cstheme="majorHAnsi"/>
          <w:i/>
        </w:rPr>
        <w:t>DrPH in Health Promotion and Health Education, Degree Planner</w:t>
      </w:r>
    </w:p>
    <w:p w:rsidR="00933038" w:rsidRPr="00F36007" w:rsidRDefault="00933038" w:rsidP="00A37ED6">
      <w:pPr>
        <w:shd w:val="clear" w:color="auto" w:fill="FFFFFF"/>
        <w:ind w:left="720" w:hanging="360"/>
        <w:jc w:val="both"/>
        <w:rPr>
          <w:rFonts w:asciiTheme="majorHAnsi" w:eastAsia="Arial Unicode MS" w:hAnsiTheme="majorHAnsi" w:cstheme="majorHAnsi"/>
          <w:sz w:val="20"/>
          <w:szCs w:val="20"/>
        </w:rPr>
      </w:pPr>
    </w:p>
    <w:p w:rsidR="00933038" w:rsidRPr="00743A41" w:rsidRDefault="00933038" w:rsidP="00A37ED6">
      <w:pPr>
        <w:numPr>
          <w:ilvl w:val="0"/>
          <w:numId w:val="20"/>
        </w:numPr>
        <w:shd w:val="clear" w:color="auto" w:fill="FFFFFF"/>
        <w:ind w:left="720"/>
        <w:jc w:val="both"/>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rPr>
        <w:t>Provide a matrix, in the format of Template D3-</w:t>
      </w:r>
      <w:r w:rsidR="006A0A09" w:rsidRPr="00743A41">
        <w:rPr>
          <w:rFonts w:asciiTheme="majorHAnsi" w:eastAsia="Arial Unicode MS" w:hAnsiTheme="majorHAnsi" w:cstheme="majorHAnsi"/>
          <w:sz w:val="20"/>
          <w:szCs w:val="20"/>
        </w:rPr>
        <w:t>2 that</w:t>
      </w:r>
      <w:r w:rsidRPr="00743A41">
        <w:rPr>
          <w:rFonts w:asciiTheme="majorHAnsi" w:eastAsia="Arial Unicode MS" w:hAnsiTheme="majorHAnsi" w:cstheme="majorHAnsi"/>
          <w:sz w:val="20"/>
          <w:szCs w:val="20"/>
        </w:rPr>
        <w:t xml:space="preserve"> indicates the assessment activity for each of the foundational competencies. If the school addresses all of the listed foundational competencies in a single, common core curriculum, the school need only present a single matrix. If the school relies on concentration-specific courses to assess some of the foundational competencies listed above, the school must present a separate matrix for each concentration. </w:t>
      </w:r>
    </w:p>
    <w:p w:rsidR="00933038" w:rsidRPr="00743A41" w:rsidRDefault="00933038" w:rsidP="00A37ED6">
      <w:pPr>
        <w:shd w:val="clear" w:color="auto" w:fill="FFFFFF"/>
        <w:ind w:left="1080" w:hanging="360"/>
        <w:jc w:val="both"/>
        <w:rPr>
          <w:rFonts w:asciiTheme="majorHAnsi" w:eastAsia="Arial Unicode MS" w:hAnsiTheme="majorHAnsi" w:cstheme="majorHAnsi"/>
          <w:sz w:val="20"/>
          <w:szCs w:val="20"/>
        </w:rPr>
      </w:pPr>
    </w:p>
    <w:p w:rsidR="00042960" w:rsidRPr="00743A41" w:rsidRDefault="00042960" w:rsidP="00042960">
      <w:pPr>
        <w:shd w:val="clear" w:color="auto" w:fill="FFFFFF"/>
        <w:ind w:left="720"/>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rPr>
        <w:t xml:space="preserve">Documentation to validate didactic coverage and assessment of the DrPH Foundational Competencies </w:t>
      </w:r>
      <w:r w:rsidR="0000125A">
        <w:rPr>
          <w:rFonts w:asciiTheme="majorHAnsi" w:eastAsia="Arial Unicode MS" w:hAnsiTheme="majorHAnsi" w:cstheme="majorHAnsi"/>
          <w:sz w:val="20"/>
          <w:szCs w:val="20"/>
        </w:rPr>
        <w:t>is available in the electronic resource file</w:t>
      </w:r>
      <w:r w:rsidRPr="00743A41">
        <w:rPr>
          <w:rFonts w:asciiTheme="majorHAnsi" w:eastAsia="Arial Unicode MS" w:hAnsiTheme="majorHAnsi" w:cstheme="majorHAnsi"/>
          <w:sz w:val="20"/>
          <w:szCs w:val="20"/>
        </w:rPr>
        <w:t xml:space="preserve"> (</w:t>
      </w:r>
      <w:r w:rsidRPr="00743A41">
        <w:rPr>
          <w:rFonts w:asciiTheme="majorHAnsi" w:eastAsia="Arial Unicode MS" w:hAnsiTheme="majorHAnsi" w:cstheme="majorHAnsi"/>
          <w:i/>
          <w:sz w:val="20"/>
          <w:szCs w:val="20"/>
        </w:rPr>
        <w:t>ERF, D3. DrPH Foundational Competencies</w:t>
      </w:r>
      <w:r w:rsidRPr="00743A41">
        <w:rPr>
          <w:rFonts w:asciiTheme="majorHAnsi" w:eastAsia="Arial Unicode MS" w:hAnsiTheme="majorHAnsi" w:cstheme="majorHAnsi"/>
          <w:sz w:val="20"/>
          <w:szCs w:val="20"/>
        </w:rPr>
        <w:t>).</w:t>
      </w:r>
    </w:p>
    <w:p w:rsidR="00AD50CC" w:rsidRPr="00743A41" w:rsidRDefault="00AD50CC" w:rsidP="00A37ED6">
      <w:pPr>
        <w:shd w:val="clear" w:color="auto" w:fill="FFFFFF"/>
        <w:ind w:left="1080" w:hanging="360"/>
        <w:jc w:val="both"/>
        <w:rPr>
          <w:rFonts w:asciiTheme="majorHAnsi" w:eastAsia="Arial Unicode MS" w:hAnsiTheme="majorHAnsi" w:cstheme="majorHAnsi"/>
          <w:sz w:val="20"/>
          <w:szCs w:val="20"/>
        </w:rPr>
      </w:pPr>
    </w:p>
    <w:p w:rsidR="00AD50CC" w:rsidRPr="00743A41" w:rsidRDefault="00AD50CC" w:rsidP="00A37ED6">
      <w:pPr>
        <w:shd w:val="clear" w:color="auto" w:fill="FFFFFF"/>
        <w:ind w:left="1080" w:hanging="360"/>
        <w:jc w:val="both"/>
        <w:rPr>
          <w:rFonts w:asciiTheme="majorHAnsi" w:eastAsia="Arial Unicode MS" w:hAnsiTheme="majorHAnsi" w:cstheme="majorHAnsi"/>
          <w:sz w:val="20"/>
          <w:szCs w:val="20"/>
        </w:rPr>
      </w:pPr>
    </w:p>
    <w:p w:rsidR="00AD50CC" w:rsidRPr="00743A41" w:rsidRDefault="00AD50CC" w:rsidP="00A37ED6">
      <w:pPr>
        <w:shd w:val="clear" w:color="auto" w:fill="FFFFFF"/>
        <w:ind w:left="1080" w:hanging="360"/>
        <w:jc w:val="both"/>
        <w:rPr>
          <w:rFonts w:asciiTheme="majorHAnsi" w:eastAsia="Arial Unicode MS" w:hAnsiTheme="majorHAnsi" w:cstheme="majorHAnsi"/>
          <w:sz w:val="20"/>
          <w:szCs w:val="20"/>
        </w:rPr>
      </w:pPr>
    </w:p>
    <w:p w:rsidR="00AD50CC" w:rsidRPr="00743A41" w:rsidRDefault="00AD50CC" w:rsidP="00A37ED6">
      <w:pPr>
        <w:shd w:val="clear" w:color="auto" w:fill="FFFFFF"/>
        <w:ind w:left="1080" w:hanging="360"/>
        <w:jc w:val="both"/>
        <w:rPr>
          <w:rFonts w:asciiTheme="majorHAnsi" w:eastAsia="Arial Unicode MS" w:hAnsiTheme="majorHAnsi" w:cstheme="majorHAnsi"/>
          <w:sz w:val="20"/>
          <w:szCs w:val="20"/>
        </w:rPr>
      </w:pPr>
    </w:p>
    <w:p w:rsidR="00AD50CC" w:rsidRPr="00743A41" w:rsidRDefault="00AD50CC" w:rsidP="00A37ED6">
      <w:pPr>
        <w:shd w:val="clear" w:color="auto" w:fill="FFFFFF"/>
        <w:ind w:left="1080" w:hanging="360"/>
        <w:jc w:val="both"/>
        <w:rPr>
          <w:rFonts w:asciiTheme="majorHAnsi" w:eastAsia="Arial Unicode MS" w:hAnsiTheme="majorHAnsi" w:cstheme="majorHAnsi"/>
          <w:sz w:val="20"/>
          <w:szCs w:val="20"/>
        </w:rPr>
      </w:pPr>
    </w:p>
    <w:p w:rsidR="00AD50CC" w:rsidRPr="00743A41" w:rsidRDefault="00AD50CC" w:rsidP="00A37ED6">
      <w:pPr>
        <w:shd w:val="clear" w:color="auto" w:fill="FFFFFF"/>
        <w:ind w:left="1080" w:hanging="360"/>
        <w:jc w:val="both"/>
        <w:rPr>
          <w:rFonts w:asciiTheme="majorHAnsi" w:eastAsia="Arial Unicode MS" w:hAnsiTheme="majorHAnsi" w:cstheme="majorHAnsi"/>
          <w:sz w:val="20"/>
          <w:szCs w:val="20"/>
        </w:rPr>
      </w:pPr>
    </w:p>
    <w:p w:rsidR="00AD50CC" w:rsidRPr="00743A41" w:rsidRDefault="00AD50CC" w:rsidP="00A37ED6">
      <w:pPr>
        <w:shd w:val="clear" w:color="auto" w:fill="FFFFFF"/>
        <w:ind w:left="1080" w:hanging="360"/>
        <w:jc w:val="both"/>
        <w:rPr>
          <w:rFonts w:asciiTheme="majorHAnsi" w:eastAsia="Arial Unicode MS" w:hAnsiTheme="majorHAnsi" w:cstheme="majorHAnsi"/>
          <w:sz w:val="20"/>
          <w:szCs w:val="20"/>
        </w:rPr>
      </w:pPr>
    </w:p>
    <w:p w:rsidR="00AD50CC" w:rsidRPr="00743A41" w:rsidRDefault="00AD50CC" w:rsidP="00A37ED6">
      <w:pPr>
        <w:shd w:val="clear" w:color="auto" w:fill="FFFFFF"/>
        <w:ind w:left="1080" w:hanging="360"/>
        <w:jc w:val="both"/>
        <w:rPr>
          <w:rFonts w:asciiTheme="majorHAnsi" w:eastAsia="Arial Unicode MS" w:hAnsiTheme="majorHAnsi" w:cstheme="majorHAnsi"/>
          <w:sz w:val="20"/>
          <w:szCs w:val="20"/>
        </w:rPr>
      </w:pPr>
    </w:p>
    <w:p w:rsidR="00AD50CC" w:rsidRPr="00743A41" w:rsidRDefault="00AD50CC" w:rsidP="00A37ED6">
      <w:pPr>
        <w:shd w:val="clear" w:color="auto" w:fill="FFFFFF"/>
        <w:ind w:left="1080" w:hanging="360"/>
        <w:jc w:val="both"/>
        <w:rPr>
          <w:rFonts w:asciiTheme="majorHAnsi" w:eastAsia="Arial Unicode MS" w:hAnsiTheme="majorHAnsi" w:cstheme="majorHAnsi"/>
          <w:sz w:val="20"/>
          <w:szCs w:val="20"/>
        </w:rPr>
      </w:pPr>
    </w:p>
    <w:p w:rsidR="00AD50CC" w:rsidRPr="00743A41" w:rsidRDefault="00AD50CC" w:rsidP="00A37ED6">
      <w:pPr>
        <w:shd w:val="clear" w:color="auto" w:fill="FFFFFF"/>
        <w:ind w:left="1080" w:hanging="360"/>
        <w:jc w:val="both"/>
        <w:rPr>
          <w:rFonts w:asciiTheme="majorHAnsi" w:eastAsia="Arial Unicode MS" w:hAnsiTheme="majorHAnsi" w:cstheme="majorHAnsi"/>
          <w:sz w:val="20"/>
          <w:szCs w:val="20"/>
        </w:rPr>
      </w:pPr>
    </w:p>
    <w:p w:rsidR="00AD50CC" w:rsidRPr="00743A41" w:rsidRDefault="00AD50CC" w:rsidP="00A37ED6">
      <w:pPr>
        <w:shd w:val="clear" w:color="auto" w:fill="FFFFFF"/>
        <w:ind w:left="1080" w:hanging="360"/>
        <w:jc w:val="both"/>
        <w:rPr>
          <w:rFonts w:asciiTheme="majorHAnsi" w:eastAsia="Arial Unicode MS" w:hAnsiTheme="majorHAnsi" w:cstheme="majorHAnsi"/>
          <w:sz w:val="20"/>
          <w:szCs w:val="20"/>
        </w:rPr>
      </w:pPr>
    </w:p>
    <w:p w:rsidR="00AD50CC" w:rsidRPr="00743A41" w:rsidRDefault="00AD50CC" w:rsidP="00A37ED6">
      <w:pPr>
        <w:shd w:val="clear" w:color="auto" w:fill="FFFFFF"/>
        <w:ind w:left="1080" w:hanging="360"/>
        <w:jc w:val="both"/>
        <w:rPr>
          <w:rFonts w:asciiTheme="majorHAnsi" w:eastAsia="Arial Unicode MS" w:hAnsiTheme="majorHAnsi" w:cstheme="majorHAnsi"/>
          <w:sz w:val="20"/>
          <w:szCs w:val="20"/>
        </w:rPr>
      </w:pPr>
    </w:p>
    <w:p w:rsidR="00AD50CC" w:rsidRPr="00743A41" w:rsidRDefault="00AD50CC" w:rsidP="00A37ED6">
      <w:pPr>
        <w:shd w:val="clear" w:color="auto" w:fill="FFFFFF"/>
        <w:ind w:left="1080" w:hanging="360"/>
        <w:jc w:val="both"/>
        <w:rPr>
          <w:rFonts w:asciiTheme="majorHAnsi" w:eastAsia="Arial Unicode MS" w:hAnsiTheme="majorHAnsi" w:cstheme="majorHAnsi"/>
          <w:sz w:val="20"/>
          <w:szCs w:val="20"/>
        </w:rPr>
      </w:pPr>
    </w:p>
    <w:p w:rsidR="00AD50CC" w:rsidRPr="00743A41" w:rsidRDefault="00AD50CC" w:rsidP="00A37ED6">
      <w:pPr>
        <w:shd w:val="clear" w:color="auto" w:fill="FFFFFF"/>
        <w:ind w:left="1080" w:hanging="360"/>
        <w:jc w:val="both"/>
        <w:rPr>
          <w:rFonts w:asciiTheme="majorHAnsi" w:eastAsia="Arial Unicode MS" w:hAnsiTheme="majorHAnsi" w:cstheme="majorHAnsi"/>
          <w:sz w:val="20"/>
          <w:szCs w:val="20"/>
        </w:rPr>
      </w:pPr>
    </w:p>
    <w:p w:rsidR="00AD50CC" w:rsidRPr="00743A41" w:rsidRDefault="00AD50CC" w:rsidP="00A37ED6">
      <w:pPr>
        <w:shd w:val="clear" w:color="auto" w:fill="FFFFFF"/>
        <w:ind w:left="1080" w:hanging="360"/>
        <w:jc w:val="both"/>
        <w:rPr>
          <w:rFonts w:asciiTheme="majorHAnsi" w:eastAsia="Arial Unicode MS" w:hAnsiTheme="majorHAnsi" w:cstheme="majorHAnsi"/>
          <w:sz w:val="20"/>
          <w:szCs w:val="20"/>
        </w:rPr>
      </w:pPr>
    </w:p>
    <w:p w:rsidR="00AD50CC" w:rsidRPr="00743A41" w:rsidRDefault="00AD50CC" w:rsidP="00A37ED6">
      <w:pPr>
        <w:shd w:val="clear" w:color="auto" w:fill="FFFFFF"/>
        <w:ind w:left="1080" w:hanging="360"/>
        <w:jc w:val="both"/>
        <w:rPr>
          <w:rFonts w:asciiTheme="majorHAnsi" w:eastAsia="Arial Unicode MS" w:hAnsiTheme="majorHAnsi" w:cstheme="majorHAnsi"/>
          <w:sz w:val="20"/>
          <w:szCs w:val="20"/>
        </w:rPr>
      </w:pPr>
    </w:p>
    <w:p w:rsidR="00AD50CC" w:rsidRPr="00743A41" w:rsidRDefault="00AD50CC" w:rsidP="00A37ED6">
      <w:pPr>
        <w:shd w:val="clear" w:color="auto" w:fill="FFFFFF"/>
        <w:ind w:left="1080" w:hanging="360"/>
        <w:jc w:val="both"/>
        <w:rPr>
          <w:rFonts w:asciiTheme="majorHAnsi" w:eastAsia="Arial Unicode MS" w:hAnsiTheme="majorHAnsi" w:cstheme="majorHAnsi"/>
          <w:sz w:val="20"/>
          <w:szCs w:val="20"/>
        </w:rPr>
      </w:pPr>
    </w:p>
    <w:p w:rsidR="00AD50CC" w:rsidRPr="00743A41" w:rsidRDefault="00AD50CC" w:rsidP="00A37ED6">
      <w:pPr>
        <w:shd w:val="clear" w:color="auto" w:fill="FFFFFF"/>
        <w:ind w:left="1080" w:hanging="360"/>
        <w:jc w:val="both"/>
        <w:rPr>
          <w:rFonts w:asciiTheme="majorHAnsi" w:eastAsia="Arial Unicode MS" w:hAnsiTheme="majorHAnsi" w:cstheme="majorHAnsi"/>
          <w:sz w:val="20"/>
          <w:szCs w:val="20"/>
        </w:rPr>
      </w:pPr>
    </w:p>
    <w:p w:rsidR="00AD50CC" w:rsidRPr="00743A41" w:rsidRDefault="00AD50CC" w:rsidP="00A37ED6">
      <w:pPr>
        <w:shd w:val="clear" w:color="auto" w:fill="FFFFFF"/>
        <w:ind w:left="1080" w:hanging="360"/>
        <w:jc w:val="both"/>
        <w:rPr>
          <w:rFonts w:asciiTheme="majorHAnsi" w:eastAsia="Arial Unicode MS" w:hAnsiTheme="majorHAnsi" w:cstheme="majorHAnsi"/>
          <w:sz w:val="20"/>
          <w:szCs w:val="20"/>
        </w:rPr>
      </w:pPr>
    </w:p>
    <w:p w:rsidR="00AD50CC" w:rsidRPr="00743A41" w:rsidRDefault="00AD50CC" w:rsidP="00A37ED6">
      <w:pPr>
        <w:shd w:val="clear" w:color="auto" w:fill="FFFFFF"/>
        <w:ind w:left="1080" w:hanging="360"/>
        <w:jc w:val="both"/>
        <w:rPr>
          <w:rFonts w:asciiTheme="majorHAnsi" w:eastAsia="Arial Unicode MS" w:hAnsiTheme="majorHAnsi" w:cstheme="majorHAnsi"/>
          <w:sz w:val="20"/>
          <w:szCs w:val="20"/>
        </w:rPr>
      </w:pPr>
    </w:p>
    <w:p w:rsidR="00AD50CC" w:rsidRPr="00743A41" w:rsidRDefault="00AD50CC" w:rsidP="00A37ED6">
      <w:pPr>
        <w:shd w:val="clear" w:color="auto" w:fill="FFFFFF"/>
        <w:ind w:left="1080" w:hanging="360"/>
        <w:jc w:val="both"/>
        <w:rPr>
          <w:rFonts w:asciiTheme="majorHAnsi" w:eastAsia="Arial Unicode MS" w:hAnsiTheme="majorHAnsi" w:cstheme="majorHAnsi"/>
          <w:sz w:val="20"/>
          <w:szCs w:val="20"/>
        </w:rPr>
      </w:pPr>
    </w:p>
    <w:p w:rsidR="00AD50CC" w:rsidRPr="00743A41" w:rsidRDefault="00AD50CC" w:rsidP="00A37ED6">
      <w:pPr>
        <w:shd w:val="clear" w:color="auto" w:fill="FFFFFF"/>
        <w:ind w:left="1080" w:hanging="360"/>
        <w:jc w:val="both"/>
        <w:rPr>
          <w:rFonts w:asciiTheme="majorHAnsi" w:eastAsia="Arial Unicode MS" w:hAnsiTheme="majorHAnsi" w:cstheme="majorHAnsi"/>
          <w:sz w:val="20"/>
          <w:szCs w:val="20"/>
        </w:rPr>
      </w:pPr>
    </w:p>
    <w:p w:rsidR="00FD37E7" w:rsidRPr="00F36007" w:rsidRDefault="00DB6C49" w:rsidP="00FC4AEF">
      <w:pPr>
        <w:shd w:val="clear" w:color="auto" w:fill="FFFFFF"/>
        <w:ind w:left="720"/>
        <w:rPr>
          <w:rStyle w:val="Hyperlink"/>
          <w:rFonts w:asciiTheme="majorHAnsi" w:eastAsia="Arial Unicode MS" w:hAnsiTheme="majorHAnsi" w:cstheme="majorHAnsi"/>
          <w:sz w:val="20"/>
          <w:szCs w:val="20"/>
        </w:rPr>
      </w:pPr>
      <w:r w:rsidRPr="00F36007">
        <w:rPr>
          <w:rFonts w:asciiTheme="majorHAnsi" w:hAnsiTheme="majorHAnsi" w:cstheme="majorHAnsi"/>
          <w:sz w:val="20"/>
          <w:szCs w:val="20"/>
        </w:rPr>
        <w:t>Table D.3.2. Assessment of DrPH Foundational Competencies for DrPH Community Health Practice and DrPH in Health Promotion/Health Education</w:t>
      </w:r>
      <w:r w:rsidR="00C766C1" w:rsidRPr="00F36007">
        <w:rPr>
          <w:rFonts w:asciiTheme="majorHAnsi" w:eastAsia="Arial Unicode MS" w:hAnsiTheme="majorHAnsi" w:cstheme="majorHAnsi"/>
          <w:sz w:val="20"/>
          <w:szCs w:val="20"/>
        </w:rPr>
        <w:t xml:space="preserve"> (</w:t>
      </w:r>
      <w:r w:rsidR="00C766C1" w:rsidRPr="00F36007">
        <w:rPr>
          <w:rFonts w:asciiTheme="majorHAnsi" w:eastAsia="Arial Unicode MS" w:hAnsiTheme="majorHAnsi" w:cstheme="majorHAnsi"/>
          <w:i/>
          <w:sz w:val="20"/>
          <w:szCs w:val="20"/>
        </w:rPr>
        <w:t>ERF, D3. DrPH Foundational Competencies</w:t>
      </w:r>
      <w:r w:rsidR="00C766C1" w:rsidRPr="00F36007">
        <w:rPr>
          <w:rFonts w:asciiTheme="majorHAnsi" w:eastAsia="Arial Unicode MS" w:hAnsiTheme="majorHAnsi" w:cstheme="majorHAnsi"/>
          <w:sz w:val="20"/>
          <w:szCs w:val="20"/>
        </w:rPr>
        <w:t>)</w:t>
      </w:r>
    </w:p>
    <w:tbl>
      <w:tblPr>
        <w:tblW w:w="4572"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341"/>
        <w:gridCol w:w="4319"/>
      </w:tblGrid>
      <w:tr w:rsidR="007B2DC1" w:rsidRPr="00C17C10" w:rsidTr="00F026B3">
        <w:trPr>
          <w:trHeight w:val="315"/>
          <w:tblHeader/>
        </w:trPr>
        <w:tc>
          <w:tcPr>
            <w:tcW w:w="1105" w:type="pct"/>
            <w:shd w:val="clear" w:color="000000" w:fill="D9D9D9"/>
            <w:tcMar>
              <w:left w:w="29" w:type="dxa"/>
              <w:right w:w="29" w:type="dxa"/>
            </w:tcMar>
          </w:tcPr>
          <w:p w:rsidR="007B2DC1" w:rsidRPr="00C17C10" w:rsidRDefault="007B2DC1" w:rsidP="00A37ED6">
            <w:pPr>
              <w:jc w:val="center"/>
              <w:rPr>
                <w:rFonts w:asciiTheme="majorHAnsi" w:eastAsia="Times New Roman" w:hAnsiTheme="majorHAnsi" w:cstheme="majorHAnsi"/>
                <w:b/>
                <w:bCs/>
                <w:color w:val="000000"/>
                <w:sz w:val="20"/>
                <w:szCs w:val="20"/>
              </w:rPr>
            </w:pPr>
            <w:r w:rsidRPr="00C17C10">
              <w:rPr>
                <w:rFonts w:asciiTheme="majorHAnsi" w:eastAsia="Times New Roman" w:hAnsiTheme="majorHAnsi" w:cstheme="majorHAnsi"/>
                <w:b/>
                <w:bCs/>
                <w:color w:val="000000"/>
                <w:sz w:val="20"/>
                <w:szCs w:val="20"/>
              </w:rPr>
              <w:t>Competency</w:t>
            </w:r>
          </w:p>
        </w:tc>
        <w:tc>
          <w:tcPr>
            <w:tcW w:w="1369" w:type="pct"/>
            <w:shd w:val="clear" w:color="000000" w:fill="D9D9D9"/>
            <w:tcMar>
              <w:left w:w="29" w:type="dxa"/>
              <w:right w:w="29" w:type="dxa"/>
            </w:tcMar>
          </w:tcPr>
          <w:p w:rsidR="007B2DC1" w:rsidRPr="00C17C10" w:rsidRDefault="007B2DC1" w:rsidP="00A37ED6">
            <w:pPr>
              <w:jc w:val="center"/>
              <w:rPr>
                <w:rFonts w:asciiTheme="majorHAnsi" w:eastAsia="Times New Roman" w:hAnsiTheme="majorHAnsi" w:cstheme="majorHAnsi"/>
                <w:b/>
                <w:bCs/>
                <w:color w:val="000000"/>
                <w:sz w:val="20"/>
                <w:szCs w:val="20"/>
              </w:rPr>
            </w:pPr>
            <w:r w:rsidRPr="00C17C10">
              <w:rPr>
                <w:rFonts w:asciiTheme="majorHAnsi" w:eastAsia="Times New Roman" w:hAnsiTheme="majorHAnsi" w:cstheme="majorHAnsi"/>
                <w:b/>
                <w:bCs/>
                <w:color w:val="000000"/>
                <w:sz w:val="20"/>
                <w:szCs w:val="20"/>
              </w:rPr>
              <w:t>Course number(s) and name(s)</w:t>
            </w:r>
          </w:p>
        </w:tc>
        <w:tc>
          <w:tcPr>
            <w:tcW w:w="2526" w:type="pct"/>
            <w:shd w:val="clear" w:color="000000" w:fill="D9D9D9"/>
            <w:tcMar>
              <w:left w:w="29" w:type="dxa"/>
              <w:right w:w="29" w:type="dxa"/>
            </w:tcMar>
          </w:tcPr>
          <w:p w:rsidR="007B2DC1" w:rsidRPr="00C17C10" w:rsidRDefault="007B2DC1" w:rsidP="00A37ED6">
            <w:pPr>
              <w:jc w:val="center"/>
              <w:rPr>
                <w:rFonts w:asciiTheme="majorHAnsi" w:eastAsia="Times New Roman" w:hAnsiTheme="majorHAnsi" w:cstheme="majorHAnsi"/>
                <w:b/>
                <w:bCs/>
                <w:color w:val="000000"/>
                <w:sz w:val="20"/>
                <w:szCs w:val="20"/>
              </w:rPr>
            </w:pPr>
            <w:r w:rsidRPr="00C17C10">
              <w:rPr>
                <w:rFonts w:asciiTheme="majorHAnsi" w:eastAsia="Times New Roman" w:hAnsiTheme="majorHAnsi" w:cstheme="majorHAnsi"/>
                <w:b/>
                <w:bCs/>
                <w:color w:val="000000"/>
                <w:sz w:val="20"/>
                <w:szCs w:val="20"/>
              </w:rPr>
              <w:t>Specific assessment opportunity</w:t>
            </w:r>
          </w:p>
        </w:tc>
      </w:tr>
      <w:tr w:rsidR="007B2DC1" w:rsidRPr="00C17C10" w:rsidTr="00DE072A">
        <w:trPr>
          <w:cantSplit/>
          <w:trHeight w:val="70"/>
        </w:trPr>
        <w:tc>
          <w:tcPr>
            <w:tcW w:w="5000" w:type="pct"/>
            <w:gridSpan w:val="3"/>
            <w:shd w:val="clear" w:color="000000" w:fill="D9D9D9"/>
            <w:noWrap/>
            <w:tcMar>
              <w:left w:w="29" w:type="dxa"/>
              <w:right w:w="29" w:type="dxa"/>
            </w:tcMar>
            <w:hideMark/>
          </w:tcPr>
          <w:p w:rsidR="007B2DC1" w:rsidRPr="00C17C10" w:rsidRDefault="007B2DC1" w:rsidP="00A37ED6">
            <w:pPr>
              <w:rPr>
                <w:rFonts w:asciiTheme="majorHAnsi" w:eastAsia="Times New Roman" w:hAnsiTheme="majorHAnsi" w:cstheme="majorHAnsi"/>
                <w:b/>
                <w:bCs/>
                <w:color w:val="000000"/>
                <w:sz w:val="20"/>
                <w:szCs w:val="20"/>
              </w:rPr>
            </w:pPr>
            <w:r w:rsidRPr="00C17C10">
              <w:rPr>
                <w:rFonts w:asciiTheme="majorHAnsi" w:eastAsia="Times New Roman" w:hAnsiTheme="majorHAnsi" w:cstheme="majorHAnsi"/>
                <w:b/>
                <w:bCs/>
                <w:color w:val="000000"/>
                <w:sz w:val="20"/>
                <w:szCs w:val="20"/>
              </w:rPr>
              <w:t>Data &amp; Analysis</w:t>
            </w:r>
          </w:p>
        </w:tc>
      </w:tr>
      <w:tr w:rsidR="007B2DC1" w:rsidRPr="00C17C10" w:rsidTr="00DE072A">
        <w:trPr>
          <w:cantSplit/>
          <w:trHeight w:val="2222"/>
        </w:trPr>
        <w:tc>
          <w:tcPr>
            <w:tcW w:w="1105" w:type="pct"/>
            <w:vMerge w:val="restart"/>
            <w:shd w:val="clear" w:color="auto" w:fill="auto"/>
            <w:tcMar>
              <w:left w:w="29" w:type="dxa"/>
              <w:right w:w="29" w:type="dxa"/>
            </w:tcMar>
          </w:tcPr>
          <w:p w:rsidR="007B2DC1" w:rsidRPr="00C17C10" w:rsidRDefault="007B2DC1" w:rsidP="00A37ED6">
            <w:pPr>
              <w:rPr>
                <w:rFonts w:asciiTheme="majorHAnsi" w:eastAsia="Times New Roman" w:hAnsiTheme="majorHAnsi" w:cstheme="majorHAnsi"/>
                <w:color w:val="000000"/>
                <w:sz w:val="20"/>
                <w:szCs w:val="20"/>
              </w:rPr>
            </w:pPr>
            <w:r w:rsidRPr="00C17C10">
              <w:rPr>
                <w:rFonts w:asciiTheme="majorHAnsi" w:eastAsia="Times New Roman" w:hAnsiTheme="majorHAnsi" w:cstheme="majorHAnsi"/>
                <w:sz w:val="20"/>
                <w:szCs w:val="20"/>
              </w:rPr>
              <w:t>DrPH-1.  Explain qualitative, quantitative, mixed methods and policy analysis research and evaluation methods to address health issues at multiple (individual, group, organization, community and population) levels</w:t>
            </w:r>
          </w:p>
        </w:tc>
        <w:tc>
          <w:tcPr>
            <w:tcW w:w="1369" w:type="pct"/>
            <w:shd w:val="clear" w:color="auto" w:fill="auto"/>
            <w:tcMar>
              <w:left w:w="29" w:type="dxa"/>
              <w:right w:w="29" w:type="dxa"/>
            </w:tcMar>
          </w:tcPr>
          <w:p w:rsidR="007B2DC1" w:rsidRPr="00C17C10" w:rsidRDefault="00895702" w:rsidP="00FC4AEF">
            <w:pPr>
              <w:rPr>
                <w:rFonts w:asciiTheme="majorHAnsi" w:eastAsia="Times New Roman" w:hAnsiTheme="majorHAnsi" w:cstheme="majorHAnsi"/>
                <w:sz w:val="20"/>
                <w:szCs w:val="20"/>
              </w:rPr>
            </w:pPr>
            <w:r w:rsidRPr="00C17C10">
              <w:rPr>
                <w:rFonts w:asciiTheme="majorHAnsi" w:hAnsiTheme="majorHAnsi" w:cstheme="majorHAnsi"/>
                <w:b/>
                <w:sz w:val="20"/>
                <w:szCs w:val="20"/>
              </w:rPr>
              <w:t>PHD 1120</w:t>
            </w:r>
            <w:r w:rsidRPr="00C17C10">
              <w:rPr>
                <w:rFonts w:asciiTheme="majorHAnsi" w:hAnsiTheme="majorHAnsi" w:cstheme="majorHAnsi"/>
                <w:sz w:val="20"/>
                <w:szCs w:val="20"/>
              </w:rPr>
              <w:t xml:space="preserve"> Program Evaluation</w:t>
            </w:r>
            <w:r w:rsidR="007B2DC1" w:rsidRPr="00C17C10">
              <w:rPr>
                <w:rFonts w:asciiTheme="majorHAnsi" w:hAnsiTheme="majorHAnsi" w:cstheme="majorHAnsi"/>
                <w:bCs/>
                <w:sz w:val="20"/>
                <w:szCs w:val="20"/>
              </w:rPr>
              <w:t xml:space="preserve"> </w:t>
            </w:r>
            <w:r w:rsidR="007B2DC1" w:rsidRPr="00C17C10">
              <w:rPr>
                <w:rFonts w:asciiTheme="majorHAnsi" w:hAnsiTheme="majorHAnsi" w:cstheme="majorHAnsi"/>
                <w:bCs/>
                <w:i/>
                <w:sz w:val="20"/>
                <w:szCs w:val="20"/>
              </w:rPr>
              <w:t>(for DrPH in CHP and HPHE)</w:t>
            </w:r>
          </w:p>
        </w:tc>
        <w:tc>
          <w:tcPr>
            <w:tcW w:w="2526" w:type="pct"/>
            <w:shd w:val="clear" w:color="auto" w:fill="auto"/>
            <w:tcMar>
              <w:left w:w="29" w:type="dxa"/>
              <w:right w:w="29" w:type="dxa"/>
            </w:tcMar>
          </w:tcPr>
          <w:p w:rsidR="007B2DC1" w:rsidRPr="00C17C10" w:rsidRDefault="008F1A35" w:rsidP="00A37ED6">
            <w:pPr>
              <w:rPr>
                <w:rFonts w:asciiTheme="majorHAnsi" w:eastAsia="Times New Roman" w:hAnsiTheme="majorHAnsi" w:cstheme="majorHAnsi"/>
                <w:i/>
                <w:sz w:val="20"/>
                <w:szCs w:val="20"/>
              </w:rPr>
            </w:pPr>
            <w:r w:rsidRPr="00C17C10">
              <w:rPr>
                <w:rFonts w:asciiTheme="majorHAnsi" w:hAnsiTheme="majorHAnsi" w:cstheme="majorHAnsi"/>
                <w:sz w:val="20"/>
                <w:szCs w:val="20"/>
              </w:rPr>
              <w:t>Course Project</w:t>
            </w:r>
            <w:r w:rsidR="00392FFF" w:rsidRPr="00C17C10">
              <w:rPr>
                <w:rFonts w:asciiTheme="majorHAnsi" w:hAnsiTheme="majorHAnsi" w:cstheme="majorHAnsi"/>
                <w:sz w:val="20"/>
                <w:szCs w:val="20"/>
              </w:rPr>
              <w:t xml:space="preserve"> (</w:t>
            </w:r>
            <w:r w:rsidRPr="00C17C10">
              <w:rPr>
                <w:rFonts w:asciiTheme="majorHAnsi" w:hAnsiTheme="majorHAnsi" w:cstheme="majorHAnsi"/>
                <w:sz w:val="20"/>
                <w:szCs w:val="20"/>
              </w:rPr>
              <w:t>Section 1 Program Description</w:t>
            </w:r>
            <w:r w:rsidR="00392FFF" w:rsidRPr="00C17C10">
              <w:rPr>
                <w:rFonts w:asciiTheme="majorHAnsi" w:hAnsiTheme="majorHAnsi" w:cstheme="majorHAnsi"/>
                <w:sz w:val="20"/>
                <w:szCs w:val="20"/>
              </w:rPr>
              <w:t xml:space="preserve"> and </w:t>
            </w:r>
            <w:r w:rsidRPr="00C17C10">
              <w:rPr>
                <w:rFonts w:asciiTheme="majorHAnsi" w:hAnsiTheme="majorHAnsi" w:cstheme="majorHAnsi"/>
                <w:sz w:val="20"/>
                <w:szCs w:val="20"/>
              </w:rPr>
              <w:t>Rubric</w:t>
            </w:r>
            <w:r w:rsidR="00392FFF" w:rsidRPr="00C17C10">
              <w:rPr>
                <w:rFonts w:asciiTheme="majorHAnsi" w:hAnsiTheme="majorHAnsi" w:cstheme="majorHAnsi"/>
                <w:sz w:val="20"/>
                <w:szCs w:val="20"/>
              </w:rPr>
              <w:t xml:space="preserve">; </w:t>
            </w:r>
            <w:r w:rsidRPr="00C17C10">
              <w:rPr>
                <w:rFonts w:asciiTheme="majorHAnsi" w:hAnsiTheme="majorHAnsi" w:cstheme="majorHAnsi"/>
                <w:sz w:val="20"/>
                <w:szCs w:val="20"/>
              </w:rPr>
              <w:t>Section 2 Process Evaluation</w:t>
            </w:r>
            <w:r w:rsidR="00392FFF" w:rsidRPr="00C17C10">
              <w:rPr>
                <w:rFonts w:asciiTheme="majorHAnsi" w:hAnsiTheme="majorHAnsi" w:cstheme="majorHAnsi"/>
                <w:sz w:val="20"/>
                <w:szCs w:val="20"/>
              </w:rPr>
              <w:t xml:space="preserve"> and </w:t>
            </w:r>
            <w:r w:rsidRPr="00C17C10">
              <w:rPr>
                <w:rFonts w:asciiTheme="majorHAnsi" w:hAnsiTheme="majorHAnsi" w:cstheme="majorHAnsi"/>
                <w:sz w:val="20"/>
                <w:szCs w:val="20"/>
              </w:rPr>
              <w:t>Rubric</w:t>
            </w:r>
            <w:r w:rsidR="00392FFF" w:rsidRPr="00C17C10">
              <w:rPr>
                <w:rFonts w:asciiTheme="majorHAnsi" w:hAnsiTheme="majorHAnsi" w:cstheme="majorHAnsi"/>
                <w:sz w:val="20"/>
                <w:szCs w:val="20"/>
              </w:rPr>
              <w:t xml:space="preserve">; </w:t>
            </w:r>
            <w:r w:rsidRPr="00C17C10">
              <w:rPr>
                <w:rFonts w:asciiTheme="majorHAnsi" w:hAnsiTheme="majorHAnsi" w:cstheme="majorHAnsi"/>
                <w:sz w:val="20"/>
                <w:szCs w:val="20"/>
              </w:rPr>
              <w:t>Section 3 Outcome Evaluation</w:t>
            </w:r>
            <w:r w:rsidR="00392FFF" w:rsidRPr="00C17C10">
              <w:rPr>
                <w:rFonts w:asciiTheme="majorHAnsi" w:hAnsiTheme="majorHAnsi" w:cstheme="majorHAnsi"/>
                <w:sz w:val="20"/>
                <w:szCs w:val="20"/>
              </w:rPr>
              <w:t xml:space="preserve"> and </w:t>
            </w:r>
            <w:r w:rsidRPr="00C17C10">
              <w:rPr>
                <w:rFonts w:asciiTheme="majorHAnsi" w:hAnsiTheme="majorHAnsi" w:cstheme="majorHAnsi"/>
                <w:sz w:val="20"/>
                <w:szCs w:val="20"/>
              </w:rPr>
              <w:t>Rubric</w:t>
            </w:r>
            <w:r w:rsidR="00392FFF" w:rsidRPr="00C17C10">
              <w:rPr>
                <w:rFonts w:asciiTheme="majorHAnsi" w:hAnsiTheme="majorHAnsi" w:cstheme="majorHAnsi"/>
                <w:sz w:val="20"/>
                <w:szCs w:val="20"/>
              </w:rPr>
              <w:t xml:space="preserve">; </w:t>
            </w:r>
            <w:r w:rsidRPr="00C17C10">
              <w:rPr>
                <w:rFonts w:asciiTheme="majorHAnsi" w:hAnsiTheme="majorHAnsi" w:cstheme="majorHAnsi"/>
                <w:sz w:val="20"/>
                <w:szCs w:val="20"/>
              </w:rPr>
              <w:t>Final Proposal</w:t>
            </w:r>
            <w:r w:rsidR="00392FFF" w:rsidRPr="00C17C10">
              <w:rPr>
                <w:rFonts w:asciiTheme="majorHAnsi" w:hAnsiTheme="majorHAnsi" w:cstheme="majorHAnsi"/>
                <w:sz w:val="20"/>
                <w:szCs w:val="20"/>
              </w:rPr>
              <w:t xml:space="preserve"> and </w:t>
            </w:r>
            <w:r w:rsidRPr="00C17C10">
              <w:rPr>
                <w:rFonts w:asciiTheme="majorHAnsi" w:hAnsiTheme="majorHAnsi" w:cstheme="majorHAnsi"/>
                <w:sz w:val="20"/>
                <w:szCs w:val="20"/>
              </w:rPr>
              <w:t>Rubric</w:t>
            </w:r>
            <w:r w:rsidR="00392FFF" w:rsidRPr="00C17C10">
              <w:rPr>
                <w:rFonts w:asciiTheme="majorHAnsi" w:hAnsiTheme="majorHAnsi" w:cstheme="majorHAnsi"/>
                <w:sz w:val="20"/>
                <w:szCs w:val="20"/>
              </w:rPr>
              <w:t xml:space="preserve">): </w:t>
            </w:r>
            <w:r w:rsidR="007B2DC1" w:rsidRPr="00C17C10">
              <w:rPr>
                <w:rFonts w:asciiTheme="majorHAnsi" w:hAnsiTheme="majorHAnsi" w:cstheme="majorHAnsi"/>
                <w:sz w:val="20"/>
                <w:szCs w:val="20"/>
              </w:rPr>
              <w:t>Students will design an evaluation proposal for of a multi-level program or policy selected by the student and written iteratively over the semester.  For this assignment, which is written iteratively over the semester, the student develops the evaluation proposal for an existing multi-level program in the community (that has not been evaluated yet). Multi-level programs (or interventions) refer to programs with at least two levels from the socio-ecological model (individual, interpersonal, organization, community, society). In this proposal, students will need to explain evaluation methods for this multi-level program that include a needs assessment (including logic model), program critique, assessment of theoretical and epidemiological evidence for the program concept and design, and plans to implement a process (i.e., coverage and implementation evaluation questions, process measures) and outcome evaluation (i.e.,  development of evaluation questions, choosing outcome evaluation designs and outcome measures, understanding implications of various designs for attributing causality of outcomes with the program).</w:t>
            </w:r>
          </w:p>
        </w:tc>
      </w:tr>
      <w:tr w:rsidR="007B2DC1" w:rsidRPr="00C17C10" w:rsidTr="00DE072A">
        <w:trPr>
          <w:cantSplit/>
          <w:trHeight w:val="471"/>
        </w:trPr>
        <w:tc>
          <w:tcPr>
            <w:tcW w:w="1105" w:type="pct"/>
            <w:vMerge/>
            <w:tcBorders>
              <w:top w:val="single" w:sz="4" w:space="0" w:color="auto"/>
            </w:tcBorders>
            <w:shd w:val="clear" w:color="auto" w:fill="auto"/>
            <w:tcMar>
              <w:left w:w="29" w:type="dxa"/>
              <w:right w:w="29" w:type="dxa"/>
            </w:tcMar>
          </w:tcPr>
          <w:p w:rsidR="007B2DC1" w:rsidRPr="00C17C10" w:rsidRDefault="007B2DC1" w:rsidP="00A37ED6">
            <w:pPr>
              <w:rPr>
                <w:rFonts w:asciiTheme="majorHAnsi" w:eastAsia="Times New Roman" w:hAnsiTheme="majorHAnsi" w:cstheme="majorHAnsi"/>
                <w:color w:val="000000"/>
                <w:sz w:val="20"/>
                <w:szCs w:val="20"/>
              </w:rPr>
            </w:pPr>
          </w:p>
        </w:tc>
        <w:tc>
          <w:tcPr>
            <w:tcW w:w="1369" w:type="pct"/>
            <w:tcBorders>
              <w:top w:val="single" w:sz="4" w:space="0" w:color="auto"/>
            </w:tcBorders>
            <w:shd w:val="clear" w:color="auto" w:fill="auto"/>
            <w:tcMar>
              <w:left w:w="29" w:type="dxa"/>
              <w:right w:w="29" w:type="dxa"/>
            </w:tcMar>
          </w:tcPr>
          <w:p w:rsidR="007B2DC1" w:rsidRPr="00C17C10" w:rsidRDefault="00895702" w:rsidP="00FC4AEF">
            <w:pPr>
              <w:rPr>
                <w:rFonts w:asciiTheme="majorHAnsi" w:eastAsia="Times New Roman" w:hAnsiTheme="majorHAnsi" w:cstheme="majorHAnsi"/>
                <w:color w:val="000000"/>
                <w:sz w:val="20"/>
                <w:szCs w:val="20"/>
              </w:rPr>
            </w:pPr>
            <w:r w:rsidRPr="00C17C10">
              <w:rPr>
                <w:rFonts w:asciiTheme="majorHAnsi" w:hAnsiTheme="majorHAnsi" w:cstheme="majorHAnsi"/>
                <w:b/>
                <w:sz w:val="20"/>
                <w:szCs w:val="20"/>
              </w:rPr>
              <w:t>PHD 1113</w:t>
            </w:r>
            <w:r w:rsidRPr="00C17C10">
              <w:rPr>
                <w:rFonts w:asciiTheme="majorHAnsi" w:hAnsiTheme="majorHAnsi" w:cstheme="majorHAnsi"/>
                <w:sz w:val="20"/>
                <w:szCs w:val="20"/>
              </w:rPr>
              <w:t xml:space="preserve"> Advanced Methods in Health Promotion Planning and Implementation (Intervention Mapping)</w:t>
            </w:r>
            <w:r w:rsidR="007B2DC1" w:rsidRPr="00C17C10">
              <w:rPr>
                <w:rFonts w:asciiTheme="majorHAnsi" w:hAnsiTheme="majorHAnsi" w:cstheme="majorHAnsi"/>
                <w:bCs/>
                <w:sz w:val="20"/>
                <w:szCs w:val="20"/>
              </w:rPr>
              <w:t xml:space="preserve"> </w:t>
            </w:r>
            <w:r w:rsidR="007B2DC1" w:rsidRPr="00C17C10">
              <w:rPr>
                <w:rFonts w:asciiTheme="majorHAnsi" w:hAnsiTheme="majorHAnsi" w:cstheme="majorHAnsi"/>
                <w:bCs/>
                <w:i/>
                <w:sz w:val="20"/>
                <w:szCs w:val="20"/>
              </w:rPr>
              <w:t>(for DrPH in HPHE)</w:t>
            </w:r>
            <w:r w:rsidR="000B570B" w:rsidRPr="00C17C10">
              <w:rPr>
                <w:rFonts w:asciiTheme="majorHAnsi" w:hAnsiTheme="majorHAnsi" w:cstheme="majorHAnsi"/>
                <w:bCs/>
                <w:sz w:val="20"/>
                <w:szCs w:val="20"/>
              </w:rPr>
              <w:t xml:space="preserve"> </w:t>
            </w:r>
          </w:p>
        </w:tc>
        <w:tc>
          <w:tcPr>
            <w:tcW w:w="2526" w:type="pct"/>
            <w:shd w:val="clear" w:color="auto" w:fill="auto"/>
            <w:tcMar>
              <w:left w:w="29" w:type="dxa"/>
              <w:right w:w="29" w:type="dxa"/>
            </w:tcMar>
          </w:tcPr>
          <w:p w:rsidR="007B2DC1" w:rsidRPr="00C17C10" w:rsidRDefault="00D721DD" w:rsidP="00A37ED6">
            <w:pPr>
              <w:rPr>
                <w:rFonts w:asciiTheme="majorHAnsi" w:eastAsia="Times New Roman" w:hAnsiTheme="majorHAnsi" w:cstheme="majorHAnsi"/>
                <w:color w:val="000000"/>
                <w:sz w:val="20"/>
                <w:szCs w:val="20"/>
              </w:rPr>
            </w:pPr>
            <w:r w:rsidRPr="00C17C10">
              <w:rPr>
                <w:rFonts w:asciiTheme="majorHAnsi" w:hAnsiTheme="majorHAnsi" w:cstheme="majorHAnsi"/>
                <w:sz w:val="20"/>
                <w:szCs w:val="20"/>
              </w:rPr>
              <w:t>Exam 1, Q2a</w:t>
            </w:r>
            <w:r w:rsidR="000B570B" w:rsidRPr="00C17C10">
              <w:rPr>
                <w:rFonts w:asciiTheme="majorHAnsi" w:hAnsiTheme="majorHAnsi" w:cstheme="majorHAnsi"/>
                <w:bCs/>
                <w:sz w:val="20"/>
                <w:szCs w:val="20"/>
              </w:rPr>
              <w:t xml:space="preserve"> (and </w:t>
            </w:r>
            <w:r w:rsidRPr="00C17C10">
              <w:rPr>
                <w:rFonts w:asciiTheme="majorHAnsi" w:hAnsiTheme="majorHAnsi" w:cstheme="majorHAnsi"/>
                <w:sz w:val="20"/>
                <w:szCs w:val="20"/>
              </w:rPr>
              <w:t>Grading Sheet</w:t>
            </w:r>
            <w:r w:rsidR="000B570B" w:rsidRPr="00C17C10">
              <w:rPr>
                <w:rFonts w:asciiTheme="majorHAnsi" w:hAnsiTheme="majorHAnsi" w:cstheme="majorHAnsi"/>
                <w:bCs/>
                <w:sz w:val="20"/>
                <w:szCs w:val="20"/>
              </w:rPr>
              <w:t>)</w:t>
            </w:r>
            <w:r w:rsidR="007B2DC1" w:rsidRPr="00C17C10">
              <w:rPr>
                <w:rFonts w:asciiTheme="majorHAnsi" w:hAnsiTheme="majorHAnsi" w:cstheme="majorHAnsi"/>
                <w:bCs/>
                <w:sz w:val="20"/>
                <w:szCs w:val="20"/>
              </w:rPr>
              <w:t>: Using existing qualitative, quantitative, mixed methods and/or policy analysis research, describe the individual risk behavior(s) and environmental factors that contribute to a health issue at multiple (interpersonal, organizational, community and societal) levels. Critically evaluate the literature to assess the strength of evidence based on importance (that is, the strength of association between the risk behavior and health outcome). Provide references to support the association.</w:t>
            </w:r>
          </w:p>
        </w:tc>
      </w:tr>
      <w:tr w:rsidR="007B2DC1" w:rsidRPr="00C17C10" w:rsidTr="00DE072A">
        <w:trPr>
          <w:cantSplit/>
          <w:trHeight w:val="471"/>
        </w:trPr>
        <w:tc>
          <w:tcPr>
            <w:tcW w:w="1105" w:type="pct"/>
            <w:vMerge/>
            <w:tcBorders>
              <w:top w:val="single" w:sz="4" w:space="0" w:color="auto"/>
            </w:tcBorders>
            <w:shd w:val="clear" w:color="auto" w:fill="auto"/>
            <w:tcMar>
              <w:left w:w="29" w:type="dxa"/>
              <w:right w:w="29" w:type="dxa"/>
            </w:tcMar>
          </w:tcPr>
          <w:p w:rsidR="007B2DC1" w:rsidRPr="00C17C10" w:rsidRDefault="007B2DC1" w:rsidP="00A37ED6">
            <w:pPr>
              <w:rPr>
                <w:rFonts w:asciiTheme="majorHAnsi" w:eastAsia="Times New Roman" w:hAnsiTheme="majorHAnsi" w:cstheme="majorHAnsi"/>
                <w:color w:val="000000"/>
                <w:sz w:val="20"/>
                <w:szCs w:val="20"/>
              </w:rPr>
            </w:pPr>
          </w:p>
        </w:tc>
        <w:tc>
          <w:tcPr>
            <w:tcW w:w="1369" w:type="pct"/>
            <w:tcBorders>
              <w:top w:val="single" w:sz="4" w:space="0" w:color="auto"/>
            </w:tcBorders>
            <w:shd w:val="clear" w:color="auto" w:fill="auto"/>
            <w:tcMar>
              <w:left w:w="29" w:type="dxa"/>
              <w:right w:w="29" w:type="dxa"/>
            </w:tcMar>
          </w:tcPr>
          <w:p w:rsidR="007B2DC1" w:rsidRPr="00C17C10" w:rsidRDefault="00895702" w:rsidP="00FC4AEF">
            <w:pPr>
              <w:rPr>
                <w:rFonts w:asciiTheme="majorHAnsi" w:hAnsiTheme="majorHAnsi" w:cstheme="majorHAnsi"/>
                <w:b/>
                <w:bCs/>
                <w:sz w:val="20"/>
                <w:szCs w:val="20"/>
              </w:rPr>
            </w:pPr>
            <w:r w:rsidRPr="00C17C10">
              <w:rPr>
                <w:rFonts w:asciiTheme="majorHAnsi" w:hAnsiTheme="majorHAnsi" w:cstheme="majorHAnsi"/>
                <w:b/>
                <w:sz w:val="20"/>
                <w:szCs w:val="20"/>
              </w:rPr>
              <w:t>PHD 1118</w:t>
            </w:r>
            <w:r w:rsidRPr="00C17C10">
              <w:rPr>
                <w:rFonts w:asciiTheme="majorHAnsi" w:hAnsiTheme="majorHAnsi" w:cstheme="majorHAnsi"/>
                <w:sz w:val="20"/>
                <w:szCs w:val="20"/>
              </w:rPr>
              <w:t xml:space="preserve"> Qualitative Methods</w:t>
            </w:r>
            <w:r w:rsidR="007B2DC1" w:rsidRPr="00C17C10">
              <w:rPr>
                <w:rFonts w:asciiTheme="majorHAnsi" w:hAnsiTheme="majorHAnsi" w:cstheme="majorHAnsi"/>
                <w:bCs/>
                <w:sz w:val="20"/>
                <w:szCs w:val="20"/>
              </w:rPr>
              <w:t xml:space="preserve"> </w:t>
            </w:r>
            <w:r w:rsidR="007B2DC1" w:rsidRPr="00C17C10">
              <w:rPr>
                <w:rFonts w:asciiTheme="majorHAnsi" w:hAnsiTheme="majorHAnsi" w:cstheme="majorHAnsi"/>
                <w:bCs/>
                <w:i/>
                <w:sz w:val="20"/>
                <w:szCs w:val="20"/>
              </w:rPr>
              <w:t>(for DrPH in CHP and HPHE)</w:t>
            </w:r>
            <w:r w:rsidR="00510864" w:rsidRPr="00C17C10">
              <w:rPr>
                <w:rFonts w:asciiTheme="majorHAnsi" w:hAnsiTheme="majorHAnsi" w:cstheme="majorHAnsi"/>
                <w:bCs/>
                <w:sz w:val="20"/>
                <w:szCs w:val="20"/>
              </w:rPr>
              <w:t xml:space="preserve"> </w:t>
            </w:r>
          </w:p>
        </w:tc>
        <w:tc>
          <w:tcPr>
            <w:tcW w:w="2526" w:type="pct"/>
            <w:shd w:val="clear" w:color="auto" w:fill="auto"/>
            <w:tcMar>
              <w:left w:w="29" w:type="dxa"/>
              <w:right w:w="29" w:type="dxa"/>
            </w:tcMar>
          </w:tcPr>
          <w:p w:rsidR="007B2DC1" w:rsidRPr="00C17C10" w:rsidRDefault="003D3313" w:rsidP="00A37ED6">
            <w:pPr>
              <w:rPr>
                <w:rFonts w:asciiTheme="majorHAnsi" w:hAnsiTheme="majorHAnsi" w:cstheme="majorHAnsi"/>
                <w:bCs/>
                <w:sz w:val="20"/>
                <w:szCs w:val="20"/>
              </w:rPr>
            </w:pPr>
            <w:r w:rsidRPr="00C17C10">
              <w:rPr>
                <w:rFonts w:asciiTheme="majorHAnsi" w:hAnsiTheme="majorHAnsi" w:cstheme="majorHAnsi"/>
                <w:sz w:val="20"/>
                <w:szCs w:val="20"/>
              </w:rPr>
              <w:t>Final Paper</w:t>
            </w:r>
            <w:r w:rsidR="007B2DC1" w:rsidRPr="00C17C10">
              <w:rPr>
                <w:rFonts w:asciiTheme="majorHAnsi" w:hAnsiTheme="majorHAnsi" w:cstheme="majorHAnsi"/>
                <w:bCs/>
                <w:sz w:val="20"/>
                <w:szCs w:val="20"/>
              </w:rPr>
              <w:t>: In their final paper, each student will explain how their qualitative research methods can inform policy analysis research and be used as an evaluation method to address health issues at multiple (individual, group, organization, community and population) levels</w:t>
            </w:r>
          </w:p>
          <w:p w:rsidR="007B2DC1" w:rsidRPr="00C17C10" w:rsidRDefault="007B2DC1" w:rsidP="00A37ED6">
            <w:pPr>
              <w:rPr>
                <w:rFonts w:asciiTheme="majorHAnsi" w:hAnsiTheme="majorHAnsi" w:cstheme="majorHAnsi"/>
                <w:bCs/>
                <w:sz w:val="20"/>
                <w:szCs w:val="20"/>
              </w:rPr>
            </w:pPr>
          </w:p>
          <w:p w:rsidR="007B2DC1" w:rsidRPr="00C17C10" w:rsidRDefault="003D3313" w:rsidP="00A37ED6">
            <w:pPr>
              <w:rPr>
                <w:rFonts w:asciiTheme="majorHAnsi" w:hAnsiTheme="majorHAnsi" w:cstheme="majorHAnsi"/>
                <w:bCs/>
                <w:sz w:val="20"/>
                <w:szCs w:val="20"/>
              </w:rPr>
            </w:pPr>
            <w:r w:rsidRPr="00C17C10">
              <w:rPr>
                <w:rFonts w:asciiTheme="majorHAnsi" w:hAnsiTheme="majorHAnsi" w:cstheme="majorHAnsi"/>
                <w:sz w:val="20"/>
                <w:szCs w:val="20"/>
              </w:rPr>
              <w:t>Class Participation</w:t>
            </w:r>
            <w:r w:rsidR="007B2DC1" w:rsidRPr="00C17C10">
              <w:rPr>
                <w:rFonts w:asciiTheme="majorHAnsi" w:hAnsiTheme="majorHAnsi" w:cstheme="majorHAnsi"/>
                <w:bCs/>
                <w:sz w:val="20"/>
                <w:szCs w:val="20"/>
              </w:rPr>
              <w:t>: Each student will explain qualitative, quantitative, mixed methods and policy analysis research and evaluation methods to address health issues at multiple (individual, group, organization, community and population) levels as their critique articles each week in class.</w:t>
            </w:r>
          </w:p>
          <w:p w:rsidR="007B2DC1" w:rsidRPr="00C17C10" w:rsidRDefault="007B2DC1" w:rsidP="00A37ED6">
            <w:pPr>
              <w:rPr>
                <w:rFonts w:asciiTheme="majorHAnsi" w:hAnsiTheme="majorHAnsi" w:cstheme="majorHAnsi"/>
                <w:bCs/>
                <w:sz w:val="20"/>
                <w:szCs w:val="20"/>
              </w:rPr>
            </w:pPr>
          </w:p>
          <w:p w:rsidR="007B2DC1" w:rsidRPr="00C17C10" w:rsidRDefault="003C4133" w:rsidP="00A37ED6">
            <w:pPr>
              <w:rPr>
                <w:rFonts w:asciiTheme="majorHAnsi" w:hAnsiTheme="majorHAnsi" w:cstheme="majorHAnsi"/>
                <w:b/>
                <w:bCs/>
                <w:sz w:val="20"/>
                <w:szCs w:val="20"/>
              </w:rPr>
            </w:pPr>
            <w:r w:rsidRPr="00C17C10">
              <w:rPr>
                <w:rFonts w:asciiTheme="majorHAnsi" w:hAnsiTheme="majorHAnsi" w:cstheme="majorHAnsi"/>
                <w:sz w:val="20"/>
                <w:szCs w:val="20"/>
              </w:rPr>
              <w:t>Class Presentation</w:t>
            </w:r>
            <w:r w:rsidR="007B2DC1" w:rsidRPr="00C17C10">
              <w:rPr>
                <w:rFonts w:asciiTheme="majorHAnsi" w:hAnsiTheme="majorHAnsi" w:cstheme="majorHAnsi"/>
                <w:bCs/>
                <w:sz w:val="20"/>
                <w:szCs w:val="20"/>
              </w:rPr>
              <w:t xml:space="preserve">: In a </w:t>
            </w:r>
            <w:r w:rsidR="0043030C" w:rsidRPr="00C17C10">
              <w:rPr>
                <w:rFonts w:asciiTheme="majorHAnsi" w:hAnsiTheme="majorHAnsi" w:cstheme="majorHAnsi"/>
                <w:bCs/>
                <w:sz w:val="20"/>
                <w:szCs w:val="20"/>
              </w:rPr>
              <w:t xml:space="preserve">PowerPoint </w:t>
            </w:r>
            <w:r w:rsidR="007B2DC1" w:rsidRPr="00C17C10">
              <w:rPr>
                <w:rFonts w:asciiTheme="majorHAnsi" w:hAnsiTheme="majorHAnsi" w:cstheme="majorHAnsi"/>
                <w:bCs/>
                <w:sz w:val="20"/>
                <w:szCs w:val="20"/>
              </w:rPr>
              <w:t>presentation, each student will explain how their qualitative research methods can inform policy analysis research and be used as an evaluation method to address health issues at multiple (individual, group, organization, community and population) levels.</w:t>
            </w:r>
          </w:p>
        </w:tc>
      </w:tr>
      <w:tr w:rsidR="007B2DC1" w:rsidRPr="00C17C10" w:rsidTr="00DE072A">
        <w:trPr>
          <w:cantSplit/>
          <w:trHeight w:val="450"/>
        </w:trPr>
        <w:tc>
          <w:tcPr>
            <w:tcW w:w="1105" w:type="pct"/>
            <w:vMerge w:val="restart"/>
            <w:shd w:val="clear" w:color="auto" w:fill="auto"/>
            <w:tcMar>
              <w:left w:w="29" w:type="dxa"/>
              <w:right w:w="29" w:type="dxa"/>
            </w:tcMar>
          </w:tcPr>
          <w:p w:rsidR="007B2DC1" w:rsidRPr="00C17C10" w:rsidRDefault="007B2DC1" w:rsidP="00A37ED6">
            <w:pPr>
              <w:rPr>
                <w:rFonts w:asciiTheme="majorHAnsi" w:eastAsia="Times New Roman" w:hAnsiTheme="majorHAnsi" w:cstheme="majorHAnsi"/>
                <w:sz w:val="20"/>
                <w:szCs w:val="20"/>
              </w:rPr>
            </w:pPr>
            <w:r w:rsidRPr="00C17C10">
              <w:rPr>
                <w:rFonts w:asciiTheme="majorHAnsi" w:eastAsia="Times New Roman" w:hAnsiTheme="majorHAnsi" w:cstheme="majorHAnsi"/>
                <w:sz w:val="20"/>
                <w:szCs w:val="20"/>
              </w:rPr>
              <w:t>DrPH-2.  Design a qualitative, quantitative, mixed methods, policy analysis or evaluation project to address a public health issue</w:t>
            </w:r>
          </w:p>
          <w:p w:rsidR="007B2DC1" w:rsidRPr="00C17C10" w:rsidRDefault="007B2DC1" w:rsidP="00A37ED6">
            <w:pPr>
              <w:rPr>
                <w:rFonts w:asciiTheme="majorHAnsi" w:eastAsia="Times New Roman" w:hAnsiTheme="majorHAnsi" w:cstheme="majorHAnsi"/>
                <w:sz w:val="20"/>
                <w:szCs w:val="20"/>
              </w:rPr>
            </w:pPr>
          </w:p>
          <w:p w:rsidR="007B2DC1" w:rsidRPr="00C17C10" w:rsidRDefault="007B2DC1" w:rsidP="00A37ED6">
            <w:pPr>
              <w:rPr>
                <w:rFonts w:asciiTheme="majorHAnsi" w:eastAsia="Times New Roman" w:hAnsiTheme="majorHAnsi" w:cstheme="majorHAnsi"/>
                <w:sz w:val="20"/>
                <w:szCs w:val="20"/>
              </w:rPr>
            </w:pPr>
          </w:p>
          <w:p w:rsidR="007B2DC1" w:rsidRPr="00C17C10" w:rsidRDefault="007B2DC1" w:rsidP="00A37ED6">
            <w:pPr>
              <w:rPr>
                <w:rFonts w:asciiTheme="majorHAnsi" w:eastAsia="Times New Roman" w:hAnsiTheme="majorHAnsi" w:cstheme="majorHAnsi"/>
                <w:sz w:val="20"/>
                <w:szCs w:val="20"/>
              </w:rPr>
            </w:pPr>
          </w:p>
          <w:p w:rsidR="007B2DC1" w:rsidRPr="00C17C10" w:rsidRDefault="007B2DC1" w:rsidP="00A37ED6">
            <w:pPr>
              <w:rPr>
                <w:rFonts w:asciiTheme="majorHAnsi" w:eastAsia="Times New Roman" w:hAnsiTheme="majorHAnsi" w:cstheme="majorHAnsi"/>
                <w:sz w:val="20"/>
                <w:szCs w:val="20"/>
              </w:rPr>
            </w:pPr>
          </w:p>
          <w:p w:rsidR="007B2DC1" w:rsidRPr="00C17C10" w:rsidRDefault="007B2DC1" w:rsidP="00A37ED6">
            <w:pPr>
              <w:rPr>
                <w:rFonts w:asciiTheme="majorHAnsi" w:eastAsia="Times New Roman" w:hAnsiTheme="majorHAnsi" w:cstheme="majorHAnsi"/>
                <w:sz w:val="20"/>
                <w:szCs w:val="20"/>
              </w:rPr>
            </w:pPr>
          </w:p>
          <w:p w:rsidR="007B2DC1" w:rsidRPr="00C17C10" w:rsidRDefault="007B2DC1" w:rsidP="00A37ED6">
            <w:pPr>
              <w:rPr>
                <w:rFonts w:asciiTheme="majorHAnsi" w:eastAsia="Times New Roman" w:hAnsiTheme="majorHAnsi" w:cstheme="majorHAnsi"/>
                <w:sz w:val="20"/>
                <w:szCs w:val="20"/>
              </w:rPr>
            </w:pPr>
          </w:p>
          <w:p w:rsidR="007B2DC1" w:rsidRPr="00C17C10" w:rsidRDefault="007B2DC1" w:rsidP="00A37ED6">
            <w:pPr>
              <w:rPr>
                <w:rFonts w:asciiTheme="majorHAnsi" w:eastAsia="Times New Roman" w:hAnsiTheme="majorHAnsi" w:cstheme="majorHAnsi"/>
                <w:sz w:val="20"/>
                <w:szCs w:val="20"/>
              </w:rPr>
            </w:pPr>
          </w:p>
          <w:p w:rsidR="007B2DC1" w:rsidRPr="00C17C10" w:rsidRDefault="007B2DC1" w:rsidP="00A37ED6">
            <w:pPr>
              <w:rPr>
                <w:rFonts w:asciiTheme="majorHAnsi" w:eastAsia="Times New Roman" w:hAnsiTheme="majorHAnsi" w:cstheme="majorHAnsi"/>
                <w:sz w:val="20"/>
                <w:szCs w:val="20"/>
              </w:rPr>
            </w:pPr>
          </w:p>
          <w:p w:rsidR="007B2DC1" w:rsidRPr="00C17C10" w:rsidRDefault="007B2DC1" w:rsidP="00A37ED6">
            <w:pPr>
              <w:rPr>
                <w:rFonts w:asciiTheme="majorHAnsi" w:eastAsia="Times New Roman" w:hAnsiTheme="majorHAnsi" w:cstheme="majorHAnsi"/>
                <w:sz w:val="20"/>
                <w:szCs w:val="20"/>
              </w:rPr>
            </w:pPr>
          </w:p>
          <w:p w:rsidR="007B2DC1" w:rsidRPr="00C17C10" w:rsidRDefault="007B2DC1" w:rsidP="00A37ED6">
            <w:pPr>
              <w:rPr>
                <w:rFonts w:asciiTheme="majorHAnsi" w:eastAsia="Times New Roman" w:hAnsiTheme="majorHAnsi" w:cstheme="majorHAnsi"/>
                <w:sz w:val="20"/>
                <w:szCs w:val="20"/>
              </w:rPr>
            </w:pPr>
          </w:p>
          <w:p w:rsidR="007B2DC1" w:rsidRPr="00C17C10" w:rsidRDefault="007B2DC1" w:rsidP="00A37ED6">
            <w:pPr>
              <w:rPr>
                <w:rFonts w:asciiTheme="majorHAnsi" w:eastAsia="Times New Roman" w:hAnsiTheme="majorHAnsi" w:cstheme="majorHAnsi"/>
                <w:sz w:val="20"/>
                <w:szCs w:val="20"/>
              </w:rPr>
            </w:pPr>
          </w:p>
          <w:p w:rsidR="007B2DC1" w:rsidRPr="00C17C10" w:rsidRDefault="007B2DC1" w:rsidP="00A37ED6">
            <w:pPr>
              <w:rPr>
                <w:rFonts w:asciiTheme="majorHAnsi" w:eastAsia="Times New Roman" w:hAnsiTheme="majorHAnsi" w:cstheme="majorHAnsi"/>
                <w:sz w:val="20"/>
                <w:szCs w:val="20"/>
              </w:rPr>
            </w:pPr>
          </w:p>
          <w:p w:rsidR="007B2DC1" w:rsidRPr="00C17C10" w:rsidRDefault="007B2DC1" w:rsidP="00A37ED6">
            <w:pPr>
              <w:rPr>
                <w:rFonts w:asciiTheme="majorHAnsi" w:eastAsia="Times New Roman" w:hAnsiTheme="majorHAnsi" w:cstheme="majorHAnsi"/>
                <w:sz w:val="20"/>
                <w:szCs w:val="20"/>
              </w:rPr>
            </w:pPr>
          </w:p>
          <w:p w:rsidR="007B2DC1" w:rsidRPr="00C17C10" w:rsidRDefault="007B2DC1" w:rsidP="00A37ED6">
            <w:pPr>
              <w:rPr>
                <w:rFonts w:asciiTheme="majorHAnsi" w:eastAsia="Times New Roman" w:hAnsiTheme="majorHAnsi" w:cstheme="majorHAnsi"/>
                <w:sz w:val="20"/>
                <w:szCs w:val="20"/>
              </w:rPr>
            </w:pPr>
          </w:p>
          <w:p w:rsidR="007B2DC1" w:rsidRPr="00C17C10" w:rsidRDefault="007B2DC1" w:rsidP="00A37ED6">
            <w:pPr>
              <w:rPr>
                <w:rFonts w:asciiTheme="majorHAnsi" w:eastAsia="Times New Roman" w:hAnsiTheme="majorHAnsi" w:cstheme="majorHAnsi"/>
                <w:sz w:val="20"/>
                <w:szCs w:val="20"/>
              </w:rPr>
            </w:pPr>
          </w:p>
          <w:p w:rsidR="007B2DC1" w:rsidRPr="00C17C10" w:rsidRDefault="007B2DC1" w:rsidP="00A37ED6">
            <w:pPr>
              <w:rPr>
                <w:rFonts w:asciiTheme="majorHAnsi" w:eastAsia="Times New Roman" w:hAnsiTheme="majorHAnsi" w:cstheme="majorHAnsi"/>
                <w:sz w:val="20"/>
                <w:szCs w:val="20"/>
              </w:rPr>
            </w:pPr>
          </w:p>
          <w:p w:rsidR="007B2DC1" w:rsidRPr="00C17C10" w:rsidRDefault="007B2DC1" w:rsidP="00A37ED6">
            <w:pPr>
              <w:rPr>
                <w:rFonts w:asciiTheme="majorHAnsi" w:eastAsia="Times New Roman" w:hAnsiTheme="majorHAnsi" w:cstheme="majorHAnsi"/>
                <w:sz w:val="20"/>
                <w:szCs w:val="20"/>
              </w:rPr>
            </w:pPr>
          </w:p>
          <w:p w:rsidR="007B2DC1" w:rsidRPr="00C17C10" w:rsidRDefault="007B2DC1" w:rsidP="00A37ED6">
            <w:pPr>
              <w:rPr>
                <w:rFonts w:asciiTheme="majorHAnsi" w:eastAsia="Times New Roman" w:hAnsiTheme="majorHAnsi" w:cstheme="majorHAnsi"/>
                <w:sz w:val="20"/>
                <w:szCs w:val="20"/>
              </w:rPr>
            </w:pPr>
          </w:p>
          <w:p w:rsidR="007B2DC1" w:rsidRPr="00C17C10" w:rsidRDefault="007B2DC1" w:rsidP="00A37ED6">
            <w:pPr>
              <w:rPr>
                <w:rFonts w:asciiTheme="majorHAnsi" w:eastAsia="Times New Roman" w:hAnsiTheme="majorHAnsi" w:cstheme="majorHAnsi"/>
                <w:sz w:val="20"/>
                <w:szCs w:val="20"/>
              </w:rPr>
            </w:pPr>
          </w:p>
          <w:p w:rsidR="007B2DC1" w:rsidRPr="00C17C10" w:rsidRDefault="007B2DC1" w:rsidP="00A37ED6">
            <w:pPr>
              <w:rPr>
                <w:rFonts w:asciiTheme="majorHAnsi" w:eastAsia="Times New Roman" w:hAnsiTheme="majorHAnsi" w:cstheme="majorHAnsi"/>
                <w:sz w:val="20"/>
                <w:szCs w:val="20"/>
              </w:rPr>
            </w:pPr>
          </w:p>
          <w:p w:rsidR="007B2DC1" w:rsidRPr="00C17C10" w:rsidRDefault="007B2DC1" w:rsidP="00A37ED6">
            <w:pPr>
              <w:rPr>
                <w:rFonts w:asciiTheme="majorHAnsi" w:eastAsia="Times New Roman" w:hAnsiTheme="majorHAnsi" w:cstheme="majorHAnsi"/>
                <w:color w:val="000000"/>
                <w:sz w:val="20"/>
                <w:szCs w:val="20"/>
              </w:rPr>
            </w:pPr>
          </w:p>
        </w:tc>
        <w:tc>
          <w:tcPr>
            <w:tcW w:w="1369" w:type="pct"/>
            <w:shd w:val="clear" w:color="auto" w:fill="auto"/>
            <w:tcMar>
              <w:left w:w="29" w:type="dxa"/>
              <w:right w:w="29" w:type="dxa"/>
            </w:tcMar>
          </w:tcPr>
          <w:p w:rsidR="007B2DC1" w:rsidRPr="00C17C10" w:rsidRDefault="00895702" w:rsidP="00FC4AEF">
            <w:pPr>
              <w:rPr>
                <w:rFonts w:asciiTheme="majorHAnsi" w:eastAsia="Times New Roman" w:hAnsiTheme="majorHAnsi" w:cstheme="majorHAnsi"/>
                <w:color w:val="000000"/>
                <w:sz w:val="20"/>
                <w:szCs w:val="20"/>
              </w:rPr>
            </w:pPr>
            <w:r w:rsidRPr="00C17C10">
              <w:rPr>
                <w:rFonts w:asciiTheme="majorHAnsi" w:hAnsiTheme="majorHAnsi" w:cstheme="majorHAnsi"/>
                <w:b/>
                <w:sz w:val="20"/>
                <w:szCs w:val="20"/>
              </w:rPr>
              <w:t>PHD 1120</w:t>
            </w:r>
            <w:r w:rsidRPr="00C17C10">
              <w:rPr>
                <w:rFonts w:asciiTheme="majorHAnsi" w:hAnsiTheme="majorHAnsi" w:cstheme="majorHAnsi"/>
                <w:sz w:val="20"/>
                <w:szCs w:val="20"/>
              </w:rPr>
              <w:t xml:space="preserve"> Program Evaluation</w:t>
            </w:r>
            <w:r w:rsidR="000B570B" w:rsidRPr="00C17C10">
              <w:rPr>
                <w:rFonts w:asciiTheme="majorHAnsi" w:hAnsiTheme="majorHAnsi" w:cstheme="majorHAnsi"/>
                <w:bCs/>
                <w:sz w:val="20"/>
                <w:szCs w:val="20"/>
              </w:rPr>
              <w:t xml:space="preserve"> </w:t>
            </w:r>
            <w:r w:rsidR="000B570B" w:rsidRPr="00C17C10">
              <w:rPr>
                <w:rFonts w:asciiTheme="majorHAnsi" w:hAnsiTheme="majorHAnsi" w:cstheme="majorHAnsi"/>
                <w:bCs/>
                <w:i/>
                <w:sz w:val="20"/>
                <w:szCs w:val="20"/>
              </w:rPr>
              <w:t xml:space="preserve">(for DrPH in CHP and HPHE) </w:t>
            </w:r>
          </w:p>
        </w:tc>
        <w:tc>
          <w:tcPr>
            <w:tcW w:w="2526" w:type="pct"/>
            <w:shd w:val="clear" w:color="auto" w:fill="auto"/>
            <w:tcMar>
              <w:left w:w="29" w:type="dxa"/>
              <w:right w:w="29" w:type="dxa"/>
            </w:tcMar>
          </w:tcPr>
          <w:p w:rsidR="007B2DC1" w:rsidRPr="00C17C10" w:rsidRDefault="00B75600" w:rsidP="00A37ED6">
            <w:pPr>
              <w:rPr>
                <w:rFonts w:asciiTheme="majorHAnsi" w:eastAsia="Times New Roman" w:hAnsiTheme="majorHAnsi" w:cstheme="majorHAnsi"/>
                <w:color w:val="000000"/>
                <w:sz w:val="20"/>
                <w:szCs w:val="20"/>
              </w:rPr>
            </w:pPr>
            <w:r w:rsidRPr="00C17C10">
              <w:rPr>
                <w:rFonts w:asciiTheme="majorHAnsi" w:hAnsiTheme="majorHAnsi" w:cstheme="majorHAnsi"/>
                <w:sz w:val="20"/>
                <w:szCs w:val="20"/>
              </w:rPr>
              <w:t>Course Project</w:t>
            </w:r>
            <w:r w:rsidR="000158FD" w:rsidRPr="00C17C10">
              <w:rPr>
                <w:rFonts w:asciiTheme="majorHAnsi" w:hAnsiTheme="majorHAnsi" w:cstheme="majorHAnsi"/>
                <w:sz w:val="20"/>
                <w:szCs w:val="20"/>
              </w:rPr>
              <w:t xml:space="preserve"> (</w:t>
            </w:r>
            <w:r w:rsidRPr="00C17C10">
              <w:rPr>
                <w:rFonts w:asciiTheme="majorHAnsi" w:hAnsiTheme="majorHAnsi" w:cstheme="majorHAnsi"/>
                <w:sz w:val="20"/>
                <w:szCs w:val="20"/>
              </w:rPr>
              <w:t>Section 1 Program Description</w:t>
            </w:r>
            <w:r w:rsidR="000158FD" w:rsidRPr="00C17C10">
              <w:rPr>
                <w:rFonts w:asciiTheme="majorHAnsi" w:hAnsiTheme="majorHAnsi" w:cstheme="majorHAnsi"/>
                <w:sz w:val="20"/>
                <w:szCs w:val="20"/>
              </w:rPr>
              <w:t xml:space="preserve"> and </w:t>
            </w:r>
            <w:r w:rsidRPr="00C17C10">
              <w:rPr>
                <w:rFonts w:asciiTheme="majorHAnsi" w:hAnsiTheme="majorHAnsi" w:cstheme="majorHAnsi"/>
                <w:sz w:val="20"/>
                <w:szCs w:val="20"/>
              </w:rPr>
              <w:t>Rubric</w:t>
            </w:r>
            <w:r w:rsidR="000158FD" w:rsidRPr="00C17C10">
              <w:rPr>
                <w:rFonts w:asciiTheme="majorHAnsi" w:hAnsiTheme="majorHAnsi" w:cstheme="majorHAnsi"/>
                <w:sz w:val="20"/>
                <w:szCs w:val="20"/>
              </w:rPr>
              <w:t xml:space="preserve">; </w:t>
            </w:r>
            <w:r w:rsidRPr="00C17C10">
              <w:rPr>
                <w:rFonts w:asciiTheme="majorHAnsi" w:hAnsiTheme="majorHAnsi" w:cstheme="majorHAnsi"/>
                <w:sz w:val="20"/>
                <w:szCs w:val="20"/>
              </w:rPr>
              <w:t>Section 2 Process Evaluation</w:t>
            </w:r>
            <w:r w:rsidR="000158FD" w:rsidRPr="00C17C10">
              <w:rPr>
                <w:rFonts w:asciiTheme="majorHAnsi" w:hAnsiTheme="majorHAnsi" w:cstheme="majorHAnsi"/>
                <w:sz w:val="20"/>
                <w:szCs w:val="20"/>
              </w:rPr>
              <w:t xml:space="preserve"> and </w:t>
            </w:r>
            <w:r w:rsidRPr="00C17C10">
              <w:rPr>
                <w:rFonts w:asciiTheme="majorHAnsi" w:hAnsiTheme="majorHAnsi" w:cstheme="majorHAnsi"/>
                <w:sz w:val="20"/>
                <w:szCs w:val="20"/>
              </w:rPr>
              <w:t>Rubric</w:t>
            </w:r>
            <w:r w:rsidR="000158FD" w:rsidRPr="00C17C10">
              <w:rPr>
                <w:rFonts w:asciiTheme="majorHAnsi" w:hAnsiTheme="majorHAnsi" w:cstheme="majorHAnsi"/>
                <w:sz w:val="20"/>
                <w:szCs w:val="20"/>
              </w:rPr>
              <w:t xml:space="preserve">; </w:t>
            </w:r>
            <w:r w:rsidRPr="00C17C10">
              <w:rPr>
                <w:rFonts w:asciiTheme="majorHAnsi" w:hAnsiTheme="majorHAnsi" w:cstheme="majorHAnsi"/>
                <w:sz w:val="20"/>
                <w:szCs w:val="20"/>
              </w:rPr>
              <w:t>Section 3 Outcome Evaluation</w:t>
            </w:r>
            <w:r w:rsidR="000158FD" w:rsidRPr="00C17C10">
              <w:rPr>
                <w:rFonts w:asciiTheme="majorHAnsi" w:hAnsiTheme="majorHAnsi" w:cstheme="majorHAnsi"/>
                <w:sz w:val="20"/>
                <w:szCs w:val="20"/>
              </w:rPr>
              <w:t xml:space="preserve"> and </w:t>
            </w:r>
            <w:r w:rsidRPr="00C17C10">
              <w:rPr>
                <w:rFonts w:asciiTheme="majorHAnsi" w:hAnsiTheme="majorHAnsi" w:cstheme="majorHAnsi"/>
                <w:sz w:val="20"/>
                <w:szCs w:val="20"/>
              </w:rPr>
              <w:t>Rubric</w:t>
            </w:r>
            <w:r w:rsidR="000158FD" w:rsidRPr="00C17C10">
              <w:rPr>
                <w:rFonts w:asciiTheme="majorHAnsi" w:hAnsiTheme="majorHAnsi" w:cstheme="majorHAnsi"/>
                <w:sz w:val="20"/>
                <w:szCs w:val="20"/>
              </w:rPr>
              <w:t xml:space="preserve">; </w:t>
            </w:r>
            <w:r w:rsidRPr="00C17C10">
              <w:rPr>
                <w:rFonts w:asciiTheme="majorHAnsi" w:hAnsiTheme="majorHAnsi" w:cstheme="majorHAnsi"/>
                <w:sz w:val="20"/>
                <w:szCs w:val="20"/>
              </w:rPr>
              <w:t>Final Proposal</w:t>
            </w:r>
            <w:r w:rsidR="000158FD" w:rsidRPr="00C17C10">
              <w:rPr>
                <w:rFonts w:asciiTheme="majorHAnsi" w:hAnsiTheme="majorHAnsi" w:cstheme="majorHAnsi"/>
                <w:sz w:val="20"/>
                <w:szCs w:val="20"/>
              </w:rPr>
              <w:t xml:space="preserve"> and </w:t>
            </w:r>
            <w:r w:rsidRPr="00C17C10">
              <w:rPr>
                <w:rFonts w:asciiTheme="majorHAnsi" w:hAnsiTheme="majorHAnsi" w:cstheme="majorHAnsi"/>
                <w:sz w:val="20"/>
                <w:szCs w:val="20"/>
              </w:rPr>
              <w:t>Rubric</w:t>
            </w:r>
            <w:r w:rsidR="000158FD" w:rsidRPr="00C17C10">
              <w:rPr>
                <w:rFonts w:asciiTheme="majorHAnsi" w:hAnsiTheme="majorHAnsi" w:cstheme="majorHAnsi"/>
                <w:sz w:val="20"/>
                <w:szCs w:val="20"/>
              </w:rPr>
              <w:t xml:space="preserve">): </w:t>
            </w:r>
            <w:r w:rsidR="007B2DC1" w:rsidRPr="00C17C10">
              <w:rPr>
                <w:rFonts w:asciiTheme="majorHAnsi" w:hAnsiTheme="majorHAnsi" w:cstheme="majorHAnsi"/>
                <w:sz w:val="20"/>
                <w:szCs w:val="20"/>
              </w:rPr>
              <w:t xml:space="preserve">Students will design an evaluation proposal for a multi-level program or policy selected by the student and written iteratively over the semester.  For this assignment, which is written iteratively over </w:t>
            </w:r>
            <w:r w:rsidR="00DC7DFB" w:rsidRPr="00C17C10">
              <w:rPr>
                <w:rFonts w:asciiTheme="majorHAnsi" w:hAnsiTheme="majorHAnsi" w:cstheme="majorHAnsi"/>
                <w:sz w:val="20"/>
                <w:szCs w:val="20"/>
              </w:rPr>
              <w:t>the semester</w:t>
            </w:r>
            <w:r w:rsidR="007B2DC1" w:rsidRPr="00C17C10">
              <w:rPr>
                <w:rFonts w:asciiTheme="majorHAnsi" w:hAnsiTheme="majorHAnsi" w:cstheme="majorHAnsi"/>
                <w:sz w:val="20"/>
                <w:szCs w:val="20"/>
              </w:rPr>
              <w:t>, the student develops the evaluation proposal for an existing multi-level program in the community (that has not been evaluated yet) that addresses a public health issues. In this proposal, students will complete a needs assessment (including logic model), program critique, assessment of theoretical and epidemiological evidence for the program concept and design, and plans to implement a process (i.e., coverage and implementation evaluation questions, process measures) and outcome evaluation (i.e.,  development of evaluation questions, choosing evaluation designs and outcome measures for the development of a survey).</w:t>
            </w:r>
          </w:p>
        </w:tc>
      </w:tr>
      <w:tr w:rsidR="007B2DC1" w:rsidRPr="00C17C10" w:rsidTr="00DE072A">
        <w:trPr>
          <w:cantSplit/>
          <w:trHeight w:val="2735"/>
        </w:trPr>
        <w:tc>
          <w:tcPr>
            <w:tcW w:w="1105" w:type="pct"/>
            <w:vMerge/>
            <w:shd w:val="clear" w:color="auto" w:fill="auto"/>
            <w:tcMar>
              <w:left w:w="29" w:type="dxa"/>
              <w:right w:w="29" w:type="dxa"/>
            </w:tcMar>
          </w:tcPr>
          <w:p w:rsidR="007B2DC1" w:rsidRPr="00C17C10" w:rsidRDefault="007B2DC1" w:rsidP="00A37ED6">
            <w:pPr>
              <w:rPr>
                <w:rFonts w:asciiTheme="majorHAnsi" w:eastAsia="Times New Roman" w:hAnsiTheme="majorHAnsi" w:cstheme="majorHAnsi"/>
                <w:color w:val="000000"/>
                <w:sz w:val="20"/>
                <w:szCs w:val="20"/>
              </w:rPr>
            </w:pPr>
          </w:p>
        </w:tc>
        <w:tc>
          <w:tcPr>
            <w:tcW w:w="1369" w:type="pct"/>
            <w:shd w:val="clear" w:color="auto" w:fill="auto"/>
            <w:tcMar>
              <w:left w:w="29" w:type="dxa"/>
              <w:right w:w="29" w:type="dxa"/>
            </w:tcMar>
          </w:tcPr>
          <w:p w:rsidR="007B2DC1" w:rsidRPr="00C17C10" w:rsidRDefault="00895702" w:rsidP="00FC4AEF">
            <w:pPr>
              <w:rPr>
                <w:rFonts w:asciiTheme="majorHAnsi" w:eastAsia="Times New Roman" w:hAnsiTheme="majorHAnsi" w:cstheme="majorHAnsi"/>
                <w:b/>
                <w:color w:val="000000"/>
                <w:sz w:val="20"/>
                <w:szCs w:val="20"/>
              </w:rPr>
            </w:pPr>
            <w:r w:rsidRPr="00C17C10">
              <w:rPr>
                <w:rFonts w:asciiTheme="majorHAnsi" w:hAnsiTheme="majorHAnsi" w:cstheme="majorHAnsi"/>
                <w:b/>
                <w:sz w:val="20"/>
                <w:szCs w:val="20"/>
              </w:rPr>
              <w:t>PHD 1118</w:t>
            </w:r>
            <w:r w:rsidRPr="00C17C10">
              <w:rPr>
                <w:rFonts w:asciiTheme="majorHAnsi" w:hAnsiTheme="majorHAnsi" w:cstheme="majorHAnsi"/>
                <w:sz w:val="20"/>
                <w:szCs w:val="20"/>
              </w:rPr>
              <w:t xml:space="preserve"> Qualitative Methods</w:t>
            </w:r>
            <w:r w:rsidR="001A1C62" w:rsidRPr="00C17C10">
              <w:rPr>
                <w:rFonts w:asciiTheme="majorHAnsi" w:hAnsiTheme="majorHAnsi" w:cstheme="majorHAnsi"/>
                <w:bCs/>
                <w:sz w:val="20"/>
                <w:szCs w:val="20"/>
              </w:rPr>
              <w:t xml:space="preserve"> </w:t>
            </w:r>
            <w:r w:rsidR="001A1C62" w:rsidRPr="00C17C10">
              <w:rPr>
                <w:rFonts w:asciiTheme="majorHAnsi" w:hAnsiTheme="majorHAnsi" w:cstheme="majorHAnsi"/>
                <w:bCs/>
                <w:i/>
                <w:sz w:val="20"/>
                <w:szCs w:val="20"/>
              </w:rPr>
              <w:t>(for DrPH in CHP and HPHE)</w:t>
            </w:r>
            <w:r w:rsidR="001A1C62" w:rsidRPr="00C17C10">
              <w:rPr>
                <w:rFonts w:asciiTheme="majorHAnsi" w:hAnsiTheme="majorHAnsi" w:cstheme="majorHAnsi"/>
                <w:bCs/>
                <w:sz w:val="20"/>
                <w:szCs w:val="20"/>
              </w:rPr>
              <w:t xml:space="preserve"> </w:t>
            </w:r>
          </w:p>
        </w:tc>
        <w:tc>
          <w:tcPr>
            <w:tcW w:w="2526" w:type="pct"/>
            <w:shd w:val="clear" w:color="auto" w:fill="auto"/>
            <w:tcMar>
              <w:left w:w="29" w:type="dxa"/>
              <w:right w:w="29" w:type="dxa"/>
            </w:tcMar>
          </w:tcPr>
          <w:p w:rsidR="00752DF6" w:rsidRPr="00C17C10" w:rsidRDefault="00990102" w:rsidP="00A37ED6">
            <w:pPr>
              <w:rPr>
                <w:rFonts w:asciiTheme="majorHAnsi" w:hAnsiTheme="majorHAnsi" w:cstheme="majorHAnsi"/>
                <w:bCs/>
                <w:sz w:val="20"/>
                <w:szCs w:val="20"/>
              </w:rPr>
            </w:pPr>
            <w:r w:rsidRPr="00C17C10">
              <w:rPr>
                <w:rFonts w:asciiTheme="majorHAnsi" w:hAnsiTheme="majorHAnsi" w:cstheme="majorHAnsi"/>
                <w:sz w:val="20"/>
                <w:szCs w:val="20"/>
              </w:rPr>
              <w:t>Course Project:</w:t>
            </w:r>
            <w:r w:rsidR="00752DF6" w:rsidRPr="00C17C10">
              <w:rPr>
                <w:rFonts w:asciiTheme="majorHAnsi" w:hAnsiTheme="majorHAnsi" w:cstheme="majorHAnsi"/>
                <w:bCs/>
                <w:sz w:val="20"/>
                <w:szCs w:val="20"/>
              </w:rPr>
              <w:t xml:space="preserve"> </w:t>
            </w:r>
            <w:r w:rsidR="00895702" w:rsidRPr="00C17C10">
              <w:rPr>
                <w:rFonts w:asciiTheme="majorHAnsi" w:hAnsiTheme="majorHAnsi" w:cstheme="majorHAnsi"/>
                <w:bCs/>
                <w:sz w:val="20"/>
                <w:szCs w:val="20"/>
              </w:rPr>
              <w:t xml:space="preserve">Students will complete a course project that includes the following components: </w:t>
            </w:r>
          </w:p>
          <w:p w:rsidR="00752DF6" w:rsidRPr="00C17C10" w:rsidRDefault="00752DF6" w:rsidP="00A37ED6">
            <w:pPr>
              <w:rPr>
                <w:rFonts w:asciiTheme="majorHAnsi" w:hAnsiTheme="majorHAnsi" w:cstheme="majorHAnsi"/>
                <w:bCs/>
                <w:sz w:val="20"/>
                <w:szCs w:val="20"/>
              </w:rPr>
            </w:pPr>
          </w:p>
          <w:p w:rsidR="007B2DC1" w:rsidRPr="00C17C10" w:rsidRDefault="007B2DC1" w:rsidP="00A37ED6">
            <w:pPr>
              <w:rPr>
                <w:rFonts w:asciiTheme="majorHAnsi" w:hAnsiTheme="majorHAnsi" w:cstheme="majorHAnsi"/>
                <w:bCs/>
                <w:sz w:val="20"/>
                <w:szCs w:val="20"/>
              </w:rPr>
            </w:pPr>
            <w:r w:rsidRPr="00C17C10">
              <w:rPr>
                <w:rFonts w:asciiTheme="majorHAnsi" w:hAnsiTheme="majorHAnsi" w:cstheme="majorHAnsi"/>
                <w:bCs/>
                <w:i/>
                <w:sz w:val="20"/>
                <w:szCs w:val="20"/>
              </w:rPr>
              <w:t>Interview questions</w:t>
            </w:r>
            <w:r w:rsidRPr="00C17C10">
              <w:rPr>
                <w:rFonts w:asciiTheme="majorHAnsi" w:hAnsiTheme="majorHAnsi" w:cstheme="majorHAnsi"/>
                <w:bCs/>
                <w:sz w:val="20"/>
                <w:szCs w:val="20"/>
              </w:rPr>
              <w:t xml:space="preserve">: Each student will design an interview guide, including questions and prompts for their research study.    </w:t>
            </w:r>
          </w:p>
          <w:p w:rsidR="007B2DC1" w:rsidRPr="00C17C10" w:rsidRDefault="007B2DC1" w:rsidP="00A37ED6">
            <w:pPr>
              <w:rPr>
                <w:rFonts w:asciiTheme="majorHAnsi" w:hAnsiTheme="majorHAnsi" w:cstheme="majorHAnsi"/>
                <w:bCs/>
                <w:sz w:val="20"/>
                <w:szCs w:val="20"/>
              </w:rPr>
            </w:pPr>
          </w:p>
          <w:p w:rsidR="007B2DC1" w:rsidRPr="00C17C10" w:rsidRDefault="007B2DC1" w:rsidP="00A37ED6">
            <w:pPr>
              <w:rPr>
                <w:rFonts w:asciiTheme="majorHAnsi" w:hAnsiTheme="majorHAnsi" w:cstheme="majorHAnsi"/>
                <w:bCs/>
                <w:sz w:val="20"/>
                <w:szCs w:val="20"/>
              </w:rPr>
            </w:pPr>
            <w:r w:rsidRPr="00C17C10">
              <w:rPr>
                <w:rFonts w:asciiTheme="majorHAnsi" w:hAnsiTheme="majorHAnsi" w:cstheme="majorHAnsi"/>
                <w:bCs/>
                <w:i/>
                <w:sz w:val="20"/>
                <w:szCs w:val="20"/>
              </w:rPr>
              <w:t>Coded transcription of interview 1 and self-critique</w:t>
            </w:r>
            <w:r w:rsidRPr="00C17C10">
              <w:rPr>
                <w:rFonts w:asciiTheme="majorHAnsi" w:hAnsiTheme="majorHAnsi" w:cstheme="majorHAnsi"/>
                <w:bCs/>
                <w:sz w:val="20"/>
                <w:szCs w:val="20"/>
              </w:rPr>
              <w:t xml:space="preserve">: Each student will conduct and transcribe, and clean their first 45-60 minute face-to-face in-depth interview. Along with the transcription, students will submit a two-page double-spaced self-critique of the interview process. </w:t>
            </w:r>
          </w:p>
          <w:p w:rsidR="007B2DC1" w:rsidRPr="00C17C10" w:rsidRDefault="007B2DC1" w:rsidP="00A37ED6">
            <w:pPr>
              <w:rPr>
                <w:rFonts w:asciiTheme="majorHAnsi" w:hAnsiTheme="majorHAnsi" w:cstheme="majorHAnsi"/>
                <w:bCs/>
                <w:sz w:val="20"/>
                <w:szCs w:val="20"/>
              </w:rPr>
            </w:pPr>
          </w:p>
          <w:p w:rsidR="007B2DC1" w:rsidRPr="00C17C10" w:rsidRDefault="007B2DC1" w:rsidP="00A37ED6">
            <w:pPr>
              <w:rPr>
                <w:rFonts w:asciiTheme="majorHAnsi" w:hAnsiTheme="majorHAnsi" w:cstheme="majorHAnsi"/>
                <w:bCs/>
                <w:sz w:val="20"/>
                <w:szCs w:val="20"/>
              </w:rPr>
            </w:pPr>
            <w:r w:rsidRPr="00C17C10">
              <w:rPr>
                <w:rFonts w:asciiTheme="majorHAnsi" w:hAnsiTheme="majorHAnsi" w:cstheme="majorHAnsi"/>
                <w:bCs/>
                <w:i/>
                <w:sz w:val="20"/>
                <w:szCs w:val="20"/>
              </w:rPr>
              <w:t>Map</w:t>
            </w:r>
            <w:r w:rsidRPr="00C17C10">
              <w:rPr>
                <w:rFonts w:asciiTheme="majorHAnsi" w:hAnsiTheme="majorHAnsi" w:cstheme="majorHAnsi"/>
                <w:bCs/>
                <w:sz w:val="20"/>
                <w:szCs w:val="20"/>
              </w:rPr>
              <w:t>: Each student will draw a map of the research site.</w:t>
            </w:r>
          </w:p>
          <w:p w:rsidR="007B2DC1" w:rsidRPr="00C17C10" w:rsidRDefault="007B2DC1" w:rsidP="00A37ED6">
            <w:pPr>
              <w:rPr>
                <w:rFonts w:asciiTheme="majorHAnsi" w:hAnsiTheme="majorHAnsi" w:cstheme="majorHAnsi"/>
                <w:bCs/>
                <w:sz w:val="20"/>
                <w:szCs w:val="20"/>
              </w:rPr>
            </w:pPr>
          </w:p>
          <w:p w:rsidR="007B2DC1" w:rsidRPr="00C17C10" w:rsidRDefault="007B2DC1" w:rsidP="00A37ED6">
            <w:pPr>
              <w:rPr>
                <w:rFonts w:asciiTheme="majorHAnsi" w:hAnsiTheme="majorHAnsi" w:cstheme="majorHAnsi"/>
                <w:bCs/>
                <w:sz w:val="20"/>
                <w:szCs w:val="20"/>
              </w:rPr>
            </w:pPr>
            <w:r w:rsidRPr="00C17C10">
              <w:rPr>
                <w:rFonts w:asciiTheme="majorHAnsi" w:hAnsiTheme="majorHAnsi" w:cstheme="majorHAnsi"/>
                <w:bCs/>
                <w:i/>
                <w:sz w:val="20"/>
                <w:szCs w:val="20"/>
              </w:rPr>
              <w:t>Fieldnotes</w:t>
            </w:r>
            <w:r w:rsidRPr="00C17C10">
              <w:rPr>
                <w:rFonts w:asciiTheme="majorHAnsi" w:hAnsiTheme="majorHAnsi" w:cstheme="majorHAnsi"/>
                <w:bCs/>
                <w:sz w:val="20"/>
                <w:szCs w:val="20"/>
              </w:rPr>
              <w:t>: Each student will observe and write up field notes based on their observations at their site.</w:t>
            </w:r>
          </w:p>
          <w:p w:rsidR="007B2DC1" w:rsidRPr="00C17C10" w:rsidRDefault="007B2DC1" w:rsidP="00A37ED6">
            <w:pPr>
              <w:rPr>
                <w:rFonts w:asciiTheme="majorHAnsi" w:hAnsiTheme="majorHAnsi" w:cstheme="majorHAnsi"/>
                <w:bCs/>
                <w:sz w:val="20"/>
                <w:szCs w:val="20"/>
              </w:rPr>
            </w:pPr>
          </w:p>
          <w:p w:rsidR="007B2DC1" w:rsidRPr="00C17C10" w:rsidRDefault="007B2DC1" w:rsidP="00A37ED6">
            <w:pPr>
              <w:rPr>
                <w:rFonts w:asciiTheme="majorHAnsi" w:hAnsiTheme="majorHAnsi" w:cstheme="majorHAnsi"/>
                <w:bCs/>
                <w:sz w:val="20"/>
                <w:szCs w:val="20"/>
              </w:rPr>
            </w:pPr>
            <w:r w:rsidRPr="00C17C10">
              <w:rPr>
                <w:rFonts w:asciiTheme="majorHAnsi" w:hAnsiTheme="majorHAnsi" w:cstheme="majorHAnsi"/>
                <w:bCs/>
                <w:i/>
                <w:sz w:val="20"/>
                <w:szCs w:val="20"/>
              </w:rPr>
              <w:t>Final paper</w:t>
            </w:r>
            <w:r w:rsidRPr="00C17C10">
              <w:rPr>
                <w:rFonts w:asciiTheme="majorHAnsi" w:hAnsiTheme="majorHAnsi" w:cstheme="majorHAnsi"/>
                <w:bCs/>
                <w:sz w:val="20"/>
                <w:szCs w:val="20"/>
              </w:rPr>
              <w:t xml:space="preserve">: Each student will develop and carry out a qualitative research project throughout the course of the semester, including the following steps: </w:t>
            </w:r>
          </w:p>
          <w:p w:rsidR="007B2DC1" w:rsidRPr="00C17C10" w:rsidRDefault="007B2DC1" w:rsidP="00A37ED6">
            <w:pPr>
              <w:pStyle w:val="ListParagraph"/>
              <w:numPr>
                <w:ilvl w:val="0"/>
                <w:numId w:val="160"/>
              </w:numPr>
              <w:rPr>
                <w:rFonts w:asciiTheme="majorHAnsi" w:hAnsiTheme="majorHAnsi" w:cstheme="majorHAnsi"/>
                <w:bCs/>
                <w:szCs w:val="20"/>
              </w:rPr>
            </w:pPr>
            <w:r w:rsidRPr="00C17C10">
              <w:rPr>
                <w:rFonts w:asciiTheme="majorHAnsi" w:hAnsiTheme="majorHAnsi" w:cstheme="majorHAnsi"/>
                <w:bCs/>
                <w:szCs w:val="20"/>
              </w:rPr>
              <w:t xml:space="preserve">Develop a proposal idea and submit for feedback. </w:t>
            </w:r>
          </w:p>
          <w:p w:rsidR="007B2DC1" w:rsidRPr="00C17C10" w:rsidRDefault="007B2DC1" w:rsidP="00A37ED6">
            <w:pPr>
              <w:pStyle w:val="ListParagraph"/>
              <w:numPr>
                <w:ilvl w:val="0"/>
                <w:numId w:val="160"/>
              </w:numPr>
              <w:rPr>
                <w:rFonts w:asciiTheme="majorHAnsi" w:hAnsiTheme="majorHAnsi" w:cstheme="majorHAnsi"/>
                <w:bCs/>
                <w:szCs w:val="20"/>
              </w:rPr>
            </w:pPr>
            <w:r w:rsidRPr="00C17C10">
              <w:rPr>
                <w:rFonts w:asciiTheme="majorHAnsi" w:hAnsiTheme="majorHAnsi" w:cstheme="majorHAnsi"/>
                <w:bCs/>
                <w:szCs w:val="20"/>
              </w:rPr>
              <w:t xml:space="preserve">Incorporate feedback into proposal idea and conduct observations, mapping, and interviews 1, 2, and 3 (described above) based on proposal idea. </w:t>
            </w:r>
          </w:p>
          <w:p w:rsidR="007B2DC1" w:rsidRPr="00C17C10" w:rsidRDefault="007B2DC1" w:rsidP="00A37ED6">
            <w:pPr>
              <w:pStyle w:val="ListParagraph"/>
              <w:numPr>
                <w:ilvl w:val="0"/>
                <w:numId w:val="160"/>
              </w:numPr>
              <w:rPr>
                <w:rFonts w:asciiTheme="majorHAnsi" w:hAnsiTheme="majorHAnsi" w:cstheme="majorHAnsi"/>
                <w:bCs/>
                <w:szCs w:val="20"/>
              </w:rPr>
            </w:pPr>
            <w:r w:rsidRPr="00C17C10">
              <w:rPr>
                <w:rFonts w:asciiTheme="majorHAnsi" w:hAnsiTheme="majorHAnsi" w:cstheme="majorHAnsi"/>
                <w:bCs/>
                <w:szCs w:val="20"/>
              </w:rPr>
              <w:t>Analyze the data collected in the field (maps, fieldnotes, and interviews).</w:t>
            </w:r>
          </w:p>
          <w:p w:rsidR="007B2DC1" w:rsidRPr="00C17C10" w:rsidRDefault="007B2DC1" w:rsidP="00A37ED6">
            <w:pPr>
              <w:pStyle w:val="ListParagraph"/>
              <w:numPr>
                <w:ilvl w:val="0"/>
                <w:numId w:val="160"/>
              </w:numPr>
              <w:rPr>
                <w:rFonts w:asciiTheme="majorHAnsi" w:hAnsiTheme="majorHAnsi" w:cstheme="majorHAnsi"/>
                <w:bCs/>
                <w:szCs w:val="20"/>
              </w:rPr>
            </w:pPr>
            <w:r w:rsidRPr="00C17C10">
              <w:rPr>
                <w:rFonts w:asciiTheme="majorHAnsi" w:hAnsiTheme="majorHAnsi" w:cstheme="majorHAnsi"/>
                <w:bCs/>
                <w:szCs w:val="20"/>
              </w:rPr>
              <w:t>Write a final paper based on the map, fieldnotes, and interviews that highlights two or three themes emerging from the research.</w:t>
            </w:r>
          </w:p>
          <w:p w:rsidR="007B2DC1" w:rsidRPr="00C17C10" w:rsidRDefault="007B2DC1" w:rsidP="00A37ED6">
            <w:pPr>
              <w:pStyle w:val="ListParagraph"/>
              <w:numPr>
                <w:ilvl w:val="0"/>
                <w:numId w:val="160"/>
              </w:numPr>
              <w:rPr>
                <w:rFonts w:asciiTheme="majorHAnsi" w:hAnsiTheme="majorHAnsi" w:cstheme="majorHAnsi"/>
                <w:bCs/>
                <w:szCs w:val="20"/>
              </w:rPr>
            </w:pPr>
            <w:r w:rsidRPr="00C17C10">
              <w:rPr>
                <w:rFonts w:asciiTheme="majorHAnsi" w:hAnsiTheme="majorHAnsi" w:cstheme="majorHAnsi"/>
                <w:bCs/>
                <w:szCs w:val="20"/>
              </w:rPr>
              <w:t>Submit a final paper along with a codebook.</w:t>
            </w:r>
          </w:p>
          <w:p w:rsidR="00C97A49" w:rsidRPr="00C17C10" w:rsidRDefault="00C97A49" w:rsidP="00A37ED6">
            <w:pPr>
              <w:rPr>
                <w:rFonts w:asciiTheme="majorHAnsi" w:hAnsiTheme="majorHAnsi" w:cstheme="majorHAnsi"/>
                <w:bCs/>
                <w:sz w:val="20"/>
                <w:szCs w:val="20"/>
              </w:rPr>
            </w:pPr>
          </w:p>
          <w:p w:rsidR="007B2DC1" w:rsidRPr="00C17C10" w:rsidRDefault="00C97A49" w:rsidP="00A37ED6">
            <w:pPr>
              <w:rPr>
                <w:rFonts w:asciiTheme="majorHAnsi" w:hAnsiTheme="majorHAnsi" w:cstheme="majorHAnsi"/>
                <w:bCs/>
                <w:sz w:val="20"/>
                <w:szCs w:val="20"/>
              </w:rPr>
            </w:pPr>
            <w:r w:rsidRPr="00C17C10">
              <w:rPr>
                <w:rFonts w:asciiTheme="majorHAnsi" w:hAnsiTheme="majorHAnsi" w:cstheme="majorHAnsi"/>
                <w:bCs/>
                <w:i/>
                <w:sz w:val="20"/>
                <w:szCs w:val="20"/>
              </w:rPr>
              <w:t>Class presentation</w:t>
            </w:r>
            <w:r w:rsidRPr="00C17C10">
              <w:rPr>
                <w:rFonts w:asciiTheme="majorHAnsi" w:hAnsiTheme="majorHAnsi" w:cstheme="majorHAnsi"/>
                <w:bCs/>
                <w:sz w:val="20"/>
                <w:szCs w:val="20"/>
              </w:rPr>
              <w:t>: Each student will present the qualitative research they designed, conducted and analyzed in a presentation to the class.</w:t>
            </w:r>
          </w:p>
        </w:tc>
      </w:tr>
      <w:tr w:rsidR="007B2DC1" w:rsidRPr="00C17C10" w:rsidTr="00321053">
        <w:trPr>
          <w:cantSplit/>
          <w:trHeight w:val="1457"/>
        </w:trPr>
        <w:tc>
          <w:tcPr>
            <w:tcW w:w="1105" w:type="pct"/>
            <w:vMerge/>
            <w:shd w:val="clear" w:color="auto" w:fill="auto"/>
            <w:tcMar>
              <w:left w:w="29" w:type="dxa"/>
              <w:right w:w="29" w:type="dxa"/>
            </w:tcMar>
          </w:tcPr>
          <w:p w:rsidR="007B2DC1" w:rsidRPr="00C17C10" w:rsidRDefault="007B2DC1" w:rsidP="00A37ED6">
            <w:pPr>
              <w:rPr>
                <w:rFonts w:asciiTheme="majorHAnsi" w:eastAsia="Times New Roman" w:hAnsiTheme="majorHAnsi" w:cstheme="majorHAnsi"/>
                <w:color w:val="000000"/>
                <w:sz w:val="20"/>
                <w:szCs w:val="20"/>
              </w:rPr>
            </w:pPr>
          </w:p>
        </w:tc>
        <w:tc>
          <w:tcPr>
            <w:tcW w:w="1369" w:type="pct"/>
            <w:shd w:val="clear" w:color="auto" w:fill="auto"/>
            <w:tcMar>
              <w:left w:w="29" w:type="dxa"/>
              <w:right w:w="29" w:type="dxa"/>
            </w:tcMar>
          </w:tcPr>
          <w:p w:rsidR="007B2DC1" w:rsidRPr="00C17C10" w:rsidRDefault="007A5AA7" w:rsidP="00FC4AEF">
            <w:pPr>
              <w:rPr>
                <w:rFonts w:asciiTheme="majorHAnsi" w:eastAsia="Times New Roman" w:hAnsiTheme="majorHAnsi" w:cstheme="majorHAnsi"/>
                <w:color w:val="000000"/>
                <w:sz w:val="20"/>
                <w:szCs w:val="20"/>
              </w:rPr>
            </w:pPr>
            <w:r w:rsidRPr="00C17C10">
              <w:rPr>
                <w:rFonts w:asciiTheme="majorHAnsi" w:hAnsiTheme="majorHAnsi" w:cstheme="majorHAnsi"/>
                <w:b/>
                <w:sz w:val="20"/>
                <w:szCs w:val="20"/>
              </w:rPr>
              <w:t>PHD 3998</w:t>
            </w:r>
            <w:r w:rsidRPr="00C17C10">
              <w:rPr>
                <w:rFonts w:asciiTheme="majorHAnsi" w:hAnsiTheme="majorHAnsi" w:cstheme="majorHAnsi"/>
                <w:sz w:val="20"/>
                <w:szCs w:val="20"/>
              </w:rPr>
              <w:t xml:space="preserve"> Community Based Participatory Research and Community Engagement</w:t>
            </w:r>
            <w:r w:rsidR="007B2DC1" w:rsidRPr="00C17C10">
              <w:rPr>
                <w:rFonts w:asciiTheme="majorHAnsi" w:hAnsiTheme="majorHAnsi" w:cstheme="majorHAnsi"/>
                <w:bCs/>
                <w:sz w:val="20"/>
                <w:szCs w:val="20"/>
              </w:rPr>
              <w:t xml:space="preserve"> </w:t>
            </w:r>
            <w:r w:rsidR="007B2DC1" w:rsidRPr="00C17C10">
              <w:rPr>
                <w:rFonts w:asciiTheme="majorHAnsi" w:hAnsiTheme="majorHAnsi" w:cstheme="majorHAnsi"/>
                <w:bCs/>
                <w:i/>
                <w:sz w:val="20"/>
                <w:szCs w:val="20"/>
              </w:rPr>
              <w:t>(for DrPH in CHP and HPHE)</w:t>
            </w:r>
          </w:p>
        </w:tc>
        <w:tc>
          <w:tcPr>
            <w:tcW w:w="2526" w:type="pct"/>
            <w:shd w:val="clear" w:color="auto" w:fill="auto"/>
            <w:tcMar>
              <w:left w:w="29" w:type="dxa"/>
              <w:right w:w="29" w:type="dxa"/>
            </w:tcMar>
          </w:tcPr>
          <w:p w:rsidR="007B2DC1" w:rsidRPr="00C17C10" w:rsidRDefault="00454285" w:rsidP="00A37ED6">
            <w:pPr>
              <w:rPr>
                <w:rFonts w:asciiTheme="majorHAnsi" w:eastAsia="Times New Roman" w:hAnsiTheme="majorHAnsi" w:cstheme="majorHAnsi"/>
                <w:color w:val="000000"/>
                <w:sz w:val="20"/>
                <w:szCs w:val="20"/>
              </w:rPr>
            </w:pPr>
            <w:r w:rsidRPr="00C17C10">
              <w:rPr>
                <w:rFonts w:asciiTheme="majorHAnsi" w:hAnsiTheme="majorHAnsi" w:cstheme="majorHAnsi"/>
                <w:sz w:val="20"/>
                <w:szCs w:val="20"/>
              </w:rPr>
              <w:t>Final Paper</w:t>
            </w:r>
            <w:r w:rsidR="00C163C8" w:rsidRPr="00C17C10">
              <w:rPr>
                <w:rFonts w:asciiTheme="majorHAnsi" w:hAnsiTheme="majorHAnsi" w:cstheme="majorHAnsi"/>
                <w:bCs/>
                <w:sz w:val="20"/>
                <w:szCs w:val="20"/>
              </w:rPr>
              <w:t>: For their final paper, students prepare proposal to evaluate a system-level policy or program that addresses a public health issue. They must use qualitative, quantitative or mixed methods research methods in their proposal.</w:t>
            </w:r>
          </w:p>
        </w:tc>
      </w:tr>
      <w:tr w:rsidR="0025256D" w:rsidRPr="00C17C10" w:rsidTr="00DE072A">
        <w:trPr>
          <w:cantSplit/>
          <w:trHeight w:val="450"/>
        </w:trPr>
        <w:tc>
          <w:tcPr>
            <w:tcW w:w="1105" w:type="pct"/>
            <w:shd w:val="clear" w:color="auto" w:fill="auto"/>
            <w:tcMar>
              <w:left w:w="29" w:type="dxa"/>
              <w:right w:w="29" w:type="dxa"/>
            </w:tcMar>
          </w:tcPr>
          <w:p w:rsidR="0025256D" w:rsidRPr="00C17C10" w:rsidRDefault="0025256D" w:rsidP="00A37ED6">
            <w:pPr>
              <w:rPr>
                <w:rFonts w:asciiTheme="majorHAnsi" w:eastAsia="Times New Roman" w:hAnsiTheme="majorHAnsi" w:cstheme="majorHAnsi"/>
                <w:color w:val="000000"/>
                <w:sz w:val="20"/>
                <w:szCs w:val="20"/>
              </w:rPr>
            </w:pPr>
            <w:r w:rsidRPr="00C17C10">
              <w:rPr>
                <w:rFonts w:asciiTheme="majorHAnsi" w:eastAsia="Times New Roman" w:hAnsiTheme="majorHAnsi" w:cstheme="majorHAnsi"/>
                <w:sz w:val="20"/>
                <w:szCs w:val="20"/>
              </w:rPr>
              <w:t>DrPH-3. Explain the use and limitations of surveillance systems and national surveys in assessing, monitoring and evaluating policies and programs and to address a population’s health</w:t>
            </w:r>
          </w:p>
        </w:tc>
        <w:tc>
          <w:tcPr>
            <w:tcW w:w="1369" w:type="pct"/>
            <w:shd w:val="clear" w:color="auto" w:fill="auto"/>
            <w:tcMar>
              <w:left w:w="29" w:type="dxa"/>
              <w:right w:w="29" w:type="dxa"/>
            </w:tcMar>
          </w:tcPr>
          <w:p w:rsidR="0025256D" w:rsidRPr="00C17C10" w:rsidRDefault="007A5AA7" w:rsidP="00FC4AEF">
            <w:pPr>
              <w:rPr>
                <w:rFonts w:asciiTheme="majorHAnsi" w:hAnsiTheme="majorHAnsi" w:cstheme="majorHAnsi"/>
                <w:b/>
                <w:bCs/>
                <w:sz w:val="20"/>
                <w:szCs w:val="20"/>
              </w:rPr>
            </w:pPr>
            <w:r w:rsidRPr="00C17C10">
              <w:rPr>
                <w:rFonts w:asciiTheme="majorHAnsi" w:hAnsiTheme="majorHAnsi" w:cstheme="majorHAnsi"/>
                <w:b/>
                <w:sz w:val="20"/>
                <w:szCs w:val="20"/>
              </w:rPr>
              <w:t>PHD 1120</w:t>
            </w:r>
            <w:r w:rsidRPr="00C17C10">
              <w:rPr>
                <w:rFonts w:asciiTheme="majorHAnsi" w:hAnsiTheme="majorHAnsi" w:cstheme="majorHAnsi"/>
                <w:sz w:val="20"/>
                <w:szCs w:val="20"/>
              </w:rPr>
              <w:t xml:space="preserve"> Program Evaluation</w:t>
            </w:r>
            <w:r w:rsidR="000B570B" w:rsidRPr="00C17C10">
              <w:rPr>
                <w:rFonts w:asciiTheme="majorHAnsi" w:hAnsiTheme="majorHAnsi" w:cstheme="majorHAnsi"/>
                <w:bCs/>
                <w:sz w:val="20"/>
                <w:szCs w:val="20"/>
              </w:rPr>
              <w:t xml:space="preserve"> </w:t>
            </w:r>
            <w:r w:rsidR="000B570B" w:rsidRPr="00C17C10">
              <w:rPr>
                <w:rFonts w:asciiTheme="majorHAnsi" w:hAnsiTheme="majorHAnsi" w:cstheme="majorHAnsi"/>
                <w:bCs/>
                <w:i/>
                <w:sz w:val="20"/>
                <w:szCs w:val="20"/>
              </w:rPr>
              <w:t>(for DrPH in CHP and HPHE)</w:t>
            </w:r>
          </w:p>
        </w:tc>
        <w:tc>
          <w:tcPr>
            <w:tcW w:w="2526" w:type="pct"/>
            <w:shd w:val="clear" w:color="auto" w:fill="auto"/>
            <w:tcMar>
              <w:left w:w="29" w:type="dxa"/>
              <w:right w:w="29" w:type="dxa"/>
            </w:tcMar>
          </w:tcPr>
          <w:p w:rsidR="0025256D" w:rsidRPr="00C17C10" w:rsidRDefault="0057229A" w:rsidP="00A37ED6">
            <w:pPr>
              <w:rPr>
                <w:rFonts w:asciiTheme="majorHAnsi" w:hAnsiTheme="majorHAnsi" w:cstheme="majorHAnsi"/>
                <w:b/>
                <w:bCs/>
                <w:sz w:val="20"/>
                <w:szCs w:val="20"/>
              </w:rPr>
            </w:pPr>
            <w:r w:rsidRPr="00C17C10">
              <w:rPr>
                <w:rFonts w:asciiTheme="majorHAnsi" w:hAnsiTheme="majorHAnsi" w:cstheme="majorHAnsi"/>
                <w:sz w:val="20"/>
                <w:szCs w:val="20"/>
              </w:rPr>
              <w:t>Surveillance and National Surveys Assignment</w:t>
            </w:r>
            <w:r w:rsidR="00813727" w:rsidRPr="00C17C10">
              <w:rPr>
                <w:rFonts w:asciiTheme="majorHAnsi" w:hAnsiTheme="majorHAnsi" w:cstheme="majorHAnsi"/>
                <w:bCs/>
                <w:sz w:val="20"/>
                <w:szCs w:val="20"/>
              </w:rPr>
              <w:t xml:space="preserve"> and </w:t>
            </w:r>
            <w:r w:rsidRPr="00C17C10">
              <w:rPr>
                <w:rFonts w:asciiTheme="majorHAnsi" w:hAnsiTheme="majorHAnsi" w:cstheme="majorHAnsi"/>
                <w:sz w:val="20"/>
                <w:szCs w:val="20"/>
              </w:rPr>
              <w:t>Rubric</w:t>
            </w:r>
            <w:r w:rsidR="00813727" w:rsidRPr="00C17C10">
              <w:rPr>
                <w:rFonts w:asciiTheme="majorHAnsi" w:hAnsiTheme="majorHAnsi" w:cstheme="majorHAnsi"/>
                <w:bCs/>
                <w:sz w:val="20"/>
                <w:szCs w:val="20"/>
              </w:rPr>
              <w:t xml:space="preserve">: </w:t>
            </w:r>
            <w:r w:rsidR="0025256D" w:rsidRPr="00C17C10">
              <w:rPr>
                <w:rFonts w:asciiTheme="majorHAnsi" w:hAnsiTheme="majorHAnsi" w:cstheme="majorHAnsi"/>
                <w:bCs/>
                <w:sz w:val="20"/>
                <w:szCs w:val="20"/>
              </w:rPr>
              <w:t>Students will complete a short answer assignment</w:t>
            </w:r>
            <w:r w:rsidR="00F36007" w:rsidRPr="00C17C10">
              <w:rPr>
                <w:rFonts w:asciiTheme="majorHAnsi" w:hAnsiTheme="majorHAnsi" w:cstheme="majorHAnsi"/>
                <w:bCs/>
                <w:sz w:val="20"/>
                <w:szCs w:val="20"/>
              </w:rPr>
              <w:t>,</w:t>
            </w:r>
            <w:r w:rsidR="0025256D" w:rsidRPr="00C17C10">
              <w:rPr>
                <w:rFonts w:asciiTheme="majorHAnsi" w:hAnsiTheme="majorHAnsi" w:cstheme="majorHAnsi"/>
                <w:bCs/>
                <w:sz w:val="20"/>
                <w:szCs w:val="20"/>
              </w:rPr>
              <w:t xml:space="preserve"> which will assess their ability to explain the use and limitations of surveillance systems and national surveys in assessing, monitoring and evaluating policies and programs and to address a population’s health for a selected public health topic.</w:t>
            </w:r>
          </w:p>
        </w:tc>
      </w:tr>
      <w:tr w:rsidR="007B2DC1" w:rsidRPr="00C17C10" w:rsidTr="00DE072A">
        <w:trPr>
          <w:cantSplit/>
          <w:trHeight w:val="287"/>
        </w:trPr>
        <w:tc>
          <w:tcPr>
            <w:tcW w:w="5000" w:type="pct"/>
            <w:gridSpan w:val="3"/>
            <w:shd w:val="clear" w:color="auto" w:fill="D9D9D9" w:themeFill="background1" w:themeFillShade="D9"/>
            <w:tcMar>
              <w:left w:w="29" w:type="dxa"/>
              <w:right w:w="29" w:type="dxa"/>
            </w:tcMar>
          </w:tcPr>
          <w:p w:rsidR="007B2DC1" w:rsidRPr="00C17C10" w:rsidRDefault="007B2DC1" w:rsidP="00A37ED6">
            <w:pPr>
              <w:rPr>
                <w:rFonts w:asciiTheme="majorHAnsi" w:hAnsiTheme="majorHAnsi" w:cstheme="majorHAnsi"/>
                <w:b/>
                <w:bCs/>
                <w:sz w:val="20"/>
                <w:szCs w:val="20"/>
              </w:rPr>
            </w:pPr>
            <w:r w:rsidRPr="00C17C10">
              <w:rPr>
                <w:rFonts w:asciiTheme="majorHAnsi" w:eastAsia="Times New Roman" w:hAnsiTheme="majorHAnsi" w:cstheme="majorHAnsi"/>
                <w:b/>
                <w:bCs/>
                <w:sz w:val="20"/>
                <w:szCs w:val="20"/>
              </w:rPr>
              <w:t>Leadership, Management &amp; Governance</w:t>
            </w:r>
          </w:p>
        </w:tc>
      </w:tr>
      <w:tr w:rsidR="007B2DC1" w:rsidRPr="00C17C10" w:rsidTr="00DE072A">
        <w:trPr>
          <w:cantSplit/>
          <w:trHeight w:val="450"/>
        </w:trPr>
        <w:tc>
          <w:tcPr>
            <w:tcW w:w="1105" w:type="pct"/>
            <w:vMerge w:val="restart"/>
            <w:shd w:val="clear" w:color="auto" w:fill="auto"/>
            <w:tcMar>
              <w:left w:w="29" w:type="dxa"/>
              <w:right w:w="29" w:type="dxa"/>
            </w:tcMar>
          </w:tcPr>
          <w:p w:rsidR="007B2DC1" w:rsidRPr="00C17C10" w:rsidRDefault="007B2DC1" w:rsidP="00A37ED6">
            <w:pPr>
              <w:rPr>
                <w:rFonts w:asciiTheme="majorHAnsi" w:eastAsia="Times New Roman" w:hAnsiTheme="majorHAnsi" w:cstheme="majorHAnsi"/>
                <w:color w:val="000000"/>
                <w:sz w:val="20"/>
                <w:szCs w:val="20"/>
              </w:rPr>
            </w:pPr>
            <w:r w:rsidRPr="00C17C10">
              <w:rPr>
                <w:rFonts w:asciiTheme="majorHAnsi" w:eastAsia="Times New Roman" w:hAnsiTheme="majorHAnsi" w:cstheme="majorHAnsi"/>
                <w:sz w:val="20"/>
                <w:szCs w:val="20"/>
              </w:rPr>
              <w:t>DrPH-4. Propose strategies for health improvement and elimination of health inequities by organizing stakeholders, including researchers, practitioners, community leaders and other partners</w:t>
            </w:r>
          </w:p>
        </w:tc>
        <w:tc>
          <w:tcPr>
            <w:tcW w:w="1369" w:type="pct"/>
            <w:shd w:val="clear" w:color="auto" w:fill="auto"/>
            <w:tcMar>
              <w:left w:w="29" w:type="dxa"/>
              <w:right w:w="29" w:type="dxa"/>
            </w:tcMar>
          </w:tcPr>
          <w:p w:rsidR="007B2DC1" w:rsidRPr="00C17C10" w:rsidRDefault="007A5AA7" w:rsidP="00FC4AEF">
            <w:pPr>
              <w:rPr>
                <w:rFonts w:asciiTheme="majorHAnsi" w:hAnsiTheme="majorHAnsi" w:cstheme="majorHAnsi"/>
                <w:b/>
                <w:bCs/>
                <w:sz w:val="20"/>
                <w:szCs w:val="20"/>
              </w:rPr>
            </w:pPr>
            <w:r w:rsidRPr="00C17C10">
              <w:rPr>
                <w:rFonts w:asciiTheme="majorHAnsi" w:hAnsiTheme="majorHAnsi" w:cstheme="majorHAnsi"/>
                <w:b/>
                <w:sz w:val="20"/>
                <w:szCs w:val="20"/>
              </w:rPr>
              <w:t>PHD 1113</w:t>
            </w:r>
            <w:r w:rsidRPr="00C17C10">
              <w:rPr>
                <w:rFonts w:asciiTheme="majorHAnsi" w:hAnsiTheme="majorHAnsi" w:cstheme="majorHAnsi"/>
                <w:sz w:val="20"/>
                <w:szCs w:val="20"/>
              </w:rPr>
              <w:t xml:space="preserve"> Advanced Methods in Health Promotion Planning and Implementation (Intervention Mapping)</w:t>
            </w:r>
            <w:r w:rsidR="000B570B" w:rsidRPr="00C17C10">
              <w:rPr>
                <w:rFonts w:asciiTheme="majorHAnsi" w:hAnsiTheme="majorHAnsi" w:cstheme="majorHAnsi"/>
                <w:bCs/>
                <w:sz w:val="20"/>
                <w:szCs w:val="20"/>
              </w:rPr>
              <w:t xml:space="preserve"> </w:t>
            </w:r>
            <w:r w:rsidR="000B570B" w:rsidRPr="00C17C10">
              <w:rPr>
                <w:rFonts w:asciiTheme="majorHAnsi" w:hAnsiTheme="majorHAnsi" w:cstheme="majorHAnsi"/>
                <w:bCs/>
                <w:i/>
                <w:sz w:val="20"/>
                <w:szCs w:val="20"/>
              </w:rPr>
              <w:t>(for DrPH in HPHE)</w:t>
            </w:r>
          </w:p>
        </w:tc>
        <w:tc>
          <w:tcPr>
            <w:tcW w:w="2526" w:type="pct"/>
            <w:shd w:val="clear" w:color="auto" w:fill="auto"/>
            <w:tcMar>
              <w:left w:w="29" w:type="dxa"/>
              <w:right w:w="29" w:type="dxa"/>
            </w:tcMar>
          </w:tcPr>
          <w:p w:rsidR="007B2DC1" w:rsidRPr="00C17C10" w:rsidRDefault="000B7962" w:rsidP="00A37ED6">
            <w:pPr>
              <w:rPr>
                <w:rFonts w:asciiTheme="majorHAnsi" w:hAnsiTheme="majorHAnsi" w:cstheme="majorHAnsi"/>
                <w:bCs/>
                <w:sz w:val="20"/>
                <w:szCs w:val="20"/>
              </w:rPr>
            </w:pPr>
            <w:r w:rsidRPr="00C17C10">
              <w:rPr>
                <w:rFonts w:asciiTheme="majorHAnsi" w:hAnsiTheme="majorHAnsi" w:cstheme="majorHAnsi"/>
                <w:sz w:val="20"/>
                <w:szCs w:val="20"/>
              </w:rPr>
              <w:t>Exam 1, Q1</w:t>
            </w:r>
            <w:r w:rsidR="00A1129B" w:rsidRPr="00C17C10">
              <w:rPr>
                <w:rFonts w:asciiTheme="majorHAnsi" w:hAnsiTheme="majorHAnsi" w:cstheme="majorHAnsi"/>
                <w:sz w:val="20"/>
                <w:szCs w:val="20"/>
              </w:rPr>
              <w:t xml:space="preserve"> </w:t>
            </w:r>
            <w:r w:rsidR="00A1129B" w:rsidRPr="00C17C10">
              <w:rPr>
                <w:rFonts w:asciiTheme="majorHAnsi" w:hAnsiTheme="majorHAnsi" w:cstheme="majorHAnsi"/>
                <w:bCs/>
                <w:sz w:val="20"/>
                <w:szCs w:val="20"/>
              </w:rPr>
              <w:t xml:space="preserve">(and </w:t>
            </w:r>
            <w:r w:rsidRPr="00C17C10">
              <w:rPr>
                <w:rFonts w:asciiTheme="majorHAnsi" w:hAnsiTheme="majorHAnsi" w:cstheme="majorHAnsi"/>
                <w:sz w:val="20"/>
                <w:szCs w:val="20"/>
              </w:rPr>
              <w:t>Grading Sheet</w:t>
            </w:r>
            <w:r w:rsidR="00A1129B" w:rsidRPr="00C17C10">
              <w:rPr>
                <w:rFonts w:asciiTheme="majorHAnsi" w:hAnsiTheme="majorHAnsi" w:cstheme="majorHAnsi"/>
                <w:bCs/>
                <w:sz w:val="20"/>
                <w:szCs w:val="20"/>
              </w:rPr>
              <w:t>):</w:t>
            </w:r>
            <w:r w:rsidR="007B2DC1" w:rsidRPr="00C17C10">
              <w:rPr>
                <w:rFonts w:asciiTheme="majorHAnsi" w:hAnsiTheme="majorHAnsi" w:cstheme="majorHAnsi"/>
                <w:sz w:val="20"/>
                <w:szCs w:val="20"/>
              </w:rPr>
              <w:t xml:space="preserve"> In a table format, list the type of interprofessional organizations and title or description of types of members in your planning group, taking into consideration your population and health issue. Briefly describe the core processes you would use to engage them in health improvement assessment and planning.</w:t>
            </w:r>
          </w:p>
        </w:tc>
      </w:tr>
      <w:tr w:rsidR="007B2DC1" w:rsidRPr="00C17C10" w:rsidTr="00DE072A">
        <w:trPr>
          <w:cantSplit/>
          <w:trHeight w:val="450"/>
        </w:trPr>
        <w:tc>
          <w:tcPr>
            <w:tcW w:w="1105" w:type="pct"/>
            <w:vMerge/>
            <w:shd w:val="clear" w:color="auto" w:fill="auto"/>
            <w:tcMar>
              <w:left w:w="29" w:type="dxa"/>
              <w:right w:w="29" w:type="dxa"/>
            </w:tcMar>
          </w:tcPr>
          <w:p w:rsidR="007B2DC1" w:rsidRPr="00C17C10" w:rsidRDefault="007B2DC1" w:rsidP="00A37ED6">
            <w:pPr>
              <w:rPr>
                <w:rFonts w:asciiTheme="majorHAnsi" w:eastAsia="Times New Roman" w:hAnsiTheme="majorHAnsi" w:cstheme="majorHAnsi"/>
                <w:color w:val="000000"/>
                <w:sz w:val="20"/>
                <w:szCs w:val="20"/>
              </w:rPr>
            </w:pPr>
          </w:p>
        </w:tc>
        <w:tc>
          <w:tcPr>
            <w:tcW w:w="1369" w:type="pct"/>
            <w:shd w:val="clear" w:color="auto" w:fill="auto"/>
            <w:tcMar>
              <w:left w:w="29" w:type="dxa"/>
              <w:right w:w="29" w:type="dxa"/>
            </w:tcMar>
          </w:tcPr>
          <w:p w:rsidR="007B2DC1" w:rsidRPr="00C17C10" w:rsidRDefault="007A5AA7" w:rsidP="00FC4AEF">
            <w:pPr>
              <w:rPr>
                <w:rFonts w:asciiTheme="majorHAnsi" w:hAnsiTheme="majorHAnsi" w:cstheme="majorHAnsi"/>
                <w:b/>
                <w:bCs/>
                <w:sz w:val="20"/>
                <w:szCs w:val="20"/>
                <w:highlight w:val="yellow"/>
              </w:rPr>
            </w:pPr>
            <w:r w:rsidRPr="00C17C10">
              <w:rPr>
                <w:rFonts w:asciiTheme="majorHAnsi" w:hAnsiTheme="majorHAnsi" w:cstheme="majorHAnsi"/>
                <w:b/>
                <w:sz w:val="20"/>
                <w:szCs w:val="20"/>
              </w:rPr>
              <w:t>PHD 3998</w:t>
            </w:r>
            <w:r w:rsidRPr="00C17C10">
              <w:rPr>
                <w:rFonts w:asciiTheme="majorHAnsi" w:hAnsiTheme="majorHAnsi" w:cstheme="majorHAnsi"/>
                <w:sz w:val="20"/>
                <w:szCs w:val="20"/>
              </w:rPr>
              <w:t xml:space="preserve"> Community Based Participatory Research and Community Engagement</w:t>
            </w:r>
            <w:r w:rsidR="0075437C" w:rsidRPr="00C17C10">
              <w:rPr>
                <w:rFonts w:asciiTheme="majorHAnsi" w:hAnsiTheme="majorHAnsi" w:cstheme="majorHAnsi"/>
                <w:bCs/>
                <w:sz w:val="20"/>
                <w:szCs w:val="20"/>
              </w:rPr>
              <w:t xml:space="preserve"> </w:t>
            </w:r>
            <w:r w:rsidR="0075437C" w:rsidRPr="00C17C10">
              <w:rPr>
                <w:rFonts w:asciiTheme="majorHAnsi" w:hAnsiTheme="majorHAnsi" w:cstheme="majorHAnsi"/>
                <w:bCs/>
                <w:i/>
                <w:sz w:val="20"/>
                <w:szCs w:val="20"/>
              </w:rPr>
              <w:t>(for DrPH in CHP and HPHE)</w:t>
            </w:r>
          </w:p>
        </w:tc>
        <w:tc>
          <w:tcPr>
            <w:tcW w:w="2526" w:type="pct"/>
            <w:shd w:val="clear" w:color="auto" w:fill="auto"/>
            <w:tcMar>
              <w:left w:w="29" w:type="dxa"/>
              <w:right w:w="29" w:type="dxa"/>
            </w:tcMar>
          </w:tcPr>
          <w:p w:rsidR="007B2DC1" w:rsidRPr="00C17C10" w:rsidRDefault="00694CD9" w:rsidP="00A37ED6">
            <w:pPr>
              <w:rPr>
                <w:rFonts w:asciiTheme="majorHAnsi" w:hAnsiTheme="majorHAnsi" w:cstheme="majorHAnsi"/>
                <w:b/>
                <w:bCs/>
                <w:sz w:val="20"/>
                <w:szCs w:val="20"/>
                <w:highlight w:val="yellow"/>
              </w:rPr>
            </w:pPr>
            <w:r w:rsidRPr="00C17C10">
              <w:rPr>
                <w:rFonts w:asciiTheme="majorHAnsi" w:hAnsiTheme="majorHAnsi" w:cstheme="majorHAnsi"/>
                <w:sz w:val="20"/>
                <w:szCs w:val="20"/>
              </w:rPr>
              <w:t>Community Meetings</w:t>
            </w:r>
            <w:r w:rsidR="0039669E" w:rsidRPr="00C17C10">
              <w:rPr>
                <w:rFonts w:asciiTheme="majorHAnsi" w:hAnsiTheme="majorHAnsi" w:cstheme="majorHAnsi"/>
                <w:bCs/>
                <w:sz w:val="20"/>
                <w:szCs w:val="20"/>
              </w:rPr>
              <w:t>:</w:t>
            </w:r>
            <w:r w:rsidR="0039669E" w:rsidRPr="00C17C10">
              <w:rPr>
                <w:rFonts w:asciiTheme="majorHAnsi" w:hAnsiTheme="majorHAnsi" w:cstheme="majorHAnsi"/>
                <w:b/>
                <w:bCs/>
                <w:sz w:val="20"/>
                <w:szCs w:val="20"/>
              </w:rPr>
              <w:t xml:space="preserve"> </w:t>
            </w:r>
            <w:r w:rsidR="0039669E" w:rsidRPr="00C17C10">
              <w:rPr>
                <w:rFonts w:asciiTheme="majorHAnsi" w:hAnsiTheme="majorHAnsi" w:cstheme="majorHAnsi"/>
                <w:bCs/>
                <w:sz w:val="20"/>
                <w:szCs w:val="20"/>
              </w:rPr>
              <w:t>Students attend four community meetings related to public health topics throughout the semester. Students write summaries of each of the meetings that assesses if the meeting is representative of the target population and if the collaboration is meeting its goals. For the fourth summary, students propose a least two strategies to promote inclusion and equity within the disparity topic students choose to focus on for the semester. Students also propose two strategies to improve or eliminate health inequities of their chosen topic by organizing stakeholders that include researchers, practitioners, community members, and other partners.</w:t>
            </w:r>
          </w:p>
        </w:tc>
      </w:tr>
      <w:tr w:rsidR="007B2DC1" w:rsidRPr="00C17C10" w:rsidTr="00DE072A">
        <w:trPr>
          <w:cantSplit/>
          <w:trHeight w:val="450"/>
        </w:trPr>
        <w:tc>
          <w:tcPr>
            <w:tcW w:w="1105" w:type="pct"/>
            <w:shd w:val="clear" w:color="auto" w:fill="auto"/>
            <w:tcMar>
              <w:left w:w="29" w:type="dxa"/>
              <w:right w:w="29" w:type="dxa"/>
            </w:tcMar>
          </w:tcPr>
          <w:p w:rsidR="007B2DC1" w:rsidRPr="00C17C10" w:rsidRDefault="007B2DC1" w:rsidP="00A37ED6">
            <w:pPr>
              <w:rPr>
                <w:rFonts w:asciiTheme="majorHAnsi" w:eastAsia="Times New Roman" w:hAnsiTheme="majorHAnsi" w:cstheme="majorHAnsi"/>
                <w:color w:val="000000"/>
                <w:sz w:val="20"/>
                <w:szCs w:val="20"/>
              </w:rPr>
            </w:pPr>
            <w:r w:rsidRPr="00C17C10">
              <w:rPr>
                <w:rFonts w:asciiTheme="majorHAnsi" w:eastAsia="Times New Roman" w:hAnsiTheme="majorHAnsi" w:cstheme="majorHAnsi"/>
                <w:sz w:val="20"/>
                <w:szCs w:val="20"/>
              </w:rPr>
              <w:t>DrPH-5. Communicate public health science to diverse stakeholders, including individuals at all levels of health literacy, for purposes of influencing behavior and policies</w:t>
            </w:r>
          </w:p>
        </w:tc>
        <w:tc>
          <w:tcPr>
            <w:tcW w:w="1369" w:type="pct"/>
            <w:shd w:val="clear" w:color="auto" w:fill="auto"/>
            <w:tcMar>
              <w:left w:w="29" w:type="dxa"/>
              <w:right w:w="29" w:type="dxa"/>
            </w:tcMar>
          </w:tcPr>
          <w:p w:rsidR="007B2DC1" w:rsidRPr="00C17C10" w:rsidRDefault="007A5AA7" w:rsidP="00FC4AEF">
            <w:pPr>
              <w:rPr>
                <w:rFonts w:asciiTheme="majorHAnsi" w:hAnsiTheme="majorHAnsi" w:cstheme="majorHAnsi"/>
                <w:b/>
                <w:bCs/>
                <w:sz w:val="20"/>
                <w:szCs w:val="20"/>
                <w:highlight w:val="yellow"/>
              </w:rPr>
            </w:pPr>
            <w:r w:rsidRPr="00C17C10">
              <w:rPr>
                <w:rFonts w:asciiTheme="majorHAnsi" w:hAnsiTheme="majorHAnsi" w:cstheme="majorHAnsi"/>
                <w:b/>
                <w:sz w:val="20"/>
                <w:szCs w:val="20"/>
              </w:rPr>
              <w:t>PHD 3998</w:t>
            </w:r>
            <w:r w:rsidRPr="00C17C10">
              <w:rPr>
                <w:rFonts w:asciiTheme="majorHAnsi" w:hAnsiTheme="majorHAnsi" w:cstheme="majorHAnsi"/>
                <w:sz w:val="20"/>
                <w:szCs w:val="20"/>
              </w:rPr>
              <w:t xml:space="preserve"> Community Based Participatory Research and Community Engagement</w:t>
            </w:r>
            <w:r w:rsidR="0075437C" w:rsidRPr="00C17C10">
              <w:rPr>
                <w:rFonts w:asciiTheme="majorHAnsi" w:hAnsiTheme="majorHAnsi" w:cstheme="majorHAnsi"/>
                <w:bCs/>
                <w:sz w:val="20"/>
                <w:szCs w:val="20"/>
              </w:rPr>
              <w:t xml:space="preserve"> </w:t>
            </w:r>
            <w:r w:rsidR="0075437C" w:rsidRPr="00C17C10">
              <w:rPr>
                <w:rFonts w:asciiTheme="majorHAnsi" w:hAnsiTheme="majorHAnsi" w:cstheme="majorHAnsi"/>
                <w:bCs/>
                <w:i/>
                <w:sz w:val="20"/>
                <w:szCs w:val="20"/>
              </w:rPr>
              <w:t>(for DrPH in CHP and HPHE)</w:t>
            </w:r>
          </w:p>
        </w:tc>
        <w:tc>
          <w:tcPr>
            <w:tcW w:w="2526" w:type="pct"/>
            <w:shd w:val="clear" w:color="auto" w:fill="auto"/>
            <w:tcMar>
              <w:left w:w="29" w:type="dxa"/>
              <w:right w:w="29" w:type="dxa"/>
            </w:tcMar>
          </w:tcPr>
          <w:p w:rsidR="0039669E" w:rsidRPr="00C17C10" w:rsidRDefault="00B663E0" w:rsidP="00A37ED6">
            <w:pPr>
              <w:rPr>
                <w:rFonts w:asciiTheme="majorHAnsi" w:hAnsiTheme="majorHAnsi" w:cstheme="majorHAnsi"/>
                <w:bCs/>
                <w:sz w:val="20"/>
                <w:szCs w:val="20"/>
              </w:rPr>
            </w:pPr>
            <w:r w:rsidRPr="00C17C10">
              <w:rPr>
                <w:rFonts w:asciiTheme="majorHAnsi" w:hAnsiTheme="majorHAnsi" w:cstheme="majorHAnsi"/>
                <w:sz w:val="20"/>
                <w:szCs w:val="20"/>
              </w:rPr>
              <w:t>Presentations</w:t>
            </w:r>
            <w:r w:rsidR="0039669E" w:rsidRPr="00C17C10">
              <w:rPr>
                <w:rFonts w:asciiTheme="majorHAnsi" w:hAnsiTheme="majorHAnsi" w:cstheme="majorHAnsi"/>
                <w:bCs/>
                <w:sz w:val="20"/>
                <w:szCs w:val="20"/>
              </w:rPr>
              <w:t>:</w:t>
            </w:r>
            <w:r w:rsidR="0039669E" w:rsidRPr="00C17C10">
              <w:rPr>
                <w:rFonts w:asciiTheme="majorHAnsi" w:hAnsiTheme="majorHAnsi" w:cstheme="majorHAnsi"/>
                <w:b/>
                <w:bCs/>
                <w:sz w:val="20"/>
                <w:szCs w:val="20"/>
              </w:rPr>
              <w:t xml:space="preserve"> </w:t>
            </w:r>
            <w:r w:rsidR="0039669E" w:rsidRPr="00C17C10">
              <w:rPr>
                <w:rFonts w:asciiTheme="majorHAnsi" w:hAnsiTheme="majorHAnsi" w:cstheme="majorHAnsi"/>
                <w:bCs/>
                <w:sz w:val="20"/>
                <w:szCs w:val="20"/>
              </w:rPr>
              <w:t>Students prepare an educational or advocacy-related presentation to a community meeting that includes diverse stakeholders. Students must consider the audience characteristics including the literacy levels of the audience.</w:t>
            </w:r>
          </w:p>
          <w:p w:rsidR="007B2DC1" w:rsidRPr="00C17C10" w:rsidRDefault="007B2DC1" w:rsidP="00A37ED6">
            <w:pPr>
              <w:rPr>
                <w:rFonts w:asciiTheme="majorHAnsi" w:hAnsiTheme="majorHAnsi" w:cstheme="majorHAnsi"/>
                <w:b/>
                <w:bCs/>
                <w:sz w:val="20"/>
                <w:szCs w:val="20"/>
                <w:highlight w:val="yellow"/>
              </w:rPr>
            </w:pPr>
          </w:p>
        </w:tc>
      </w:tr>
      <w:tr w:rsidR="007B2DC1" w:rsidRPr="00C17C10" w:rsidTr="00DE072A">
        <w:trPr>
          <w:cantSplit/>
          <w:trHeight w:val="450"/>
        </w:trPr>
        <w:tc>
          <w:tcPr>
            <w:tcW w:w="1105" w:type="pct"/>
            <w:shd w:val="clear" w:color="auto" w:fill="auto"/>
            <w:tcMar>
              <w:left w:w="29" w:type="dxa"/>
              <w:right w:w="29" w:type="dxa"/>
            </w:tcMar>
          </w:tcPr>
          <w:p w:rsidR="007B2DC1" w:rsidRPr="00C17C10" w:rsidRDefault="007B2DC1" w:rsidP="00A37ED6">
            <w:pPr>
              <w:rPr>
                <w:rFonts w:asciiTheme="majorHAnsi" w:eastAsia="Times New Roman" w:hAnsiTheme="majorHAnsi" w:cstheme="majorHAnsi"/>
                <w:color w:val="000000"/>
                <w:sz w:val="20"/>
                <w:szCs w:val="20"/>
              </w:rPr>
            </w:pPr>
            <w:r w:rsidRPr="00C17C10">
              <w:rPr>
                <w:rFonts w:asciiTheme="majorHAnsi" w:eastAsia="Times New Roman" w:hAnsiTheme="majorHAnsi" w:cstheme="majorHAnsi"/>
                <w:sz w:val="20"/>
                <w:szCs w:val="20"/>
              </w:rPr>
              <w:t>DrPH-6. Integrate knowledge, approaches, methods, values and potential contributions from multiple professions and systems in addressing public health problems</w:t>
            </w:r>
          </w:p>
        </w:tc>
        <w:tc>
          <w:tcPr>
            <w:tcW w:w="1369" w:type="pct"/>
            <w:shd w:val="clear" w:color="auto" w:fill="auto"/>
            <w:tcMar>
              <w:left w:w="29" w:type="dxa"/>
              <w:right w:w="29" w:type="dxa"/>
            </w:tcMar>
          </w:tcPr>
          <w:p w:rsidR="007B2DC1" w:rsidRPr="00C17C10" w:rsidRDefault="008472D2" w:rsidP="00FC4AEF">
            <w:pPr>
              <w:rPr>
                <w:rFonts w:asciiTheme="majorHAnsi" w:hAnsiTheme="majorHAnsi" w:cstheme="majorHAnsi"/>
                <w:b/>
                <w:bCs/>
                <w:sz w:val="20"/>
                <w:szCs w:val="20"/>
              </w:rPr>
            </w:pPr>
            <w:r w:rsidRPr="00C17C10">
              <w:rPr>
                <w:rFonts w:asciiTheme="majorHAnsi" w:hAnsiTheme="majorHAnsi" w:cstheme="majorHAnsi"/>
                <w:b/>
                <w:sz w:val="20"/>
                <w:szCs w:val="20"/>
              </w:rPr>
              <w:t>PHD 3801</w:t>
            </w:r>
            <w:r w:rsidRPr="00C17C10">
              <w:rPr>
                <w:rFonts w:asciiTheme="majorHAnsi" w:hAnsiTheme="majorHAnsi" w:cstheme="majorHAnsi"/>
                <w:sz w:val="20"/>
                <w:szCs w:val="20"/>
              </w:rPr>
              <w:t xml:space="preserve"> Community Based Grant Writing Workshop</w:t>
            </w:r>
            <w:r w:rsidR="007B2DC1" w:rsidRPr="00C17C10">
              <w:rPr>
                <w:rFonts w:asciiTheme="majorHAnsi" w:hAnsiTheme="majorHAnsi" w:cstheme="majorHAnsi"/>
                <w:bCs/>
                <w:sz w:val="20"/>
                <w:szCs w:val="20"/>
              </w:rPr>
              <w:t xml:space="preserve"> </w:t>
            </w:r>
            <w:r w:rsidR="007B2DC1" w:rsidRPr="00C17C10">
              <w:rPr>
                <w:rFonts w:asciiTheme="majorHAnsi" w:hAnsiTheme="majorHAnsi" w:cstheme="majorHAnsi"/>
                <w:bCs/>
                <w:i/>
                <w:sz w:val="20"/>
                <w:szCs w:val="20"/>
              </w:rPr>
              <w:t>(for DrPH in CHP and HPHE)</w:t>
            </w:r>
          </w:p>
        </w:tc>
        <w:tc>
          <w:tcPr>
            <w:tcW w:w="2526" w:type="pct"/>
            <w:shd w:val="clear" w:color="auto" w:fill="auto"/>
            <w:tcMar>
              <w:left w:w="29" w:type="dxa"/>
              <w:right w:w="29" w:type="dxa"/>
            </w:tcMar>
          </w:tcPr>
          <w:p w:rsidR="007B2DC1" w:rsidRPr="00C17C10" w:rsidRDefault="00F37143" w:rsidP="00A37ED6">
            <w:pPr>
              <w:rPr>
                <w:rFonts w:asciiTheme="majorHAnsi" w:hAnsiTheme="majorHAnsi" w:cstheme="majorHAnsi"/>
                <w:sz w:val="20"/>
                <w:szCs w:val="20"/>
              </w:rPr>
            </w:pPr>
            <w:r w:rsidRPr="00C17C10">
              <w:rPr>
                <w:rFonts w:asciiTheme="majorHAnsi" w:hAnsiTheme="majorHAnsi" w:cstheme="majorHAnsi"/>
                <w:sz w:val="20"/>
                <w:szCs w:val="20"/>
              </w:rPr>
              <w:t>Grant Application</w:t>
            </w:r>
            <w:r w:rsidR="00AE7678" w:rsidRPr="00C17C10">
              <w:rPr>
                <w:rFonts w:asciiTheme="majorHAnsi" w:hAnsiTheme="majorHAnsi" w:cstheme="majorHAnsi"/>
                <w:sz w:val="20"/>
                <w:szCs w:val="20"/>
              </w:rPr>
              <w:t xml:space="preserve">: </w:t>
            </w:r>
            <w:r w:rsidR="007B2DC1" w:rsidRPr="00C17C10">
              <w:rPr>
                <w:rFonts w:asciiTheme="majorHAnsi" w:hAnsiTheme="majorHAnsi" w:cstheme="majorHAnsi"/>
                <w:sz w:val="20"/>
                <w:szCs w:val="20"/>
              </w:rPr>
              <w:t xml:space="preserve">Throughout the semester, students will utilize the CBPR approach to create a community-based or foundation grant application for a study, program or project addressing a relevant public health or </w:t>
            </w:r>
            <w:r w:rsidR="00D06EEE" w:rsidRPr="00C17C10">
              <w:rPr>
                <w:rFonts w:asciiTheme="majorHAnsi" w:hAnsiTheme="majorHAnsi" w:cstheme="majorHAnsi"/>
                <w:sz w:val="20"/>
                <w:szCs w:val="20"/>
              </w:rPr>
              <w:t>healthcare</w:t>
            </w:r>
            <w:r w:rsidR="007B2DC1" w:rsidRPr="00C17C10">
              <w:rPr>
                <w:rFonts w:asciiTheme="majorHAnsi" w:hAnsiTheme="majorHAnsi" w:cstheme="majorHAnsi"/>
                <w:sz w:val="20"/>
                <w:szCs w:val="20"/>
              </w:rPr>
              <w:t xml:space="preserve"> problem. Students will complete 5 iterative assignments, which integrate their knowledge and understanding of the healthcare and/or public health systems, and interplay of the various clinical, administrative, financial, legal and scientific professions within those systems, to develop the 5 basic components of a grant application in response to an existing international, national, state or local Request for Applications (RFA) or Request for Proposals (RFP).  </w:t>
            </w:r>
          </w:p>
          <w:p w:rsidR="007B2DC1" w:rsidRPr="00C17C10" w:rsidRDefault="007B2DC1" w:rsidP="00A37ED6">
            <w:pPr>
              <w:rPr>
                <w:rFonts w:asciiTheme="majorHAnsi" w:hAnsiTheme="majorHAnsi" w:cstheme="majorHAnsi"/>
                <w:sz w:val="20"/>
                <w:szCs w:val="20"/>
              </w:rPr>
            </w:pPr>
          </w:p>
          <w:p w:rsidR="007B2DC1" w:rsidRPr="00C17C10" w:rsidRDefault="007B2DC1" w:rsidP="00A37ED6">
            <w:pPr>
              <w:rPr>
                <w:rFonts w:asciiTheme="majorHAnsi" w:hAnsiTheme="majorHAnsi" w:cstheme="majorHAnsi"/>
                <w:sz w:val="20"/>
                <w:szCs w:val="20"/>
              </w:rPr>
            </w:pPr>
            <w:r w:rsidRPr="00C17C10">
              <w:rPr>
                <w:rFonts w:asciiTheme="majorHAnsi" w:hAnsiTheme="majorHAnsi" w:cstheme="majorHAnsi"/>
                <w:sz w:val="20"/>
                <w:szCs w:val="20"/>
              </w:rPr>
              <w:t xml:space="preserve">These 5 components are:  </w:t>
            </w:r>
          </w:p>
          <w:p w:rsidR="007B2DC1" w:rsidRPr="00C17C10" w:rsidRDefault="007B2DC1" w:rsidP="00A37ED6">
            <w:pPr>
              <w:pStyle w:val="ListParagraph"/>
              <w:numPr>
                <w:ilvl w:val="0"/>
                <w:numId w:val="159"/>
              </w:numPr>
              <w:rPr>
                <w:rFonts w:asciiTheme="majorHAnsi" w:hAnsiTheme="majorHAnsi" w:cstheme="majorHAnsi"/>
                <w:szCs w:val="20"/>
              </w:rPr>
            </w:pPr>
            <w:r w:rsidRPr="00C17C10">
              <w:rPr>
                <w:rFonts w:asciiTheme="majorHAnsi" w:hAnsiTheme="majorHAnsi" w:cstheme="majorHAnsi"/>
                <w:szCs w:val="20"/>
              </w:rPr>
              <w:t xml:space="preserve">Abstract/Introduction which should include an overall thesis statement </w:t>
            </w:r>
          </w:p>
          <w:p w:rsidR="007B2DC1" w:rsidRPr="00C17C10" w:rsidRDefault="007B2DC1" w:rsidP="00A37ED6">
            <w:pPr>
              <w:pStyle w:val="ListParagraph"/>
              <w:numPr>
                <w:ilvl w:val="0"/>
                <w:numId w:val="159"/>
              </w:numPr>
              <w:rPr>
                <w:rFonts w:asciiTheme="majorHAnsi" w:hAnsiTheme="majorHAnsi" w:cstheme="majorHAnsi"/>
                <w:szCs w:val="20"/>
              </w:rPr>
            </w:pPr>
            <w:r w:rsidRPr="00C17C10">
              <w:rPr>
                <w:rFonts w:asciiTheme="majorHAnsi" w:hAnsiTheme="majorHAnsi" w:cstheme="majorHAnsi"/>
                <w:szCs w:val="20"/>
              </w:rPr>
              <w:t xml:space="preserve">Statement of Public Health Significance which includes relevant research and evidence regarding the chosen </w:t>
            </w:r>
            <w:r w:rsidR="00D06EEE" w:rsidRPr="00C17C10">
              <w:rPr>
                <w:rFonts w:asciiTheme="majorHAnsi" w:hAnsiTheme="majorHAnsi" w:cstheme="majorHAnsi"/>
                <w:szCs w:val="20"/>
              </w:rPr>
              <w:t>healthcare</w:t>
            </w:r>
            <w:r w:rsidRPr="00C17C10">
              <w:rPr>
                <w:rFonts w:asciiTheme="majorHAnsi" w:hAnsiTheme="majorHAnsi" w:cstheme="majorHAnsi"/>
                <w:szCs w:val="20"/>
              </w:rPr>
              <w:t xml:space="preserve"> or public health problem</w:t>
            </w:r>
          </w:p>
          <w:p w:rsidR="007B2DC1" w:rsidRPr="00C17C10" w:rsidRDefault="007B2DC1" w:rsidP="00A37ED6">
            <w:pPr>
              <w:pStyle w:val="ListParagraph"/>
              <w:numPr>
                <w:ilvl w:val="0"/>
                <w:numId w:val="159"/>
              </w:numPr>
              <w:rPr>
                <w:rFonts w:asciiTheme="majorHAnsi" w:hAnsiTheme="majorHAnsi" w:cstheme="majorHAnsi"/>
                <w:szCs w:val="20"/>
              </w:rPr>
            </w:pPr>
            <w:r w:rsidRPr="00C17C10">
              <w:rPr>
                <w:rFonts w:asciiTheme="majorHAnsi" w:hAnsiTheme="majorHAnsi" w:cstheme="majorHAnsi"/>
                <w:szCs w:val="20"/>
              </w:rPr>
              <w:t>Program Description and Methods which includes the various contributions of various community members/organizations, stakeholders and various professionals which together will accomplish the study, program or project stated objective and goals</w:t>
            </w:r>
          </w:p>
          <w:p w:rsidR="007B2DC1" w:rsidRPr="00C17C10" w:rsidRDefault="007B2DC1" w:rsidP="00A37ED6">
            <w:pPr>
              <w:pStyle w:val="ListParagraph"/>
              <w:numPr>
                <w:ilvl w:val="0"/>
                <w:numId w:val="159"/>
              </w:numPr>
              <w:rPr>
                <w:rFonts w:asciiTheme="majorHAnsi" w:hAnsiTheme="majorHAnsi" w:cstheme="majorHAnsi"/>
                <w:szCs w:val="20"/>
              </w:rPr>
            </w:pPr>
            <w:r w:rsidRPr="00C17C10">
              <w:rPr>
                <w:rFonts w:asciiTheme="majorHAnsi" w:hAnsiTheme="majorHAnsi" w:cstheme="majorHAnsi"/>
                <w:szCs w:val="20"/>
              </w:rPr>
              <w:t>Budget and Budget Justification prepared in a spreadsheet</w:t>
            </w:r>
          </w:p>
          <w:p w:rsidR="007B2DC1" w:rsidRPr="00C17C10" w:rsidRDefault="007B2DC1" w:rsidP="00A37ED6">
            <w:pPr>
              <w:pStyle w:val="ListParagraph"/>
              <w:numPr>
                <w:ilvl w:val="0"/>
                <w:numId w:val="159"/>
              </w:numPr>
              <w:rPr>
                <w:rFonts w:asciiTheme="majorHAnsi" w:hAnsiTheme="majorHAnsi" w:cstheme="majorHAnsi"/>
                <w:szCs w:val="20"/>
              </w:rPr>
            </w:pPr>
            <w:r w:rsidRPr="00C17C10">
              <w:rPr>
                <w:rFonts w:asciiTheme="majorHAnsi" w:hAnsiTheme="majorHAnsi" w:cstheme="majorHAnsi"/>
                <w:szCs w:val="20"/>
              </w:rPr>
              <w:t xml:space="preserve">Evaluation which must discuss the analysis of data to reach the goals and objectives, and the potential cultural, political, ethical and value-based decision making considerations for the realistic and successful completion of the study, program or project.  </w:t>
            </w:r>
          </w:p>
        </w:tc>
      </w:tr>
      <w:tr w:rsidR="007B2DC1" w:rsidRPr="00C17C10" w:rsidTr="003B687F">
        <w:trPr>
          <w:cantSplit/>
          <w:trHeight w:val="647"/>
        </w:trPr>
        <w:tc>
          <w:tcPr>
            <w:tcW w:w="1105" w:type="pct"/>
            <w:shd w:val="clear" w:color="auto" w:fill="auto"/>
            <w:tcMar>
              <w:left w:w="29" w:type="dxa"/>
              <w:right w:w="29" w:type="dxa"/>
            </w:tcMar>
          </w:tcPr>
          <w:p w:rsidR="007B2DC1" w:rsidRPr="00C17C10" w:rsidRDefault="007B2DC1" w:rsidP="00A37ED6">
            <w:pPr>
              <w:rPr>
                <w:rFonts w:asciiTheme="majorHAnsi" w:eastAsia="Times New Roman" w:hAnsiTheme="majorHAnsi" w:cstheme="majorHAnsi"/>
                <w:color w:val="000000"/>
                <w:sz w:val="20"/>
                <w:szCs w:val="20"/>
              </w:rPr>
            </w:pPr>
            <w:r w:rsidRPr="00C17C10">
              <w:rPr>
                <w:rFonts w:asciiTheme="majorHAnsi" w:eastAsia="Times New Roman" w:hAnsiTheme="majorHAnsi" w:cstheme="majorHAnsi"/>
                <w:sz w:val="20"/>
                <w:szCs w:val="20"/>
              </w:rPr>
              <w:t>DrPH-7. Create a strategic plan</w:t>
            </w:r>
          </w:p>
        </w:tc>
        <w:tc>
          <w:tcPr>
            <w:tcW w:w="1369" w:type="pct"/>
            <w:shd w:val="clear" w:color="auto" w:fill="auto"/>
            <w:tcMar>
              <w:left w:w="29" w:type="dxa"/>
              <w:right w:w="29" w:type="dxa"/>
            </w:tcMar>
          </w:tcPr>
          <w:p w:rsidR="007B2DC1" w:rsidRPr="00C17C10" w:rsidRDefault="00C95851" w:rsidP="00FC4AEF">
            <w:pPr>
              <w:rPr>
                <w:rFonts w:asciiTheme="majorHAnsi" w:hAnsiTheme="majorHAnsi" w:cstheme="majorHAnsi"/>
                <w:b/>
                <w:bCs/>
                <w:sz w:val="20"/>
                <w:szCs w:val="20"/>
                <w:highlight w:val="yellow"/>
              </w:rPr>
            </w:pPr>
            <w:r w:rsidRPr="00C17C10">
              <w:rPr>
                <w:rFonts w:asciiTheme="majorHAnsi" w:hAnsiTheme="majorHAnsi" w:cstheme="majorHAnsi"/>
                <w:b/>
                <w:sz w:val="20"/>
                <w:szCs w:val="20"/>
              </w:rPr>
              <w:t>PHD 3950</w:t>
            </w:r>
            <w:r w:rsidRPr="00C17C10">
              <w:rPr>
                <w:rFonts w:asciiTheme="majorHAnsi" w:hAnsiTheme="majorHAnsi" w:cstheme="majorHAnsi"/>
                <w:sz w:val="20"/>
                <w:szCs w:val="20"/>
              </w:rPr>
              <w:t xml:space="preserve"> Advanced Leadership Studies in Public Health</w:t>
            </w:r>
            <w:r w:rsidR="007B2DC1" w:rsidRPr="00C17C10">
              <w:rPr>
                <w:rFonts w:asciiTheme="majorHAnsi" w:hAnsiTheme="majorHAnsi" w:cstheme="majorHAnsi"/>
                <w:bCs/>
                <w:sz w:val="20"/>
                <w:szCs w:val="20"/>
              </w:rPr>
              <w:t xml:space="preserve"> </w:t>
            </w:r>
            <w:r w:rsidR="007B2DC1" w:rsidRPr="00C17C10">
              <w:rPr>
                <w:rFonts w:asciiTheme="majorHAnsi" w:hAnsiTheme="majorHAnsi" w:cstheme="majorHAnsi"/>
                <w:bCs/>
                <w:i/>
                <w:sz w:val="20"/>
                <w:szCs w:val="20"/>
              </w:rPr>
              <w:t>(for DrPH in CHP and HPHE)</w:t>
            </w:r>
          </w:p>
        </w:tc>
        <w:tc>
          <w:tcPr>
            <w:tcW w:w="2526" w:type="pct"/>
            <w:shd w:val="clear" w:color="auto" w:fill="auto"/>
            <w:tcMar>
              <w:left w:w="29" w:type="dxa"/>
              <w:right w:w="29" w:type="dxa"/>
            </w:tcMar>
          </w:tcPr>
          <w:p w:rsidR="007B2DC1" w:rsidRPr="00C17C10" w:rsidRDefault="00151190" w:rsidP="00A37ED6">
            <w:pPr>
              <w:rPr>
                <w:rFonts w:asciiTheme="majorHAnsi" w:hAnsiTheme="majorHAnsi" w:cstheme="majorHAnsi"/>
                <w:bCs/>
                <w:sz w:val="20"/>
                <w:szCs w:val="20"/>
                <w:highlight w:val="yellow"/>
              </w:rPr>
            </w:pPr>
            <w:r w:rsidRPr="00C17C10">
              <w:rPr>
                <w:rFonts w:asciiTheme="majorHAnsi" w:hAnsiTheme="majorHAnsi" w:cstheme="majorHAnsi"/>
                <w:sz w:val="20"/>
                <w:szCs w:val="20"/>
              </w:rPr>
              <w:t>Wicked Public Health Project</w:t>
            </w:r>
            <w:r w:rsidR="00EB0028" w:rsidRPr="00C17C10">
              <w:rPr>
                <w:rFonts w:asciiTheme="majorHAnsi" w:hAnsiTheme="majorHAnsi" w:cstheme="majorHAnsi"/>
                <w:bCs/>
                <w:sz w:val="20"/>
                <w:szCs w:val="20"/>
              </w:rPr>
              <w:t xml:space="preserve">: </w:t>
            </w:r>
            <w:r w:rsidR="003B687F" w:rsidRPr="00C17C10">
              <w:rPr>
                <w:rFonts w:asciiTheme="majorHAnsi" w:hAnsiTheme="majorHAnsi" w:cstheme="majorHAnsi"/>
                <w:bCs/>
                <w:sz w:val="20"/>
                <w:szCs w:val="20"/>
              </w:rPr>
              <w:t>As part of their leadership project implemented throughout the semester, students will create a strategic plan.</w:t>
            </w:r>
          </w:p>
        </w:tc>
      </w:tr>
      <w:tr w:rsidR="007B2DC1" w:rsidRPr="00C17C10" w:rsidTr="00DE072A">
        <w:trPr>
          <w:cantSplit/>
          <w:trHeight w:val="450"/>
        </w:trPr>
        <w:tc>
          <w:tcPr>
            <w:tcW w:w="1105" w:type="pct"/>
            <w:vMerge w:val="restart"/>
            <w:shd w:val="clear" w:color="auto" w:fill="auto"/>
            <w:tcMar>
              <w:left w:w="29" w:type="dxa"/>
              <w:right w:w="29" w:type="dxa"/>
            </w:tcMar>
          </w:tcPr>
          <w:p w:rsidR="007B2DC1" w:rsidRPr="00C17C10" w:rsidRDefault="007B2DC1" w:rsidP="00A37ED6">
            <w:pPr>
              <w:rPr>
                <w:rFonts w:asciiTheme="majorHAnsi" w:eastAsia="Times New Roman" w:hAnsiTheme="majorHAnsi" w:cstheme="majorHAnsi"/>
                <w:color w:val="000000"/>
                <w:sz w:val="20"/>
                <w:szCs w:val="20"/>
              </w:rPr>
            </w:pPr>
            <w:r w:rsidRPr="00C17C10">
              <w:rPr>
                <w:rFonts w:asciiTheme="majorHAnsi" w:eastAsia="Times New Roman" w:hAnsiTheme="majorHAnsi" w:cstheme="majorHAnsi"/>
                <w:sz w:val="20"/>
                <w:szCs w:val="20"/>
              </w:rPr>
              <w:t>DrPH-8. Facilitate shared decision making through negotiation and consensus-building methods</w:t>
            </w:r>
          </w:p>
        </w:tc>
        <w:tc>
          <w:tcPr>
            <w:tcW w:w="1369" w:type="pct"/>
            <w:shd w:val="clear" w:color="auto" w:fill="auto"/>
            <w:tcMar>
              <w:left w:w="29" w:type="dxa"/>
              <w:right w:w="29" w:type="dxa"/>
            </w:tcMar>
          </w:tcPr>
          <w:p w:rsidR="007B2DC1" w:rsidRPr="00C17C10" w:rsidRDefault="00C95851" w:rsidP="00FC4AEF">
            <w:pPr>
              <w:rPr>
                <w:rFonts w:asciiTheme="majorHAnsi" w:hAnsiTheme="majorHAnsi" w:cstheme="majorHAnsi"/>
                <w:b/>
                <w:bCs/>
                <w:sz w:val="20"/>
                <w:szCs w:val="20"/>
              </w:rPr>
            </w:pPr>
            <w:r w:rsidRPr="00C17C10">
              <w:rPr>
                <w:rFonts w:asciiTheme="majorHAnsi" w:hAnsiTheme="majorHAnsi" w:cstheme="majorHAnsi"/>
                <w:b/>
                <w:sz w:val="20"/>
                <w:szCs w:val="20"/>
              </w:rPr>
              <w:t>PHD 1113</w:t>
            </w:r>
            <w:r w:rsidRPr="00C17C10">
              <w:rPr>
                <w:rFonts w:asciiTheme="majorHAnsi" w:hAnsiTheme="majorHAnsi" w:cstheme="majorHAnsi"/>
                <w:sz w:val="20"/>
                <w:szCs w:val="20"/>
              </w:rPr>
              <w:t xml:space="preserve"> Advanced Methods in Health Promotion Planning and Implementation (Intervention Mapping)</w:t>
            </w:r>
            <w:r w:rsidR="000B570B" w:rsidRPr="00C17C10">
              <w:rPr>
                <w:rFonts w:asciiTheme="majorHAnsi" w:hAnsiTheme="majorHAnsi" w:cstheme="majorHAnsi"/>
                <w:bCs/>
                <w:sz w:val="20"/>
                <w:szCs w:val="20"/>
              </w:rPr>
              <w:t xml:space="preserve"> </w:t>
            </w:r>
            <w:r w:rsidR="000B570B" w:rsidRPr="00C17C10">
              <w:rPr>
                <w:rFonts w:asciiTheme="majorHAnsi" w:hAnsiTheme="majorHAnsi" w:cstheme="majorHAnsi"/>
                <w:bCs/>
                <w:i/>
                <w:sz w:val="20"/>
                <w:szCs w:val="20"/>
              </w:rPr>
              <w:t>(for DrPH in HPHE)</w:t>
            </w:r>
          </w:p>
        </w:tc>
        <w:tc>
          <w:tcPr>
            <w:tcW w:w="2526" w:type="pct"/>
            <w:shd w:val="clear" w:color="auto" w:fill="auto"/>
            <w:tcMar>
              <w:left w:w="29" w:type="dxa"/>
              <w:right w:w="29" w:type="dxa"/>
            </w:tcMar>
          </w:tcPr>
          <w:p w:rsidR="007B2DC1" w:rsidRPr="00C17C10" w:rsidRDefault="00151190" w:rsidP="00A37ED6">
            <w:pPr>
              <w:rPr>
                <w:rFonts w:asciiTheme="majorHAnsi" w:hAnsiTheme="majorHAnsi" w:cstheme="majorHAnsi"/>
                <w:b/>
                <w:bCs/>
                <w:sz w:val="20"/>
                <w:szCs w:val="20"/>
              </w:rPr>
            </w:pPr>
            <w:r w:rsidRPr="00C17C10">
              <w:rPr>
                <w:rFonts w:asciiTheme="majorHAnsi" w:hAnsiTheme="majorHAnsi" w:cstheme="majorHAnsi"/>
                <w:sz w:val="20"/>
                <w:szCs w:val="20"/>
              </w:rPr>
              <w:t>Exam 1, Q1</w:t>
            </w:r>
            <w:r w:rsidR="00A1129B" w:rsidRPr="00C17C10">
              <w:rPr>
                <w:rFonts w:asciiTheme="majorHAnsi" w:hAnsiTheme="majorHAnsi" w:cstheme="majorHAnsi"/>
                <w:sz w:val="20"/>
                <w:szCs w:val="20"/>
              </w:rPr>
              <w:t xml:space="preserve"> </w:t>
            </w:r>
            <w:r w:rsidR="00A1129B" w:rsidRPr="00C17C10">
              <w:rPr>
                <w:rFonts w:asciiTheme="majorHAnsi" w:hAnsiTheme="majorHAnsi" w:cstheme="majorHAnsi"/>
                <w:bCs/>
                <w:sz w:val="20"/>
                <w:szCs w:val="20"/>
              </w:rPr>
              <w:t xml:space="preserve">(and </w:t>
            </w:r>
            <w:r w:rsidRPr="00C17C10">
              <w:rPr>
                <w:rFonts w:asciiTheme="majorHAnsi" w:hAnsiTheme="majorHAnsi" w:cstheme="majorHAnsi"/>
                <w:sz w:val="20"/>
                <w:szCs w:val="20"/>
              </w:rPr>
              <w:t>Grading Sheet</w:t>
            </w:r>
            <w:r w:rsidR="00A1129B" w:rsidRPr="00C17C10">
              <w:rPr>
                <w:rFonts w:asciiTheme="majorHAnsi" w:hAnsiTheme="majorHAnsi" w:cstheme="majorHAnsi"/>
                <w:bCs/>
                <w:sz w:val="20"/>
                <w:szCs w:val="20"/>
              </w:rPr>
              <w:t>):</w:t>
            </w:r>
            <w:r w:rsidR="007B2DC1" w:rsidRPr="00C17C10">
              <w:rPr>
                <w:rFonts w:asciiTheme="majorHAnsi" w:hAnsiTheme="majorHAnsi" w:cstheme="majorHAnsi"/>
                <w:sz w:val="20"/>
                <w:szCs w:val="20"/>
              </w:rPr>
              <w:t xml:space="preserve"> Briefly describe the process you would use to facilitate shared decision making though negotiation and consensus-building methods among your planning group.</w:t>
            </w:r>
          </w:p>
        </w:tc>
      </w:tr>
      <w:tr w:rsidR="007B2DC1" w:rsidRPr="00C17C10" w:rsidTr="00DE072A">
        <w:trPr>
          <w:cantSplit/>
          <w:trHeight w:val="450"/>
        </w:trPr>
        <w:tc>
          <w:tcPr>
            <w:tcW w:w="1105" w:type="pct"/>
            <w:vMerge/>
            <w:shd w:val="clear" w:color="auto" w:fill="auto"/>
            <w:tcMar>
              <w:left w:w="29" w:type="dxa"/>
              <w:right w:w="29" w:type="dxa"/>
            </w:tcMar>
          </w:tcPr>
          <w:p w:rsidR="007B2DC1" w:rsidRPr="00C17C10" w:rsidRDefault="007B2DC1" w:rsidP="00A37ED6">
            <w:pPr>
              <w:rPr>
                <w:rFonts w:asciiTheme="majorHAnsi" w:eastAsia="Times New Roman" w:hAnsiTheme="majorHAnsi" w:cstheme="majorHAnsi"/>
                <w:sz w:val="20"/>
                <w:szCs w:val="20"/>
              </w:rPr>
            </w:pPr>
          </w:p>
        </w:tc>
        <w:tc>
          <w:tcPr>
            <w:tcW w:w="1369" w:type="pct"/>
            <w:shd w:val="clear" w:color="auto" w:fill="auto"/>
            <w:tcMar>
              <w:left w:w="29" w:type="dxa"/>
              <w:right w:w="29" w:type="dxa"/>
            </w:tcMar>
          </w:tcPr>
          <w:p w:rsidR="007B2DC1" w:rsidRPr="00C17C10" w:rsidRDefault="00C95851" w:rsidP="00FC4AEF">
            <w:pPr>
              <w:rPr>
                <w:rFonts w:asciiTheme="majorHAnsi" w:hAnsiTheme="majorHAnsi" w:cstheme="majorHAnsi"/>
                <w:bCs/>
                <w:i/>
                <w:sz w:val="20"/>
                <w:szCs w:val="20"/>
                <w:highlight w:val="yellow"/>
              </w:rPr>
            </w:pPr>
            <w:r w:rsidRPr="00C17C10">
              <w:rPr>
                <w:rFonts w:asciiTheme="majorHAnsi" w:hAnsiTheme="majorHAnsi" w:cstheme="majorHAnsi"/>
                <w:b/>
                <w:sz w:val="20"/>
                <w:szCs w:val="20"/>
              </w:rPr>
              <w:t>PHD 3950</w:t>
            </w:r>
            <w:r w:rsidRPr="00C17C10">
              <w:rPr>
                <w:rFonts w:asciiTheme="majorHAnsi" w:hAnsiTheme="majorHAnsi" w:cstheme="majorHAnsi"/>
                <w:sz w:val="20"/>
                <w:szCs w:val="20"/>
              </w:rPr>
              <w:t xml:space="preserve"> Advanced Leadership Studies in Public Health</w:t>
            </w:r>
            <w:r w:rsidR="00E770D2" w:rsidRPr="00C17C10">
              <w:rPr>
                <w:rFonts w:asciiTheme="majorHAnsi" w:hAnsiTheme="majorHAnsi" w:cstheme="majorHAnsi"/>
                <w:bCs/>
                <w:sz w:val="20"/>
                <w:szCs w:val="20"/>
              </w:rPr>
              <w:t xml:space="preserve"> </w:t>
            </w:r>
            <w:r w:rsidR="00E770D2" w:rsidRPr="00C17C10">
              <w:rPr>
                <w:rFonts w:asciiTheme="majorHAnsi" w:hAnsiTheme="majorHAnsi" w:cstheme="majorHAnsi"/>
                <w:bCs/>
                <w:i/>
                <w:sz w:val="20"/>
                <w:szCs w:val="20"/>
              </w:rPr>
              <w:t xml:space="preserve">(for DrPH in CHP and HPHE) </w:t>
            </w:r>
          </w:p>
        </w:tc>
        <w:tc>
          <w:tcPr>
            <w:tcW w:w="2526" w:type="pct"/>
            <w:shd w:val="clear" w:color="auto" w:fill="auto"/>
            <w:tcMar>
              <w:left w:w="29" w:type="dxa"/>
              <w:right w:w="29" w:type="dxa"/>
            </w:tcMar>
          </w:tcPr>
          <w:p w:rsidR="007B2DC1" w:rsidRPr="00C17C10" w:rsidRDefault="006E0AE7" w:rsidP="00A37ED6">
            <w:pPr>
              <w:rPr>
                <w:rFonts w:asciiTheme="majorHAnsi" w:hAnsiTheme="majorHAnsi" w:cstheme="majorHAnsi"/>
                <w:sz w:val="20"/>
                <w:szCs w:val="20"/>
                <w:highlight w:val="yellow"/>
              </w:rPr>
            </w:pPr>
            <w:r w:rsidRPr="00C17C10">
              <w:rPr>
                <w:rFonts w:asciiTheme="majorHAnsi" w:hAnsiTheme="majorHAnsi" w:cstheme="majorHAnsi"/>
                <w:sz w:val="20"/>
                <w:szCs w:val="20"/>
              </w:rPr>
              <w:t>Negotiation and Consensus-Building Exercise</w:t>
            </w:r>
            <w:r w:rsidR="00EB0028" w:rsidRPr="00C17C10">
              <w:rPr>
                <w:rFonts w:asciiTheme="majorHAnsi" w:hAnsiTheme="majorHAnsi" w:cstheme="majorHAnsi"/>
                <w:bCs/>
                <w:sz w:val="20"/>
                <w:szCs w:val="20"/>
              </w:rPr>
              <w:t xml:space="preserve">: </w:t>
            </w:r>
            <w:r w:rsidR="00E770D2" w:rsidRPr="00C17C10">
              <w:rPr>
                <w:rFonts w:asciiTheme="majorHAnsi" w:hAnsiTheme="majorHAnsi" w:cstheme="majorHAnsi"/>
                <w:sz w:val="20"/>
                <w:szCs w:val="20"/>
              </w:rPr>
              <w:t>Students will participate in role-playing, addressing a public health issue and alternating the role of leader.  Negotiation and consensus-building skills will be assessed by the instructor(s).</w:t>
            </w:r>
          </w:p>
        </w:tc>
      </w:tr>
      <w:tr w:rsidR="007B2DC1" w:rsidRPr="00C17C10" w:rsidTr="00DE072A">
        <w:trPr>
          <w:cantSplit/>
          <w:trHeight w:val="450"/>
        </w:trPr>
        <w:tc>
          <w:tcPr>
            <w:tcW w:w="1105" w:type="pct"/>
            <w:vMerge w:val="restart"/>
            <w:shd w:val="clear" w:color="auto" w:fill="auto"/>
            <w:tcMar>
              <w:left w:w="29" w:type="dxa"/>
              <w:right w:w="29" w:type="dxa"/>
            </w:tcMar>
          </w:tcPr>
          <w:p w:rsidR="007B2DC1" w:rsidRPr="00C17C10" w:rsidRDefault="007B2DC1" w:rsidP="00A37ED6">
            <w:pPr>
              <w:rPr>
                <w:rFonts w:asciiTheme="majorHAnsi" w:eastAsia="Times New Roman" w:hAnsiTheme="majorHAnsi" w:cstheme="majorHAnsi"/>
                <w:color w:val="000000"/>
                <w:sz w:val="20"/>
                <w:szCs w:val="20"/>
              </w:rPr>
            </w:pPr>
            <w:r w:rsidRPr="00C17C10">
              <w:rPr>
                <w:rFonts w:asciiTheme="majorHAnsi" w:eastAsia="Times New Roman" w:hAnsiTheme="majorHAnsi" w:cstheme="majorHAnsi"/>
                <w:sz w:val="20"/>
                <w:szCs w:val="20"/>
              </w:rPr>
              <w:t>DrPH-9. Create organizational change strategies</w:t>
            </w:r>
          </w:p>
        </w:tc>
        <w:tc>
          <w:tcPr>
            <w:tcW w:w="1369" w:type="pct"/>
            <w:shd w:val="clear" w:color="auto" w:fill="auto"/>
            <w:tcMar>
              <w:left w:w="29" w:type="dxa"/>
              <w:right w:w="29" w:type="dxa"/>
            </w:tcMar>
          </w:tcPr>
          <w:p w:rsidR="007B2DC1" w:rsidRPr="00C17C10" w:rsidRDefault="00C95851" w:rsidP="00FC4AEF">
            <w:pPr>
              <w:rPr>
                <w:rFonts w:asciiTheme="majorHAnsi" w:hAnsiTheme="majorHAnsi" w:cstheme="majorHAnsi"/>
                <w:b/>
                <w:bCs/>
                <w:sz w:val="20"/>
                <w:szCs w:val="20"/>
                <w:highlight w:val="yellow"/>
              </w:rPr>
            </w:pPr>
            <w:r w:rsidRPr="00C17C10">
              <w:rPr>
                <w:rFonts w:asciiTheme="majorHAnsi" w:hAnsiTheme="majorHAnsi" w:cstheme="majorHAnsi"/>
                <w:b/>
                <w:sz w:val="20"/>
                <w:szCs w:val="20"/>
              </w:rPr>
              <w:t>PHD 3950</w:t>
            </w:r>
            <w:r w:rsidRPr="00C17C10">
              <w:rPr>
                <w:rFonts w:asciiTheme="majorHAnsi" w:hAnsiTheme="majorHAnsi" w:cstheme="majorHAnsi"/>
                <w:sz w:val="20"/>
                <w:szCs w:val="20"/>
              </w:rPr>
              <w:t xml:space="preserve"> Advanced Leadership Studies in Public Health</w:t>
            </w:r>
            <w:r w:rsidR="00E770D2" w:rsidRPr="00C17C10">
              <w:rPr>
                <w:rFonts w:asciiTheme="majorHAnsi" w:hAnsiTheme="majorHAnsi" w:cstheme="majorHAnsi"/>
                <w:bCs/>
                <w:sz w:val="20"/>
                <w:szCs w:val="20"/>
              </w:rPr>
              <w:t xml:space="preserve"> </w:t>
            </w:r>
            <w:r w:rsidR="00E770D2" w:rsidRPr="00C17C10">
              <w:rPr>
                <w:rFonts w:asciiTheme="majorHAnsi" w:hAnsiTheme="majorHAnsi" w:cstheme="majorHAnsi"/>
                <w:bCs/>
                <w:i/>
                <w:sz w:val="20"/>
                <w:szCs w:val="20"/>
              </w:rPr>
              <w:t xml:space="preserve">(for DrPH in CHP and HPHE) </w:t>
            </w:r>
          </w:p>
        </w:tc>
        <w:tc>
          <w:tcPr>
            <w:tcW w:w="2526" w:type="pct"/>
            <w:shd w:val="clear" w:color="auto" w:fill="auto"/>
            <w:tcMar>
              <w:left w:w="29" w:type="dxa"/>
              <w:right w:w="29" w:type="dxa"/>
            </w:tcMar>
          </w:tcPr>
          <w:p w:rsidR="007B2DC1" w:rsidRPr="00C17C10" w:rsidRDefault="006E0AE7" w:rsidP="00A37ED6">
            <w:pPr>
              <w:rPr>
                <w:rFonts w:asciiTheme="majorHAnsi" w:hAnsiTheme="majorHAnsi" w:cstheme="majorHAnsi"/>
                <w:b/>
                <w:bCs/>
                <w:sz w:val="20"/>
                <w:szCs w:val="20"/>
                <w:highlight w:val="yellow"/>
              </w:rPr>
            </w:pPr>
            <w:r w:rsidRPr="00C17C10">
              <w:rPr>
                <w:rFonts w:asciiTheme="majorHAnsi" w:hAnsiTheme="majorHAnsi" w:cstheme="majorHAnsi"/>
                <w:sz w:val="20"/>
                <w:szCs w:val="20"/>
              </w:rPr>
              <w:t>Wicked Public Health Project</w:t>
            </w:r>
            <w:r w:rsidR="00EB0028" w:rsidRPr="00C17C10">
              <w:rPr>
                <w:rFonts w:asciiTheme="majorHAnsi" w:hAnsiTheme="majorHAnsi" w:cstheme="majorHAnsi"/>
                <w:bCs/>
                <w:sz w:val="20"/>
                <w:szCs w:val="20"/>
              </w:rPr>
              <w:t xml:space="preserve">: </w:t>
            </w:r>
            <w:r w:rsidR="00E770D2" w:rsidRPr="00C17C10">
              <w:rPr>
                <w:rFonts w:asciiTheme="majorHAnsi" w:hAnsiTheme="majorHAnsi" w:cstheme="majorHAnsi"/>
                <w:bCs/>
                <w:sz w:val="20"/>
                <w:szCs w:val="20"/>
              </w:rPr>
              <w:t>As part of their leadership project implemented throughout the semester, students will suggest and implement, if appropriate, organizational change strategies.</w:t>
            </w:r>
          </w:p>
        </w:tc>
      </w:tr>
      <w:tr w:rsidR="007B2DC1" w:rsidRPr="00C17C10" w:rsidTr="00DE072A">
        <w:trPr>
          <w:cantSplit/>
          <w:trHeight w:val="450"/>
        </w:trPr>
        <w:tc>
          <w:tcPr>
            <w:tcW w:w="1105" w:type="pct"/>
            <w:vMerge/>
            <w:shd w:val="clear" w:color="auto" w:fill="auto"/>
            <w:tcMar>
              <w:left w:w="29" w:type="dxa"/>
              <w:right w:w="29" w:type="dxa"/>
            </w:tcMar>
          </w:tcPr>
          <w:p w:rsidR="007B2DC1" w:rsidRPr="00C17C10" w:rsidRDefault="007B2DC1" w:rsidP="00A37ED6">
            <w:pPr>
              <w:rPr>
                <w:rFonts w:asciiTheme="majorHAnsi" w:eastAsia="Times New Roman" w:hAnsiTheme="majorHAnsi" w:cstheme="majorHAnsi"/>
                <w:color w:val="000000"/>
                <w:sz w:val="20"/>
                <w:szCs w:val="20"/>
              </w:rPr>
            </w:pPr>
          </w:p>
        </w:tc>
        <w:tc>
          <w:tcPr>
            <w:tcW w:w="1369" w:type="pct"/>
            <w:shd w:val="clear" w:color="auto" w:fill="auto"/>
            <w:tcMar>
              <w:left w:w="29" w:type="dxa"/>
              <w:right w:w="29" w:type="dxa"/>
            </w:tcMar>
          </w:tcPr>
          <w:p w:rsidR="007B2DC1" w:rsidRPr="00C17C10" w:rsidRDefault="00C95851" w:rsidP="00FC4AEF">
            <w:pPr>
              <w:rPr>
                <w:rFonts w:asciiTheme="majorHAnsi" w:hAnsiTheme="majorHAnsi" w:cstheme="majorHAnsi"/>
                <w:b/>
                <w:bCs/>
                <w:sz w:val="20"/>
                <w:szCs w:val="20"/>
              </w:rPr>
            </w:pPr>
            <w:r w:rsidRPr="00C17C10">
              <w:rPr>
                <w:rFonts w:asciiTheme="majorHAnsi" w:hAnsiTheme="majorHAnsi" w:cstheme="majorHAnsi"/>
                <w:b/>
                <w:sz w:val="20"/>
                <w:szCs w:val="20"/>
              </w:rPr>
              <w:t>PHD 1113</w:t>
            </w:r>
            <w:r w:rsidRPr="00C17C10">
              <w:rPr>
                <w:rFonts w:asciiTheme="majorHAnsi" w:hAnsiTheme="majorHAnsi" w:cstheme="majorHAnsi"/>
                <w:sz w:val="20"/>
                <w:szCs w:val="20"/>
              </w:rPr>
              <w:t xml:space="preserve"> Advanced Methods in Health Promotion Planning and Implementation (Intervention Mapping)</w:t>
            </w:r>
            <w:r w:rsidR="000B570B" w:rsidRPr="00C17C10">
              <w:rPr>
                <w:rFonts w:asciiTheme="majorHAnsi" w:hAnsiTheme="majorHAnsi" w:cstheme="majorHAnsi"/>
                <w:bCs/>
                <w:sz w:val="20"/>
                <w:szCs w:val="20"/>
              </w:rPr>
              <w:t xml:space="preserve"> </w:t>
            </w:r>
            <w:r w:rsidR="000B570B" w:rsidRPr="00C17C10">
              <w:rPr>
                <w:rFonts w:asciiTheme="majorHAnsi" w:hAnsiTheme="majorHAnsi" w:cstheme="majorHAnsi"/>
                <w:bCs/>
                <w:i/>
                <w:sz w:val="20"/>
                <w:szCs w:val="20"/>
              </w:rPr>
              <w:t>(for DrPH in HPHE)</w:t>
            </w:r>
            <w:r w:rsidR="000B570B" w:rsidRPr="00C17C10">
              <w:rPr>
                <w:rFonts w:asciiTheme="majorHAnsi" w:hAnsiTheme="majorHAnsi" w:cstheme="majorHAnsi"/>
                <w:bCs/>
                <w:sz w:val="20"/>
                <w:szCs w:val="20"/>
              </w:rPr>
              <w:t xml:space="preserve"> </w:t>
            </w:r>
          </w:p>
        </w:tc>
        <w:tc>
          <w:tcPr>
            <w:tcW w:w="2526" w:type="pct"/>
            <w:shd w:val="clear" w:color="auto" w:fill="auto"/>
            <w:tcMar>
              <w:left w:w="29" w:type="dxa"/>
              <w:right w:w="29" w:type="dxa"/>
            </w:tcMar>
          </w:tcPr>
          <w:p w:rsidR="007B2DC1" w:rsidRPr="00C17C10" w:rsidRDefault="006E0AE7" w:rsidP="00A37ED6">
            <w:pPr>
              <w:rPr>
                <w:rFonts w:asciiTheme="majorHAnsi" w:hAnsiTheme="majorHAnsi" w:cstheme="majorHAnsi"/>
                <w:b/>
                <w:bCs/>
                <w:sz w:val="20"/>
                <w:szCs w:val="20"/>
              </w:rPr>
            </w:pPr>
            <w:r w:rsidRPr="00C17C10">
              <w:rPr>
                <w:rFonts w:asciiTheme="majorHAnsi" w:hAnsiTheme="majorHAnsi" w:cstheme="majorHAnsi"/>
                <w:sz w:val="20"/>
                <w:szCs w:val="20"/>
              </w:rPr>
              <w:t>Exam 2, Q11</w:t>
            </w:r>
            <w:r w:rsidR="00A1129B" w:rsidRPr="00C17C10">
              <w:rPr>
                <w:rFonts w:asciiTheme="majorHAnsi" w:hAnsiTheme="majorHAnsi" w:cstheme="majorHAnsi"/>
                <w:sz w:val="20"/>
                <w:szCs w:val="20"/>
              </w:rPr>
              <w:t xml:space="preserve"> </w:t>
            </w:r>
            <w:r w:rsidR="00A1129B" w:rsidRPr="00C17C10">
              <w:rPr>
                <w:rFonts w:asciiTheme="majorHAnsi" w:hAnsiTheme="majorHAnsi" w:cstheme="majorHAnsi"/>
                <w:bCs/>
                <w:sz w:val="20"/>
                <w:szCs w:val="20"/>
              </w:rPr>
              <w:t xml:space="preserve">(and </w:t>
            </w:r>
            <w:r w:rsidRPr="00C17C10">
              <w:rPr>
                <w:rFonts w:asciiTheme="majorHAnsi" w:hAnsiTheme="majorHAnsi" w:cstheme="majorHAnsi"/>
                <w:sz w:val="20"/>
                <w:szCs w:val="20"/>
              </w:rPr>
              <w:t>Grading Sheet</w:t>
            </w:r>
            <w:r w:rsidR="00A1129B" w:rsidRPr="00C17C10">
              <w:rPr>
                <w:rFonts w:asciiTheme="majorHAnsi" w:hAnsiTheme="majorHAnsi" w:cstheme="majorHAnsi"/>
                <w:bCs/>
                <w:sz w:val="20"/>
                <w:szCs w:val="20"/>
              </w:rPr>
              <w:t>)</w:t>
            </w:r>
            <w:r w:rsidR="007B2DC1" w:rsidRPr="00C17C10">
              <w:rPr>
                <w:rFonts w:asciiTheme="majorHAnsi" w:hAnsiTheme="majorHAnsi" w:cstheme="majorHAnsi"/>
                <w:sz w:val="20"/>
                <w:szCs w:val="20"/>
              </w:rPr>
              <w:t>: What methods (from theory) and practical applications (strategies) do you propose to use in your intervention?  Provide tables to present detailed information for the change objectives, methods, related theory, practical applications/strategies, and parameters for use for each behavioral outcome and environmental (interpersonal, organizational, community and/or societal) outcome. Provide a narrative to describe how the theoretical methods are expected to influence a change in determinants.</w:t>
            </w:r>
          </w:p>
        </w:tc>
      </w:tr>
      <w:tr w:rsidR="007B2DC1" w:rsidRPr="00C17C10" w:rsidTr="00DE072A">
        <w:trPr>
          <w:cantSplit/>
          <w:trHeight w:val="450"/>
        </w:trPr>
        <w:tc>
          <w:tcPr>
            <w:tcW w:w="1105" w:type="pct"/>
            <w:shd w:val="clear" w:color="auto" w:fill="auto"/>
            <w:tcMar>
              <w:left w:w="29" w:type="dxa"/>
              <w:right w:w="29" w:type="dxa"/>
            </w:tcMar>
          </w:tcPr>
          <w:p w:rsidR="007B2DC1" w:rsidRPr="00C17C10" w:rsidRDefault="007B2DC1" w:rsidP="00A37ED6">
            <w:pPr>
              <w:rPr>
                <w:rFonts w:asciiTheme="majorHAnsi" w:eastAsia="Times New Roman" w:hAnsiTheme="majorHAnsi" w:cstheme="majorHAnsi"/>
                <w:color w:val="000000"/>
                <w:sz w:val="20"/>
                <w:szCs w:val="20"/>
              </w:rPr>
            </w:pPr>
            <w:r w:rsidRPr="00C17C10">
              <w:rPr>
                <w:rFonts w:asciiTheme="majorHAnsi" w:eastAsia="Times New Roman" w:hAnsiTheme="majorHAnsi" w:cstheme="majorHAnsi"/>
                <w:sz w:val="20"/>
                <w:szCs w:val="20"/>
              </w:rPr>
              <w:t>DrPH-10. Propose strategies to promote inclusion and equity within public health programs, policies and systems</w:t>
            </w:r>
          </w:p>
        </w:tc>
        <w:tc>
          <w:tcPr>
            <w:tcW w:w="1369" w:type="pct"/>
            <w:shd w:val="clear" w:color="auto" w:fill="auto"/>
            <w:tcMar>
              <w:left w:w="29" w:type="dxa"/>
              <w:right w:w="29" w:type="dxa"/>
            </w:tcMar>
          </w:tcPr>
          <w:p w:rsidR="007B2DC1" w:rsidRPr="00C17C10" w:rsidRDefault="00C95851" w:rsidP="00FC4AEF">
            <w:pPr>
              <w:rPr>
                <w:rFonts w:asciiTheme="majorHAnsi" w:hAnsiTheme="majorHAnsi" w:cstheme="majorHAnsi"/>
                <w:b/>
                <w:bCs/>
                <w:sz w:val="20"/>
                <w:szCs w:val="20"/>
              </w:rPr>
            </w:pPr>
            <w:r w:rsidRPr="00C17C10">
              <w:rPr>
                <w:rFonts w:asciiTheme="majorHAnsi" w:hAnsiTheme="majorHAnsi" w:cstheme="majorHAnsi"/>
                <w:b/>
                <w:sz w:val="20"/>
                <w:szCs w:val="20"/>
              </w:rPr>
              <w:t>PHD 3998</w:t>
            </w:r>
            <w:r w:rsidRPr="00C17C10">
              <w:rPr>
                <w:rFonts w:asciiTheme="majorHAnsi" w:hAnsiTheme="majorHAnsi" w:cstheme="majorHAnsi"/>
                <w:sz w:val="20"/>
                <w:szCs w:val="20"/>
              </w:rPr>
              <w:t xml:space="preserve"> Community Based Participatory Research and Community Engagement</w:t>
            </w:r>
            <w:r w:rsidR="002B1791" w:rsidRPr="00C17C10">
              <w:rPr>
                <w:rFonts w:asciiTheme="majorHAnsi" w:hAnsiTheme="majorHAnsi" w:cstheme="majorHAnsi"/>
                <w:bCs/>
                <w:sz w:val="20"/>
                <w:szCs w:val="20"/>
              </w:rPr>
              <w:t xml:space="preserve"> </w:t>
            </w:r>
            <w:r w:rsidR="002B1791" w:rsidRPr="00C17C10">
              <w:rPr>
                <w:rFonts w:asciiTheme="majorHAnsi" w:hAnsiTheme="majorHAnsi" w:cstheme="majorHAnsi"/>
                <w:bCs/>
                <w:i/>
                <w:sz w:val="20"/>
                <w:szCs w:val="20"/>
              </w:rPr>
              <w:t>(for DrPH in CHP and HPHE)</w:t>
            </w:r>
            <w:r w:rsidR="002B1791" w:rsidRPr="00C17C10">
              <w:rPr>
                <w:rFonts w:asciiTheme="majorHAnsi" w:hAnsiTheme="majorHAnsi" w:cstheme="majorHAnsi"/>
                <w:bCs/>
                <w:sz w:val="20"/>
                <w:szCs w:val="20"/>
              </w:rPr>
              <w:t xml:space="preserve"> </w:t>
            </w:r>
          </w:p>
        </w:tc>
        <w:tc>
          <w:tcPr>
            <w:tcW w:w="2526" w:type="pct"/>
            <w:shd w:val="clear" w:color="auto" w:fill="auto"/>
            <w:tcMar>
              <w:left w:w="29" w:type="dxa"/>
              <w:right w:w="29" w:type="dxa"/>
            </w:tcMar>
          </w:tcPr>
          <w:p w:rsidR="007570FD" w:rsidRPr="00C17C10" w:rsidRDefault="006E0AE7" w:rsidP="00A37ED6">
            <w:pPr>
              <w:rPr>
                <w:rFonts w:asciiTheme="majorHAnsi" w:hAnsiTheme="majorHAnsi" w:cstheme="majorHAnsi"/>
                <w:bCs/>
                <w:sz w:val="20"/>
                <w:szCs w:val="20"/>
              </w:rPr>
            </w:pPr>
            <w:r w:rsidRPr="00C17C10">
              <w:rPr>
                <w:rFonts w:asciiTheme="majorHAnsi" w:hAnsiTheme="majorHAnsi" w:cstheme="majorHAnsi"/>
                <w:sz w:val="20"/>
                <w:szCs w:val="20"/>
              </w:rPr>
              <w:t>Community Meetings</w:t>
            </w:r>
            <w:r w:rsidR="0039669E" w:rsidRPr="00C17C10">
              <w:rPr>
                <w:rFonts w:asciiTheme="majorHAnsi" w:hAnsiTheme="majorHAnsi" w:cstheme="majorHAnsi"/>
                <w:bCs/>
                <w:sz w:val="20"/>
                <w:szCs w:val="20"/>
              </w:rPr>
              <w:t xml:space="preserve">: </w:t>
            </w:r>
            <w:r w:rsidR="007570FD" w:rsidRPr="00C17C10">
              <w:rPr>
                <w:rFonts w:asciiTheme="majorHAnsi" w:hAnsiTheme="majorHAnsi" w:cstheme="majorHAnsi"/>
                <w:bCs/>
                <w:sz w:val="20"/>
                <w:szCs w:val="20"/>
              </w:rPr>
              <w:t xml:space="preserve">Students attend four community meetings related to public health topics throughout the semester. Students write summaries of each of the meetings that assesses if the meeting is representative of the target population and if the collaboration is meeting its goals. For the fourth summary, students propose a least two strategies to promote inclusion and equity within the disparity topic students choose to focus on for the semester. </w:t>
            </w:r>
          </w:p>
          <w:p w:rsidR="007570FD" w:rsidRPr="00C17C10" w:rsidRDefault="007570FD" w:rsidP="00A37ED6">
            <w:pPr>
              <w:rPr>
                <w:rFonts w:asciiTheme="majorHAnsi" w:hAnsiTheme="majorHAnsi" w:cstheme="majorHAnsi"/>
                <w:bCs/>
                <w:sz w:val="20"/>
                <w:szCs w:val="20"/>
              </w:rPr>
            </w:pPr>
          </w:p>
          <w:p w:rsidR="007B2DC1" w:rsidRPr="00C17C10" w:rsidRDefault="00A60E36" w:rsidP="00A37ED6">
            <w:pPr>
              <w:rPr>
                <w:rFonts w:asciiTheme="majorHAnsi" w:hAnsiTheme="majorHAnsi" w:cstheme="majorHAnsi"/>
                <w:b/>
                <w:bCs/>
                <w:sz w:val="20"/>
                <w:szCs w:val="20"/>
              </w:rPr>
            </w:pPr>
            <w:r w:rsidRPr="00C17C10">
              <w:rPr>
                <w:rFonts w:asciiTheme="majorHAnsi" w:hAnsiTheme="majorHAnsi" w:cstheme="majorHAnsi"/>
                <w:sz w:val="20"/>
                <w:szCs w:val="20"/>
              </w:rPr>
              <w:t>Final Paper</w:t>
            </w:r>
            <w:r w:rsidR="007570FD" w:rsidRPr="00C17C10">
              <w:rPr>
                <w:rFonts w:asciiTheme="majorHAnsi" w:hAnsiTheme="majorHAnsi" w:cstheme="majorHAnsi"/>
                <w:bCs/>
                <w:sz w:val="20"/>
                <w:szCs w:val="20"/>
              </w:rPr>
              <w:t>: Students prepare a proposal to evaluate a policy or program that addresses a public health issue. As part of the proposal, propose strategies to promote inclusion in the program or policy</w:t>
            </w:r>
          </w:p>
        </w:tc>
      </w:tr>
      <w:tr w:rsidR="007B2DC1" w:rsidRPr="00C17C10" w:rsidTr="00DE072A">
        <w:trPr>
          <w:cantSplit/>
          <w:trHeight w:val="450"/>
        </w:trPr>
        <w:tc>
          <w:tcPr>
            <w:tcW w:w="1105" w:type="pct"/>
            <w:shd w:val="clear" w:color="auto" w:fill="auto"/>
            <w:tcMar>
              <w:left w:w="29" w:type="dxa"/>
              <w:right w:w="29" w:type="dxa"/>
            </w:tcMar>
          </w:tcPr>
          <w:p w:rsidR="007B2DC1" w:rsidRPr="00C17C10" w:rsidRDefault="007B2DC1" w:rsidP="00A37ED6">
            <w:pPr>
              <w:rPr>
                <w:rFonts w:asciiTheme="majorHAnsi" w:eastAsia="Times New Roman" w:hAnsiTheme="majorHAnsi" w:cstheme="majorHAnsi"/>
                <w:color w:val="000000"/>
                <w:sz w:val="20"/>
                <w:szCs w:val="20"/>
              </w:rPr>
            </w:pPr>
            <w:r w:rsidRPr="00C17C10">
              <w:rPr>
                <w:rFonts w:asciiTheme="majorHAnsi" w:eastAsia="Times New Roman" w:hAnsiTheme="majorHAnsi" w:cstheme="majorHAnsi"/>
                <w:sz w:val="20"/>
                <w:szCs w:val="20"/>
              </w:rPr>
              <w:t>DrPH-11. Assess one’s own strengths and weaknesses in leadership capacities including cultural proficiency</w:t>
            </w:r>
          </w:p>
        </w:tc>
        <w:tc>
          <w:tcPr>
            <w:tcW w:w="1369" w:type="pct"/>
            <w:shd w:val="clear" w:color="auto" w:fill="auto"/>
            <w:tcMar>
              <w:left w:w="29" w:type="dxa"/>
              <w:right w:w="29" w:type="dxa"/>
            </w:tcMar>
          </w:tcPr>
          <w:p w:rsidR="007B2DC1" w:rsidRPr="00C17C10" w:rsidRDefault="00C95851" w:rsidP="00FC4AEF">
            <w:pPr>
              <w:rPr>
                <w:rFonts w:asciiTheme="majorHAnsi" w:hAnsiTheme="majorHAnsi" w:cstheme="majorHAnsi"/>
                <w:b/>
                <w:bCs/>
                <w:sz w:val="20"/>
                <w:szCs w:val="20"/>
                <w:highlight w:val="yellow"/>
              </w:rPr>
            </w:pPr>
            <w:r w:rsidRPr="00C17C10">
              <w:rPr>
                <w:rFonts w:asciiTheme="majorHAnsi" w:hAnsiTheme="majorHAnsi" w:cstheme="majorHAnsi"/>
                <w:b/>
                <w:sz w:val="20"/>
                <w:szCs w:val="20"/>
              </w:rPr>
              <w:t>PHD 3950</w:t>
            </w:r>
            <w:r w:rsidRPr="00C17C10">
              <w:rPr>
                <w:rFonts w:asciiTheme="majorHAnsi" w:hAnsiTheme="majorHAnsi" w:cstheme="majorHAnsi"/>
                <w:sz w:val="20"/>
                <w:szCs w:val="20"/>
              </w:rPr>
              <w:t xml:space="preserve"> Advanced Leadership Studies in Public Health</w:t>
            </w:r>
            <w:r w:rsidR="00E770D2" w:rsidRPr="00C17C10">
              <w:rPr>
                <w:rFonts w:asciiTheme="majorHAnsi" w:hAnsiTheme="majorHAnsi" w:cstheme="majorHAnsi"/>
                <w:bCs/>
                <w:sz w:val="20"/>
                <w:szCs w:val="20"/>
              </w:rPr>
              <w:t xml:space="preserve"> </w:t>
            </w:r>
            <w:r w:rsidR="00E770D2" w:rsidRPr="00C17C10">
              <w:rPr>
                <w:rFonts w:asciiTheme="majorHAnsi" w:hAnsiTheme="majorHAnsi" w:cstheme="majorHAnsi"/>
                <w:bCs/>
                <w:i/>
                <w:sz w:val="20"/>
                <w:szCs w:val="20"/>
              </w:rPr>
              <w:t xml:space="preserve">(for DrPH in CHP and HPHE) </w:t>
            </w:r>
          </w:p>
        </w:tc>
        <w:tc>
          <w:tcPr>
            <w:tcW w:w="2526" w:type="pct"/>
            <w:shd w:val="clear" w:color="auto" w:fill="auto"/>
            <w:tcMar>
              <w:left w:w="29" w:type="dxa"/>
              <w:right w:w="29" w:type="dxa"/>
            </w:tcMar>
          </w:tcPr>
          <w:p w:rsidR="007B2DC1" w:rsidRPr="00C17C10" w:rsidRDefault="00413A3E" w:rsidP="00A37ED6">
            <w:pPr>
              <w:rPr>
                <w:rFonts w:asciiTheme="majorHAnsi" w:hAnsiTheme="majorHAnsi" w:cstheme="majorHAnsi"/>
                <w:b/>
                <w:bCs/>
                <w:sz w:val="20"/>
                <w:szCs w:val="20"/>
                <w:highlight w:val="yellow"/>
              </w:rPr>
            </w:pPr>
            <w:r w:rsidRPr="00C17C10">
              <w:rPr>
                <w:rFonts w:asciiTheme="majorHAnsi" w:hAnsiTheme="majorHAnsi" w:cstheme="majorHAnsi"/>
                <w:sz w:val="20"/>
                <w:szCs w:val="20"/>
              </w:rPr>
              <w:t>Leadership Trait Questionnaires</w:t>
            </w:r>
            <w:r w:rsidR="00EB0028" w:rsidRPr="00C17C10">
              <w:rPr>
                <w:rFonts w:asciiTheme="majorHAnsi" w:hAnsiTheme="majorHAnsi" w:cstheme="majorHAnsi"/>
                <w:sz w:val="20"/>
                <w:szCs w:val="20"/>
              </w:rPr>
              <w:t xml:space="preserve">: </w:t>
            </w:r>
            <w:r w:rsidR="00E770D2" w:rsidRPr="00C17C10">
              <w:rPr>
                <w:rFonts w:asciiTheme="majorHAnsi" w:hAnsiTheme="majorHAnsi" w:cstheme="majorHAnsi"/>
                <w:sz w:val="20"/>
                <w:szCs w:val="20"/>
              </w:rPr>
              <w:t>Throughout the semester, leadership trait questionnaires will be administered and results discussed.</w:t>
            </w:r>
          </w:p>
        </w:tc>
      </w:tr>
      <w:tr w:rsidR="007B2DC1" w:rsidRPr="00C17C10" w:rsidTr="00DE072A">
        <w:trPr>
          <w:cantSplit/>
          <w:trHeight w:val="450"/>
        </w:trPr>
        <w:tc>
          <w:tcPr>
            <w:tcW w:w="1105" w:type="pct"/>
            <w:shd w:val="clear" w:color="auto" w:fill="auto"/>
            <w:tcMar>
              <w:left w:w="29" w:type="dxa"/>
              <w:right w:w="29" w:type="dxa"/>
            </w:tcMar>
          </w:tcPr>
          <w:p w:rsidR="007B2DC1" w:rsidRPr="00C17C10" w:rsidRDefault="007B2DC1" w:rsidP="00A37ED6">
            <w:pPr>
              <w:rPr>
                <w:rFonts w:asciiTheme="majorHAnsi" w:eastAsia="Times New Roman" w:hAnsiTheme="majorHAnsi" w:cstheme="majorHAnsi"/>
                <w:color w:val="000000"/>
                <w:sz w:val="20"/>
                <w:szCs w:val="20"/>
              </w:rPr>
            </w:pPr>
            <w:r w:rsidRPr="00C17C10">
              <w:rPr>
                <w:rFonts w:asciiTheme="majorHAnsi" w:eastAsia="Times New Roman" w:hAnsiTheme="majorHAnsi" w:cstheme="majorHAnsi"/>
                <w:sz w:val="20"/>
                <w:szCs w:val="20"/>
              </w:rPr>
              <w:t>DrPH-12. Propose human, fiscal and other resources to achieve a strategic goal</w:t>
            </w:r>
          </w:p>
        </w:tc>
        <w:tc>
          <w:tcPr>
            <w:tcW w:w="1369" w:type="pct"/>
            <w:shd w:val="clear" w:color="auto" w:fill="auto"/>
            <w:tcMar>
              <w:left w:w="29" w:type="dxa"/>
              <w:right w:w="29" w:type="dxa"/>
            </w:tcMar>
          </w:tcPr>
          <w:p w:rsidR="007B2DC1" w:rsidRPr="00C17C10" w:rsidRDefault="002137D3" w:rsidP="00FC4AEF">
            <w:pPr>
              <w:rPr>
                <w:rFonts w:asciiTheme="majorHAnsi" w:hAnsiTheme="majorHAnsi" w:cstheme="majorHAnsi"/>
                <w:b/>
                <w:bCs/>
                <w:sz w:val="20"/>
                <w:szCs w:val="20"/>
              </w:rPr>
            </w:pPr>
            <w:r w:rsidRPr="00C17C10">
              <w:rPr>
                <w:rFonts w:asciiTheme="majorHAnsi" w:hAnsiTheme="majorHAnsi" w:cstheme="majorHAnsi"/>
                <w:b/>
                <w:sz w:val="20"/>
                <w:szCs w:val="20"/>
              </w:rPr>
              <w:t>PHD 3801</w:t>
            </w:r>
            <w:r w:rsidRPr="00C17C10">
              <w:rPr>
                <w:rFonts w:asciiTheme="majorHAnsi" w:hAnsiTheme="majorHAnsi" w:cstheme="majorHAnsi"/>
                <w:sz w:val="20"/>
                <w:szCs w:val="20"/>
              </w:rPr>
              <w:t xml:space="preserve"> Community Based Grant Writing Workshop</w:t>
            </w:r>
            <w:r w:rsidR="00B86042" w:rsidRPr="00C17C10">
              <w:rPr>
                <w:rFonts w:asciiTheme="majorHAnsi" w:hAnsiTheme="majorHAnsi" w:cstheme="majorHAnsi"/>
                <w:bCs/>
                <w:sz w:val="20"/>
                <w:szCs w:val="20"/>
              </w:rPr>
              <w:t xml:space="preserve"> </w:t>
            </w:r>
            <w:r w:rsidR="00B86042" w:rsidRPr="00C17C10">
              <w:rPr>
                <w:rFonts w:asciiTheme="majorHAnsi" w:hAnsiTheme="majorHAnsi" w:cstheme="majorHAnsi"/>
                <w:bCs/>
                <w:i/>
                <w:sz w:val="20"/>
                <w:szCs w:val="20"/>
              </w:rPr>
              <w:t>(for DrPH in CHP and HPHE)</w:t>
            </w:r>
          </w:p>
        </w:tc>
        <w:tc>
          <w:tcPr>
            <w:tcW w:w="2526" w:type="pct"/>
            <w:shd w:val="clear" w:color="auto" w:fill="auto"/>
            <w:tcMar>
              <w:left w:w="29" w:type="dxa"/>
              <w:right w:w="29" w:type="dxa"/>
            </w:tcMar>
          </w:tcPr>
          <w:p w:rsidR="007B2DC1" w:rsidRPr="00C17C10" w:rsidRDefault="005B0EC0" w:rsidP="00A37ED6">
            <w:pPr>
              <w:rPr>
                <w:rFonts w:asciiTheme="majorHAnsi" w:hAnsiTheme="majorHAnsi" w:cstheme="majorHAnsi"/>
                <w:b/>
                <w:bCs/>
                <w:sz w:val="20"/>
                <w:szCs w:val="20"/>
              </w:rPr>
            </w:pPr>
            <w:r w:rsidRPr="00C17C10">
              <w:rPr>
                <w:rFonts w:asciiTheme="majorHAnsi" w:hAnsiTheme="majorHAnsi" w:cstheme="majorHAnsi"/>
                <w:sz w:val="20"/>
                <w:szCs w:val="20"/>
              </w:rPr>
              <w:t>Grant Application</w:t>
            </w:r>
            <w:r w:rsidR="00B86042" w:rsidRPr="00C17C10">
              <w:rPr>
                <w:rFonts w:asciiTheme="majorHAnsi" w:hAnsiTheme="majorHAnsi" w:cstheme="majorHAnsi"/>
                <w:sz w:val="20"/>
                <w:szCs w:val="20"/>
              </w:rPr>
              <w:t xml:space="preserve">: </w:t>
            </w:r>
            <w:r w:rsidR="007B2DC1" w:rsidRPr="00C17C10">
              <w:rPr>
                <w:rFonts w:asciiTheme="majorHAnsi" w:hAnsiTheme="majorHAnsi" w:cstheme="majorHAnsi"/>
                <w:sz w:val="20"/>
                <w:szCs w:val="20"/>
              </w:rPr>
              <w:t xml:space="preserve">Students prepare a Logic Model representation of their community grant application as part of the Program Description and Methods written assignment. Students also prepare a written Budget and Budget Justification for their community grant application.  The final assignment is an oral “sales pitch”, Power Point supported presentation to the class asking for support for their program/project or study.  Students are required to share their Logic Model and Budget/Budget Justification as part of this presentation “sales pitch”. </w:t>
            </w:r>
          </w:p>
        </w:tc>
      </w:tr>
      <w:tr w:rsidR="007B2DC1" w:rsidRPr="00C17C10" w:rsidTr="00DE072A">
        <w:trPr>
          <w:cantSplit/>
          <w:trHeight w:val="450"/>
        </w:trPr>
        <w:tc>
          <w:tcPr>
            <w:tcW w:w="1105" w:type="pct"/>
            <w:shd w:val="clear" w:color="auto" w:fill="auto"/>
            <w:tcMar>
              <w:left w:w="29" w:type="dxa"/>
              <w:right w:w="29" w:type="dxa"/>
            </w:tcMar>
          </w:tcPr>
          <w:p w:rsidR="007B2DC1" w:rsidRPr="00C17C10" w:rsidRDefault="007B2DC1" w:rsidP="00A37ED6">
            <w:pPr>
              <w:rPr>
                <w:rFonts w:asciiTheme="majorHAnsi" w:eastAsia="Times New Roman" w:hAnsiTheme="majorHAnsi" w:cstheme="majorHAnsi"/>
                <w:color w:val="000000"/>
                <w:sz w:val="20"/>
                <w:szCs w:val="20"/>
              </w:rPr>
            </w:pPr>
            <w:r w:rsidRPr="00C17C10">
              <w:rPr>
                <w:rFonts w:asciiTheme="majorHAnsi" w:eastAsia="Times New Roman" w:hAnsiTheme="majorHAnsi" w:cstheme="majorHAnsi"/>
                <w:sz w:val="20"/>
                <w:szCs w:val="20"/>
              </w:rPr>
              <w:t>DrPH-13. Cultivate new resources and revenue streams to achieve a strategic goal</w:t>
            </w:r>
          </w:p>
        </w:tc>
        <w:tc>
          <w:tcPr>
            <w:tcW w:w="1369" w:type="pct"/>
            <w:shd w:val="clear" w:color="auto" w:fill="auto"/>
            <w:tcMar>
              <w:left w:w="29" w:type="dxa"/>
              <w:right w:w="29" w:type="dxa"/>
            </w:tcMar>
          </w:tcPr>
          <w:p w:rsidR="007B2DC1" w:rsidRPr="00C17C10" w:rsidRDefault="000159B6" w:rsidP="00FC4AEF">
            <w:pPr>
              <w:rPr>
                <w:rFonts w:asciiTheme="majorHAnsi" w:hAnsiTheme="majorHAnsi" w:cstheme="majorHAnsi"/>
                <w:b/>
                <w:bCs/>
                <w:sz w:val="20"/>
                <w:szCs w:val="20"/>
              </w:rPr>
            </w:pPr>
            <w:r w:rsidRPr="00C17C10">
              <w:rPr>
                <w:rFonts w:asciiTheme="majorHAnsi" w:hAnsiTheme="majorHAnsi" w:cstheme="majorHAnsi"/>
                <w:b/>
                <w:sz w:val="20"/>
                <w:szCs w:val="20"/>
              </w:rPr>
              <w:t>PHD 3801</w:t>
            </w:r>
            <w:r w:rsidRPr="00C17C10">
              <w:rPr>
                <w:rFonts w:asciiTheme="majorHAnsi" w:hAnsiTheme="majorHAnsi" w:cstheme="majorHAnsi"/>
                <w:sz w:val="20"/>
                <w:szCs w:val="20"/>
              </w:rPr>
              <w:t xml:space="preserve"> Community Based Grant Writing Workshop</w:t>
            </w:r>
            <w:r w:rsidR="00B86042" w:rsidRPr="00C17C10">
              <w:rPr>
                <w:rFonts w:asciiTheme="majorHAnsi" w:hAnsiTheme="majorHAnsi" w:cstheme="majorHAnsi"/>
                <w:bCs/>
                <w:sz w:val="20"/>
                <w:szCs w:val="20"/>
              </w:rPr>
              <w:t xml:space="preserve"> </w:t>
            </w:r>
            <w:r w:rsidR="00B86042" w:rsidRPr="00C17C10">
              <w:rPr>
                <w:rFonts w:asciiTheme="majorHAnsi" w:hAnsiTheme="majorHAnsi" w:cstheme="majorHAnsi"/>
                <w:bCs/>
                <w:i/>
                <w:sz w:val="20"/>
                <w:szCs w:val="20"/>
              </w:rPr>
              <w:t>(for DrPH in CHP and HPHE)</w:t>
            </w:r>
            <w:r w:rsidR="00B86042" w:rsidRPr="00C17C10">
              <w:rPr>
                <w:rFonts w:asciiTheme="majorHAnsi" w:hAnsiTheme="majorHAnsi" w:cstheme="majorHAnsi"/>
                <w:bCs/>
                <w:sz w:val="20"/>
                <w:szCs w:val="20"/>
              </w:rPr>
              <w:t xml:space="preserve"> </w:t>
            </w:r>
          </w:p>
        </w:tc>
        <w:tc>
          <w:tcPr>
            <w:tcW w:w="2526" w:type="pct"/>
            <w:shd w:val="clear" w:color="auto" w:fill="auto"/>
            <w:tcMar>
              <w:left w:w="29" w:type="dxa"/>
              <w:right w:w="29" w:type="dxa"/>
            </w:tcMar>
          </w:tcPr>
          <w:p w:rsidR="007B2DC1" w:rsidRPr="00C17C10" w:rsidRDefault="005B0EC0" w:rsidP="00A37ED6">
            <w:pPr>
              <w:rPr>
                <w:rFonts w:asciiTheme="majorHAnsi" w:hAnsiTheme="majorHAnsi" w:cstheme="majorHAnsi"/>
                <w:b/>
                <w:bCs/>
                <w:sz w:val="20"/>
                <w:szCs w:val="20"/>
              </w:rPr>
            </w:pPr>
            <w:r w:rsidRPr="00C17C10">
              <w:rPr>
                <w:rFonts w:asciiTheme="majorHAnsi" w:hAnsiTheme="majorHAnsi" w:cstheme="majorHAnsi"/>
                <w:sz w:val="20"/>
                <w:szCs w:val="20"/>
              </w:rPr>
              <w:t>In-Class Exercise and Presentation</w:t>
            </w:r>
            <w:r w:rsidR="00B86042" w:rsidRPr="00C17C10">
              <w:rPr>
                <w:rFonts w:asciiTheme="majorHAnsi" w:hAnsiTheme="majorHAnsi" w:cstheme="majorHAnsi"/>
                <w:sz w:val="20"/>
                <w:szCs w:val="20"/>
              </w:rPr>
              <w:t xml:space="preserve">: </w:t>
            </w:r>
            <w:r w:rsidR="007B2DC1" w:rsidRPr="00C17C10">
              <w:rPr>
                <w:rFonts w:asciiTheme="majorHAnsi" w:hAnsiTheme="majorHAnsi" w:cstheme="majorHAnsi"/>
                <w:sz w:val="20"/>
                <w:szCs w:val="20"/>
              </w:rPr>
              <w:t xml:space="preserve">Students participate in an interactive lecture on how to cultivate new funding resources, by learning to efficiently, and effectively, mine existing grant search engines and websites to locate, analyze and determine if a community-based or foundation grant Request for Application (RFA) or Request for Proposal (RFP) in response to their relevant public health or </w:t>
            </w:r>
            <w:r w:rsidR="00D06EEE" w:rsidRPr="00C17C10">
              <w:rPr>
                <w:rFonts w:asciiTheme="majorHAnsi" w:hAnsiTheme="majorHAnsi" w:cstheme="majorHAnsi"/>
                <w:sz w:val="20"/>
                <w:szCs w:val="20"/>
              </w:rPr>
              <w:t>healthcare</w:t>
            </w:r>
            <w:r w:rsidR="007B2DC1" w:rsidRPr="00C17C10">
              <w:rPr>
                <w:rFonts w:asciiTheme="majorHAnsi" w:hAnsiTheme="majorHAnsi" w:cstheme="majorHAnsi"/>
                <w:sz w:val="20"/>
                <w:szCs w:val="20"/>
              </w:rPr>
              <w:t xml:space="preserve"> problem. Next, through an in-class exercise, each student will research at least 3 funding mechanisms with existing RFAs or RFPs.  Each student will then orally present their finding to the class for feedback, critiques and suggestions. Students must discuss the realistic fiscal resources (staffing, supplies, etc.) that would be required to achieve their specific strategic goals and objectives through their proposed study, program or project. Each student will create a budget and budget justification through an individual written assignment once the necessary fiscal needs are identified.</w:t>
            </w:r>
          </w:p>
        </w:tc>
      </w:tr>
      <w:tr w:rsidR="007B2DC1" w:rsidRPr="00C17C10" w:rsidTr="00DE072A">
        <w:trPr>
          <w:cantSplit/>
          <w:trHeight w:val="287"/>
        </w:trPr>
        <w:tc>
          <w:tcPr>
            <w:tcW w:w="5000" w:type="pct"/>
            <w:gridSpan w:val="3"/>
            <w:shd w:val="clear" w:color="auto" w:fill="D9D9D9" w:themeFill="background1" w:themeFillShade="D9"/>
            <w:tcMar>
              <w:left w:w="29" w:type="dxa"/>
              <w:right w:w="29" w:type="dxa"/>
            </w:tcMar>
          </w:tcPr>
          <w:p w:rsidR="007B2DC1" w:rsidRPr="00C17C10" w:rsidRDefault="007B2DC1" w:rsidP="00A37ED6">
            <w:pPr>
              <w:rPr>
                <w:rFonts w:asciiTheme="majorHAnsi" w:hAnsiTheme="majorHAnsi" w:cstheme="majorHAnsi"/>
                <w:b/>
                <w:bCs/>
                <w:sz w:val="20"/>
                <w:szCs w:val="20"/>
              </w:rPr>
            </w:pPr>
            <w:r w:rsidRPr="00C17C10">
              <w:rPr>
                <w:rFonts w:asciiTheme="majorHAnsi" w:eastAsia="Times New Roman" w:hAnsiTheme="majorHAnsi" w:cstheme="majorHAnsi"/>
                <w:b/>
                <w:bCs/>
                <w:sz w:val="20"/>
                <w:szCs w:val="20"/>
              </w:rPr>
              <w:t>Policy &amp; Programs</w:t>
            </w:r>
          </w:p>
        </w:tc>
      </w:tr>
      <w:tr w:rsidR="007B2DC1" w:rsidRPr="00C17C10" w:rsidTr="00DE072A">
        <w:trPr>
          <w:cantSplit/>
          <w:trHeight w:val="450"/>
        </w:trPr>
        <w:tc>
          <w:tcPr>
            <w:tcW w:w="1105" w:type="pct"/>
            <w:vMerge w:val="restart"/>
            <w:shd w:val="clear" w:color="auto" w:fill="auto"/>
            <w:tcMar>
              <w:left w:w="29" w:type="dxa"/>
              <w:right w:w="29" w:type="dxa"/>
            </w:tcMar>
          </w:tcPr>
          <w:p w:rsidR="007B2DC1" w:rsidRPr="00C17C10" w:rsidRDefault="007B2DC1" w:rsidP="00A37ED6">
            <w:pPr>
              <w:rPr>
                <w:rFonts w:asciiTheme="majorHAnsi" w:eastAsia="Times New Roman" w:hAnsiTheme="majorHAnsi" w:cstheme="majorHAnsi"/>
                <w:color w:val="000000"/>
                <w:sz w:val="20"/>
                <w:szCs w:val="20"/>
              </w:rPr>
            </w:pPr>
            <w:r w:rsidRPr="00C17C10">
              <w:rPr>
                <w:rFonts w:asciiTheme="majorHAnsi" w:eastAsia="Times New Roman" w:hAnsiTheme="majorHAnsi" w:cstheme="majorHAnsi"/>
                <w:sz w:val="20"/>
                <w:szCs w:val="20"/>
              </w:rPr>
              <w:t>DrPH-14. Design a system-level intervention to address a public health issue</w:t>
            </w:r>
          </w:p>
        </w:tc>
        <w:tc>
          <w:tcPr>
            <w:tcW w:w="1369" w:type="pct"/>
            <w:shd w:val="clear" w:color="auto" w:fill="auto"/>
            <w:tcMar>
              <w:left w:w="29" w:type="dxa"/>
              <w:right w:w="29" w:type="dxa"/>
            </w:tcMar>
          </w:tcPr>
          <w:p w:rsidR="007B2DC1" w:rsidRPr="00C17C10" w:rsidRDefault="00985F2A" w:rsidP="00FC4AEF">
            <w:pPr>
              <w:rPr>
                <w:rFonts w:asciiTheme="majorHAnsi" w:hAnsiTheme="majorHAnsi" w:cstheme="majorHAnsi"/>
                <w:b/>
                <w:bCs/>
                <w:sz w:val="20"/>
                <w:szCs w:val="20"/>
                <w:highlight w:val="yellow"/>
              </w:rPr>
            </w:pPr>
            <w:r w:rsidRPr="00C17C10">
              <w:rPr>
                <w:rFonts w:asciiTheme="majorHAnsi" w:hAnsiTheme="majorHAnsi" w:cstheme="majorHAnsi"/>
                <w:b/>
                <w:sz w:val="20"/>
                <w:szCs w:val="20"/>
              </w:rPr>
              <w:t>PHD 3950</w:t>
            </w:r>
            <w:r w:rsidRPr="00C17C10">
              <w:rPr>
                <w:rFonts w:asciiTheme="majorHAnsi" w:hAnsiTheme="majorHAnsi" w:cstheme="majorHAnsi"/>
                <w:sz w:val="20"/>
                <w:szCs w:val="20"/>
              </w:rPr>
              <w:t xml:space="preserve"> Advanced Leadership Studies in Public Health</w:t>
            </w:r>
            <w:r w:rsidR="00F30CF3" w:rsidRPr="00C17C10">
              <w:rPr>
                <w:rFonts w:asciiTheme="majorHAnsi" w:hAnsiTheme="majorHAnsi" w:cstheme="majorHAnsi"/>
                <w:bCs/>
                <w:sz w:val="20"/>
                <w:szCs w:val="20"/>
              </w:rPr>
              <w:t xml:space="preserve"> </w:t>
            </w:r>
            <w:r w:rsidR="00F30CF3" w:rsidRPr="00C17C10">
              <w:rPr>
                <w:rFonts w:asciiTheme="majorHAnsi" w:hAnsiTheme="majorHAnsi" w:cstheme="majorHAnsi"/>
                <w:bCs/>
                <w:i/>
                <w:sz w:val="20"/>
                <w:szCs w:val="20"/>
              </w:rPr>
              <w:t>(for DrPH in CHP and HPHE)</w:t>
            </w:r>
          </w:p>
        </w:tc>
        <w:tc>
          <w:tcPr>
            <w:tcW w:w="2526" w:type="pct"/>
            <w:shd w:val="clear" w:color="auto" w:fill="auto"/>
            <w:tcMar>
              <w:left w:w="29" w:type="dxa"/>
              <w:right w:w="29" w:type="dxa"/>
            </w:tcMar>
          </w:tcPr>
          <w:p w:rsidR="000513B7" w:rsidRPr="00C17C10" w:rsidRDefault="005B0EC0" w:rsidP="00A37ED6">
            <w:pPr>
              <w:rPr>
                <w:rFonts w:asciiTheme="majorHAnsi" w:hAnsiTheme="majorHAnsi" w:cstheme="majorHAnsi"/>
                <w:bCs/>
                <w:sz w:val="20"/>
                <w:szCs w:val="20"/>
                <w:highlight w:val="yellow"/>
              </w:rPr>
            </w:pPr>
            <w:r w:rsidRPr="00C17C10">
              <w:rPr>
                <w:rFonts w:asciiTheme="majorHAnsi" w:hAnsiTheme="majorHAnsi" w:cstheme="majorHAnsi"/>
                <w:sz w:val="20"/>
                <w:szCs w:val="20"/>
              </w:rPr>
              <w:t>Wicked Public Health Project</w:t>
            </w:r>
            <w:r w:rsidR="00660BEF" w:rsidRPr="00C17C10">
              <w:rPr>
                <w:rFonts w:asciiTheme="majorHAnsi" w:hAnsiTheme="majorHAnsi" w:cstheme="majorHAnsi"/>
                <w:bCs/>
                <w:sz w:val="20"/>
                <w:szCs w:val="20"/>
              </w:rPr>
              <w:t xml:space="preserve">: </w:t>
            </w:r>
            <w:r w:rsidR="00E770D2" w:rsidRPr="00C17C10">
              <w:rPr>
                <w:rFonts w:asciiTheme="majorHAnsi" w:hAnsiTheme="majorHAnsi" w:cstheme="majorHAnsi"/>
                <w:bCs/>
                <w:sz w:val="20"/>
                <w:szCs w:val="20"/>
              </w:rPr>
              <w:t>The main assignment of this class is to design and implement a system-level intervention to address a public health issue, using leadership concepts and skills learned in class.  The issue addressed must involve a public health issue, preferentially one that affects vulnerable populations, and the intervention must address a “wicked” program</w:t>
            </w:r>
            <w:r w:rsidR="003923D3" w:rsidRPr="00C17C10">
              <w:rPr>
                <w:rFonts w:asciiTheme="majorHAnsi" w:hAnsiTheme="majorHAnsi" w:cstheme="majorHAnsi"/>
                <w:bCs/>
                <w:sz w:val="20"/>
                <w:szCs w:val="20"/>
              </w:rPr>
              <w:t xml:space="preserve"> -</w:t>
            </w:r>
            <w:r w:rsidR="00E770D2" w:rsidRPr="00C17C10">
              <w:rPr>
                <w:rFonts w:asciiTheme="majorHAnsi" w:hAnsiTheme="majorHAnsi" w:cstheme="majorHAnsi"/>
                <w:bCs/>
                <w:sz w:val="20"/>
                <w:szCs w:val="20"/>
              </w:rPr>
              <w:t xml:space="preserve"> one that does not have a technical solution. Throughout the semester, students will be blogging on </w:t>
            </w:r>
            <w:r w:rsidR="004D063F" w:rsidRPr="00C17C10">
              <w:rPr>
                <w:rFonts w:asciiTheme="majorHAnsi" w:hAnsiTheme="majorHAnsi" w:cstheme="majorHAnsi"/>
                <w:bCs/>
                <w:sz w:val="20"/>
                <w:szCs w:val="20"/>
              </w:rPr>
              <w:t>their</w:t>
            </w:r>
            <w:r w:rsidR="00E770D2" w:rsidRPr="00C17C10">
              <w:rPr>
                <w:rFonts w:asciiTheme="majorHAnsi" w:hAnsiTheme="majorHAnsi" w:cstheme="majorHAnsi"/>
                <w:bCs/>
                <w:sz w:val="20"/>
                <w:szCs w:val="20"/>
              </w:rPr>
              <w:t xml:space="preserve"> progress, noting successes and challenges, and commenting on fellow students’ progress</w:t>
            </w:r>
            <w:r w:rsidR="003923D3" w:rsidRPr="00C17C10">
              <w:rPr>
                <w:rFonts w:asciiTheme="majorHAnsi" w:hAnsiTheme="majorHAnsi" w:cstheme="majorHAnsi"/>
                <w:bCs/>
                <w:sz w:val="20"/>
                <w:szCs w:val="20"/>
              </w:rPr>
              <w:t>.</w:t>
            </w:r>
          </w:p>
        </w:tc>
      </w:tr>
      <w:tr w:rsidR="007B2DC1" w:rsidRPr="00C17C10" w:rsidTr="00DE072A">
        <w:trPr>
          <w:cantSplit/>
          <w:trHeight w:val="450"/>
        </w:trPr>
        <w:tc>
          <w:tcPr>
            <w:tcW w:w="1105" w:type="pct"/>
            <w:vMerge/>
            <w:shd w:val="clear" w:color="auto" w:fill="auto"/>
            <w:tcMar>
              <w:left w:w="29" w:type="dxa"/>
              <w:right w:w="29" w:type="dxa"/>
            </w:tcMar>
          </w:tcPr>
          <w:p w:rsidR="007B2DC1" w:rsidRPr="00C17C10" w:rsidRDefault="007B2DC1" w:rsidP="00A37ED6">
            <w:pPr>
              <w:rPr>
                <w:rFonts w:asciiTheme="majorHAnsi" w:eastAsia="Times New Roman" w:hAnsiTheme="majorHAnsi" w:cstheme="majorHAnsi"/>
                <w:color w:val="000000"/>
                <w:sz w:val="20"/>
                <w:szCs w:val="20"/>
              </w:rPr>
            </w:pPr>
          </w:p>
        </w:tc>
        <w:tc>
          <w:tcPr>
            <w:tcW w:w="1369" w:type="pct"/>
            <w:shd w:val="clear" w:color="auto" w:fill="auto"/>
            <w:tcMar>
              <w:left w:w="29" w:type="dxa"/>
              <w:right w:w="29" w:type="dxa"/>
            </w:tcMar>
          </w:tcPr>
          <w:p w:rsidR="007B2DC1" w:rsidRPr="00C17C10" w:rsidRDefault="00985F2A" w:rsidP="00FC4AEF">
            <w:pPr>
              <w:rPr>
                <w:rFonts w:asciiTheme="majorHAnsi" w:hAnsiTheme="majorHAnsi" w:cstheme="majorHAnsi"/>
                <w:b/>
                <w:bCs/>
                <w:sz w:val="20"/>
                <w:szCs w:val="20"/>
              </w:rPr>
            </w:pPr>
            <w:r w:rsidRPr="00C17C10">
              <w:rPr>
                <w:rFonts w:asciiTheme="majorHAnsi" w:hAnsiTheme="majorHAnsi" w:cstheme="majorHAnsi"/>
                <w:b/>
                <w:sz w:val="20"/>
                <w:szCs w:val="20"/>
              </w:rPr>
              <w:t>PHD 1113</w:t>
            </w:r>
            <w:r w:rsidRPr="00C17C10">
              <w:rPr>
                <w:rFonts w:asciiTheme="majorHAnsi" w:hAnsiTheme="majorHAnsi" w:cstheme="majorHAnsi"/>
                <w:sz w:val="20"/>
                <w:szCs w:val="20"/>
              </w:rPr>
              <w:t xml:space="preserve"> Advanced Methods in Health Promotion Planning and Implementation (Intervention Mapping)</w:t>
            </w:r>
            <w:r w:rsidR="000B570B" w:rsidRPr="00C17C10">
              <w:rPr>
                <w:rFonts w:asciiTheme="majorHAnsi" w:hAnsiTheme="majorHAnsi" w:cstheme="majorHAnsi"/>
                <w:bCs/>
                <w:sz w:val="20"/>
                <w:szCs w:val="20"/>
              </w:rPr>
              <w:t xml:space="preserve"> </w:t>
            </w:r>
            <w:r w:rsidR="000B570B" w:rsidRPr="00C17C10">
              <w:rPr>
                <w:rFonts w:asciiTheme="majorHAnsi" w:hAnsiTheme="majorHAnsi" w:cstheme="majorHAnsi"/>
                <w:bCs/>
                <w:i/>
                <w:sz w:val="20"/>
                <w:szCs w:val="20"/>
              </w:rPr>
              <w:t>(for DrPH in HPHE)</w:t>
            </w:r>
          </w:p>
        </w:tc>
        <w:tc>
          <w:tcPr>
            <w:tcW w:w="2526" w:type="pct"/>
            <w:shd w:val="clear" w:color="auto" w:fill="auto"/>
            <w:tcMar>
              <w:left w:w="29" w:type="dxa"/>
              <w:right w:w="29" w:type="dxa"/>
            </w:tcMar>
          </w:tcPr>
          <w:p w:rsidR="007B2DC1" w:rsidRPr="00C17C10" w:rsidRDefault="005B0EC0" w:rsidP="00A37ED6">
            <w:pPr>
              <w:rPr>
                <w:rFonts w:asciiTheme="majorHAnsi" w:hAnsiTheme="majorHAnsi" w:cstheme="majorHAnsi"/>
                <w:b/>
                <w:bCs/>
                <w:sz w:val="20"/>
                <w:szCs w:val="20"/>
              </w:rPr>
            </w:pPr>
            <w:r w:rsidRPr="00C17C10">
              <w:rPr>
                <w:rFonts w:asciiTheme="majorHAnsi" w:hAnsiTheme="majorHAnsi" w:cstheme="majorHAnsi"/>
                <w:sz w:val="20"/>
                <w:szCs w:val="20"/>
              </w:rPr>
              <w:t>Exam 2, Q12</w:t>
            </w:r>
            <w:r w:rsidR="00A1129B" w:rsidRPr="00C17C10">
              <w:rPr>
                <w:rFonts w:asciiTheme="majorHAnsi" w:hAnsiTheme="majorHAnsi" w:cstheme="majorHAnsi"/>
                <w:sz w:val="20"/>
                <w:szCs w:val="20"/>
              </w:rPr>
              <w:t xml:space="preserve"> </w:t>
            </w:r>
            <w:r w:rsidR="00A1129B" w:rsidRPr="00C17C10">
              <w:rPr>
                <w:rFonts w:asciiTheme="majorHAnsi" w:hAnsiTheme="majorHAnsi" w:cstheme="majorHAnsi"/>
                <w:bCs/>
                <w:sz w:val="20"/>
                <w:szCs w:val="20"/>
              </w:rPr>
              <w:t xml:space="preserve">(and </w:t>
            </w:r>
            <w:r w:rsidRPr="00C17C10">
              <w:rPr>
                <w:rFonts w:asciiTheme="majorHAnsi" w:hAnsiTheme="majorHAnsi" w:cstheme="majorHAnsi"/>
                <w:sz w:val="20"/>
                <w:szCs w:val="20"/>
              </w:rPr>
              <w:t>Grading Sheet</w:t>
            </w:r>
            <w:r w:rsidR="00A1129B" w:rsidRPr="00C17C10">
              <w:rPr>
                <w:rFonts w:asciiTheme="majorHAnsi" w:hAnsiTheme="majorHAnsi" w:cstheme="majorHAnsi"/>
                <w:bCs/>
                <w:sz w:val="20"/>
                <w:szCs w:val="20"/>
              </w:rPr>
              <w:t>)</w:t>
            </w:r>
            <w:r w:rsidR="007B2DC1" w:rsidRPr="00C17C10">
              <w:rPr>
                <w:rFonts w:asciiTheme="majorHAnsi" w:hAnsiTheme="majorHAnsi" w:cstheme="majorHAnsi"/>
                <w:sz w:val="20"/>
                <w:szCs w:val="20"/>
              </w:rPr>
              <w:t>: Describe the system-level intervention that you are proposing. What are the intervention components, themes, and overall program scope and sequence? This information can be presented in both a narrative format and in organizing table(s) or diagram(s).</w:t>
            </w:r>
          </w:p>
        </w:tc>
      </w:tr>
      <w:tr w:rsidR="007B2DC1" w:rsidRPr="00C17C10" w:rsidTr="00DE072A">
        <w:trPr>
          <w:cantSplit/>
          <w:trHeight w:val="450"/>
        </w:trPr>
        <w:tc>
          <w:tcPr>
            <w:tcW w:w="1105" w:type="pct"/>
            <w:vMerge w:val="restart"/>
            <w:shd w:val="clear" w:color="auto" w:fill="auto"/>
            <w:tcMar>
              <w:left w:w="29" w:type="dxa"/>
              <w:right w:w="29" w:type="dxa"/>
            </w:tcMar>
          </w:tcPr>
          <w:p w:rsidR="007B2DC1" w:rsidRPr="00C17C10" w:rsidRDefault="007B2DC1" w:rsidP="00A37ED6">
            <w:pPr>
              <w:rPr>
                <w:rFonts w:asciiTheme="majorHAnsi" w:eastAsia="Times New Roman" w:hAnsiTheme="majorHAnsi" w:cstheme="majorHAnsi"/>
                <w:color w:val="000000"/>
                <w:sz w:val="20"/>
                <w:szCs w:val="20"/>
              </w:rPr>
            </w:pPr>
            <w:r w:rsidRPr="00C17C10">
              <w:rPr>
                <w:rFonts w:asciiTheme="majorHAnsi" w:eastAsia="Times New Roman" w:hAnsiTheme="majorHAnsi" w:cstheme="majorHAnsi"/>
                <w:sz w:val="20"/>
                <w:szCs w:val="20"/>
              </w:rPr>
              <w:t>DrPH-15. Integrate knowledge of cultural values and practices in the design of public health policies and programs</w:t>
            </w:r>
          </w:p>
        </w:tc>
        <w:tc>
          <w:tcPr>
            <w:tcW w:w="1369" w:type="pct"/>
            <w:shd w:val="clear" w:color="auto" w:fill="auto"/>
            <w:tcMar>
              <w:left w:w="29" w:type="dxa"/>
              <w:right w:w="29" w:type="dxa"/>
            </w:tcMar>
          </w:tcPr>
          <w:p w:rsidR="007B2DC1" w:rsidRPr="00C17C10" w:rsidRDefault="00985F2A" w:rsidP="00FC4AEF">
            <w:pPr>
              <w:rPr>
                <w:rFonts w:asciiTheme="majorHAnsi" w:hAnsiTheme="majorHAnsi" w:cstheme="majorHAnsi"/>
                <w:b/>
                <w:bCs/>
                <w:sz w:val="20"/>
                <w:szCs w:val="20"/>
              </w:rPr>
            </w:pPr>
            <w:r w:rsidRPr="00C17C10">
              <w:rPr>
                <w:rFonts w:asciiTheme="majorHAnsi" w:hAnsiTheme="majorHAnsi" w:cstheme="majorHAnsi"/>
                <w:b/>
                <w:sz w:val="20"/>
                <w:szCs w:val="20"/>
              </w:rPr>
              <w:t>PHD 1113</w:t>
            </w:r>
            <w:r w:rsidRPr="00C17C10">
              <w:rPr>
                <w:rFonts w:asciiTheme="majorHAnsi" w:hAnsiTheme="majorHAnsi" w:cstheme="majorHAnsi"/>
                <w:sz w:val="20"/>
                <w:szCs w:val="20"/>
              </w:rPr>
              <w:t xml:space="preserve"> Advanced Methods in Health Promotion Planning and Implementation (Intervention Mapping)</w:t>
            </w:r>
            <w:r w:rsidR="000B570B" w:rsidRPr="00C17C10">
              <w:rPr>
                <w:rFonts w:asciiTheme="majorHAnsi" w:hAnsiTheme="majorHAnsi" w:cstheme="majorHAnsi"/>
                <w:bCs/>
                <w:sz w:val="20"/>
                <w:szCs w:val="20"/>
              </w:rPr>
              <w:t xml:space="preserve"> </w:t>
            </w:r>
            <w:r w:rsidR="000B570B" w:rsidRPr="00C17C10">
              <w:rPr>
                <w:rFonts w:asciiTheme="majorHAnsi" w:hAnsiTheme="majorHAnsi" w:cstheme="majorHAnsi"/>
                <w:bCs/>
                <w:i/>
                <w:sz w:val="20"/>
                <w:szCs w:val="20"/>
              </w:rPr>
              <w:t>(for DrPH in HPHE)</w:t>
            </w:r>
          </w:p>
        </w:tc>
        <w:tc>
          <w:tcPr>
            <w:tcW w:w="2526" w:type="pct"/>
            <w:shd w:val="clear" w:color="auto" w:fill="auto"/>
            <w:tcMar>
              <w:left w:w="29" w:type="dxa"/>
              <w:right w:w="29" w:type="dxa"/>
            </w:tcMar>
          </w:tcPr>
          <w:p w:rsidR="007B2DC1" w:rsidRPr="00C17C10" w:rsidRDefault="005B0EC0" w:rsidP="00A37ED6">
            <w:pPr>
              <w:rPr>
                <w:rFonts w:asciiTheme="majorHAnsi" w:hAnsiTheme="majorHAnsi" w:cstheme="majorHAnsi"/>
                <w:b/>
                <w:bCs/>
                <w:sz w:val="20"/>
                <w:szCs w:val="20"/>
              </w:rPr>
            </w:pPr>
            <w:r w:rsidRPr="00C17C10">
              <w:rPr>
                <w:rFonts w:asciiTheme="majorHAnsi" w:hAnsiTheme="majorHAnsi" w:cstheme="majorHAnsi"/>
                <w:sz w:val="20"/>
                <w:szCs w:val="20"/>
              </w:rPr>
              <w:t>Exam 3, Q14</w:t>
            </w:r>
            <w:r w:rsidR="00A1129B" w:rsidRPr="00C17C10">
              <w:rPr>
                <w:rFonts w:asciiTheme="majorHAnsi" w:hAnsiTheme="majorHAnsi" w:cstheme="majorHAnsi"/>
                <w:sz w:val="20"/>
                <w:szCs w:val="20"/>
              </w:rPr>
              <w:t xml:space="preserve"> </w:t>
            </w:r>
            <w:r w:rsidR="00A1129B" w:rsidRPr="00C17C10">
              <w:rPr>
                <w:rFonts w:asciiTheme="majorHAnsi" w:hAnsiTheme="majorHAnsi" w:cstheme="majorHAnsi"/>
                <w:bCs/>
                <w:sz w:val="20"/>
                <w:szCs w:val="20"/>
              </w:rPr>
              <w:t xml:space="preserve">(and </w:t>
            </w:r>
            <w:r w:rsidRPr="00C17C10">
              <w:rPr>
                <w:rFonts w:asciiTheme="majorHAnsi" w:hAnsiTheme="majorHAnsi" w:cstheme="majorHAnsi"/>
                <w:sz w:val="20"/>
                <w:szCs w:val="20"/>
              </w:rPr>
              <w:t>Grading Sheet</w:t>
            </w:r>
            <w:r w:rsidR="00A1129B" w:rsidRPr="00C17C10">
              <w:rPr>
                <w:rFonts w:asciiTheme="majorHAnsi" w:hAnsiTheme="majorHAnsi" w:cstheme="majorHAnsi"/>
                <w:bCs/>
                <w:sz w:val="20"/>
                <w:szCs w:val="20"/>
              </w:rPr>
              <w:t>)</w:t>
            </w:r>
            <w:r w:rsidR="007B2DC1" w:rsidRPr="00C17C10">
              <w:rPr>
                <w:rFonts w:asciiTheme="majorHAnsi" w:hAnsiTheme="majorHAnsi" w:cstheme="majorHAnsi"/>
                <w:sz w:val="20"/>
                <w:szCs w:val="20"/>
              </w:rPr>
              <w:t>: Explain cultural issues that may need to be considered for your program. Integrate knowledge of cultural values and practices into the design of your proposed program to increase cultural relevance.</w:t>
            </w:r>
          </w:p>
        </w:tc>
      </w:tr>
      <w:tr w:rsidR="007B2DC1" w:rsidRPr="00C17C10" w:rsidTr="00DE072A">
        <w:trPr>
          <w:cantSplit/>
          <w:trHeight w:val="450"/>
        </w:trPr>
        <w:tc>
          <w:tcPr>
            <w:tcW w:w="1105" w:type="pct"/>
            <w:vMerge/>
            <w:shd w:val="clear" w:color="auto" w:fill="auto"/>
            <w:tcMar>
              <w:left w:w="29" w:type="dxa"/>
              <w:right w:w="29" w:type="dxa"/>
            </w:tcMar>
          </w:tcPr>
          <w:p w:rsidR="007B2DC1" w:rsidRPr="00C17C10" w:rsidRDefault="007B2DC1" w:rsidP="00A37ED6">
            <w:pPr>
              <w:rPr>
                <w:rFonts w:asciiTheme="majorHAnsi" w:eastAsia="Times New Roman" w:hAnsiTheme="majorHAnsi" w:cstheme="majorHAnsi"/>
                <w:color w:val="000000"/>
                <w:sz w:val="20"/>
                <w:szCs w:val="20"/>
              </w:rPr>
            </w:pPr>
          </w:p>
        </w:tc>
        <w:tc>
          <w:tcPr>
            <w:tcW w:w="1369" w:type="pct"/>
            <w:shd w:val="clear" w:color="auto" w:fill="auto"/>
            <w:tcMar>
              <w:left w:w="29" w:type="dxa"/>
              <w:right w:w="29" w:type="dxa"/>
            </w:tcMar>
          </w:tcPr>
          <w:p w:rsidR="007B2DC1" w:rsidRPr="00C17C10" w:rsidRDefault="00985F2A" w:rsidP="00FC4AEF">
            <w:pPr>
              <w:rPr>
                <w:rFonts w:asciiTheme="majorHAnsi" w:hAnsiTheme="majorHAnsi" w:cstheme="majorHAnsi"/>
                <w:b/>
                <w:bCs/>
                <w:sz w:val="20"/>
                <w:szCs w:val="20"/>
              </w:rPr>
            </w:pPr>
            <w:r w:rsidRPr="00C17C10">
              <w:rPr>
                <w:rFonts w:asciiTheme="majorHAnsi" w:hAnsiTheme="majorHAnsi" w:cstheme="majorHAnsi"/>
                <w:sz w:val="20"/>
                <w:szCs w:val="20"/>
              </w:rPr>
              <w:t>PHD 3998 Community Based Participatory Research and Community Engagement</w:t>
            </w:r>
            <w:r w:rsidR="002B1791" w:rsidRPr="00C17C10">
              <w:rPr>
                <w:rFonts w:asciiTheme="majorHAnsi" w:hAnsiTheme="majorHAnsi" w:cstheme="majorHAnsi"/>
                <w:bCs/>
                <w:sz w:val="20"/>
                <w:szCs w:val="20"/>
              </w:rPr>
              <w:t xml:space="preserve"> </w:t>
            </w:r>
            <w:r w:rsidR="002B1791" w:rsidRPr="00C17C10">
              <w:rPr>
                <w:rFonts w:asciiTheme="majorHAnsi" w:hAnsiTheme="majorHAnsi" w:cstheme="majorHAnsi"/>
                <w:bCs/>
                <w:i/>
                <w:sz w:val="20"/>
                <w:szCs w:val="20"/>
              </w:rPr>
              <w:t>(for DrPH in CHP and HPHE)</w:t>
            </w:r>
          </w:p>
        </w:tc>
        <w:tc>
          <w:tcPr>
            <w:tcW w:w="2526" w:type="pct"/>
            <w:shd w:val="clear" w:color="auto" w:fill="auto"/>
            <w:tcMar>
              <w:left w:w="29" w:type="dxa"/>
              <w:right w:w="29" w:type="dxa"/>
            </w:tcMar>
          </w:tcPr>
          <w:p w:rsidR="007B2DC1" w:rsidRPr="00C17C10" w:rsidRDefault="005B0EC0" w:rsidP="00A37ED6">
            <w:pPr>
              <w:rPr>
                <w:rFonts w:asciiTheme="majorHAnsi" w:hAnsiTheme="majorHAnsi" w:cstheme="majorHAnsi"/>
                <w:b/>
                <w:bCs/>
                <w:sz w:val="20"/>
                <w:szCs w:val="20"/>
              </w:rPr>
            </w:pPr>
            <w:r w:rsidRPr="00C17C10">
              <w:rPr>
                <w:rFonts w:asciiTheme="majorHAnsi" w:hAnsiTheme="majorHAnsi" w:cstheme="majorHAnsi"/>
                <w:sz w:val="20"/>
                <w:szCs w:val="20"/>
              </w:rPr>
              <w:t>Final Paper:</w:t>
            </w:r>
            <w:r w:rsidR="002B1791" w:rsidRPr="00C17C10">
              <w:rPr>
                <w:rFonts w:asciiTheme="majorHAnsi" w:hAnsiTheme="majorHAnsi" w:cstheme="majorHAnsi"/>
                <w:bCs/>
                <w:sz w:val="20"/>
                <w:szCs w:val="20"/>
              </w:rPr>
              <w:t xml:space="preserve"> Students prepare a proposal to evaluate a system-level policy or program that addresses a public health issue. As part of the proposal, students propose strategies to integrate cultural values and practices into the program or policy that they are evaluating.</w:t>
            </w:r>
          </w:p>
        </w:tc>
      </w:tr>
      <w:tr w:rsidR="007B2DC1" w:rsidRPr="00C17C10" w:rsidTr="00DE072A">
        <w:trPr>
          <w:cantSplit/>
          <w:trHeight w:val="450"/>
        </w:trPr>
        <w:tc>
          <w:tcPr>
            <w:tcW w:w="1105" w:type="pct"/>
            <w:shd w:val="clear" w:color="auto" w:fill="auto"/>
            <w:tcMar>
              <w:left w:w="29" w:type="dxa"/>
              <w:right w:w="29" w:type="dxa"/>
            </w:tcMar>
          </w:tcPr>
          <w:p w:rsidR="007B2DC1" w:rsidRPr="00C17C10" w:rsidRDefault="007B2DC1" w:rsidP="00A37ED6">
            <w:pPr>
              <w:rPr>
                <w:rFonts w:asciiTheme="majorHAnsi" w:eastAsia="Times New Roman" w:hAnsiTheme="majorHAnsi" w:cstheme="majorHAnsi"/>
                <w:color w:val="000000"/>
                <w:sz w:val="20"/>
                <w:szCs w:val="20"/>
              </w:rPr>
            </w:pPr>
            <w:r w:rsidRPr="00C17C10">
              <w:rPr>
                <w:rFonts w:asciiTheme="majorHAnsi" w:eastAsia="Times New Roman" w:hAnsiTheme="majorHAnsi" w:cstheme="majorHAnsi"/>
                <w:sz w:val="20"/>
                <w:szCs w:val="20"/>
              </w:rPr>
              <w:t>DrPH-16. Integrate scientific information, legal and regulatory approaches, ethical frameworks and varied stakeholder interests in policy development and analysis</w:t>
            </w:r>
          </w:p>
        </w:tc>
        <w:tc>
          <w:tcPr>
            <w:tcW w:w="1369" w:type="pct"/>
            <w:shd w:val="clear" w:color="auto" w:fill="auto"/>
            <w:tcMar>
              <w:left w:w="29" w:type="dxa"/>
              <w:right w:w="29" w:type="dxa"/>
            </w:tcMar>
          </w:tcPr>
          <w:p w:rsidR="007B2DC1" w:rsidRPr="00C17C10" w:rsidRDefault="00985F2A" w:rsidP="00FC4AEF">
            <w:pPr>
              <w:rPr>
                <w:rFonts w:asciiTheme="majorHAnsi" w:hAnsiTheme="majorHAnsi" w:cstheme="majorHAnsi"/>
                <w:sz w:val="20"/>
                <w:szCs w:val="20"/>
                <w:highlight w:val="yellow"/>
              </w:rPr>
            </w:pPr>
            <w:r w:rsidRPr="00C17C10">
              <w:rPr>
                <w:rFonts w:asciiTheme="majorHAnsi" w:hAnsiTheme="majorHAnsi" w:cstheme="majorHAnsi"/>
                <w:b/>
                <w:sz w:val="20"/>
                <w:szCs w:val="20"/>
              </w:rPr>
              <w:t>PH 3998</w:t>
            </w:r>
            <w:r w:rsidRPr="00C17C10">
              <w:rPr>
                <w:rFonts w:asciiTheme="majorHAnsi" w:hAnsiTheme="majorHAnsi" w:cstheme="majorHAnsi"/>
                <w:sz w:val="20"/>
                <w:szCs w:val="20"/>
              </w:rPr>
              <w:t xml:space="preserve"> Public Health Advocacy</w:t>
            </w:r>
            <w:r w:rsidR="007B2DC1" w:rsidRPr="00C17C10">
              <w:rPr>
                <w:rFonts w:asciiTheme="majorHAnsi" w:hAnsiTheme="majorHAnsi" w:cstheme="majorHAnsi"/>
                <w:bCs/>
                <w:i/>
                <w:sz w:val="20"/>
                <w:szCs w:val="20"/>
              </w:rPr>
              <w:t xml:space="preserve"> (for DrPH in CHP and HPHE)</w:t>
            </w:r>
            <w:r w:rsidR="00235CE3" w:rsidRPr="00C17C10">
              <w:rPr>
                <w:rFonts w:asciiTheme="majorHAnsi" w:hAnsiTheme="majorHAnsi" w:cstheme="majorHAnsi"/>
                <w:bCs/>
                <w:sz w:val="20"/>
                <w:szCs w:val="20"/>
              </w:rPr>
              <w:t xml:space="preserve"> </w:t>
            </w:r>
          </w:p>
        </w:tc>
        <w:tc>
          <w:tcPr>
            <w:tcW w:w="2526" w:type="pct"/>
            <w:shd w:val="clear" w:color="auto" w:fill="auto"/>
            <w:tcMar>
              <w:left w:w="29" w:type="dxa"/>
              <w:right w:w="29" w:type="dxa"/>
            </w:tcMar>
          </w:tcPr>
          <w:p w:rsidR="007B2DC1" w:rsidRPr="00C17C10" w:rsidRDefault="00BA5DF0" w:rsidP="00A37ED6">
            <w:pPr>
              <w:rPr>
                <w:rFonts w:asciiTheme="majorHAnsi" w:hAnsiTheme="majorHAnsi" w:cstheme="majorHAnsi"/>
                <w:bCs/>
                <w:sz w:val="20"/>
                <w:szCs w:val="20"/>
                <w:highlight w:val="yellow"/>
              </w:rPr>
            </w:pPr>
            <w:r w:rsidRPr="00C17C10">
              <w:rPr>
                <w:rFonts w:asciiTheme="majorHAnsi" w:hAnsiTheme="majorHAnsi" w:cstheme="majorHAnsi"/>
                <w:sz w:val="20"/>
                <w:szCs w:val="20"/>
              </w:rPr>
              <w:t>Written Testimony</w:t>
            </w:r>
            <w:r w:rsidR="00235CE3" w:rsidRPr="00C17C10">
              <w:rPr>
                <w:rFonts w:asciiTheme="majorHAnsi" w:hAnsiTheme="majorHAnsi" w:cstheme="majorHAnsi"/>
                <w:color w:val="000000"/>
                <w:sz w:val="20"/>
                <w:szCs w:val="20"/>
                <w:shd w:val="clear" w:color="auto" w:fill="FFFFFF"/>
              </w:rPr>
              <w:t xml:space="preserve"> and </w:t>
            </w:r>
            <w:r w:rsidRPr="00C17C10">
              <w:rPr>
                <w:rFonts w:asciiTheme="majorHAnsi" w:hAnsiTheme="majorHAnsi" w:cstheme="majorHAnsi"/>
                <w:sz w:val="20"/>
                <w:szCs w:val="20"/>
              </w:rPr>
              <w:t>Oral Presentation</w:t>
            </w:r>
            <w:r w:rsidR="00235CE3" w:rsidRPr="00C17C10">
              <w:rPr>
                <w:rFonts w:asciiTheme="majorHAnsi" w:hAnsiTheme="majorHAnsi" w:cstheme="majorHAnsi"/>
                <w:color w:val="000000"/>
                <w:sz w:val="20"/>
                <w:szCs w:val="20"/>
                <w:shd w:val="clear" w:color="auto" w:fill="FFFFFF"/>
              </w:rPr>
              <w:t xml:space="preserve">: </w:t>
            </w:r>
            <w:r w:rsidR="00EA6F7F" w:rsidRPr="00C17C10">
              <w:rPr>
                <w:rFonts w:asciiTheme="majorHAnsi" w:hAnsiTheme="majorHAnsi" w:cstheme="majorHAnsi"/>
                <w:color w:val="000000"/>
                <w:sz w:val="20"/>
                <w:szCs w:val="20"/>
                <w:shd w:val="clear" w:color="auto" w:fill="FFFFFF"/>
              </w:rPr>
              <w:t>As part of your written testimony regarding a public health issue to a legislative body, include relevant scientific information, what legal and/or regulatory approaches have been tried, and any ethical issues involved in your proposed legislation.  Be sure to include varied stakeholder interests in your public health issue and proposed legislation. </w:t>
            </w:r>
          </w:p>
        </w:tc>
      </w:tr>
      <w:tr w:rsidR="007B2DC1" w:rsidRPr="00C17C10" w:rsidTr="00DE072A">
        <w:trPr>
          <w:cantSplit/>
          <w:trHeight w:val="450"/>
        </w:trPr>
        <w:tc>
          <w:tcPr>
            <w:tcW w:w="1105" w:type="pct"/>
            <w:vMerge w:val="restart"/>
            <w:shd w:val="clear" w:color="auto" w:fill="auto"/>
            <w:tcMar>
              <w:left w:w="29" w:type="dxa"/>
              <w:right w:w="29" w:type="dxa"/>
            </w:tcMar>
          </w:tcPr>
          <w:p w:rsidR="007B2DC1" w:rsidRPr="00C17C10" w:rsidRDefault="007B2DC1" w:rsidP="00A37ED6">
            <w:pPr>
              <w:rPr>
                <w:rFonts w:asciiTheme="majorHAnsi" w:eastAsia="Times New Roman" w:hAnsiTheme="majorHAnsi" w:cstheme="majorHAnsi"/>
                <w:color w:val="000000"/>
                <w:sz w:val="20"/>
                <w:szCs w:val="20"/>
              </w:rPr>
            </w:pPr>
            <w:r w:rsidRPr="00C17C10">
              <w:rPr>
                <w:rFonts w:asciiTheme="majorHAnsi" w:eastAsia="Times New Roman" w:hAnsiTheme="majorHAnsi" w:cstheme="majorHAnsi"/>
                <w:sz w:val="20"/>
                <w:szCs w:val="20"/>
              </w:rPr>
              <w:t>DrPH-17. Propose interprofessional team approaches to improving public health</w:t>
            </w:r>
          </w:p>
        </w:tc>
        <w:tc>
          <w:tcPr>
            <w:tcW w:w="1369" w:type="pct"/>
            <w:shd w:val="clear" w:color="auto" w:fill="auto"/>
            <w:tcMar>
              <w:left w:w="29" w:type="dxa"/>
              <w:right w:w="29" w:type="dxa"/>
            </w:tcMar>
          </w:tcPr>
          <w:p w:rsidR="007B2DC1" w:rsidRPr="00C17C10" w:rsidRDefault="00985F2A" w:rsidP="00FC4AEF">
            <w:pPr>
              <w:rPr>
                <w:rFonts w:asciiTheme="majorHAnsi" w:hAnsiTheme="majorHAnsi" w:cstheme="majorHAnsi"/>
                <w:b/>
                <w:bCs/>
                <w:sz w:val="20"/>
                <w:szCs w:val="20"/>
              </w:rPr>
            </w:pPr>
            <w:r w:rsidRPr="00C17C10">
              <w:rPr>
                <w:rFonts w:asciiTheme="majorHAnsi" w:hAnsiTheme="majorHAnsi" w:cstheme="majorHAnsi"/>
                <w:b/>
                <w:sz w:val="20"/>
                <w:szCs w:val="20"/>
              </w:rPr>
              <w:t>PHD 1113</w:t>
            </w:r>
            <w:r w:rsidRPr="00C17C10">
              <w:rPr>
                <w:rFonts w:asciiTheme="majorHAnsi" w:hAnsiTheme="majorHAnsi" w:cstheme="majorHAnsi"/>
                <w:sz w:val="20"/>
                <w:szCs w:val="20"/>
              </w:rPr>
              <w:t xml:space="preserve"> Advanced Methods in Health Promotion Planning and Implementation (Intervention Mapping)</w:t>
            </w:r>
            <w:r w:rsidR="000B570B" w:rsidRPr="00C17C10">
              <w:rPr>
                <w:rFonts w:asciiTheme="majorHAnsi" w:hAnsiTheme="majorHAnsi" w:cstheme="majorHAnsi"/>
                <w:bCs/>
                <w:sz w:val="20"/>
                <w:szCs w:val="20"/>
              </w:rPr>
              <w:t xml:space="preserve"> </w:t>
            </w:r>
            <w:r w:rsidR="000B570B" w:rsidRPr="00C17C10">
              <w:rPr>
                <w:rFonts w:asciiTheme="majorHAnsi" w:hAnsiTheme="majorHAnsi" w:cstheme="majorHAnsi"/>
                <w:bCs/>
                <w:i/>
                <w:sz w:val="20"/>
                <w:szCs w:val="20"/>
              </w:rPr>
              <w:t>(for DrPH in HPHE)</w:t>
            </w:r>
          </w:p>
        </w:tc>
        <w:tc>
          <w:tcPr>
            <w:tcW w:w="2526" w:type="pct"/>
            <w:shd w:val="clear" w:color="auto" w:fill="auto"/>
            <w:tcMar>
              <w:left w:w="29" w:type="dxa"/>
              <w:right w:w="29" w:type="dxa"/>
            </w:tcMar>
          </w:tcPr>
          <w:p w:rsidR="007B2DC1" w:rsidRPr="00C17C10" w:rsidRDefault="008837E5" w:rsidP="00A37ED6">
            <w:pPr>
              <w:rPr>
                <w:rFonts w:asciiTheme="majorHAnsi" w:hAnsiTheme="majorHAnsi" w:cstheme="majorHAnsi"/>
                <w:sz w:val="20"/>
                <w:szCs w:val="20"/>
              </w:rPr>
            </w:pPr>
            <w:r w:rsidRPr="00C17C10">
              <w:rPr>
                <w:rFonts w:asciiTheme="majorHAnsi" w:hAnsiTheme="majorHAnsi" w:cstheme="majorHAnsi"/>
                <w:sz w:val="20"/>
                <w:szCs w:val="20"/>
              </w:rPr>
              <w:t>Exam 1, Q1</w:t>
            </w:r>
            <w:r w:rsidR="00A1129B" w:rsidRPr="00C17C10">
              <w:rPr>
                <w:rFonts w:asciiTheme="majorHAnsi" w:hAnsiTheme="majorHAnsi" w:cstheme="majorHAnsi"/>
                <w:sz w:val="20"/>
                <w:szCs w:val="20"/>
              </w:rPr>
              <w:t xml:space="preserve"> </w:t>
            </w:r>
            <w:r w:rsidR="00A1129B" w:rsidRPr="00C17C10">
              <w:rPr>
                <w:rFonts w:asciiTheme="majorHAnsi" w:hAnsiTheme="majorHAnsi" w:cstheme="majorHAnsi"/>
                <w:bCs/>
                <w:sz w:val="20"/>
                <w:szCs w:val="20"/>
              </w:rPr>
              <w:t xml:space="preserve">(and </w:t>
            </w:r>
            <w:r w:rsidRPr="00C17C10">
              <w:rPr>
                <w:rFonts w:asciiTheme="majorHAnsi" w:hAnsiTheme="majorHAnsi" w:cstheme="majorHAnsi"/>
                <w:sz w:val="20"/>
                <w:szCs w:val="20"/>
              </w:rPr>
              <w:t>Grading Sheet</w:t>
            </w:r>
            <w:r w:rsidR="00A1129B" w:rsidRPr="00C17C10">
              <w:rPr>
                <w:rFonts w:asciiTheme="majorHAnsi" w:hAnsiTheme="majorHAnsi" w:cstheme="majorHAnsi"/>
                <w:bCs/>
                <w:sz w:val="20"/>
                <w:szCs w:val="20"/>
              </w:rPr>
              <w:t>)</w:t>
            </w:r>
            <w:r w:rsidR="007B2DC1" w:rsidRPr="00C17C10">
              <w:rPr>
                <w:rFonts w:asciiTheme="majorHAnsi" w:hAnsiTheme="majorHAnsi" w:cstheme="majorHAnsi"/>
                <w:sz w:val="20"/>
                <w:szCs w:val="20"/>
              </w:rPr>
              <w:t>: List the type of interprofessional organizations and title or description of types of members in your planning group, taking into consideration your population and health issue.</w:t>
            </w:r>
          </w:p>
          <w:p w:rsidR="00844DFA" w:rsidRPr="00C17C10" w:rsidRDefault="00844DFA" w:rsidP="00A37ED6">
            <w:pPr>
              <w:rPr>
                <w:rFonts w:asciiTheme="majorHAnsi" w:hAnsiTheme="majorHAnsi" w:cstheme="majorHAnsi"/>
                <w:sz w:val="20"/>
                <w:szCs w:val="20"/>
              </w:rPr>
            </w:pPr>
          </w:p>
          <w:p w:rsidR="007B2DC1" w:rsidRPr="00C17C10" w:rsidRDefault="003C7EDE" w:rsidP="00FC4AEF">
            <w:pPr>
              <w:rPr>
                <w:rFonts w:asciiTheme="majorHAnsi" w:hAnsiTheme="majorHAnsi" w:cstheme="majorHAnsi"/>
                <w:b/>
                <w:bCs/>
                <w:sz w:val="20"/>
                <w:szCs w:val="20"/>
              </w:rPr>
            </w:pPr>
            <w:r w:rsidRPr="00C17C10">
              <w:rPr>
                <w:rFonts w:asciiTheme="majorHAnsi" w:hAnsiTheme="majorHAnsi" w:cstheme="majorHAnsi"/>
                <w:sz w:val="20"/>
                <w:szCs w:val="20"/>
              </w:rPr>
              <w:t>Exam 3, Q16</w:t>
            </w:r>
            <w:r w:rsidR="00844DFA" w:rsidRPr="00C17C10">
              <w:rPr>
                <w:rFonts w:asciiTheme="majorHAnsi" w:hAnsiTheme="majorHAnsi" w:cstheme="majorHAnsi"/>
                <w:sz w:val="20"/>
                <w:szCs w:val="20"/>
              </w:rPr>
              <w:t xml:space="preserve"> (</w:t>
            </w:r>
            <w:r w:rsidR="00844DFA" w:rsidRPr="00C17C10">
              <w:rPr>
                <w:rFonts w:asciiTheme="majorHAnsi" w:hAnsiTheme="majorHAnsi" w:cstheme="majorHAnsi"/>
                <w:bCs/>
                <w:sz w:val="20"/>
                <w:szCs w:val="20"/>
              </w:rPr>
              <w:t xml:space="preserve">and </w:t>
            </w:r>
            <w:r w:rsidRPr="00C17C10">
              <w:rPr>
                <w:rFonts w:asciiTheme="majorHAnsi" w:hAnsiTheme="majorHAnsi" w:cstheme="majorHAnsi"/>
                <w:sz w:val="20"/>
                <w:szCs w:val="20"/>
              </w:rPr>
              <w:t>Grading Sheet</w:t>
            </w:r>
            <w:r w:rsidR="00844DFA" w:rsidRPr="00C17C10">
              <w:rPr>
                <w:rFonts w:asciiTheme="majorHAnsi" w:hAnsiTheme="majorHAnsi" w:cstheme="majorHAnsi"/>
                <w:bCs/>
                <w:sz w:val="20"/>
                <w:szCs w:val="20"/>
              </w:rPr>
              <w:t>)</w:t>
            </w:r>
            <w:r w:rsidRPr="00C17C10">
              <w:rPr>
                <w:rFonts w:asciiTheme="majorHAnsi" w:hAnsiTheme="majorHAnsi" w:cstheme="majorHAnsi"/>
                <w:sz w:val="20"/>
                <w:szCs w:val="20"/>
              </w:rPr>
              <w:t>:</w:t>
            </w:r>
            <w:r w:rsidR="007B2DC1" w:rsidRPr="00C17C10">
              <w:rPr>
                <w:rFonts w:asciiTheme="majorHAnsi" w:hAnsiTheme="majorHAnsi" w:cstheme="majorHAnsi"/>
                <w:sz w:val="20"/>
                <w:szCs w:val="20"/>
              </w:rPr>
              <w:t xml:space="preserve"> Describe the interprofessional agents responsible for adopting, implementing, and maintaining a public health intervention.</w:t>
            </w:r>
          </w:p>
        </w:tc>
      </w:tr>
      <w:tr w:rsidR="007B2DC1" w:rsidRPr="00C17C10" w:rsidTr="00DE072A">
        <w:trPr>
          <w:cantSplit/>
          <w:trHeight w:val="450"/>
        </w:trPr>
        <w:tc>
          <w:tcPr>
            <w:tcW w:w="1105" w:type="pct"/>
            <w:vMerge/>
            <w:shd w:val="clear" w:color="auto" w:fill="auto"/>
            <w:tcMar>
              <w:left w:w="29" w:type="dxa"/>
              <w:right w:w="29" w:type="dxa"/>
            </w:tcMar>
          </w:tcPr>
          <w:p w:rsidR="007B2DC1" w:rsidRPr="00C17C10" w:rsidRDefault="007B2DC1" w:rsidP="00A37ED6">
            <w:pPr>
              <w:rPr>
                <w:rFonts w:asciiTheme="majorHAnsi" w:eastAsia="Times New Roman" w:hAnsiTheme="majorHAnsi" w:cstheme="majorHAnsi"/>
                <w:sz w:val="20"/>
                <w:szCs w:val="20"/>
              </w:rPr>
            </w:pPr>
          </w:p>
        </w:tc>
        <w:tc>
          <w:tcPr>
            <w:tcW w:w="1369" w:type="pct"/>
            <w:shd w:val="clear" w:color="auto" w:fill="auto"/>
            <w:tcMar>
              <w:left w:w="29" w:type="dxa"/>
              <w:right w:w="29" w:type="dxa"/>
            </w:tcMar>
          </w:tcPr>
          <w:p w:rsidR="007B2DC1" w:rsidRPr="00C17C10" w:rsidRDefault="00B13076" w:rsidP="00FC4AEF">
            <w:pPr>
              <w:rPr>
                <w:rFonts w:asciiTheme="majorHAnsi" w:hAnsiTheme="majorHAnsi" w:cstheme="majorHAnsi"/>
                <w:bCs/>
                <w:i/>
                <w:sz w:val="20"/>
                <w:szCs w:val="20"/>
                <w:highlight w:val="yellow"/>
              </w:rPr>
            </w:pPr>
            <w:r w:rsidRPr="00C17C10">
              <w:rPr>
                <w:rFonts w:asciiTheme="majorHAnsi" w:hAnsiTheme="majorHAnsi" w:cstheme="majorHAnsi"/>
                <w:b/>
                <w:sz w:val="20"/>
                <w:szCs w:val="20"/>
              </w:rPr>
              <w:t>PHD 3950</w:t>
            </w:r>
            <w:r w:rsidRPr="00C17C10">
              <w:rPr>
                <w:rFonts w:asciiTheme="majorHAnsi" w:hAnsiTheme="majorHAnsi" w:cstheme="majorHAnsi"/>
                <w:sz w:val="20"/>
                <w:szCs w:val="20"/>
              </w:rPr>
              <w:t xml:space="preserve"> Advanced Leadership Studies in Public Health</w:t>
            </w:r>
            <w:r w:rsidR="00F30CF3" w:rsidRPr="00C17C10">
              <w:rPr>
                <w:rFonts w:asciiTheme="majorHAnsi" w:hAnsiTheme="majorHAnsi" w:cstheme="majorHAnsi"/>
                <w:bCs/>
                <w:sz w:val="20"/>
                <w:szCs w:val="20"/>
              </w:rPr>
              <w:t xml:space="preserve"> </w:t>
            </w:r>
            <w:r w:rsidR="00F30CF3" w:rsidRPr="00C17C10">
              <w:rPr>
                <w:rFonts w:asciiTheme="majorHAnsi" w:hAnsiTheme="majorHAnsi" w:cstheme="majorHAnsi"/>
                <w:bCs/>
                <w:i/>
                <w:sz w:val="20"/>
                <w:szCs w:val="20"/>
              </w:rPr>
              <w:t>(for DrPH in CHP and HPHE)</w:t>
            </w:r>
          </w:p>
        </w:tc>
        <w:tc>
          <w:tcPr>
            <w:tcW w:w="2526" w:type="pct"/>
            <w:shd w:val="clear" w:color="auto" w:fill="auto"/>
            <w:tcMar>
              <w:left w:w="29" w:type="dxa"/>
              <w:right w:w="29" w:type="dxa"/>
            </w:tcMar>
          </w:tcPr>
          <w:p w:rsidR="00CA00A4" w:rsidRPr="00C17C10" w:rsidRDefault="007134E3" w:rsidP="00A37ED6">
            <w:pPr>
              <w:rPr>
                <w:rFonts w:asciiTheme="majorHAnsi" w:hAnsiTheme="majorHAnsi" w:cstheme="majorHAnsi"/>
                <w:color w:val="171717"/>
                <w:sz w:val="20"/>
                <w:szCs w:val="20"/>
              </w:rPr>
            </w:pPr>
            <w:r w:rsidRPr="00C17C10">
              <w:rPr>
                <w:rFonts w:asciiTheme="majorHAnsi" w:hAnsiTheme="majorHAnsi" w:cstheme="majorHAnsi"/>
                <w:sz w:val="20"/>
                <w:szCs w:val="20"/>
              </w:rPr>
              <w:t>Wicked Public Health Project</w:t>
            </w:r>
            <w:r w:rsidR="00B13076" w:rsidRPr="00C17C10">
              <w:rPr>
                <w:rFonts w:asciiTheme="majorHAnsi" w:hAnsiTheme="majorHAnsi" w:cstheme="majorHAnsi"/>
                <w:bCs/>
                <w:sz w:val="20"/>
                <w:szCs w:val="20"/>
              </w:rPr>
              <w:t xml:space="preserve">: </w:t>
            </w:r>
            <w:r w:rsidR="00A751BA" w:rsidRPr="00C17C10">
              <w:rPr>
                <w:rFonts w:asciiTheme="majorHAnsi" w:hAnsiTheme="majorHAnsi" w:cstheme="majorHAnsi"/>
                <w:color w:val="171717"/>
                <w:sz w:val="20"/>
                <w:szCs w:val="20"/>
              </w:rPr>
              <w:t>As part of their leadership project implemented throughout the semester, students will suggest and implement, if appropriate, interprofessional team approaches that will enhance their project results.</w:t>
            </w:r>
          </w:p>
          <w:p w:rsidR="00CA00A4" w:rsidRPr="00C17C10" w:rsidRDefault="00CA00A4" w:rsidP="00A37ED6">
            <w:pPr>
              <w:rPr>
                <w:rFonts w:asciiTheme="majorHAnsi" w:hAnsiTheme="majorHAnsi" w:cstheme="majorHAnsi"/>
                <w:color w:val="171717"/>
                <w:sz w:val="20"/>
                <w:szCs w:val="20"/>
              </w:rPr>
            </w:pPr>
          </w:p>
          <w:p w:rsidR="00CA00A4" w:rsidRPr="00C17C10" w:rsidRDefault="00CA00A4" w:rsidP="00A37ED6">
            <w:pPr>
              <w:rPr>
                <w:rFonts w:asciiTheme="majorHAnsi" w:hAnsiTheme="majorHAnsi" w:cstheme="majorHAnsi"/>
                <w:color w:val="171717"/>
                <w:sz w:val="20"/>
                <w:szCs w:val="20"/>
              </w:rPr>
            </w:pPr>
          </w:p>
          <w:p w:rsidR="00CA00A4" w:rsidRPr="00C17C10" w:rsidRDefault="00CA00A4" w:rsidP="00A37ED6">
            <w:pPr>
              <w:rPr>
                <w:rFonts w:asciiTheme="majorHAnsi" w:hAnsiTheme="majorHAnsi" w:cstheme="majorHAnsi"/>
                <w:color w:val="171717"/>
                <w:sz w:val="20"/>
                <w:szCs w:val="20"/>
              </w:rPr>
            </w:pPr>
          </w:p>
          <w:p w:rsidR="00CA00A4" w:rsidRPr="00C17C10" w:rsidRDefault="00CA00A4" w:rsidP="00A37ED6">
            <w:pPr>
              <w:rPr>
                <w:rFonts w:asciiTheme="majorHAnsi" w:hAnsiTheme="majorHAnsi" w:cstheme="majorHAnsi"/>
                <w:color w:val="171717"/>
                <w:sz w:val="20"/>
                <w:szCs w:val="20"/>
              </w:rPr>
            </w:pPr>
          </w:p>
          <w:p w:rsidR="00CA00A4" w:rsidRPr="00C17C10" w:rsidRDefault="00CA00A4" w:rsidP="00A37ED6">
            <w:pPr>
              <w:rPr>
                <w:rFonts w:asciiTheme="majorHAnsi" w:hAnsiTheme="majorHAnsi" w:cstheme="majorHAnsi"/>
                <w:color w:val="171717"/>
                <w:sz w:val="20"/>
                <w:szCs w:val="20"/>
              </w:rPr>
            </w:pPr>
          </w:p>
          <w:p w:rsidR="00CA00A4" w:rsidRPr="00C17C10" w:rsidRDefault="00CA00A4" w:rsidP="00A37ED6">
            <w:pPr>
              <w:rPr>
                <w:rFonts w:asciiTheme="majorHAnsi" w:hAnsiTheme="majorHAnsi" w:cstheme="majorHAnsi"/>
                <w:color w:val="171717"/>
                <w:sz w:val="20"/>
                <w:szCs w:val="20"/>
              </w:rPr>
            </w:pPr>
          </w:p>
          <w:p w:rsidR="00CA00A4" w:rsidRPr="00C17C10" w:rsidRDefault="00CA00A4" w:rsidP="00A37ED6">
            <w:pPr>
              <w:rPr>
                <w:rFonts w:asciiTheme="majorHAnsi" w:hAnsiTheme="majorHAnsi" w:cstheme="majorHAnsi"/>
                <w:color w:val="171717"/>
                <w:sz w:val="20"/>
                <w:szCs w:val="20"/>
              </w:rPr>
            </w:pPr>
          </w:p>
          <w:p w:rsidR="00D63128" w:rsidRPr="00C17C10" w:rsidRDefault="00D63128" w:rsidP="00FC4AEF">
            <w:pPr>
              <w:rPr>
                <w:rFonts w:asciiTheme="majorHAnsi" w:hAnsiTheme="majorHAnsi" w:cstheme="majorHAnsi"/>
                <w:sz w:val="20"/>
                <w:szCs w:val="20"/>
                <w:highlight w:val="yellow"/>
              </w:rPr>
            </w:pPr>
          </w:p>
        </w:tc>
      </w:tr>
      <w:tr w:rsidR="007B2DC1" w:rsidRPr="00C17C10" w:rsidTr="00DE072A">
        <w:trPr>
          <w:cantSplit/>
          <w:trHeight w:val="305"/>
        </w:trPr>
        <w:tc>
          <w:tcPr>
            <w:tcW w:w="5000" w:type="pct"/>
            <w:gridSpan w:val="3"/>
            <w:shd w:val="clear" w:color="auto" w:fill="D9D9D9" w:themeFill="background1" w:themeFillShade="D9"/>
            <w:tcMar>
              <w:left w:w="29" w:type="dxa"/>
              <w:right w:w="29" w:type="dxa"/>
            </w:tcMar>
          </w:tcPr>
          <w:p w:rsidR="007B2DC1" w:rsidRPr="00C17C10" w:rsidRDefault="007B2DC1" w:rsidP="00A37ED6">
            <w:pPr>
              <w:rPr>
                <w:rFonts w:asciiTheme="majorHAnsi" w:hAnsiTheme="majorHAnsi" w:cstheme="majorHAnsi"/>
                <w:b/>
                <w:bCs/>
                <w:sz w:val="20"/>
                <w:szCs w:val="20"/>
              </w:rPr>
            </w:pPr>
            <w:r w:rsidRPr="00C17C10">
              <w:rPr>
                <w:rFonts w:asciiTheme="majorHAnsi" w:eastAsia="Times New Roman" w:hAnsiTheme="majorHAnsi" w:cstheme="majorHAnsi"/>
                <w:b/>
                <w:bCs/>
                <w:sz w:val="20"/>
                <w:szCs w:val="20"/>
              </w:rPr>
              <w:t>Education &amp; Workforce Development</w:t>
            </w:r>
          </w:p>
        </w:tc>
      </w:tr>
      <w:tr w:rsidR="007B2DC1" w:rsidRPr="00C17C10" w:rsidTr="00DE072A">
        <w:trPr>
          <w:cantSplit/>
          <w:trHeight w:val="450"/>
        </w:trPr>
        <w:tc>
          <w:tcPr>
            <w:tcW w:w="1105" w:type="pct"/>
            <w:shd w:val="clear" w:color="auto" w:fill="auto"/>
            <w:tcMar>
              <w:left w:w="29" w:type="dxa"/>
              <w:right w:w="29" w:type="dxa"/>
            </w:tcMar>
          </w:tcPr>
          <w:p w:rsidR="007B2DC1" w:rsidRPr="00C17C10" w:rsidRDefault="007B2DC1" w:rsidP="00A37ED6">
            <w:pPr>
              <w:rPr>
                <w:rFonts w:asciiTheme="majorHAnsi" w:eastAsia="Times New Roman" w:hAnsiTheme="majorHAnsi" w:cstheme="majorHAnsi"/>
                <w:sz w:val="20"/>
                <w:szCs w:val="20"/>
              </w:rPr>
            </w:pPr>
            <w:r w:rsidRPr="00C17C10">
              <w:rPr>
                <w:rFonts w:asciiTheme="majorHAnsi" w:eastAsia="Times New Roman" w:hAnsiTheme="majorHAnsi" w:cstheme="majorHAnsi"/>
                <w:sz w:val="20"/>
                <w:szCs w:val="20"/>
              </w:rPr>
              <w:t>DrPH-18. Assess an audience’s knowledge and learning needs</w:t>
            </w:r>
          </w:p>
        </w:tc>
        <w:tc>
          <w:tcPr>
            <w:tcW w:w="1369" w:type="pct"/>
            <w:shd w:val="clear" w:color="auto" w:fill="auto"/>
            <w:tcMar>
              <w:left w:w="29" w:type="dxa"/>
              <w:right w:w="29" w:type="dxa"/>
            </w:tcMar>
          </w:tcPr>
          <w:p w:rsidR="007B2DC1" w:rsidRPr="00C17C10" w:rsidRDefault="00B13076" w:rsidP="00951F60">
            <w:pPr>
              <w:rPr>
                <w:rFonts w:asciiTheme="majorHAnsi" w:hAnsiTheme="majorHAnsi" w:cstheme="majorHAnsi"/>
                <w:b/>
                <w:bCs/>
                <w:sz w:val="20"/>
                <w:szCs w:val="20"/>
              </w:rPr>
            </w:pPr>
            <w:r w:rsidRPr="00C17C10">
              <w:rPr>
                <w:rFonts w:asciiTheme="majorHAnsi" w:hAnsiTheme="majorHAnsi" w:cstheme="majorHAnsi"/>
                <w:b/>
                <w:sz w:val="20"/>
                <w:szCs w:val="20"/>
              </w:rPr>
              <w:t>PHD 1498</w:t>
            </w:r>
            <w:r w:rsidRPr="00C17C10">
              <w:rPr>
                <w:rFonts w:asciiTheme="majorHAnsi" w:hAnsiTheme="majorHAnsi" w:cstheme="majorHAnsi"/>
                <w:sz w:val="20"/>
                <w:szCs w:val="20"/>
              </w:rPr>
              <w:t xml:space="preserve"> Principles of Adult and Community Education for Public Health Educators</w:t>
            </w:r>
            <w:r w:rsidR="007B2DC1" w:rsidRPr="00C17C10">
              <w:rPr>
                <w:rFonts w:asciiTheme="majorHAnsi" w:hAnsiTheme="majorHAnsi" w:cstheme="majorHAnsi"/>
                <w:bCs/>
                <w:sz w:val="20"/>
                <w:szCs w:val="20"/>
              </w:rPr>
              <w:t xml:space="preserve"> </w:t>
            </w:r>
            <w:r w:rsidR="007B2DC1" w:rsidRPr="00C17C10">
              <w:rPr>
                <w:rFonts w:asciiTheme="majorHAnsi" w:hAnsiTheme="majorHAnsi" w:cstheme="majorHAnsi"/>
                <w:bCs/>
                <w:i/>
                <w:sz w:val="20"/>
                <w:szCs w:val="20"/>
              </w:rPr>
              <w:t>(for DrPH in CHP and HPHE)</w:t>
            </w:r>
            <w:r w:rsidR="009723B3" w:rsidRPr="00C17C10">
              <w:rPr>
                <w:rFonts w:asciiTheme="majorHAnsi" w:hAnsiTheme="majorHAnsi" w:cstheme="majorHAnsi"/>
                <w:bCs/>
                <w:sz w:val="20"/>
                <w:szCs w:val="20"/>
              </w:rPr>
              <w:t xml:space="preserve"> </w:t>
            </w:r>
          </w:p>
        </w:tc>
        <w:tc>
          <w:tcPr>
            <w:tcW w:w="2526" w:type="pct"/>
            <w:shd w:val="clear" w:color="auto" w:fill="auto"/>
            <w:tcMar>
              <w:left w:w="29" w:type="dxa"/>
              <w:right w:w="29" w:type="dxa"/>
            </w:tcMar>
          </w:tcPr>
          <w:p w:rsidR="007B2DC1" w:rsidRPr="00C17C10" w:rsidRDefault="00996B2B" w:rsidP="00A37ED6">
            <w:pPr>
              <w:rPr>
                <w:rFonts w:asciiTheme="majorHAnsi" w:hAnsiTheme="majorHAnsi" w:cstheme="majorHAnsi"/>
                <w:sz w:val="20"/>
                <w:szCs w:val="20"/>
              </w:rPr>
            </w:pPr>
            <w:r w:rsidRPr="00C17C10">
              <w:rPr>
                <w:rFonts w:asciiTheme="majorHAnsi" w:hAnsiTheme="majorHAnsi" w:cstheme="majorHAnsi"/>
                <w:sz w:val="20"/>
                <w:szCs w:val="20"/>
              </w:rPr>
              <w:t>Instructions and Evaluation or Grading Rubric for One Major Assignment</w:t>
            </w:r>
            <w:r w:rsidR="00342E4C" w:rsidRPr="00C17C10">
              <w:rPr>
                <w:rFonts w:asciiTheme="majorHAnsi" w:hAnsiTheme="majorHAnsi" w:cstheme="majorHAnsi"/>
                <w:bCs/>
                <w:sz w:val="20"/>
                <w:szCs w:val="20"/>
              </w:rPr>
              <w:t>:</w:t>
            </w:r>
            <w:r w:rsidR="009723B3" w:rsidRPr="00C17C10">
              <w:rPr>
                <w:rFonts w:asciiTheme="majorHAnsi" w:hAnsiTheme="majorHAnsi" w:cstheme="majorHAnsi"/>
                <w:sz w:val="20"/>
                <w:szCs w:val="20"/>
              </w:rPr>
              <w:t xml:space="preserve"> Whether</w:t>
            </w:r>
            <w:r w:rsidR="007B2DC1" w:rsidRPr="00C17C10">
              <w:rPr>
                <w:rFonts w:asciiTheme="majorHAnsi" w:hAnsiTheme="majorHAnsi" w:cstheme="majorHAnsi"/>
                <w:sz w:val="20"/>
                <w:szCs w:val="20"/>
              </w:rPr>
              <w:t xml:space="preserve"> delivering a course in a non-academic setting or in a university setting, you will want to assess your learners’ knowledge and learning needs. Major assignments with a clear rubric allow you to assess the extent to which your learners are meeting your learning objectives and course outcomes. Develop one major assignment linked to one or more of your course competencies. Provide all of the information and materials needed for the learner to complete the assignment, including worksheets and handouts; non-print supplies can be listed in the instructions. Develop a rubric to evaluate competency mastery. If in an academic setting, attach a grade with each level of mastery in your rubric.</w:t>
            </w:r>
          </w:p>
          <w:p w:rsidR="007B2DC1" w:rsidRPr="00C17C10" w:rsidRDefault="007B2DC1" w:rsidP="00A37ED6">
            <w:pPr>
              <w:rPr>
                <w:rFonts w:asciiTheme="majorHAnsi" w:hAnsiTheme="majorHAnsi" w:cstheme="majorHAnsi"/>
                <w:b/>
                <w:bCs/>
                <w:color w:val="000000"/>
                <w:sz w:val="20"/>
                <w:szCs w:val="20"/>
              </w:rPr>
            </w:pPr>
          </w:p>
          <w:p w:rsidR="007B2DC1" w:rsidRPr="00C17C10" w:rsidRDefault="00E5549E" w:rsidP="00FC4AEF">
            <w:pPr>
              <w:rPr>
                <w:rFonts w:asciiTheme="majorHAnsi" w:hAnsiTheme="majorHAnsi" w:cstheme="majorHAnsi"/>
                <w:b/>
                <w:sz w:val="20"/>
                <w:szCs w:val="20"/>
              </w:rPr>
            </w:pPr>
            <w:r w:rsidRPr="00C17C10">
              <w:rPr>
                <w:rFonts w:asciiTheme="majorHAnsi" w:hAnsiTheme="majorHAnsi" w:cstheme="majorHAnsi"/>
                <w:sz w:val="20"/>
                <w:szCs w:val="20"/>
              </w:rPr>
              <w:t>Write a Teaching Philosoph</w:t>
            </w:r>
            <w:r w:rsidR="001F199D" w:rsidRPr="00C17C10">
              <w:rPr>
                <w:rFonts w:asciiTheme="majorHAnsi" w:hAnsiTheme="majorHAnsi" w:cstheme="majorHAnsi"/>
                <w:sz w:val="20"/>
                <w:szCs w:val="20"/>
              </w:rPr>
              <w:t>y:</w:t>
            </w:r>
            <w:r w:rsidR="007B2DC1" w:rsidRPr="00C17C10">
              <w:rPr>
                <w:rFonts w:asciiTheme="majorHAnsi" w:hAnsiTheme="majorHAnsi" w:cstheme="majorHAnsi"/>
                <w:sz w:val="20"/>
                <w:szCs w:val="20"/>
              </w:rPr>
              <w:t xml:space="preserve"> </w:t>
            </w:r>
            <w:r w:rsidR="007B2DC1" w:rsidRPr="00C17C10">
              <w:rPr>
                <w:rFonts w:asciiTheme="majorHAnsi" w:hAnsiTheme="majorHAnsi" w:cstheme="majorHAnsi"/>
                <w:color w:val="000000"/>
                <w:sz w:val="20"/>
                <w:szCs w:val="20"/>
              </w:rPr>
              <w:t xml:space="preserve">Students will write a teaching philosophy that describe their role as a teacher and their beliefs about what qualities are embodied by the best teachers; explain how their beliefs inform the way in which they will teach their topic to their target population in their expected setting; </w:t>
            </w:r>
            <w:r w:rsidR="007B2DC1" w:rsidRPr="00C17C10">
              <w:rPr>
                <w:rFonts w:asciiTheme="majorHAnsi" w:hAnsiTheme="majorHAnsi" w:cstheme="majorHAnsi"/>
                <w:i/>
                <w:color w:val="000000"/>
                <w:sz w:val="20"/>
                <w:szCs w:val="20"/>
              </w:rPr>
              <w:t>describe learning outcomes for students and methods for assessing if students achieved learning outcomes</w:t>
            </w:r>
            <w:r w:rsidR="007B2DC1" w:rsidRPr="00C17C10">
              <w:rPr>
                <w:rFonts w:asciiTheme="majorHAnsi" w:hAnsiTheme="majorHAnsi" w:cstheme="majorHAnsi"/>
                <w:color w:val="000000"/>
                <w:sz w:val="20"/>
                <w:szCs w:val="20"/>
              </w:rPr>
              <w:t>; describe how they will deliver the training or educational experiences that promote learning in academic, organizational, or community settings, including the best teaching methods for helping students achieve the desired learning outcomes; and describe steps they can take, beyond this course, to continue to improve their teaching.</w:t>
            </w:r>
          </w:p>
        </w:tc>
      </w:tr>
      <w:tr w:rsidR="007B2DC1" w:rsidRPr="00C17C10" w:rsidTr="00DE072A">
        <w:trPr>
          <w:cantSplit/>
          <w:trHeight w:val="450"/>
        </w:trPr>
        <w:tc>
          <w:tcPr>
            <w:tcW w:w="1105" w:type="pct"/>
            <w:shd w:val="clear" w:color="auto" w:fill="auto"/>
            <w:tcMar>
              <w:left w:w="29" w:type="dxa"/>
              <w:right w:w="29" w:type="dxa"/>
            </w:tcMar>
          </w:tcPr>
          <w:p w:rsidR="007B2DC1" w:rsidRPr="00C17C10" w:rsidRDefault="007B2DC1" w:rsidP="00A37ED6">
            <w:pPr>
              <w:rPr>
                <w:rFonts w:asciiTheme="majorHAnsi" w:eastAsia="Times New Roman" w:hAnsiTheme="majorHAnsi" w:cstheme="majorHAnsi"/>
                <w:color w:val="000000"/>
                <w:sz w:val="20"/>
                <w:szCs w:val="20"/>
              </w:rPr>
            </w:pPr>
            <w:r w:rsidRPr="00C17C10">
              <w:rPr>
                <w:rFonts w:asciiTheme="majorHAnsi" w:eastAsia="Times New Roman" w:hAnsiTheme="majorHAnsi" w:cstheme="majorHAnsi"/>
                <w:sz w:val="20"/>
                <w:szCs w:val="20"/>
              </w:rPr>
              <w:t>DrPH-19. Deliver training or educational experiences that promote learning in academic, organizational or community settings</w:t>
            </w:r>
          </w:p>
        </w:tc>
        <w:tc>
          <w:tcPr>
            <w:tcW w:w="1369" w:type="pct"/>
            <w:shd w:val="clear" w:color="auto" w:fill="auto"/>
            <w:tcMar>
              <w:left w:w="29" w:type="dxa"/>
              <w:right w:w="29" w:type="dxa"/>
            </w:tcMar>
          </w:tcPr>
          <w:p w:rsidR="007B2DC1" w:rsidRPr="00C17C10" w:rsidRDefault="00B13076" w:rsidP="00FC4AEF">
            <w:pPr>
              <w:rPr>
                <w:rFonts w:asciiTheme="majorHAnsi" w:hAnsiTheme="majorHAnsi" w:cstheme="majorHAnsi"/>
                <w:b/>
                <w:bCs/>
                <w:sz w:val="20"/>
                <w:szCs w:val="20"/>
              </w:rPr>
            </w:pPr>
            <w:r w:rsidRPr="00C17C10">
              <w:rPr>
                <w:rFonts w:asciiTheme="majorHAnsi" w:hAnsiTheme="majorHAnsi" w:cstheme="majorHAnsi"/>
                <w:b/>
                <w:sz w:val="20"/>
                <w:szCs w:val="20"/>
              </w:rPr>
              <w:t>PHD 1498</w:t>
            </w:r>
            <w:r w:rsidRPr="00C17C10">
              <w:rPr>
                <w:rFonts w:asciiTheme="majorHAnsi" w:hAnsiTheme="majorHAnsi" w:cstheme="majorHAnsi"/>
                <w:sz w:val="20"/>
                <w:szCs w:val="20"/>
              </w:rPr>
              <w:t xml:space="preserve">  Principles of Adult and Community Education for Public Health Educators</w:t>
            </w:r>
            <w:r w:rsidR="009723B3" w:rsidRPr="00C17C10">
              <w:rPr>
                <w:rFonts w:asciiTheme="majorHAnsi" w:hAnsiTheme="majorHAnsi" w:cstheme="majorHAnsi"/>
                <w:bCs/>
                <w:sz w:val="20"/>
                <w:szCs w:val="20"/>
              </w:rPr>
              <w:t xml:space="preserve"> </w:t>
            </w:r>
            <w:r w:rsidR="009723B3" w:rsidRPr="00C17C10">
              <w:rPr>
                <w:rFonts w:asciiTheme="majorHAnsi" w:hAnsiTheme="majorHAnsi" w:cstheme="majorHAnsi"/>
                <w:bCs/>
                <w:i/>
                <w:sz w:val="20"/>
                <w:szCs w:val="20"/>
              </w:rPr>
              <w:t>(for DrPH in CHP and HPHE)</w:t>
            </w:r>
            <w:r w:rsidR="009723B3" w:rsidRPr="00C17C10">
              <w:rPr>
                <w:rFonts w:asciiTheme="majorHAnsi" w:hAnsiTheme="majorHAnsi" w:cstheme="majorHAnsi"/>
                <w:bCs/>
                <w:sz w:val="20"/>
                <w:szCs w:val="20"/>
              </w:rPr>
              <w:t xml:space="preserve"> </w:t>
            </w:r>
          </w:p>
        </w:tc>
        <w:tc>
          <w:tcPr>
            <w:tcW w:w="2526" w:type="pct"/>
            <w:shd w:val="clear" w:color="auto" w:fill="auto"/>
            <w:tcMar>
              <w:left w:w="29" w:type="dxa"/>
              <w:right w:w="29" w:type="dxa"/>
            </w:tcMar>
          </w:tcPr>
          <w:p w:rsidR="007B2DC1" w:rsidRPr="00C17C10" w:rsidRDefault="004345FD" w:rsidP="00A37ED6">
            <w:pPr>
              <w:rPr>
                <w:rFonts w:asciiTheme="majorHAnsi" w:hAnsiTheme="majorHAnsi" w:cstheme="majorHAnsi"/>
                <w:sz w:val="20"/>
                <w:szCs w:val="20"/>
              </w:rPr>
            </w:pPr>
            <w:r w:rsidRPr="00C17C10">
              <w:rPr>
                <w:rFonts w:asciiTheme="majorHAnsi" w:hAnsiTheme="majorHAnsi" w:cstheme="majorHAnsi"/>
                <w:sz w:val="20"/>
                <w:szCs w:val="20"/>
              </w:rPr>
              <w:t>Deliver an Online Teaching Module</w:t>
            </w:r>
            <w:r w:rsidR="009723B3" w:rsidRPr="00C17C10">
              <w:rPr>
                <w:rFonts w:asciiTheme="majorHAnsi" w:hAnsiTheme="majorHAnsi" w:cstheme="majorHAnsi"/>
                <w:bCs/>
                <w:sz w:val="20"/>
                <w:szCs w:val="20"/>
              </w:rPr>
              <w:t xml:space="preserve">: </w:t>
            </w:r>
            <w:r w:rsidR="007B2DC1" w:rsidRPr="00C17C10">
              <w:rPr>
                <w:rFonts w:asciiTheme="majorHAnsi" w:hAnsiTheme="majorHAnsi" w:cstheme="majorHAnsi"/>
                <w:sz w:val="20"/>
                <w:szCs w:val="20"/>
              </w:rPr>
              <w:t xml:space="preserve">In Canvas, students will create an online module for their first day of class using your Day 1 lesson plan as a guide. </w:t>
            </w:r>
          </w:p>
          <w:p w:rsidR="007B2DC1" w:rsidRPr="00C17C10" w:rsidRDefault="007B2DC1" w:rsidP="00A37ED6">
            <w:pPr>
              <w:rPr>
                <w:rFonts w:asciiTheme="majorHAnsi" w:hAnsiTheme="majorHAnsi" w:cstheme="majorHAnsi"/>
                <w:bCs/>
                <w:color w:val="000000"/>
                <w:sz w:val="20"/>
                <w:szCs w:val="20"/>
              </w:rPr>
            </w:pPr>
          </w:p>
          <w:p w:rsidR="007B2DC1" w:rsidRPr="00C17C10" w:rsidRDefault="004345FD" w:rsidP="00A37ED6">
            <w:pPr>
              <w:rPr>
                <w:rFonts w:asciiTheme="majorHAnsi" w:hAnsiTheme="majorHAnsi" w:cstheme="majorHAnsi"/>
                <w:bCs/>
                <w:sz w:val="20"/>
                <w:szCs w:val="20"/>
              </w:rPr>
            </w:pPr>
            <w:r w:rsidRPr="00C17C10">
              <w:rPr>
                <w:rFonts w:asciiTheme="majorHAnsi" w:hAnsiTheme="majorHAnsi" w:cstheme="majorHAnsi"/>
                <w:sz w:val="20"/>
                <w:szCs w:val="20"/>
              </w:rPr>
              <w:t>Write a Teaching Philosophy</w:t>
            </w:r>
            <w:r w:rsidR="009723B3" w:rsidRPr="00C17C10">
              <w:rPr>
                <w:rFonts w:asciiTheme="majorHAnsi" w:hAnsiTheme="majorHAnsi" w:cstheme="majorHAnsi"/>
                <w:bCs/>
                <w:color w:val="000000"/>
                <w:sz w:val="20"/>
                <w:szCs w:val="20"/>
              </w:rPr>
              <w:t>:</w:t>
            </w:r>
            <w:r w:rsidR="007B2DC1" w:rsidRPr="00C17C10">
              <w:rPr>
                <w:rFonts w:asciiTheme="majorHAnsi" w:hAnsiTheme="majorHAnsi" w:cstheme="majorHAnsi"/>
                <w:sz w:val="20"/>
                <w:szCs w:val="20"/>
              </w:rPr>
              <w:t xml:space="preserve"> </w:t>
            </w:r>
            <w:r w:rsidR="007B2DC1" w:rsidRPr="00C17C10">
              <w:rPr>
                <w:rFonts w:asciiTheme="majorHAnsi" w:hAnsiTheme="majorHAnsi" w:cstheme="majorHAnsi"/>
                <w:color w:val="000000"/>
                <w:sz w:val="20"/>
                <w:szCs w:val="20"/>
              </w:rPr>
              <w:t xml:space="preserve">Students will write a teaching philosophy that describe their role as a teacher and their beliefs about what qualities are embodied by the best teachers; explain how their beliefs inform the way in which they will teach their topic to their target population in their expected setting; describe learning outcomes for students and methods for assessing if students achieved learning outcomes; </w:t>
            </w:r>
            <w:r w:rsidR="007B2DC1" w:rsidRPr="00C17C10">
              <w:rPr>
                <w:rFonts w:asciiTheme="majorHAnsi" w:hAnsiTheme="majorHAnsi" w:cstheme="majorHAnsi"/>
                <w:i/>
                <w:color w:val="000000"/>
                <w:sz w:val="20"/>
                <w:szCs w:val="20"/>
              </w:rPr>
              <w:t>describe how they will deliver the training or educational experiences that promote learning in academic, organizational, or community settings, including the best teaching methods for helping students achieve the desired learning outcomes</w:t>
            </w:r>
            <w:r w:rsidR="007B2DC1" w:rsidRPr="00C17C10">
              <w:rPr>
                <w:rFonts w:asciiTheme="majorHAnsi" w:hAnsiTheme="majorHAnsi" w:cstheme="majorHAnsi"/>
                <w:color w:val="000000"/>
                <w:sz w:val="20"/>
                <w:szCs w:val="20"/>
              </w:rPr>
              <w:t xml:space="preserve">; and describe steps they can take, beyond this course, to continue to improve their teaching. </w:t>
            </w:r>
          </w:p>
        </w:tc>
      </w:tr>
      <w:tr w:rsidR="007B2DC1" w:rsidRPr="00C17C10" w:rsidTr="00DE072A">
        <w:trPr>
          <w:cantSplit/>
          <w:trHeight w:val="450"/>
        </w:trPr>
        <w:tc>
          <w:tcPr>
            <w:tcW w:w="1105" w:type="pct"/>
            <w:shd w:val="clear" w:color="auto" w:fill="auto"/>
            <w:tcMar>
              <w:left w:w="29" w:type="dxa"/>
              <w:right w:w="29" w:type="dxa"/>
            </w:tcMar>
          </w:tcPr>
          <w:p w:rsidR="007B2DC1" w:rsidRPr="00C17C10" w:rsidRDefault="007B2DC1" w:rsidP="00A37ED6">
            <w:pPr>
              <w:rPr>
                <w:rFonts w:asciiTheme="majorHAnsi" w:eastAsia="Times New Roman" w:hAnsiTheme="majorHAnsi" w:cstheme="majorHAnsi"/>
                <w:color w:val="000000"/>
                <w:sz w:val="20"/>
                <w:szCs w:val="20"/>
              </w:rPr>
            </w:pPr>
            <w:r w:rsidRPr="00C17C10">
              <w:rPr>
                <w:rFonts w:asciiTheme="majorHAnsi" w:eastAsia="Times New Roman" w:hAnsiTheme="majorHAnsi" w:cstheme="majorHAnsi"/>
                <w:sz w:val="20"/>
                <w:szCs w:val="20"/>
              </w:rPr>
              <w:t>DrPH-20. Use best practice modalities in pedagogical practices</w:t>
            </w:r>
          </w:p>
        </w:tc>
        <w:tc>
          <w:tcPr>
            <w:tcW w:w="1369" w:type="pct"/>
            <w:shd w:val="clear" w:color="auto" w:fill="auto"/>
            <w:tcMar>
              <w:left w:w="29" w:type="dxa"/>
              <w:right w:w="29" w:type="dxa"/>
            </w:tcMar>
          </w:tcPr>
          <w:p w:rsidR="007B2DC1" w:rsidRPr="00C17C10" w:rsidRDefault="00B13076" w:rsidP="00FC4AEF">
            <w:pPr>
              <w:rPr>
                <w:rFonts w:asciiTheme="majorHAnsi" w:hAnsiTheme="majorHAnsi" w:cstheme="majorHAnsi"/>
                <w:b/>
                <w:bCs/>
                <w:sz w:val="20"/>
                <w:szCs w:val="20"/>
              </w:rPr>
            </w:pPr>
            <w:r w:rsidRPr="00C17C10">
              <w:rPr>
                <w:rFonts w:asciiTheme="majorHAnsi" w:hAnsiTheme="majorHAnsi" w:cstheme="majorHAnsi"/>
                <w:b/>
                <w:sz w:val="20"/>
                <w:szCs w:val="20"/>
              </w:rPr>
              <w:t>PHD 1498</w:t>
            </w:r>
            <w:r w:rsidRPr="00C17C10">
              <w:rPr>
                <w:rFonts w:asciiTheme="majorHAnsi" w:hAnsiTheme="majorHAnsi" w:cstheme="majorHAnsi"/>
                <w:sz w:val="20"/>
                <w:szCs w:val="20"/>
              </w:rPr>
              <w:t xml:space="preserve">  Principles of Adult and Community Education for Public Health Educators</w:t>
            </w:r>
            <w:r w:rsidR="009723B3" w:rsidRPr="00C17C10">
              <w:rPr>
                <w:rFonts w:asciiTheme="majorHAnsi" w:hAnsiTheme="majorHAnsi" w:cstheme="majorHAnsi"/>
                <w:bCs/>
                <w:sz w:val="20"/>
                <w:szCs w:val="20"/>
              </w:rPr>
              <w:t xml:space="preserve"> </w:t>
            </w:r>
            <w:r w:rsidR="009723B3" w:rsidRPr="00C17C10">
              <w:rPr>
                <w:rFonts w:asciiTheme="majorHAnsi" w:hAnsiTheme="majorHAnsi" w:cstheme="majorHAnsi"/>
                <w:bCs/>
                <w:i/>
                <w:sz w:val="20"/>
                <w:szCs w:val="20"/>
              </w:rPr>
              <w:t>(for DrPH in CHP and HPHE)</w:t>
            </w:r>
            <w:r w:rsidR="009723B3" w:rsidRPr="00C17C10">
              <w:rPr>
                <w:rFonts w:asciiTheme="majorHAnsi" w:hAnsiTheme="majorHAnsi" w:cstheme="majorHAnsi"/>
                <w:bCs/>
                <w:sz w:val="20"/>
                <w:szCs w:val="20"/>
              </w:rPr>
              <w:t xml:space="preserve"> </w:t>
            </w:r>
          </w:p>
        </w:tc>
        <w:tc>
          <w:tcPr>
            <w:tcW w:w="2526" w:type="pct"/>
            <w:shd w:val="clear" w:color="auto" w:fill="auto"/>
            <w:tcMar>
              <w:left w:w="29" w:type="dxa"/>
              <w:right w:w="29" w:type="dxa"/>
            </w:tcMar>
          </w:tcPr>
          <w:p w:rsidR="007B2DC1" w:rsidRPr="00C17C10" w:rsidRDefault="004A4A04" w:rsidP="00A37ED6">
            <w:pPr>
              <w:rPr>
                <w:rFonts w:asciiTheme="majorHAnsi" w:hAnsiTheme="majorHAnsi" w:cstheme="majorHAnsi"/>
                <w:bCs/>
                <w:sz w:val="20"/>
                <w:szCs w:val="20"/>
              </w:rPr>
            </w:pPr>
            <w:r w:rsidRPr="00C17C10">
              <w:rPr>
                <w:rFonts w:asciiTheme="majorHAnsi" w:hAnsiTheme="majorHAnsi" w:cstheme="majorHAnsi"/>
                <w:sz w:val="20"/>
                <w:szCs w:val="20"/>
              </w:rPr>
              <w:t>Lesson Plans</w:t>
            </w:r>
            <w:r w:rsidR="007B2DC1" w:rsidRPr="00C17C10">
              <w:rPr>
                <w:rFonts w:asciiTheme="majorHAnsi" w:hAnsiTheme="majorHAnsi" w:cstheme="majorHAnsi"/>
                <w:bCs/>
                <w:sz w:val="20"/>
                <w:szCs w:val="20"/>
              </w:rPr>
              <w:t xml:space="preserve">: </w:t>
            </w:r>
            <w:r w:rsidR="007B2DC1" w:rsidRPr="00C17C10">
              <w:rPr>
                <w:rFonts w:asciiTheme="majorHAnsi" w:hAnsiTheme="majorHAnsi" w:cstheme="majorHAnsi"/>
                <w:sz w:val="20"/>
                <w:szCs w:val="20"/>
              </w:rPr>
              <w:t>Using the template provided to you in Canvas, develop two lesson plans, one for the first day of class and one for any other class/module. Lesson plans should demonstrate a use of best practice modalities in pedagogical/andragogical practices.</w:t>
            </w:r>
          </w:p>
        </w:tc>
      </w:tr>
    </w:tbl>
    <w:p w:rsidR="00933038" w:rsidRPr="00743A41" w:rsidRDefault="00933038" w:rsidP="00A37ED6">
      <w:pPr>
        <w:pStyle w:val="ListParagraph"/>
        <w:ind w:hanging="360"/>
        <w:jc w:val="both"/>
        <w:rPr>
          <w:rFonts w:asciiTheme="majorHAnsi" w:eastAsia="Arial Unicode MS" w:hAnsiTheme="majorHAnsi" w:cstheme="majorHAnsi"/>
          <w:szCs w:val="20"/>
        </w:rPr>
      </w:pPr>
    </w:p>
    <w:p w:rsidR="00933038" w:rsidRPr="00743A41" w:rsidRDefault="00933038" w:rsidP="00A37ED6">
      <w:pPr>
        <w:numPr>
          <w:ilvl w:val="0"/>
          <w:numId w:val="20"/>
        </w:numPr>
        <w:shd w:val="clear" w:color="auto" w:fill="FFFFFF"/>
        <w:ind w:left="720"/>
        <w:jc w:val="both"/>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rPr>
        <w:t xml:space="preserve">Include the most recent syllabus from each course listed in Template D3-1, or written guidelines for any required elements listed in Template D3-1 that do not have a syllabus. </w:t>
      </w:r>
    </w:p>
    <w:p w:rsidR="00933038" w:rsidRPr="00743A41" w:rsidRDefault="00933038" w:rsidP="00A37ED6">
      <w:pPr>
        <w:shd w:val="clear" w:color="auto" w:fill="FFFFFF"/>
        <w:ind w:left="720" w:hanging="360"/>
        <w:jc w:val="both"/>
        <w:rPr>
          <w:rFonts w:asciiTheme="majorHAnsi" w:eastAsia="Arial Unicode MS" w:hAnsiTheme="majorHAnsi" w:cstheme="majorHAnsi"/>
          <w:sz w:val="20"/>
          <w:szCs w:val="20"/>
        </w:rPr>
      </w:pPr>
    </w:p>
    <w:p w:rsidR="00933038" w:rsidRPr="00743A41" w:rsidRDefault="00CA162F" w:rsidP="00A37ED6">
      <w:pPr>
        <w:shd w:val="clear" w:color="auto" w:fill="FFFFFF"/>
        <w:ind w:left="1080" w:hanging="360"/>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rPr>
        <w:t>Associated documents in the electronic resource file:</w:t>
      </w:r>
    </w:p>
    <w:p w:rsidR="00C929A3" w:rsidRPr="00740AE3" w:rsidRDefault="00C011FA" w:rsidP="00FC4AEF">
      <w:pPr>
        <w:pStyle w:val="ListParagraph"/>
        <w:numPr>
          <w:ilvl w:val="0"/>
          <w:numId w:val="138"/>
        </w:numPr>
        <w:shd w:val="clear" w:color="auto" w:fill="FFFFFF"/>
        <w:rPr>
          <w:rFonts w:asciiTheme="majorHAnsi" w:eastAsia="Arial Unicode MS" w:hAnsiTheme="majorHAnsi" w:cstheme="majorHAnsi"/>
          <w:i/>
          <w:szCs w:val="20"/>
        </w:rPr>
      </w:pPr>
      <w:r w:rsidRPr="00740AE3">
        <w:rPr>
          <w:rFonts w:asciiTheme="majorHAnsi" w:eastAsia="Arial Unicode MS" w:hAnsiTheme="majorHAnsi" w:cstheme="majorHAnsi"/>
          <w:i/>
        </w:rPr>
        <w:t>D3. DrPH Foundational Competencies</w:t>
      </w:r>
      <w:r w:rsidR="00CA162F" w:rsidRPr="00740AE3">
        <w:rPr>
          <w:rFonts w:asciiTheme="majorHAnsi" w:eastAsia="Arial Unicode MS" w:hAnsiTheme="majorHAnsi" w:cstheme="majorHAnsi"/>
          <w:i/>
          <w:szCs w:val="20"/>
        </w:rPr>
        <w:t xml:space="preserve"> </w:t>
      </w:r>
    </w:p>
    <w:p w:rsidR="00C929A3" w:rsidRPr="00740AE3" w:rsidRDefault="00C011FA" w:rsidP="00FC4AEF">
      <w:pPr>
        <w:pStyle w:val="ListParagraph"/>
        <w:numPr>
          <w:ilvl w:val="1"/>
          <w:numId w:val="138"/>
        </w:numPr>
        <w:shd w:val="clear" w:color="auto" w:fill="FFFFFF"/>
        <w:rPr>
          <w:rFonts w:asciiTheme="majorHAnsi" w:eastAsia="Arial Unicode MS" w:hAnsiTheme="majorHAnsi" w:cstheme="majorHAnsi"/>
          <w:i/>
          <w:szCs w:val="20"/>
        </w:rPr>
      </w:pPr>
      <w:r w:rsidRPr="00740AE3">
        <w:rPr>
          <w:rFonts w:asciiTheme="majorHAnsi" w:eastAsia="Arial Unicode MS" w:hAnsiTheme="majorHAnsi" w:cstheme="majorHAnsi"/>
          <w:i/>
        </w:rPr>
        <w:t>D3.3. PHD 1113 Advanced Methods in Health Promotion Planning and Implementation (Intervention Mapping), Syllabus and Assessments</w:t>
      </w:r>
    </w:p>
    <w:p w:rsidR="00C929A3" w:rsidRPr="00740AE3" w:rsidRDefault="00C011FA" w:rsidP="00FC4AEF">
      <w:pPr>
        <w:pStyle w:val="ListParagraph"/>
        <w:numPr>
          <w:ilvl w:val="1"/>
          <w:numId w:val="138"/>
        </w:numPr>
        <w:shd w:val="clear" w:color="auto" w:fill="FFFFFF"/>
        <w:rPr>
          <w:rFonts w:asciiTheme="majorHAnsi" w:eastAsia="Arial Unicode MS" w:hAnsiTheme="majorHAnsi" w:cstheme="majorHAnsi"/>
          <w:i/>
          <w:szCs w:val="20"/>
        </w:rPr>
      </w:pPr>
      <w:r w:rsidRPr="00740AE3">
        <w:rPr>
          <w:rFonts w:asciiTheme="majorHAnsi" w:eastAsia="Arial Unicode MS" w:hAnsiTheme="majorHAnsi" w:cstheme="majorHAnsi"/>
          <w:i/>
          <w:szCs w:val="20"/>
        </w:rPr>
        <w:t xml:space="preserve">D3.3. </w:t>
      </w:r>
      <w:r w:rsidRPr="00740AE3">
        <w:rPr>
          <w:rFonts w:asciiTheme="majorHAnsi" w:eastAsia="Arial Unicode MS" w:hAnsiTheme="majorHAnsi" w:cstheme="majorHAnsi"/>
          <w:i/>
        </w:rPr>
        <w:t>PHD 1118 Advanced Qualitative Methods, Syllabus and Assessments</w:t>
      </w:r>
    </w:p>
    <w:p w:rsidR="00C929A3" w:rsidRPr="00740AE3" w:rsidRDefault="00C011FA" w:rsidP="00FC4AEF">
      <w:pPr>
        <w:pStyle w:val="ListParagraph"/>
        <w:numPr>
          <w:ilvl w:val="1"/>
          <w:numId w:val="138"/>
        </w:numPr>
        <w:shd w:val="clear" w:color="auto" w:fill="FFFFFF"/>
        <w:rPr>
          <w:rFonts w:asciiTheme="majorHAnsi" w:eastAsia="Arial Unicode MS" w:hAnsiTheme="majorHAnsi" w:cstheme="majorHAnsi"/>
          <w:i/>
          <w:szCs w:val="20"/>
        </w:rPr>
      </w:pPr>
      <w:r w:rsidRPr="00740AE3">
        <w:rPr>
          <w:rFonts w:asciiTheme="majorHAnsi" w:eastAsia="Arial Unicode MS" w:hAnsiTheme="majorHAnsi" w:cstheme="majorHAnsi"/>
          <w:i/>
          <w:szCs w:val="20"/>
        </w:rPr>
        <w:t xml:space="preserve">D3.3. </w:t>
      </w:r>
      <w:r w:rsidRPr="00740AE3">
        <w:rPr>
          <w:rFonts w:asciiTheme="majorHAnsi" w:eastAsia="Arial Unicode MS" w:hAnsiTheme="majorHAnsi" w:cstheme="majorHAnsi"/>
          <w:i/>
        </w:rPr>
        <w:t>PHD 1120 Program Evaluation, Syllabus and Assessments</w:t>
      </w:r>
    </w:p>
    <w:p w:rsidR="00C929A3" w:rsidRPr="00740AE3" w:rsidRDefault="00C011FA" w:rsidP="00FC4AEF">
      <w:pPr>
        <w:pStyle w:val="ListParagraph"/>
        <w:numPr>
          <w:ilvl w:val="1"/>
          <w:numId w:val="138"/>
        </w:numPr>
        <w:shd w:val="clear" w:color="auto" w:fill="FFFFFF"/>
        <w:rPr>
          <w:rFonts w:asciiTheme="majorHAnsi" w:eastAsia="Arial Unicode MS" w:hAnsiTheme="majorHAnsi" w:cstheme="majorHAnsi"/>
          <w:i/>
          <w:szCs w:val="20"/>
        </w:rPr>
      </w:pPr>
      <w:r w:rsidRPr="00740AE3">
        <w:rPr>
          <w:rFonts w:asciiTheme="majorHAnsi" w:eastAsia="Arial Unicode MS" w:hAnsiTheme="majorHAnsi" w:cstheme="majorHAnsi"/>
          <w:i/>
          <w:szCs w:val="20"/>
        </w:rPr>
        <w:t xml:space="preserve">D3.3. </w:t>
      </w:r>
      <w:r w:rsidRPr="00740AE3">
        <w:rPr>
          <w:rFonts w:asciiTheme="majorHAnsi" w:eastAsia="Arial Unicode MS" w:hAnsiTheme="majorHAnsi" w:cstheme="majorHAnsi"/>
          <w:i/>
        </w:rPr>
        <w:t>PHD 1498 Principles of Adult and Community Education for Public Health Educators, Syllabus and Assessments</w:t>
      </w:r>
    </w:p>
    <w:p w:rsidR="0039346D" w:rsidRPr="00740AE3" w:rsidRDefault="00C011FA" w:rsidP="00FC4AEF">
      <w:pPr>
        <w:pStyle w:val="ListParagraph"/>
        <w:numPr>
          <w:ilvl w:val="1"/>
          <w:numId w:val="138"/>
        </w:numPr>
        <w:shd w:val="clear" w:color="auto" w:fill="FFFFFF"/>
        <w:rPr>
          <w:rFonts w:asciiTheme="majorHAnsi" w:eastAsia="Arial Unicode MS" w:hAnsiTheme="majorHAnsi" w:cstheme="majorHAnsi"/>
          <w:i/>
          <w:szCs w:val="20"/>
        </w:rPr>
      </w:pPr>
      <w:r w:rsidRPr="00740AE3">
        <w:rPr>
          <w:rFonts w:asciiTheme="majorHAnsi" w:eastAsia="Arial Unicode MS" w:hAnsiTheme="majorHAnsi" w:cstheme="majorHAnsi"/>
          <w:i/>
          <w:szCs w:val="20"/>
        </w:rPr>
        <w:t xml:space="preserve">D3.3. </w:t>
      </w:r>
      <w:r w:rsidRPr="00740AE3">
        <w:rPr>
          <w:rFonts w:asciiTheme="majorHAnsi" w:eastAsia="Arial Unicode MS" w:hAnsiTheme="majorHAnsi" w:cstheme="majorHAnsi"/>
          <w:i/>
        </w:rPr>
        <w:t>PHD 3801 Community Based Grant Writing Workshop, Syllabus and Assessments</w:t>
      </w:r>
    </w:p>
    <w:p w:rsidR="00C929A3" w:rsidRPr="00740AE3" w:rsidRDefault="00C011FA" w:rsidP="00FC4AEF">
      <w:pPr>
        <w:pStyle w:val="ListParagraph"/>
        <w:numPr>
          <w:ilvl w:val="1"/>
          <w:numId w:val="138"/>
        </w:numPr>
        <w:shd w:val="clear" w:color="auto" w:fill="FFFFFF"/>
        <w:rPr>
          <w:rFonts w:asciiTheme="majorHAnsi" w:eastAsia="Arial Unicode MS" w:hAnsiTheme="majorHAnsi" w:cstheme="majorHAnsi"/>
          <w:i/>
          <w:szCs w:val="20"/>
        </w:rPr>
      </w:pPr>
      <w:r w:rsidRPr="00740AE3">
        <w:rPr>
          <w:rFonts w:asciiTheme="majorHAnsi" w:eastAsia="Arial Unicode MS" w:hAnsiTheme="majorHAnsi" w:cstheme="majorHAnsi"/>
          <w:i/>
          <w:szCs w:val="20"/>
        </w:rPr>
        <w:t xml:space="preserve">D3.3. </w:t>
      </w:r>
      <w:r w:rsidRPr="00740AE3">
        <w:rPr>
          <w:rFonts w:asciiTheme="majorHAnsi" w:eastAsia="Arial Unicode MS" w:hAnsiTheme="majorHAnsi" w:cstheme="majorHAnsi"/>
          <w:i/>
        </w:rPr>
        <w:t>PHD 3950 Advanced Leadership Studies in Public Health, Syllabus and Assessments</w:t>
      </w:r>
    </w:p>
    <w:p w:rsidR="0039346D" w:rsidRPr="00740AE3" w:rsidRDefault="00C011FA" w:rsidP="00FC4AEF">
      <w:pPr>
        <w:pStyle w:val="ListParagraph"/>
        <w:numPr>
          <w:ilvl w:val="1"/>
          <w:numId w:val="138"/>
        </w:numPr>
        <w:shd w:val="clear" w:color="auto" w:fill="FFFFFF"/>
        <w:rPr>
          <w:rFonts w:asciiTheme="majorHAnsi" w:eastAsia="Arial Unicode MS" w:hAnsiTheme="majorHAnsi" w:cstheme="majorHAnsi"/>
          <w:i/>
          <w:szCs w:val="20"/>
        </w:rPr>
      </w:pPr>
      <w:r w:rsidRPr="00740AE3">
        <w:rPr>
          <w:rFonts w:asciiTheme="majorHAnsi" w:eastAsia="Arial Unicode MS" w:hAnsiTheme="majorHAnsi" w:cstheme="majorHAnsi"/>
          <w:i/>
          <w:szCs w:val="20"/>
        </w:rPr>
        <w:t xml:space="preserve">D3.3. </w:t>
      </w:r>
      <w:r w:rsidRPr="00740AE3">
        <w:rPr>
          <w:rFonts w:asciiTheme="majorHAnsi" w:eastAsia="Arial Unicode MS" w:hAnsiTheme="majorHAnsi" w:cstheme="majorHAnsi"/>
          <w:i/>
        </w:rPr>
        <w:t>PHD 3998 Community Based Participatory Research and Community Engagement, Syllabus and Assessments</w:t>
      </w:r>
    </w:p>
    <w:p w:rsidR="0039346D" w:rsidRPr="00740AE3" w:rsidRDefault="00C011FA" w:rsidP="00FC4AEF">
      <w:pPr>
        <w:pStyle w:val="ListParagraph"/>
        <w:numPr>
          <w:ilvl w:val="1"/>
          <w:numId w:val="138"/>
        </w:numPr>
        <w:shd w:val="clear" w:color="auto" w:fill="FFFFFF"/>
        <w:rPr>
          <w:rFonts w:asciiTheme="majorHAnsi" w:eastAsia="Arial Unicode MS" w:hAnsiTheme="majorHAnsi" w:cstheme="majorHAnsi"/>
          <w:i/>
          <w:szCs w:val="20"/>
        </w:rPr>
      </w:pPr>
      <w:r w:rsidRPr="00740AE3">
        <w:rPr>
          <w:rFonts w:asciiTheme="majorHAnsi" w:eastAsia="Arial Unicode MS" w:hAnsiTheme="majorHAnsi" w:cstheme="majorHAnsi"/>
          <w:i/>
          <w:szCs w:val="20"/>
        </w:rPr>
        <w:t xml:space="preserve">D3.3. </w:t>
      </w:r>
      <w:r w:rsidRPr="00740AE3">
        <w:rPr>
          <w:rFonts w:asciiTheme="majorHAnsi" w:eastAsia="Arial Unicode MS" w:hAnsiTheme="majorHAnsi" w:cstheme="majorHAnsi"/>
          <w:i/>
        </w:rPr>
        <w:t>PH 3998 Public Health Advocacy, Syllabus and Assessments</w:t>
      </w:r>
    </w:p>
    <w:p w:rsidR="0039346D" w:rsidRPr="00743A41" w:rsidRDefault="0039346D" w:rsidP="00A37ED6">
      <w:pPr>
        <w:pStyle w:val="ListParagraph"/>
        <w:ind w:hanging="360"/>
        <w:rPr>
          <w:rFonts w:asciiTheme="majorHAnsi" w:eastAsia="Arial Unicode MS" w:hAnsiTheme="majorHAnsi" w:cstheme="majorHAnsi"/>
          <w:szCs w:val="20"/>
        </w:rPr>
      </w:pPr>
    </w:p>
    <w:p w:rsidR="00933038" w:rsidRPr="00743A41" w:rsidRDefault="00933038" w:rsidP="00A37ED6">
      <w:pPr>
        <w:numPr>
          <w:ilvl w:val="0"/>
          <w:numId w:val="20"/>
        </w:numPr>
        <w:shd w:val="clear" w:color="auto" w:fill="FFFFFF"/>
        <w:ind w:left="720"/>
        <w:jc w:val="both"/>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rPr>
        <w:t xml:space="preserve">If applicable, assess strengths and weaknesses related to this criterion and plans for improvement in this area. </w:t>
      </w:r>
    </w:p>
    <w:p w:rsidR="00933038" w:rsidRPr="00743A41" w:rsidRDefault="00933038" w:rsidP="00A37ED6">
      <w:pPr>
        <w:shd w:val="clear" w:color="auto" w:fill="FFFFFF"/>
        <w:ind w:left="720" w:hanging="360"/>
        <w:jc w:val="both"/>
        <w:rPr>
          <w:rFonts w:asciiTheme="majorHAnsi" w:eastAsia="Arial Unicode MS" w:hAnsiTheme="majorHAnsi" w:cstheme="majorHAnsi"/>
          <w:sz w:val="20"/>
          <w:szCs w:val="20"/>
        </w:rPr>
      </w:pPr>
    </w:p>
    <w:p w:rsidR="00FD37E7" w:rsidRPr="00743A41" w:rsidRDefault="00E10202" w:rsidP="00A37ED6">
      <w:pPr>
        <w:keepNext/>
        <w:ind w:left="720"/>
        <w:jc w:val="both"/>
        <w:rPr>
          <w:rFonts w:asciiTheme="majorHAnsi" w:eastAsia="Calibri" w:hAnsiTheme="majorHAnsi" w:cstheme="majorHAnsi"/>
          <w:i/>
          <w:sz w:val="20"/>
          <w:szCs w:val="20"/>
        </w:rPr>
      </w:pPr>
      <w:r w:rsidRPr="00743A41">
        <w:rPr>
          <w:rFonts w:asciiTheme="majorHAnsi" w:hAnsiTheme="majorHAnsi" w:cstheme="majorHAnsi"/>
          <w:i/>
          <w:sz w:val="20"/>
          <w:szCs w:val="20"/>
        </w:rPr>
        <w:t xml:space="preserve">Not applicable. </w:t>
      </w:r>
    </w:p>
    <w:p w:rsidR="00933038" w:rsidRPr="00743A41" w:rsidRDefault="00933038" w:rsidP="00A37ED6">
      <w:pPr>
        <w:rPr>
          <w:rFonts w:asciiTheme="majorHAnsi" w:eastAsia="Arial Unicode MS" w:hAnsiTheme="majorHAnsi" w:cstheme="majorHAnsi"/>
          <w:b/>
          <w:bCs/>
          <w:kern w:val="32"/>
          <w:sz w:val="20"/>
          <w:szCs w:val="20"/>
          <w:lang w:eastAsia="x-none"/>
        </w:rPr>
      </w:pPr>
      <w:bookmarkStart w:id="73" w:name="_Toc464487870"/>
    </w:p>
    <w:p w:rsidR="00B11628" w:rsidRPr="00743A41" w:rsidRDefault="00B11628">
      <w:pPr>
        <w:rPr>
          <w:rFonts w:asciiTheme="majorHAnsi" w:eastAsia="Arial Unicode MS" w:hAnsiTheme="majorHAnsi" w:cstheme="majorHAnsi"/>
          <w:b/>
          <w:bCs/>
          <w:kern w:val="32"/>
          <w:sz w:val="20"/>
          <w:szCs w:val="20"/>
          <w:lang w:eastAsia="x-none"/>
        </w:rPr>
      </w:pPr>
      <w:bookmarkStart w:id="74" w:name="_D4._MPH_&amp;"/>
      <w:bookmarkStart w:id="75" w:name="_Toc7118203"/>
      <w:bookmarkEnd w:id="74"/>
      <w:r w:rsidRPr="006E28EE">
        <w:rPr>
          <w:rFonts w:asciiTheme="majorHAnsi" w:hAnsiTheme="majorHAnsi"/>
          <w:sz w:val="20"/>
          <w:szCs w:val="20"/>
        </w:rPr>
        <w:br w:type="page"/>
      </w:r>
    </w:p>
    <w:p w:rsidR="00933038" w:rsidRPr="00743A41" w:rsidRDefault="00933038" w:rsidP="007A68BE">
      <w:pPr>
        <w:pStyle w:val="Heading1"/>
      </w:pPr>
      <w:bookmarkStart w:id="76" w:name="_D4._MPH_&amp;_1"/>
      <w:bookmarkEnd w:id="76"/>
      <w:r w:rsidRPr="00743A41">
        <w:t>D4. MPH &amp; DrPH Concentration Competencies</w:t>
      </w:r>
      <w:bookmarkEnd w:id="75"/>
      <w:r w:rsidRPr="00743A41">
        <w:t xml:space="preserve"> </w:t>
      </w:r>
      <w:bookmarkEnd w:id="73"/>
    </w:p>
    <w:p w:rsidR="00933038" w:rsidRPr="00743A41" w:rsidRDefault="00933038" w:rsidP="00A37ED6">
      <w:pPr>
        <w:shd w:val="clear" w:color="auto" w:fill="FFFFFF"/>
        <w:jc w:val="both"/>
        <w:rPr>
          <w:rFonts w:asciiTheme="majorHAnsi" w:eastAsia="Arial Unicode MS" w:hAnsiTheme="majorHAnsi" w:cstheme="majorHAnsi"/>
          <w:b/>
          <w:sz w:val="20"/>
          <w:szCs w:val="20"/>
        </w:rPr>
      </w:pPr>
    </w:p>
    <w:p w:rsidR="00933038" w:rsidRPr="00743A41" w:rsidRDefault="00933038" w:rsidP="00A37ED6">
      <w:pPr>
        <w:shd w:val="clear" w:color="auto" w:fill="FFFFFF"/>
        <w:jc w:val="both"/>
        <w:rPr>
          <w:rFonts w:asciiTheme="majorHAnsi" w:eastAsia="Arial Unicode MS" w:hAnsiTheme="majorHAnsi" w:cstheme="majorHAnsi"/>
          <w:b/>
          <w:sz w:val="20"/>
          <w:szCs w:val="20"/>
        </w:rPr>
      </w:pPr>
      <w:r w:rsidRPr="00743A41">
        <w:rPr>
          <w:rFonts w:asciiTheme="majorHAnsi" w:eastAsia="Arial Unicode MS" w:hAnsiTheme="majorHAnsi" w:cstheme="majorHAnsi"/>
          <w:b/>
          <w:sz w:val="20"/>
          <w:szCs w:val="20"/>
        </w:rPr>
        <w:t xml:space="preserve">The school defines at least five distinct competencies for each concentration or generalist degree at each degree level in addition to those listed in Criterion D2 or D3. </w:t>
      </w:r>
    </w:p>
    <w:p w:rsidR="00933038" w:rsidRPr="00743A41" w:rsidRDefault="00933038" w:rsidP="00A37ED6">
      <w:pPr>
        <w:shd w:val="clear" w:color="auto" w:fill="FFFFFF"/>
        <w:jc w:val="both"/>
        <w:rPr>
          <w:rFonts w:asciiTheme="majorHAnsi" w:eastAsia="Arial Unicode MS" w:hAnsiTheme="majorHAnsi" w:cstheme="majorHAnsi"/>
          <w:b/>
          <w:sz w:val="20"/>
          <w:szCs w:val="20"/>
        </w:rPr>
      </w:pPr>
    </w:p>
    <w:p w:rsidR="00933038" w:rsidRPr="00743A41" w:rsidRDefault="00933038" w:rsidP="00A37ED6">
      <w:pPr>
        <w:jc w:val="both"/>
        <w:rPr>
          <w:rFonts w:asciiTheme="majorHAnsi" w:eastAsia="Arial Unicode MS" w:hAnsiTheme="majorHAnsi" w:cstheme="majorHAnsi"/>
          <w:b/>
          <w:sz w:val="20"/>
          <w:szCs w:val="20"/>
        </w:rPr>
      </w:pPr>
      <w:r w:rsidRPr="00743A41">
        <w:rPr>
          <w:rFonts w:asciiTheme="majorHAnsi" w:eastAsia="Arial Unicode MS" w:hAnsiTheme="majorHAnsi" w:cstheme="majorHAnsi"/>
          <w:b/>
          <w:sz w:val="20"/>
          <w:szCs w:val="20"/>
        </w:rPr>
        <w:t xml:space="preserve">The school documents at least one specific, required assessment activity (eg, component of existing course, paper, presentation, test) for each defined competency, during which faculty or other qualified individuals (eg, preceptors) validate the student’s ability to perform the competency. </w:t>
      </w:r>
    </w:p>
    <w:p w:rsidR="00933038" w:rsidRPr="00743A41" w:rsidRDefault="00933038" w:rsidP="00A37ED6">
      <w:pPr>
        <w:jc w:val="both"/>
        <w:rPr>
          <w:rFonts w:asciiTheme="majorHAnsi" w:eastAsia="Arial Unicode MS" w:hAnsiTheme="majorHAnsi" w:cstheme="majorHAnsi"/>
          <w:b/>
          <w:sz w:val="20"/>
          <w:szCs w:val="20"/>
        </w:rPr>
      </w:pPr>
    </w:p>
    <w:p w:rsidR="00933038" w:rsidRPr="00743A41" w:rsidRDefault="00933038" w:rsidP="00A37ED6">
      <w:pPr>
        <w:shd w:val="clear" w:color="auto" w:fill="FFFFFF"/>
        <w:jc w:val="both"/>
        <w:rPr>
          <w:rFonts w:asciiTheme="majorHAnsi" w:eastAsia="Arial Unicode MS" w:hAnsiTheme="majorHAnsi" w:cstheme="majorHAnsi"/>
          <w:sz w:val="20"/>
          <w:szCs w:val="20"/>
        </w:rPr>
      </w:pPr>
      <w:r w:rsidRPr="00743A41">
        <w:rPr>
          <w:rFonts w:asciiTheme="majorHAnsi" w:eastAsia="Arial Unicode MS" w:hAnsiTheme="majorHAnsi" w:cstheme="majorHAnsi"/>
          <w:b/>
          <w:sz w:val="20"/>
          <w:szCs w:val="20"/>
        </w:rPr>
        <w:t xml:space="preserve">If the school intends to prepare students for a specific credential (eg, CHES/MCHES) that has defined competencies, the school documents coverage and assessment of those competencies throughout the curriculum. </w:t>
      </w:r>
    </w:p>
    <w:p w:rsidR="00933038" w:rsidRPr="00743A41" w:rsidRDefault="00933038" w:rsidP="00A37ED6">
      <w:pPr>
        <w:keepNext/>
        <w:shd w:val="clear" w:color="auto" w:fill="FFFFFF"/>
        <w:jc w:val="both"/>
        <w:rPr>
          <w:rFonts w:asciiTheme="majorHAnsi" w:eastAsia="Arial Unicode MS" w:hAnsiTheme="majorHAnsi" w:cstheme="majorHAnsi"/>
          <w:sz w:val="20"/>
          <w:szCs w:val="20"/>
        </w:rPr>
      </w:pPr>
    </w:p>
    <w:p w:rsidR="006509C5" w:rsidRPr="00743A41" w:rsidRDefault="00933038" w:rsidP="00A37ED6">
      <w:pPr>
        <w:numPr>
          <w:ilvl w:val="0"/>
          <w:numId w:val="21"/>
        </w:numPr>
        <w:jc w:val="both"/>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rPr>
        <w:t xml:space="preserve">Provide a matrix, in the format of Template D4-1, that lists at least five competencies in addition to those defined in Criterion D2 or D3 for each MPH or DrPH concentration or generalist degree, including combined degree options, and indicates at least one assessment activity for each of the listed competencies. Typically, the school will present a separate matrix for each concentration. </w:t>
      </w:r>
    </w:p>
    <w:p w:rsidR="006509C5" w:rsidRPr="00743A41" w:rsidRDefault="006509C5" w:rsidP="00A37ED6">
      <w:pPr>
        <w:ind w:left="720"/>
        <w:jc w:val="both"/>
        <w:rPr>
          <w:rFonts w:asciiTheme="majorHAnsi" w:eastAsia="Arial Unicode MS" w:hAnsiTheme="majorHAnsi" w:cstheme="majorHAnsi"/>
          <w:sz w:val="20"/>
          <w:szCs w:val="20"/>
        </w:rPr>
      </w:pPr>
    </w:p>
    <w:p w:rsidR="006509C5" w:rsidRPr="00743A41" w:rsidRDefault="006509C5" w:rsidP="006E28EE">
      <w:pPr>
        <w:ind w:left="720"/>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rPr>
        <w:t xml:space="preserve">A full inventory of the UTHealth School of Public Health </w:t>
      </w:r>
      <w:r w:rsidR="008A2862" w:rsidRPr="00740AE3">
        <w:rPr>
          <w:rFonts w:asciiTheme="majorHAnsi" w:eastAsia="Arial Unicode MS" w:hAnsiTheme="majorHAnsi" w:cstheme="majorHAnsi"/>
          <w:sz w:val="20"/>
          <w:szCs w:val="20"/>
        </w:rPr>
        <w:t>MPH Major-Specific Competencies</w:t>
      </w:r>
      <w:r w:rsidRPr="00743A41">
        <w:rPr>
          <w:rFonts w:asciiTheme="majorHAnsi" w:eastAsia="Arial Unicode MS" w:hAnsiTheme="majorHAnsi" w:cstheme="majorHAnsi"/>
          <w:sz w:val="20"/>
          <w:szCs w:val="20"/>
        </w:rPr>
        <w:t xml:space="preserve"> and </w:t>
      </w:r>
      <w:r w:rsidR="008A2862" w:rsidRPr="00740AE3">
        <w:rPr>
          <w:rFonts w:asciiTheme="majorHAnsi" w:eastAsia="Arial Unicode MS" w:hAnsiTheme="majorHAnsi" w:cstheme="majorHAnsi"/>
          <w:sz w:val="20"/>
          <w:szCs w:val="20"/>
        </w:rPr>
        <w:t>DrPH Major-Specific Competencies</w:t>
      </w:r>
      <w:r w:rsidRPr="00743A41">
        <w:rPr>
          <w:rFonts w:asciiTheme="majorHAnsi" w:eastAsia="Arial Unicode MS" w:hAnsiTheme="majorHAnsi" w:cstheme="majorHAnsi"/>
          <w:sz w:val="20"/>
          <w:szCs w:val="20"/>
        </w:rPr>
        <w:t xml:space="preserve"> </w:t>
      </w:r>
      <w:r w:rsidR="0000125A">
        <w:rPr>
          <w:rFonts w:asciiTheme="majorHAnsi" w:eastAsia="Arial Unicode MS" w:hAnsiTheme="majorHAnsi" w:cstheme="majorHAnsi"/>
          <w:sz w:val="20"/>
          <w:szCs w:val="20"/>
        </w:rPr>
        <w:t>is available in the electronic resource file</w:t>
      </w:r>
      <w:r w:rsidR="008A2862" w:rsidRPr="00743A41">
        <w:rPr>
          <w:rFonts w:asciiTheme="majorHAnsi" w:eastAsia="Arial Unicode MS" w:hAnsiTheme="majorHAnsi" w:cstheme="majorHAnsi"/>
          <w:sz w:val="20"/>
          <w:szCs w:val="20"/>
        </w:rPr>
        <w:t xml:space="preserve"> </w:t>
      </w:r>
      <w:r w:rsidRPr="00743A41">
        <w:rPr>
          <w:rFonts w:asciiTheme="majorHAnsi" w:eastAsia="Arial Unicode MS" w:hAnsiTheme="majorHAnsi" w:cstheme="majorHAnsi"/>
          <w:sz w:val="20"/>
          <w:szCs w:val="20"/>
        </w:rPr>
        <w:t>(</w:t>
      </w:r>
      <w:r w:rsidR="008A2862" w:rsidRPr="0099738E">
        <w:rPr>
          <w:rFonts w:asciiTheme="majorHAnsi" w:eastAsia="Arial Unicode MS" w:hAnsiTheme="majorHAnsi" w:cstheme="majorHAnsi"/>
          <w:i/>
          <w:sz w:val="20"/>
          <w:szCs w:val="20"/>
        </w:rPr>
        <w:t>ERF, D4. MPH and DrPH Concentration Competencies</w:t>
      </w:r>
      <w:r w:rsidRPr="00743A41">
        <w:rPr>
          <w:rFonts w:asciiTheme="majorHAnsi" w:eastAsia="Arial Unicode MS" w:hAnsiTheme="majorHAnsi" w:cstheme="majorHAnsi"/>
          <w:sz w:val="20"/>
          <w:szCs w:val="20"/>
        </w:rPr>
        <w:t>)</w:t>
      </w:r>
      <w:r w:rsidR="00BD7F44" w:rsidRPr="00743A41">
        <w:rPr>
          <w:rFonts w:asciiTheme="majorHAnsi" w:eastAsia="Arial Unicode MS" w:hAnsiTheme="majorHAnsi" w:cstheme="majorHAnsi"/>
          <w:sz w:val="20"/>
          <w:szCs w:val="20"/>
        </w:rPr>
        <w:t>.</w:t>
      </w:r>
      <w:r w:rsidR="002C0707" w:rsidRPr="00743A41">
        <w:rPr>
          <w:rFonts w:asciiTheme="majorHAnsi" w:eastAsia="Arial Unicode MS" w:hAnsiTheme="majorHAnsi" w:cstheme="majorHAnsi"/>
          <w:sz w:val="20"/>
          <w:szCs w:val="20"/>
        </w:rPr>
        <w:t xml:space="preserve"> Documentation to validate </w:t>
      </w:r>
      <w:r w:rsidR="007B7290" w:rsidRPr="00743A41">
        <w:rPr>
          <w:rFonts w:asciiTheme="majorHAnsi" w:eastAsia="Arial Unicode MS" w:hAnsiTheme="majorHAnsi" w:cstheme="majorHAnsi"/>
          <w:sz w:val="20"/>
          <w:szCs w:val="20"/>
        </w:rPr>
        <w:t xml:space="preserve">didactic coverage and </w:t>
      </w:r>
      <w:r w:rsidR="002C0707" w:rsidRPr="00743A41">
        <w:rPr>
          <w:rFonts w:asciiTheme="majorHAnsi" w:eastAsia="Arial Unicode MS" w:hAnsiTheme="majorHAnsi" w:cstheme="majorHAnsi"/>
          <w:sz w:val="20"/>
          <w:szCs w:val="20"/>
        </w:rPr>
        <w:t xml:space="preserve">assessment of competencies for each MPH and DrPH program </w:t>
      </w:r>
      <w:r w:rsidR="0000125A">
        <w:rPr>
          <w:rFonts w:asciiTheme="majorHAnsi" w:eastAsia="Arial Unicode MS" w:hAnsiTheme="majorHAnsi" w:cstheme="majorHAnsi"/>
          <w:sz w:val="20"/>
          <w:szCs w:val="20"/>
        </w:rPr>
        <w:t>is available in the electronic resource file</w:t>
      </w:r>
      <w:r w:rsidR="002C0707" w:rsidRPr="00743A41">
        <w:rPr>
          <w:rFonts w:asciiTheme="majorHAnsi" w:eastAsia="Arial Unicode MS" w:hAnsiTheme="majorHAnsi" w:cstheme="majorHAnsi"/>
          <w:sz w:val="20"/>
          <w:szCs w:val="20"/>
        </w:rPr>
        <w:t xml:space="preserve"> (</w:t>
      </w:r>
      <w:r w:rsidR="002C0707" w:rsidRPr="006E28EE">
        <w:rPr>
          <w:rFonts w:asciiTheme="majorHAnsi" w:eastAsia="Arial Unicode MS" w:hAnsiTheme="majorHAnsi" w:cstheme="majorHAnsi"/>
          <w:i/>
          <w:sz w:val="20"/>
          <w:szCs w:val="20"/>
        </w:rPr>
        <w:t xml:space="preserve">ERF, D4. </w:t>
      </w:r>
      <w:r w:rsidR="000416EA">
        <w:rPr>
          <w:rFonts w:asciiTheme="majorHAnsi" w:eastAsia="Arial Unicode MS" w:hAnsiTheme="majorHAnsi" w:cstheme="majorHAnsi"/>
          <w:i/>
          <w:sz w:val="20"/>
          <w:szCs w:val="20"/>
        </w:rPr>
        <w:t>UTHealth SPH MPH Competency Inventory and UTHealth SPH DrPH Competency Inventory</w:t>
      </w:r>
      <w:r w:rsidR="002C0707" w:rsidRPr="00743A41">
        <w:rPr>
          <w:rFonts w:asciiTheme="majorHAnsi" w:eastAsia="Arial Unicode MS" w:hAnsiTheme="majorHAnsi" w:cstheme="majorHAnsi"/>
          <w:sz w:val="20"/>
          <w:szCs w:val="20"/>
        </w:rPr>
        <w:t xml:space="preserve">). </w:t>
      </w:r>
    </w:p>
    <w:p w:rsidR="005D24F2" w:rsidRPr="00743A41" w:rsidRDefault="005D24F2" w:rsidP="00A37ED6">
      <w:pPr>
        <w:jc w:val="both"/>
        <w:rPr>
          <w:rFonts w:asciiTheme="majorHAnsi" w:eastAsia="Arial Unicode MS" w:hAnsiTheme="majorHAnsi" w:cstheme="majorHAnsi"/>
          <w:sz w:val="20"/>
          <w:szCs w:val="20"/>
        </w:rPr>
      </w:pPr>
    </w:p>
    <w:p w:rsidR="000E36E0" w:rsidRPr="00740AE3" w:rsidRDefault="000E36E0" w:rsidP="006E28EE">
      <w:pPr>
        <w:ind w:left="720"/>
        <w:rPr>
          <w:rFonts w:asciiTheme="majorHAnsi" w:eastAsia="Times New Roman" w:hAnsiTheme="majorHAnsi" w:cstheme="majorHAnsi"/>
          <w:b/>
          <w:bCs/>
          <w:color w:val="000000"/>
          <w:sz w:val="20"/>
          <w:szCs w:val="20"/>
        </w:rPr>
      </w:pPr>
      <w:r w:rsidRPr="00740AE3">
        <w:rPr>
          <w:rFonts w:asciiTheme="majorHAnsi" w:hAnsiTheme="majorHAnsi" w:cstheme="majorHAnsi"/>
          <w:sz w:val="20"/>
          <w:szCs w:val="20"/>
        </w:rPr>
        <w:t>Table D.4.1.a. Assessment of Competencies for MPH in Community Health Practice (</w:t>
      </w:r>
      <w:r w:rsidRPr="00740AE3">
        <w:rPr>
          <w:rFonts w:asciiTheme="majorHAnsi" w:hAnsiTheme="majorHAnsi" w:cstheme="majorHAnsi"/>
          <w:i/>
          <w:sz w:val="20"/>
          <w:szCs w:val="20"/>
        </w:rPr>
        <w:t xml:space="preserve">ERF, </w:t>
      </w:r>
      <w:r w:rsidR="00C84B9F" w:rsidRPr="00740AE3">
        <w:rPr>
          <w:rFonts w:asciiTheme="majorHAnsi" w:hAnsiTheme="majorHAnsi" w:cstheme="majorHAnsi"/>
          <w:i/>
          <w:sz w:val="20"/>
          <w:szCs w:val="20"/>
        </w:rPr>
        <w:t>D4.3. MPH in Community Health Practice</w:t>
      </w:r>
      <w:r w:rsidR="00C84B9F" w:rsidRPr="00740AE3">
        <w:rPr>
          <w:rFonts w:asciiTheme="majorHAnsi" w:hAnsiTheme="majorHAnsi" w:cstheme="majorHAnsi"/>
          <w:sz w:val="20"/>
          <w:szCs w:val="20"/>
        </w:rPr>
        <w:t>)</w:t>
      </w:r>
    </w:p>
    <w:tbl>
      <w:tblPr>
        <w:tblW w:w="4661"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249"/>
        <w:gridCol w:w="3947"/>
      </w:tblGrid>
      <w:tr w:rsidR="000E36E0" w:rsidRPr="001964EF" w:rsidTr="00B861A8">
        <w:trPr>
          <w:cantSplit/>
          <w:trHeight w:val="525"/>
          <w:tblHeader/>
        </w:trPr>
        <w:tc>
          <w:tcPr>
            <w:tcW w:w="1446" w:type="pct"/>
            <w:shd w:val="clear" w:color="000000" w:fill="D9D9D9"/>
            <w:tcMar>
              <w:left w:w="29" w:type="dxa"/>
              <w:right w:w="29" w:type="dxa"/>
            </w:tcMar>
            <w:hideMark/>
          </w:tcPr>
          <w:p w:rsidR="000E36E0" w:rsidRPr="001964EF" w:rsidRDefault="000E36E0" w:rsidP="00B861A8">
            <w:pPr>
              <w:jc w:val="center"/>
              <w:rPr>
                <w:rFonts w:asciiTheme="majorHAnsi" w:eastAsia="Times New Roman" w:hAnsiTheme="majorHAnsi" w:cstheme="majorHAnsi"/>
                <w:b/>
                <w:bCs/>
                <w:color w:val="000000"/>
                <w:sz w:val="20"/>
                <w:szCs w:val="20"/>
              </w:rPr>
            </w:pPr>
            <w:r w:rsidRPr="001964EF">
              <w:rPr>
                <w:rFonts w:asciiTheme="majorHAnsi" w:eastAsia="Times New Roman" w:hAnsiTheme="majorHAnsi" w:cstheme="majorHAnsi"/>
                <w:b/>
                <w:bCs/>
                <w:color w:val="000000"/>
                <w:sz w:val="20"/>
                <w:szCs w:val="20"/>
              </w:rPr>
              <w:t>Competency</w:t>
            </w:r>
          </w:p>
        </w:tc>
        <w:tc>
          <w:tcPr>
            <w:tcW w:w="1290" w:type="pct"/>
            <w:shd w:val="clear" w:color="000000" w:fill="D9D9D9"/>
            <w:tcMar>
              <w:left w:w="29" w:type="dxa"/>
              <w:right w:w="29" w:type="dxa"/>
            </w:tcMar>
            <w:hideMark/>
          </w:tcPr>
          <w:p w:rsidR="000E36E0" w:rsidRPr="001964EF" w:rsidRDefault="000E36E0" w:rsidP="00B861A8">
            <w:pPr>
              <w:jc w:val="center"/>
              <w:rPr>
                <w:rFonts w:asciiTheme="majorHAnsi" w:eastAsia="Times New Roman" w:hAnsiTheme="majorHAnsi" w:cstheme="majorHAnsi"/>
                <w:b/>
                <w:bCs/>
                <w:color w:val="000000"/>
                <w:sz w:val="20"/>
                <w:szCs w:val="20"/>
              </w:rPr>
            </w:pPr>
            <w:r w:rsidRPr="001964EF">
              <w:rPr>
                <w:rFonts w:asciiTheme="majorHAnsi" w:eastAsia="Times New Roman" w:hAnsiTheme="majorHAnsi" w:cstheme="majorHAnsi"/>
                <w:b/>
                <w:bCs/>
                <w:color w:val="000000"/>
                <w:sz w:val="20"/>
                <w:szCs w:val="20"/>
              </w:rPr>
              <w:t>Course number(s) and name(s)</w:t>
            </w:r>
          </w:p>
        </w:tc>
        <w:tc>
          <w:tcPr>
            <w:tcW w:w="2264" w:type="pct"/>
            <w:shd w:val="clear" w:color="000000" w:fill="D9D9D9"/>
            <w:tcMar>
              <w:left w:w="29" w:type="dxa"/>
              <w:right w:w="29" w:type="dxa"/>
            </w:tcMar>
            <w:hideMark/>
          </w:tcPr>
          <w:p w:rsidR="000E36E0" w:rsidRPr="001964EF" w:rsidRDefault="000E36E0" w:rsidP="00B861A8">
            <w:pPr>
              <w:jc w:val="center"/>
              <w:rPr>
                <w:rFonts w:asciiTheme="majorHAnsi" w:eastAsia="Times New Roman" w:hAnsiTheme="majorHAnsi" w:cstheme="majorHAnsi"/>
                <w:b/>
                <w:bCs/>
                <w:color w:val="000000"/>
                <w:sz w:val="20"/>
                <w:szCs w:val="20"/>
              </w:rPr>
            </w:pPr>
            <w:r w:rsidRPr="001964EF">
              <w:rPr>
                <w:rFonts w:asciiTheme="majorHAnsi" w:eastAsia="Times New Roman" w:hAnsiTheme="majorHAnsi" w:cstheme="majorHAnsi"/>
                <w:b/>
                <w:bCs/>
                <w:color w:val="000000"/>
                <w:sz w:val="20"/>
                <w:szCs w:val="20"/>
              </w:rPr>
              <w:t>Specific assignment(s) that allow assessment</w:t>
            </w:r>
          </w:p>
        </w:tc>
      </w:tr>
      <w:tr w:rsidR="000E36E0" w:rsidRPr="001964EF" w:rsidTr="00B861A8">
        <w:trPr>
          <w:cantSplit/>
          <w:trHeight w:val="315"/>
        </w:trPr>
        <w:tc>
          <w:tcPr>
            <w:tcW w:w="1446" w:type="pct"/>
            <w:shd w:val="clear" w:color="auto" w:fill="auto"/>
            <w:tcMar>
              <w:left w:w="29" w:type="dxa"/>
              <w:right w:w="29" w:type="dxa"/>
            </w:tcMar>
            <w:hideMark/>
          </w:tcPr>
          <w:p w:rsidR="000E36E0" w:rsidRPr="001964EF" w:rsidRDefault="000E36E0" w:rsidP="00B861A8">
            <w:pPr>
              <w:rPr>
                <w:rFonts w:asciiTheme="majorHAnsi" w:hAnsiTheme="majorHAnsi" w:cstheme="majorHAnsi"/>
                <w:color w:val="000000"/>
                <w:sz w:val="20"/>
                <w:szCs w:val="20"/>
              </w:rPr>
            </w:pPr>
            <w:r w:rsidRPr="001964EF">
              <w:rPr>
                <w:rFonts w:asciiTheme="majorHAnsi" w:hAnsiTheme="majorHAnsi" w:cstheme="majorHAnsi"/>
                <w:color w:val="000000"/>
                <w:sz w:val="20"/>
                <w:szCs w:val="20"/>
              </w:rPr>
              <w:t xml:space="preserve">MPH-C1. Compare and contrast program-planning models used by national public health organizations. </w:t>
            </w:r>
          </w:p>
        </w:tc>
        <w:tc>
          <w:tcPr>
            <w:tcW w:w="1290" w:type="pct"/>
            <w:shd w:val="clear" w:color="auto" w:fill="auto"/>
            <w:tcMar>
              <w:left w:w="29" w:type="dxa"/>
              <w:right w:w="29" w:type="dxa"/>
            </w:tcMar>
            <w:hideMark/>
          </w:tcPr>
          <w:p w:rsidR="000E36E0" w:rsidRPr="001964EF" w:rsidRDefault="000E36E0" w:rsidP="00FC4AEF">
            <w:pPr>
              <w:rPr>
                <w:rFonts w:asciiTheme="majorHAnsi" w:hAnsiTheme="majorHAnsi" w:cstheme="majorHAnsi"/>
                <w:color w:val="000000"/>
                <w:sz w:val="20"/>
                <w:szCs w:val="20"/>
              </w:rPr>
            </w:pPr>
            <w:r w:rsidRPr="001964EF">
              <w:rPr>
                <w:rFonts w:asciiTheme="majorHAnsi" w:hAnsiTheme="majorHAnsi" w:cstheme="majorHAnsi"/>
                <w:b/>
                <w:sz w:val="20"/>
                <w:szCs w:val="20"/>
              </w:rPr>
              <w:t>PHM 3630</w:t>
            </w:r>
            <w:r w:rsidRPr="001964EF">
              <w:rPr>
                <w:rFonts w:asciiTheme="majorHAnsi" w:hAnsiTheme="majorHAnsi" w:cstheme="majorHAnsi"/>
                <w:sz w:val="20"/>
                <w:szCs w:val="20"/>
              </w:rPr>
              <w:t xml:space="preserve"> Program Planning, Implementation, and Evaluation</w:t>
            </w:r>
            <w:r w:rsidRPr="001964EF">
              <w:rPr>
                <w:rFonts w:asciiTheme="majorHAnsi" w:hAnsiTheme="majorHAnsi" w:cstheme="majorHAnsi"/>
                <w:color w:val="000000"/>
                <w:sz w:val="20"/>
                <w:szCs w:val="20"/>
              </w:rPr>
              <w:t xml:space="preserve"> </w:t>
            </w:r>
          </w:p>
        </w:tc>
        <w:tc>
          <w:tcPr>
            <w:tcW w:w="2264" w:type="pct"/>
            <w:shd w:val="clear" w:color="auto" w:fill="auto"/>
            <w:tcMar>
              <w:left w:w="29" w:type="dxa"/>
              <w:right w:w="29" w:type="dxa"/>
            </w:tcMar>
            <w:hideMark/>
          </w:tcPr>
          <w:p w:rsidR="000E36E0" w:rsidRPr="001964EF" w:rsidRDefault="000E36E0" w:rsidP="00FC4AEF">
            <w:pPr>
              <w:rPr>
                <w:rFonts w:asciiTheme="majorHAnsi" w:hAnsiTheme="majorHAnsi" w:cstheme="majorHAnsi"/>
                <w:sz w:val="20"/>
                <w:szCs w:val="20"/>
              </w:rPr>
            </w:pPr>
            <w:r w:rsidRPr="001964EF">
              <w:rPr>
                <w:rFonts w:asciiTheme="majorHAnsi" w:hAnsiTheme="majorHAnsi" w:cstheme="majorHAnsi"/>
                <w:sz w:val="20"/>
                <w:szCs w:val="20"/>
              </w:rPr>
              <w:t>Planning Model Matrix:</w:t>
            </w:r>
            <w:r w:rsidR="004C10A3" w:rsidRPr="001964EF">
              <w:rPr>
                <w:rFonts w:asciiTheme="majorHAnsi" w:hAnsiTheme="majorHAnsi" w:cstheme="majorHAnsi"/>
                <w:sz w:val="20"/>
                <w:szCs w:val="20"/>
              </w:rPr>
              <w:t xml:space="preserve"> </w:t>
            </w:r>
            <w:r w:rsidRPr="001964EF">
              <w:rPr>
                <w:rFonts w:asciiTheme="majorHAnsi" w:hAnsiTheme="majorHAnsi" w:cstheme="majorHAnsi"/>
                <w:sz w:val="20"/>
                <w:szCs w:val="20"/>
              </w:rPr>
              <w:t>Students complete a program planning model matrix to compare and contrast program elements for models used by national public health organizations (MAPP, CBPR, MAP-IT, and CDC) and for a community public health issue. Program model matrix elements include current practice, developers, unit/level, distinguishing emphasis, needs assessment, inventory of assets, community involvement, level of change, sustainability, evaluation plan, and communication of findings.</w:t>
            </w:r>
          </w:p>
        </w:tc>
      </w:tr>
      <w:tr w:rsidR="000E36E0" w:rsidRPr="001964EF" w:rsidTr="00B861A8">
        <w:trPr>
          <w:cantSplit/>
          <w:trHeight w:val="1070"/>
        </w:trPr>
        <w:tc>
          <w:tcPr>
            <w:tcW w:w="1446" w:type="pct"/>
            <w:shd w:val="clear" w:color="auto" w:fill="auto"/>
            <w:tcMar>
              <w:left w:w="29" w:type="dxa"/>
              <w:right w:w="29" w:type="dxa"/>
            </w:tcMar>
            <w:hideMark/>
          </w:tcPr>
          <w:p w:rsidR="000E36E0" w:rsidRPr="001964EF" w:rsidRDefault="000E36E0" w:rsidP="00B861A8">
            <w:pPr>
              <w:rPr>
                <w:rFonts w:asciiTheme="majorHAnsi" w:hAnsiTheme="majorHAnsi" w:cstheme="majorHAnsi"/>
                <w:color w:val="000000"/>
                <w:sz w:val="20"/>
                <w:szCs w:val="20"/>
              </w:rPr>
            </w:pPr>
            <w:r w:rsidRPr="001964EF">
              <w:rPr>
                <w:rFonts w:asciiTheme="majorHAnsi" w:hAnsiTheme="majorHAnsi" w:cstheme="majorHAnsi"/>
                <w:color w:val="000000"/>
                <w:sz w:val="20"/>
                <w:szCs w:val="20"/>
              </w:rPr>
              <w:t>MPH-C2. Describe the interconnectedness of governmental and non-profit systems in influencing a public health problem.</w:t>
            </w:r>
          </w:p>
        </w:tc>
        <w:tc>
          <w:tcPr>
            <w:tcW w:w="1290" w:type="pct"/>
            <w:shd w:val="clear" w:color="auto" w:fill="auto"/>
            <w:tcMar>
              <w:left w:w="29" w:type="dxa"/>
              <w:right w:w="29" w:type="dxa"/>
            </w:tcMar>
            <w:hideMark/>
          </w:tcPr>
          <w:p w:rsidR="000E36E0" w:rsidRPr="001964EF" w:rsidRDefault="000E36E0" w:rsidP="00FC4AEF">
            <w:pPr>
              <w:rPr>
                <w:rFonts w:asciiTheme="majorHAnsi" w:hAnsiTheme="majorHAnsi" w:cstheme="majorHAnsi"/>
                <w:color w:val="000000"/>
                <w:sz w:val="20"/>
                <w:szCs w:val="20"/>
              </w:rPr>
            </w:pPr>
            <w:r w:rsidRPr="001964EF">
              <w:rPr>
                <w:rFonts w:asciiTheme="majorHAnsi" w:hAnsiTheme="majorHAnsi" w:cstheme="majorHAnsi"/>
                <w:b/>
                <w:sz w:val="20"/>
                <w:szCs w:val="20"/>
              </w:rPr>
              <w:t>PHM 3620</w:t>
            </w:r>
            <w:r w:rsidRPr="001964EF">
              <w:rPr>
                <w:rFonts w:asciiTheme="majorHAnsi" w:hAnsiTheme="majorHAnsi" w:cstheme="majorHAnsi"/>
                <w:sz w:val="20"/>
                <w:szCs w:val="20"/>
              </w:rPr>
              <w:t xml:space="preserve"> Principles and Practice of Public Health</w:t>
            </w:r>
          </w:p>
        </w:tc>
        <w:tc>
          <w:tcPr>
            <w:tcW w:w="2264" w:type="pct"/>
            <w:shd w:val="clear" w:color="auto" w:fill="auto"/>
            <w:tcMar>
              <w:left w:w="29" w:type="dxa"/>
              <w:right w:w="29" w:type="dxa"/>
            </w:tcMar>
          </w:tcPr>
          <w:p w:rsidR="000E36E0" w:rsidRPr="001964EF" w:rsidRDefault="000E36E0" w:rsidP="00B861A8">
            <w:pPr>
              <w:rPr>
                <w:rFonts w:asciiTheme="majorHAnsi" w:hAnsiTheme="majorHAnsi" w:cstheme="majorHAnsi"/>
                <w:color w:val="000000"/>
                <w:sz w:val="20"/>
                <w:szCs w:val="20"/>
              </w:rPr>
            </w:pPr>
            <w:r w:rsidRPr="001964EF">
              <w:rPr>
                <w:rFonts w:asciiTheme="majorHAnsi" w:hAnsiTheme="majorHAnsi" w:cstheme="majorHAnsi"/>
                <w:sz w:val="20"/>
                <w:szCs w:val="20"/>
              </w:rPr>
              <w:t>Final Project:</w:t>
            </w:r>
            <w:r w:rsidRPr="001964EF">
              <w:rPr>
                <w:rFonts w:asciiTheme="majorHAnsi" w:hAnsiTheme="majorHAnsi" w:cstheme="majorHAnsi"/>
                <w:color w:val="FF0000"/>
                <w:sz w:val="20"/>
                <w:szCs w:val="20"/>
              </w:rPr>
              <w:t xml:space="preserve"> </w:t>
            </w:r>
            <w:r w:rsidRPr="001964EF">
              <w:rPr>
                <w:rFonts w:asciiTheme="majorHAnsi" w:hAnsiTheme="majorHAnsi" w:cstheme="majorHAnsi"/>
                <w:sz w:val="20"/>
                <w:szCs w:val="20"/>
              </w:rPr>
              <w:t>Final written project involves the comparison of how a public health non-profit and a public health governmental agency address a similar public health issue, e.g., HIV, obesity, cancer.</w:t>
            </w:r>
          </w:p>
        </w:tc>
      </w:tr>
      <w:tr w:rsidR="000E36E0" w:rsidRPr="001964EF" w:rsidTr="00B861A8">
        <w:trPr>
          <w:cantSplit/>
          <w:trHeight w:val="620"/>
        </w:trPr>
        <w:tc>
          <w:tcPr>
            <w:tcW w:w="1446" w:type="pct"/>
            <w:shd w:val="clear" w:color="auto" w:fill="auto"/>
            <w:tcMar>
              <w:left w:w="29" w:type="dxa"/>
              <w:right w:w="29" w:type="dxa"/>
            </w:tcMar>
            <w:hideMark/>
          </w:tcPr>
          <w:p w:rsidR="000E36E0" w:rsidRPr="001964EF" w:rsidRDefault="000E36E0" w:rsidP="00B861A8">
            <w:pPr>
              <w:rPr>
                <w:rFonts w:asciiTheme="majorHAnsi" w:hAnsiTheme="majorHAnsi" w:cstheme="majorHAnsi"/>
                <w:color w:val="000000"/>
                <w:sz w:val="20"/>
                <w:szCs w:val="20"/>
              </w:rPr>
            </w:pPr>
            <w:r w:rsidRPr="001964EF">
              <w:rPr>
                <w:rFonts w:asciiTheme="majorHAnsi" w:hAnsiTheme="majorHAnsi" w:cstheme="majorHAnsi"/>
                <w:color w:val="000000"/>
                <w:sz w:val="20"/>
                <w:szCs w:val="20"/>
              </w:rPr>
              <w:t>MPH-C3. Collaborate with community-based organizations on social justice initiatives to enhance self-reflection when working with diverse communities</w:t>
            </w:r>
          </w:p>
        </w:tc>
        <w:tc>
          <w:tcPr>
            <w:tcW w:w="1290" w:type="pct"/>
            <w:shd w:val="clear" w:color="auto" w:fill="auto"/>
            <w:tcMar>
              <w:left w:w="29" w:type="dxa"/>
              <w:right w:w="29" w:type="dxa"/>
            </w:tcMar>
            <w:hideMark/>
          </w:tcPr>
          <w:p w:rsidR="000E36E0" w:rsidRPr="001964EF" w:rsidRDefault="000E36E0" w:rsidP="00FC4AEF">
            <w:pPr>
              <w:rPr>
                <w:rFonts w:asciiTheme="majorHAnsi" w:hAnsiTheme="majorHAnsi" w:cstheme="majorHAnsi"/>
                <w:color w:val="000000"/>
                <w:sz w:val="20"/>
                <w:szCs w:val="20"/>
              </w:rPr>
            </w:pPr>
            <w:r w:rsidRPr="001964EF">
              <w:rPr>
                <w:rFonts w:asciiTheme="majorHAnsi" w:hAnsiTheme="majorHAnsi" w:cstheme="majorHAnsi"/>
                <w:b/>
                <w:sz w:val="20"/>
                <w:szCs w:val="20"/>
              </w:rPr>
              <w:t>PHM 3800</w:t>
            </w:r>
            <w:r w:rsidRPr="001964EF">
              <w:rPr>
                <w:rFonts w:asciiTheme="majorHAnsi" w:hAnsiTheme="majorHAnsi" w:cstheme="majorHAnsi"/>
                <w:sz w:val="20"/>
                <w:szCs w:val="20"/>
              </w:rPr>
              <w:t xml:space="preserve"> Working with Diverse Communities</w:t>
            </w:r>
          </w:p>
        </w:tc>
        <w:tc>
          <w:tcPr>
            <w:tcW w:w="2264" w:type="pct"/>
            <w:shd w:val="clear" w:color="auto" w:fill="auto"/>
            <w:tcMar>
              <w:left w:w="29" w:type="dxa"/>
              <w:right w:w="29" w:type="dxa"/>
            </w:tcMar>
            <w:hideMark/>
          </w:tcPr>
          <w:p w:rsidR="000E36E0" w:rsidRPr="001964EF" w:rsidRDefault="000E36E0" w:rsidP="00B861A8">
            <w:pPr>
              <w:rPr>
                <w:rFonts w:asciiTheme="majorHAnsi" w:hAnsiTheme="majorHAnsi" w:cstheme="majorHAnsi"/>
                <w:color w:val="000000"/>
                <w:sz w:val="20"/>
                <w:szCs w:val="20"/>
              </w:rPr>
            </w:pPr>
            <w:r w:rsidRPr="001964EF">
              <w:rPr>
                <w:rFonts w:asciiTheme="majorHAnsi" w:hAnsiTheme="majorHAnsi" w:cstheme="majorHAnsi"/>
                <w:sz w:val="20"/>
                <w:szCs w:val="20"/>
              </w:rPr>
              <w:t>Service Learning</w:t>
            </w:r>
            <w:r w:rsidRPr="001964EF">
              <w:rPr>
                <w:rFonts w:asciiTheme="majorHAnsi" w:hAnsiTheme="majorHAnsi" w:cstheme="majorHAnsi"/>
                <w:color w:val="000000"/>
                <w:sz w:val="20"/>
                <w:szCs w:val="20"/>
              </w:rPr>
              <w:t>:</w:t>
            </w:r>
            <w:r w:rsidRPr="001964EF">
              <w:rPr>
                <w:rFonts w:asciiTheme="majorHAnsi" w:hAnsiTheme="majorHAnsi" w:cstheme="majorHAnsi"/>
                <w:sz w:val="20"/>
                <w:szCs w:val="20"/>
              </w:rPr>
              <w:t xml:space="preserve"> </w:t>
            </w:r>
            <w:r w:rsidRPr="001964EF">
              <w:rPr>
                <w:rFonts w:asciiTheme="majorHAnsi" w:hAnsiTheme="majorHAnsi" w:cstheme="majorHAnsi"/>
                <w:color w:val="000000"/>
                <w:sz w:val="20"/>
                <w:szCs w:val="20"/>
              </w:rPr>
              <w:t>Students are asked to engage in at least 10 hours of service learning during the semester. Each guest presenter will be asked to speak about potential service opportunities at their organization. The organizations were chosen because of their high-quality service-learning opportunities and because those opportunities can often be found in multiple cities throughout Texas.</w:t>
            </w:r>
          </w:p>
          <w:p w:rsidR="000E36E0" w:rsidRPr="001964EF" w:rsidRDefault="000E36E0" w:rsidP="00B861A8">
            <w:pPr>
              <w:rPr>
                <w:rFonts w:asciiTheme="majorHAnsi" w:hAnsiTheme="majorHAnsi" w:cstheme="majorHAnsi"/>
                <w:color w:val="000000"/>
                <w:sz w:val="20"/>
                <w:szCs w:val="20"/>
              </w:rPr>
            </w:pPr>
          </w:p>
          <w:p w:rsidR="000E36E0" w:rsidRPr="001964EF" w:rsidRDefault="000E36E0" w:rsidP="00B861A8">
            <w:pPr>
              <w:rPr>
                <w:rFonts w:asciiTheme="majorHAnsi" w:hAnsiTheme="majorHAnsi" w:cstheme="majorHAnsi"/>
                <w:color w:val="000000"/>
                <w:sz w:val="20"/>
                <w:szCs w:val="20"/>
              </w:rPr>
            </w:pPr>
            <w:r w:rsidRPr="001964EF">
              <w:rPr>
                <w:rFonts w:asciiTheme="majorHAnsi" w:hAnsiTheme="majorHAnsi" w:cstheme="majorHAnsi"/>
                <w:sz w:val="20"/>
                <w:szCs w:val="20"/>
              </w:rPr>
              <w:t>Final Report</w:t>
            </w:r>
            <w:r w:rsidRPr="001964EF">
              <w:rPr>
                <w:rFonts w:asciiTheme="majorHAnsi" w:hAnsiTheme="majorHAnsi" w:cstheme="majorHAnsi"/>
                <w:color w:val="000000"/>
                <w:sz w:val="20"/>
                <w:szCs w:val="20"/>
              </w:rPr>
              <w:t>: Students will complete a final report reflecting on the role of service learning on enhancing self-awareness while working with diverse communities.</w:t>
            </w:r>
          </w:p>
        </w:tc>
      </w:tr>
      <w:tr w:rsidR="000E36E0" w:rsidRPr="001964EF" w:rsidTr="00B861A8">
        <w:trPr>
          <w:cantSplit/>
          <w:trHeight w:val="710"/>
        </w:trPr>
        <w:tc>
          <w:tcPr>
            <w:tcW w:w="1446" w:type="pct"/>
            <w:shd w:val="clear" w:color="auto" w:fill="auto"/>
            <w:tcMar>
              <w:left w:w="29" w:type="dxa"/>
              <w:right w:w="29" w:type="dxa"/>
            </w:tcMar>
            <w:hideMark/>
          </w:tcPr>
          <w:p w:rsidR="000E36E0" w:rsidRPr="001964EF" w:rsidRDefault="000E36E0" w:rsidP="00B861A8">
            <w:pPr>
              <w:rPr>
                <w:rFonts w:asciiTheme="majorHAnsi" w:hAnsiTheme="majorHAnsi" w:cstheme="majorHAnsi"/>
                <w:color w:val="000000"/>
                <w:sz w:val="20"/>
                <w:szCs w:val="20"/>
              </w:rPr>
            </w:pPr>
            <w:r w:rsidRPr="001964EF">
              <w:rPr>
                <w:rFonts w:asciiTheme="majorHAnsi" w:hAnsiTheme="majorHAnsi" w:cstheme="majorHAnsi"/>
                <w:color w:val="000000"/>
                <w:sz w:val="20"/>
                <w:szCs w:val="20"/>
              </w:rPr>
              <w:t>MPH-C4. Examine the role of leadership in public health practice.</w:t>
            </w:r>
          </w:p>
        </w:tc>
        <w:tc>
          <w:tcPr>
            <w:tcW w:w="1290" w:type="pct"/>
            <w:shd w:val="clear" w:color="auto" w:fill="auto"/>
            <w:tcMar>
              <w:left w:w="29" w:type="dxa"/>
              <w:right w:w="29" w:type="dxa"/>
            </w:tcMar>
            <w:hideMark/>
          </w:tcPr>
          <w:p w:rsidR="000E36E0" w:rsidRPr="001964EF" w:rsidRDefault="000E36E0" w:rsidP="00FC4AEF">
            <w:pPr>
              <w:rPr>
                <w:rFonts w:asciiTheme="majorHAnsi" w:hAnsiTheme="majorHAnsi" w:cstheme="majorHAnsi"/>
                <w:color w:val="000000"/>
                <w:sz w:val="20"/>
                <w:szCs w:val="20"/>
              </w:rPr>
            </w:pPr>
            <w:r w:rsidRPr="001964EF">
              <w:rPr>
                <w:rFonts w:asciiTheme="majorHAnsi" w:hAnsiTheme="majorHAnsi" w:cstheme="majorHAnsi"/>
                <w:b/>
                <w:sz w:val="20"/>
                <w:szCs w:val="20"/>
              </w:rPr>
              <w:t>PHM 3620</w:t>
            </w:r>
            <w:r w:rsidRPr="001964EF">
              <w:rPr>
                <w:rFonts w:asciiTheme="majorHAnsi" w:hAnsiTheme="majorHAnsi" w:cstheme="majorHAnsi"/>
                <w:sz w:val="20"/>
                <w:szCs w:val="20"/>
              </w:rPr>
              <w:t xml:space="preserve"> Principles and Practice of Public Health</w:t>
            </w:r>
          </w:p>
        </w:tc>
        <w:tc>
          <w:tcPr>
            <w:tcW w:w="2264" w:type="pct"/>
            <w:shd w:val="clear" w:color="auto" w:fill="auto"/>
            <w:tcMar>
              <w:left w:w="29" w:type="dxa"/>
              <w:right w:w="29" w:type="dxa"/>
            </w:tcMar>
            <w:hideMark/>
          </w:tcPr>
          <w:p w:rsidR="000E36E0" w:rsidRPr="001964EF" w:rsidRDefault="000E36E0" w:rsidP="00B861A8">
            <w:pPr>
              <w:rPr>
                <w:rFonts w:asciiTheme="majorHAnsi" w:hAnsiTheme="majorHAnsi" w:cstheme="majorHAnsi"/>
                <w:color w:val="000000"/>
                <w:sz w:val="20"/>
                <w:szCs w:val="20"/>
              </w:rPr>
            </w:pPr>
            <w:r w:rsidRPr="001964EF">
              <w:rPr>
                <w:rFonts w:asciiTheme="majorHAnsi" w:hAnsiTheme="majorHAnsi" w:cstheme="majorHAnsi"/>
                <w:sz w:val="20"/>
                <w:szCs w:val="20"/>
              </w:rPr>
              <w:t>Midterm Exam</w:t>
            </w:r>
            <w:r w:rsidR="00AF296D" w:rsidRPr="001964EF">
              <w:rPr>
                <w:rFonts w:asciiTheme="majorHAnsi" w:hAnsiTheme="majorHAnsi" w:cstheme="majorHAnsi"/>
                <w:color w:val="000000"/>
                <w:sz w:val="20"/>
                <w:szCs w:val="20"/>
              </w:rPr>
              <w:t>:</w:t>
            </w:r>
            <w:r w:rsidRPr="001964EF">
              <w:rPr>
                <w:rFonts w:asciiTheme="majorHAnsi" w:hAnsiTheme="majorHAnsi" w:cstheme="majorHAnsi"/>
                <w:color w:val="000000"/>
                <w:sz w:val="20"/>
                <w:szCs w:val="20"/>
              </w:rPr>
              <w:t xml:space="preserve"> Essay exam on midterm asking "How does public health leadership differ from leadership of a business?"</w:t>
            </w:r>
          </w:p>
        </w:tc>
      </w:tr>
      <w:tr w:rsidR="000E36E0" w:rsidRPr="001964EF" w:rsidTr="00B861A8">
        <w:trPr>
          <w:cantSplit/>
          <w:trHeight w:val="1052"/>
        </w:trPr>
        <w:tc>
          <w:tcPr>
            <w:tcW w:w="1446" w:type="pct"/>
            <w:shd w:val="clear" w:color="auto" w:fill="auto"/>
            <w:tcMar>
              <w:left w:w="29" w:type="dxa"/>
              <w:right w:w="29" w:type="dxa"/>
            </w:tcMar>
            <w:hideMark/>
          </w:tcPr>
          <w:p w:rsidR="000E36E0" w:rsidRPr="001964EF" w:rsidRDefault="000E36E0" w:rsidP="00B861A8">
            <w:pPr>
              <w:rPr>
                <w:rFonts w:asciiTheme="majorHAnsi" w:hAnsiTheme="majorHAnsi" w:cstheme="majorHAnsi"/>
                <w:color w:val="000000"/>
                <w:sz w:val="20"/>
                <w:szCs w:val="20"/>
              </w:rPr>
            </w:pPr>
            <w:r w:rsidRPr="001964EF">
              <w:rPr>
                <w:rFonts w:asciiTheme="majorHAnsi" w:hAnsiTheme="majorHAnsi" w:cstheme="majorHAnsi"/>
                <w:color w:val="000000"/>
                <w:sz w:val="20"/>
                <w:szCs w:val="20"/>
              </w:rPr>
              <w:t>MPH-C5. Describe the mechanisms and pathways through which economic or social determinants affect health and how these determinants are measured at individual or societal levels.</w:t>
            </w:r>
          </w:p>
        </w:tc>
        <w:tc>
          <w:tcPr>
            <w:tcW w:w="1290" w:type="pct"/>
            <w:shd w:val="clear" w:color="auto" w:fill="auto"/>
            <w:tcMar>
              <w:left w:w="29" w:type="dxa"/>
              <w:right w:w="29" w:type="dxa"/>
            </w:tcMar>
          </w:tcPr>
          <w:p w:rsidR="000E36E0" w:rsidRPr="001964EF" w:rsidRDefault="000E36E0" w:rsidP="00FC4AEF">
            <w:pPr>
              <w:rPr>
                <w:rFonts w:asciiTheme="majorHAnsi" w:hAnsiTheme="majorHAnsi" w:cstheme="majorHAnsi"/>
                <w:color w:val="000000"/>
                <w:sz w:val="20"/>
                <w:szCs w:val="20"/>
              </w:rPr>
            </w:pPr>
            <w:r w:rsidRPr="001964EF">
              <w:rPr>
                <w:rFonts w:asciiTheme="majorHAnsi" w:hAnsiTheme="majorHAnsi" w:cstheme="majorHAnsi"/>
                <w:b/>
                <w:sz w:val="20"/>
                <w:szCs w:val="20"/>
              </w:rPr>
              <w:t>PHM 3922</w:t>
            </w:r>
            <w:r w:rsidRPr="001964EF">
              <w:rPr>
                <w:rFonts w:asciiTheme="majorHAnsi" w:hAnsiTheme="majorHAnsi" w:cstheme="majorHAnsi"/>
                <w:sz w:val="20"/>
                <w:szCs w:val="20"/>
              </w:rPr>
              <w:t xml:space="preserve"> Economic and Social Determinants of Health</w:t>
            </w:r>
            <w:r w:rsidRPr="001964EF">
              <w:rPr>
                <w:rFonts w:asciiTheme="majorHAnsi" w:hAnsiTheme="majorHAnsi" w:cstheme="majorHAnsi"/>
                <w:color w:val="000000"/>
                <w:sz w:val="20"/>
                <w:szCs w:val="20"/>
              </w:rPr>
              <w:t xml:space="preserve"> </w:t>
            </w:r>
          </w:p>
        </w:tc>
        <w:tc>
          <w:tcPr>
            <w:tcW w:w="2264" w:type="pct"/>
            <w:shd w:val="clear" w:color="auto" w:fill="auto"/>
            <w:tcMar>
              <w:left w:w="29" w:type="dxa"/>
              <w:right w:w="29" w:type="dxa"/>
            </w:tcMar>
          </w:tcPr>
          <w:p w:rsidR="000E36E0" w:rsidRPr="001964EF" w:rsidRDefault="000E36E0" w:rsidP="00B861A8">
            <w:pPr>
              <w:pStyle w:val="NormalWeb"/>
              <w:shd w:val="clear" w:color="auto" w:fill="FFFFFF"/>
              <w:spacing w:before="0" w:beforeAutospacing="0" w:after="0" w:afterAutospacing="0"/>
              <w:rPr>
                <w:rFonts w:asciiTheme="majorHAnsi" w:eastAsia="Calibri" w:hAnsiTheme="majorHAnsi" w:cstheme="majorHAnsi"/>
                <w:color w:val="000000"/>
                <w:sz w:val="20"/>
                <w:szCs w:val="20"/>
              </w:rPr>
            </w:pPr>
            <w:r w:rsidRPr="001964EF">
              <w:rPr>
                <w:rFonts w:asciiTheme="majorHAnsi" w:eastAsia="Calibri" w:hAnsiTheme="majorHAnsi" w:cstheme="majorHAnsi"/>
                <w:sz w:val="20"/>
                <w:szCs w:val="20"/>
              </w:rPr>
              <w:t>Term Paper</w:t>
            </w:r>
            <w:r w:rsidR="008D6A35" w:rsidRPr="001964EF">
              <w:rPr>
                <w:rFonts w:asciiTheme="majorHAnsi" w:eastAsia="Calibri" w:hAnsiTheme="majorHAnsi" w:cstheme="majorHAnsi"/>
                <w:color w:val="000000"/>
                <w:sz w:val="20"/>
                <w:szCs w:val="20"/>
              </w:rPr>
              <w:t>:</w:t>
            </w:r>
            <w:r w:rsidRPr="001964EF">
              <w:rPr>
                <w:rFonts w:asciiTheme="majorHAnsi" w:eastAsia="Calibri" w:hAnsiTheme="majorHAnsi" w:cstheme="majorHAnsi"/>
                <w:color w:val="000000"/>
                <w:sz w:val="20"/>
                <w:szCs w:val="20"/>
              </w:rPr>
              <w:t xml:space="preserve"> Students completes a term paper that does the following:</w:t>
            </w:r>
          </w:p>
          <w:p w:rsidR="000E36E0" w:rsidRPr="001964EF" w:rsidRDefault="000E36E0" w:rsidP="00B861A8">
            <w:pPr>
              <w:pStyle w:val="NormalWeb"/>
              <w:shd w:val="clear" w:color="auto" w:fill="FFFFFF"/>
              <w:spacing w:before="0" w:beforeAutospacing="0" w:after="0" w:afterAutospacing="0"/>
              <w:rPr>
                <w:rFonts w:asciiTheme="majorHAnsi" w:eastAsia="Calibri" w:hAnsiTheme="majorHAnsi" w:cstheme="majorHAnsi"/>
                <w:color w:val="000000"/>
                <w:sz w:val="20"/>
                <w:szCs w:val="20"/>
              </w:rPr>
            </w:pPr>
            <w:r w:rsidRPr="001964EF">
              <w:rPr>
                <w:rFonts w:asciiTheme="majorHAnsi" w:eastAsia="Calibri" w:hAnsiTheme="majorHAnsi" w:cstheme="majorHAnsi"/>
                <w:color w:val="000000"/>
                <w:sz w:val="20"/>
                <w:szCs w:val="20"/>
              </w:rPr>
              <w:t>1. Choose one of the following. State your choice in the paper and state the public health significance of your choice:</w:t>
            </w:r>
          </w:p>
          <w:p w:rsidR="000E36E0" w:rsidRPr="001964EF" w:rsidRDefault="000E36E0" w:rsidP="00B861A8">
            <w:pPr>
              <w:pStyle w:val="NormalWeb"/>
              <w:numPr>
                <w:ilvl w:val="0"/>
                <w:numId w:val="164"/>
              </w:numPr>
              <w:shd w:val="clear" w:color="auto" w:fill="FFFFFF"/>
              <w:spacing w:before="0" w:beforeAutospacing="0" w:after="0" w:afterAutospacing="0"/>
              <w:rPr>
                <w:rFonts w:asciiTheme="majorHAnsi" w:eastAsia="Calibri" w:hAnsiTheme="majorHAnsi" w:cstheme="majorHAnsi"/>
                <w:color w:val="000000"/>
                <w:sz w:val="20"/>
                <w:szCs w:val="20"/>
              </w:rPr>
            </w:pPr>
            <w:r w:rsidRPr="001964EF">
              <w:rPr>
                <w:rFonts w:asciiTheme="majorHAnsi" w:eastAsia="Calibri" w:hAnsiTheme="majorHAnsi" w:cstheme="majorHAnsi"/>
                <w:color w:val="000000"/>
                <w:sz w:val="20"/>
                <w:szCs w:val="20"/>
              </w:rPr>
              <w:t xml:space="preserve">A: an economic or social determinant of health (examples: education, income, employment, status/social class, race/ethnicity, gender, social network, neighborhoods) </w:t>
            </w:r>
          </w:p>
          <w:p w:rsidR="000E36E0" w:rsidRPr="001964EF" w:rsidRDefault="000E36E0" w:rsidP="00B861A8">
            <w:pPr>
              <w:pStyle w:val="NormalWeb"/>
              <w:numPr>
                <w:ilvl w:val="0"/>
                <w:numId w:val="164"/>
              </w:numPr>
              <w:shd w:val="clear" w:color="auto" w:fill="FFFFFF"/>
              <w:spacing w:before="0" w:beforeAutospacing="0" w:after="0" w:afterAutospacing="0"/>
              <w:rPr>
                <w:rFonts w:asciiTheme="majorHAnsi" w:eastAsia="Calibri" w:hAnsiTheme="majorHAnsi" w:cstheme="majorHAnsi"/>
                <w:color w:val="000000"/>
                <w:sz w:val="20"/>
                <w:szCs w:val="20"/>
              </w:rPr>
            </w:pPr>
            <w:r w:rsidRPr="001964EF">
              <w:rPr>
                <w:rFonts w:asciiTheme="majorHAnsi" w:eastAsia="Calibri" w:hAnsiTheme="majorHAnsi" w:cstheme="majorHAnsi"/>
                <w:color w:val="000000"/>
                <w:sz w:val="20"/>
                <w:szCs w:val="20"/>
              </w:rPr>
              <w:t>B: a health outcome or behavior that is affected by economic and social determinants (examples: AIDS, cancer screening, obesity)</w:t>
            </w:r>
          </w:p>
          <w:p w:rsidR="000E36E0" w:rsidRPr="001964EF" w:rsidRDefault="000E36E0" w:rsidP="00B861A8">
            <w:pPr>
              <w:pStyle w:val="NormalWeb"/>
              <w:numPr>
                <w:ilvl w:val="0"/>
                <w:numId w:val="164"/>
              </w:numPr>
              <w:shd w:val="clear" w:color="auto" w:fill="FFFFFF"/>
              <w:spacing w:before="0" w:beforeAutospacing="0" w:after="0" w:afterAutospacing="0"/>
              <w:rPr>
                <w:rFonts w:asciiTheme="majorHAnsi" w:eastAsia="Calibri" w:hAnsiTheme="majorHAnsi" w:cstheme="majorHAnsi"/>
                <w:color w:val="000000"/>
                <w:sz w:val="20"/>
                <w:szCs w:val="20"/>
              </w:rPr>
            </w:pPr>
            <w:r w:rsidRPr="001964EF">
              <w:rPr>
                <w:rFonts w:asciiTheme="majorHAnsi" w:eastAsia="Calibri" w:hAnsiTheme="majorHAnsi" w:cstheme="majorHAnsi"/>
                <w:color w:val="000000"/>
                <w:sz w:val="20"/>
                <w:szCs w:val="20"/>
              </w:rPr>
              <w:t xml:space="preserve">C. a pathway through which social and economic determinants affect health (examples: child abuse, exposure to lead)  </w:t>
            </w:r>
          </w:p>
          <w:p w:rsidR="000E36E0" w:rsidRPr="001964EF" w:rsidRDefault="000E36E0" w:rsidP="00B861A8">
            <w:pPr>
              <w:pStyle w:val="NormalWeb"/>
              <w:shd w:val="clear" w:color="auto" w:fill="FFFFFF"/>
              <w:spacing w:before="0" w:beforeAutospacing="0" w:after="0" w:afterAutospacing="0"/>
              <w:rPr>
                <w:rFonts w:asciiTheme="majorHAnsi" w:eastAsia="Calibri" w:hAnsiTheme="majorHAnsi" w:cstheme="majorHAnsi"/>
                <w:color w:val="000000"/>
                <w:sz w:val="20"/>
                <w:szCs w:val="20"/>
              </w:rPr>
            </w:pPr>
            <w:r w:rsidRPr="001964EF">
              <w:rPr>
                <w:rFonts w:asciiTheme="majorHAnsi" w:eastAsia="Calibri" w:hAnsiTheme="majorHAnsi" w:cstheme="majorHAnsi"/>
                <w:color w:val="000000"/>
                <w:sz w:val="20"/>
                <w:szCs w:val="20"/>
              </w:rPr>
              <w:t>2. Define how the determinant/health outcome/pathway is measured at the individual level and/or the social level.</w:t>
            </w:r>
          </w:p>
          <w:p w:rsidR="000E36E0" w:rsidRPr="001964EF" w:rsidRDefault="000E36E0" w:rsidP="00B861A8">
            <w:pPr>
              <w:pStyle w:val="NormalWeb"/>
              <w:shd w:val="clear" w:color="auto" w:fill="FFFFFF"/>
              <w:spacing w:before="0" w:beforeAutospacing="0" w:after="0" w:afterAutospacing="0"/>
              <w:rPr>
                <w:rFonts w:asciiTheme="majorHAnsi" w:eastAsia="Calibri" w:hAnsiTheme="majorHAnsi" w:cstheme="majorHAnsi"/>
                <w:color w:val="000000"/>
                <w:sz w:val="20"/>
                <w:szCs w:val="20"/>
              </w:rPr>
            </w:pPr>
            <w:r w:rsidRPr="001964EF">
              <w:rPr>
                <w:rFonts w:asciiTheme="majorHAnsi" w:eastAsia="Calibri" w:hAnsiTheme="majorHAnsi" w:cstheme="majorHAnsi"/>
                <w:color w:val="000000"/>
                <w:sz w:val="20"/>
                <w:szCs w:val="20"/>
              </w:rPr>
              <w:t>3</w:t>
            </w:r>
            <w:r w:rsidR="00154923">
              <w:rPr>
                <w:rFonts w:asciiTheme="majorHAnsi" w:eastAsia="Calibri" w:hAnsiTheme="majorHAnsi" w:cstheme="majorHAnsi"/>
                <w:color w:val="000000"/>
                <w:sz w:val="20"/>
                <w:szCs w:val="20"/>
              </w:rPr>
              <w:t>.</w:t>
            </w:r>
            <w:r w:rsidRPr="001964EF">
              <w:rPr>
                <w:rFonts w:asciiTheme="majorHAnsi" w:eastAsia="Calibri" w:hAnsiTheme="majorHAnsi" w:cstheme="majorHAnsi"/>
                <w:color w:val="000000"/>
                <w:sz w:val="20"/>
                <w:szCs w:val="20"/>
              </w:rPr>
              <w:t xml:space="preserve"> Critically discuss how the relevant economic and social determinants operate at the individual and/or social level and critically evaluate the evidence for the impact of economic and social determinants at the individual level and/or the social level. </w:t>
            </w:r>
          </w:p>
          <w:p w:rsidR="000E36E0" w:rsidRPr="001964EF" w:rsidRDefault="000E36E0" w:rsidP="00B861A8">
            <w:pPr>
              <w:pStyle w:val="NormalWeb"/>
              <w:shd w:val="clear" w:color="auto" w:fill="FFFFFF"/>
              <w:spacing w:before="0" w:beforeAutospacing="0" w:after="0" w:afterAutospacing="0"/>
              <w:rPr>
                <w:rFonts w:asciiTheme="majorHAnsi" w:eastAsia="Calibri" w:hAnsiTheme="majorHAnsi" w:cstheme="majorHAnsi"/>
                <w:color w:val="000000"/>
                <w:sz w:val="20"/>
                <w:szCs w:val="20"/>
              </w:rPr>
            </w:pPr>
            <w:r w:rsidRPr="001964EF">
              <w:rPr>
                <w:rFonts w:asciiTheme="majorHAnsi" w:eastAsia="Calibri" w:hAnsiTheme="majorHAnsi" w:cstheme="majorHAnsi"/>
                <w:color w:val="000000"/>
                <w:sz w:val="20"/>
                <w:szCs w:val="20"/>
              </w:rPr>
              <w:t xml:space="preserve">4. Evaluate the performance of policies or organizations that address this health determinant/health outcome/pathway. </w:t>
            </w:r>
          </w:p>
          <w:p w:rsidR="000E36E0" w:rsidRPr="001964EF" w:rsidRDefault="000E36E0" w:rsidP="00B861A8">
            <w:pPr>
              <w:rPr>
                <w:rFonts w:asciiTheme="majorHAnsi" w:hAnsiTheme="majorHAnsi" w:cstheme="majorHAnsi"/>
                <w:sz w:val="20"/>
                <w:szCs w:val="20"/>
              </w:rPr>
            </w:pPr>
            <w:r w:rsidRPr="001964EF">
              <w:rPr>
                <w:rFonts w:asciiTheme="majorHAnsi" w:eastAsia="Calibri" w:hAnsiTheme="majorHAnsi" w:cstheme="majorHAnsi"/>
                <w:color w:val="000000"/>
                <w:sz w:val="20"/>
                <w:szCs w:val="20"/>
              </w:rPr>
              <w:t>5. Develop and propose your own approach or plan to address this health issue.</w:t>
            </w:r>
          </w:p>
        </w:tc>
      </w:tr>
    </w:tbl>
    <w:p w:rsidR="000E36E0" w:rsidRPr="00743A41" w:rsidRDefault="000E36E0" w:rsidP="000E36E0">
      <w:pPr>
        <w:jc w:val="both"/>
        <w:rPr>
          <w:rFonts w:asciiTheme="majorHAnsi" w:hAnsiTheme="majorHAnsi" w:cstheme="majorHAnsi"/>
          <w:sz w:val="20"/>
          <w:szCs w:val="20"/>
        </w:rPr>
      </w:pPr>
    </w:p>
    <w:p w:rsidR="00933038" w:rsidRPr="00740AE3" w:rsidRDefault="002C0707" w:rsidP="006E28EE">
      <w:pPr>
        <w:ind w:left="720"/>
        <w:rPr>
          <w:rStyle w:val="Hyperlink"/>
          <w:rFonts w:asciiTheme="majorHAnsi" w:hAnsiTheme="majorHAnsi" w:cstheme="majorHAnsi"/>
          <w:color w:val="auto"/>
          <w:sz w:val="20"/>
          <w:szCs w:val="20"/>
        </w:rPr>
      </w:pPr>
      <w:r w:rsidRPr="00740AE3">
        <w:rPr>
          <w:rFonts w:asciiTheme="majorHAnsi" w:hAnsiTheme="majorHAnsi" w:cstheme="majorHAnsi"/>
          <w:sz w:val="20"/>
          <w:szCs w:val="20"/>
        </w:rPr>
        <w:t>Table D.4.1.</w:t>
      </w:r>
      <w:r w:rsidR="00C84B9F" w:rsidRPr="00740AE3">
        <w:rPr>
          <w:rFonts w:asciiTheme="majorHAnsi" w:hAnsiTheme="majorHAnsi" w:cstheme="majorHAnsi"/>
          <w:sz w:val="20"/>
          <w:szCs w:val="20"/>
        </w:rPr>
        <w:t>b</w:t>
      </w:r>
      <w:r w:rsidRPr="00740AE3">
        <w:rPr>
          <w:rFonts w:asciiTheme="majorHAnsi" w:hAnsiTheme="majorHAnsi" w:cstheme="majorHAnsi"/>
          <w:sz w:val="20"/>
          <w:szCs w:val="20"/>
        </w:rPr>
        <w:t>. Assessment of Competencies for MPH in Environmental Health</w:t>
      </w:r>
      <w:r w:rsidR="00B1134B" w:rsidRPr="00740AE3">
        <w:rPr>
          <w:rStyle w:val="Hyperlink"/>
          <w:rFonts w:asciiTheme="majorHAnsi" w:hAnsiTheme="majorHAnsi" w:cstheme="majorHAnsi"/>
          <w:sz w:val="20"/>
          <w:szCs w:val="20"/>
          <w:u w:val="none"/>
        </w:rPr>
        <w:t xml:space="preserve"> </w:t>
      </w:r>
      <w:r w:rsidR="00B1134B" w:rsidRPr="00740AE3">
        <w:rPr>
          <w:rStyle w:val="Hyperlink"/>
          <w:rFonts w:asciiTheme="majorHAnsi" w:hAnsiTheme="majorHAnsi" w:cstheme="majorHAnsi"/>
          <w:color w:val="auto"/>
          <w:sz w:val="20"/>
          <w:szCs w:val="20"/>
          <w:u w:val="none"/>
        </w:rPr>
        <w:t>(</w:t>
      </w:r>
      <w:r w:rsidRPr="00740AE3">
        <w:rPr>
          <w:rFonts w:asciiTheme="majorHAnsi" w:hAnsiTheme="majorHAnsi" w:cstheme="majorHAnsi"/>
          <w:i/>
          <w:sz w:val="20"/>
          <w:szCs w:val="20"/>
        </w:rPr>
        <w:t>ERF</w:t>
      </w:r>
      <w:r w:rsidR="006C2A42" w:rsidRPr="00740AE3">
        <w:rPr>
          <w:rFonts w:asciiTheme="majorHAnsi" w:hAnsiTheme="majorHAnsi" w:cstheme="majorHAnsi"/>
          <w:i/>
          <w:sz w:val="20"/>
          <w:szCs w:val="20"/>
        </w:rPr>
        <w:t>,</w:t>
      </w:r>
      <w:r w:rsidRPr="00740AE3">
        <w:rPr>
          <w:rFonts w:asciiTheme="majorHAnsi" w:hAnsiTheme="majorHAnsi" w:cstheme="majorHAnsi"/>
          <w:i/>
          <w:sz w:val="20"/>
          <w:szCs w:val="20"/>
        </w:rPr>
        <w:t xml:space="preserve"> </w:t>
      </w:r>
      <w:r w:rsidR="006C2A42" w:rsidRPr="00740AE3">
        <w:rPr>
          <w:rFonts w:asciiTheme="majorHAnsi" w:hAnsiTheme="majorHAnsi" w:cstheme="majorHAnsi"/>
          <w:i/>
          <w:sz w:val="20"/>
          <w:szCs w:val="20"/>
        </w:rPr>
        <w:t>D4.3. MPH in Environmental Health</w:t>
      </w:r>
      <w:r w:rsidR="006C2A42" w:rsidRPr="00740AE3">
        <w:rPr>
          <w:rFonts w:asciiTheme="majorHAnsi" w:hAnsiTheme="majorHAnsi" w:cstheme="majorHAnsi"/>
          <w:sz w:val="20"/>
          <w:szCs w:val="20"/>
        </w:rPr>
        <w:t>)</w:t>
      </w:r>
    </w:p>
    <w:tbl>
      <w:tblPr>
        <w:tblW w:w="4607"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430"/>
        <w:gridCol w:w="4115"/>
      </w:tblGrid>
      <w:tr w:rsidR="00CB5EB1" w:rsidRPr="008E27E6" w:rsidTr="009A299C">
        <w:trPr>
          <w:cantSplit/>
          <w:trHeight w:val="525"/>
          <w:tblHeader/>
        </w:trPr>
        <w:tc>
          <w:tcPr>
            <w:tcW w:w="2070" w:type="dxa"/>
            <w:shd w:val="clear" w:color="000000" w:fill="D9D9D9"/>
            <w:tcMar>
              <w:left w:w="29" w:type="dxa"/>
              <w:right w:w="29" w:type="dxa"/>
            </w:tcMar>
            <w:hideMark/>
          </w:tcPr>
          <w:p w:rsidR="00CB5EB1" w:rsidRPr="008E27E6" w:rsidRDefault="00CB5EB1" w:rsidP="00A37ED6">
            <w:pPr>
              <w:jc w:val="center"/>
              <w:rPr>
                <w:rFonts w:asciiTheme="majorHAnsi" w:eastAsia="Times New Roman" w:hAnsiTheme="majorHAnsi" w:cstheme="majorHAnsi"/>
                <w:b/>
                <w:bCs/>
                <w:sz w:val="20"/>
                <w:szCs w:val="20"/>
              </w:rPr>
            </w:pPr>
            <w:r w:rsidRPr="008E27E6">
              <w:rPr>
                <w:rFonts w:asciiTheme="majorHAnsi" w:eastAsia="Times New Roman" w:hAnsiTheme="majorHAnsi" w:cstheme="majorHAnsi"/>
                <w:b/>
                <w:bCs/>
                <w:sz w:val="20"/>
                <w:szCs w:val="20"/>
              </w:rPr>
              <w:t>Competency</w:t>
            </w:r>
          </w:p>
        </w:tc>
        <w:tc>
          <w:tcPr>
            <w:tcW w:w="2430" w:type="dxa"/>
            <w:shd w:val="clear" w:color="000000" w:fill="D9D9D9"/>
            <w:tcMar>
              <w:left w:w="29" w:type="dxa"/>
              <w:right w:w="29" w:type="dxa"/>
            </w:tcMar>
            <w:hideMark/>
          </w:tcPr>
          <w:p w:rsidR="00CB5EB1" w:rsidRPr="008E27E6" w:rsidRDefault="00CB5EB1" w:rsidP="00A37ED6">
            <w:pPr>
              <w:jc w:val="center"/>
              <w:rPr>
                <w:rFonts w:asciiTheme="majorHAnsi" w:eastAsia="Times New Roman" w:hAnsiTheme="majorHAnsi" w:cstheme="majorHAnsi"/>
                <w:b/>
                <w:bCs/>
                <w:sz w:val="20"/>
                <w:szCs w:val="20"/>
              </w:rPr>
            </w:pPr>
            <w:r w:rsidRPr="008E27E6">
              <w:rPr>
                <w:rFonts w:asciiTheme="majorHAnsi" w:eastAsia="Times New Roman" w:hAnsiTheme="majorHAnsi" w:cstheme="majorHAnsi"/>
                <w:b/>
                <w:bCs/>
                <w:sz w:val="20"/>
                <w:szCs w:val="20"/>
              </w:rPr>
              <w:t>Course number(s) and name(s)</w:t>
            </w:r>
          </w:p>
        </w:tc>
        <w:tc>
          <w:tcPr>
            <w:tcW w:w="4115" w:type="dxa"/>
            <w:shd w:val="clear" w:color="000000" w:fill="D9D9D9"/>
            <w:tcMar>
              <w:left w:w="29" w:type="dxa"/>
              <w:right w:w="29" w:type="dxa"/>
            </w:tcMar>
            <w:hideMark/>
          </w:tcPr>
          <w:p w:rsidR="00CB5EB1" w:rsidRPr="008E27E6" w:rsidRDefault="00CB5EB1" w:rsidP="00A37ED6">
            <w:pPr>
              <w:jc w:val="center"/>
              <w:rPr>
                <w:rFonts w:asciiTheme="majorHAnsi" w:eastAsia="Times New Roman" w:hAnsiTheme="majorHAnsi" w:cstheme="majorHAnsi"/>
                <w:b/>
                <w:bCs/>
                <w:sz w:val="20"/>
                <w:szCs w:val="20"/>
              </w:rPr>
            </w:pPr>
            <w:r w:rsidRPr="008E27E6">
              <w:rPr>
                <w:rFonts w:asciiTheme="majorHAnsi" w:eastAsia="Times New Roman" w:hAnsiTheme="majorHAnsi" w:cstheme="majorHAnsi"/>
                <w:b/>
                <w:bCs/>
                <w:sz w:val="20"/>
                <w:szCs w:val="20"/>
              </w:rPr>
              <w:t>Specific assignment(s) that allow assessment</w:t>
            </w:r>
          </w:p>
        </w:tc>
      </w:tr>
      <w:tr w:rsidR="00CB5EB1" w:rsidRPr="008E27E6" w:rsidTr="009A299C">
        <w:trPr>
          <w:cantSplit/>
          <w:trHeight w:val="300"/>
        </w:trPr>
        <w:tc>
          <w:tcPr>
            <w:tcW w:w="2070" w:type="dxa"/>
            <w:shd w:val="clear" w:color="auto" w:fill="auto"/>
            <w:tcMar>
              <w:left w:w="29" w:type="dxa"/>
              <w:right w:w="29" w:type="dxa"/>
            </w:tcMar>
          </w:tcPr>
          <w:p w:rsidR="00CB5EB1" w:rsidRPr="008E27E6" w:rsidRDefault="00CB5EB1" w:rsidP="00A37ED6">
            <w:pPr>
              <w:rPr>
                <w:rFonts w:asciiTheme="majorHAnsi" w:hAnsiTheme="majorHAnsi" w:cstheme="majorHAnsi"/>
                <w:sz w:val="20"/>
                <w:szCs w:val="20"/>
              </w:rPr>
            </w:pPr>
            <w:r w:rsidRPr="008E27E6">
              <w:rPr>
                <w:rFonts w:asciiTheme="majorHAnsi" w:hAnsiTheme="majorHAnsi" w:cstheme="majorHAnsi"/>
                <w:sz w:val="20"/>
                <w:szCs w:val="20"/>
              </w:rPr>
              <w:t>MPH-O1. Conduct a risk characterization of an environmental hazard.</w:t>
            </w:r>
          </w:p>
          <w:p w:rsidR="00CB5EB1" w:rsidRPr="008E27E6" w:rsidRDefault="00CB5EB1" w:rsidP="00A37ED6">
            <w:pPr>
              <w:rPr>
                <w:rFonts w:asciiTheme="majorHAnsi" w:hAnsiTheme="majorHAnsi" w:cstheme="majorHAnsi"/>
                <w:sz w:val="20"/>
                <w:szCs w:val="20"/>
              </w:rPr>
            </w:pPr>
          </w:p>
        </w:tc>
        <w:tc>
          <w:tcPr>
            <w:tcW w:w="2430" w:type="dxa"/>
            <w:shd w:val="clear" w:color="auto" w:fill="FFFFFF" w:themeFill="background1"/>
            <w:tcMar>
              <w:left w:w="29" w:type="dxa"/>
              <w:right w:w="29" w:type="dxa"/>
            </w:tcMar>
            <w:hideMark/>
          </w:tcPr>
          <w:p w:rsidR="00CB5EB1" w:rsidRPr="008E27E6" w:rsidRDefault="00BD45CB" w:rsidP="00FC4AEF">
            <w:pPr>
              <w:rPr>
                <w:rFonts w:asciiTheme="majorHAnsi" w:eastAsia="Times New Roman" w:hAnsiTheme="majorHAnsi" w:cstheme="majorHAnsi"/>
                <w:sz w:val="20"/>
                <w:szCs w:val="20"/>
              </w:rPr>
            </w:pPr>
            <w:r w:rsidRPr="008E27E6">
              <w:rPr>
                <w:rFonts w:asciiTheme="majorHAnsi" w:hAnsiTheme="majorHAnsi" w:cstheme="majorHAnsi"/>
                <w:b/>
                <w:sz w:val="20"/>
                <w:szCs w:val="20"/>
              </w:rPr>
              <w:t>PHWM 2135</w:t>
            </w:r>
            <w:r w:rsidRPr="008E27E6">
              <w:rPr>
                <w:rFonts w:asciiTheme="majorHAnsi" w:hAnsiTheme="majorHAnsi" w:cstheme="majorHAnsi"/>
                <w:sz w:val="20"/>
                <w:szCs w:val="20"/>
              </w:rPr>
              <w:t xml:space="preserve"> Risk Analysis: Principles and Practice</w:t>
            </w:r>
          </w:p>
        </w:tc>
        <w:tc>
          <w:tcPr>
            <w:tcW w:w="4115" w:type="dxa"/>
            <w:shd w:val="clear" w:color="auto" w:fill="FFFFFF" w:themeFill="background1"/>
            <w:tcMar>
              <w:left w:w="29" w:type="dxa"/>
              <w:right w:w="29" w:type="dxa"/>
            </w:tcMar>
          </w:tcPr>
          <w:p w:rsidR="00CB5EB1" w:rsidRPr="008E27E6" w:rsidRDefault="00BD45CB" w:rsidP="00A37ED6">
            <w:pPr>
              <w:rPr>
                <w:rFonts w:asciiTheme="majorHAnsi" w:eastAsia="Times New Roman" w:hAnsiTheme="majorHAnsi" w:cstheme="majorHAnsi"/>
                <w:sz w:val="20"/>
                <w:szCs w:val="20"/>
              </w:rPr>
            </w:pPr>
            <w:r w:rsidRPr="008E27E6">
              <w:rPr>
                <w:rFonts w:asciiTheme="majorHAnsi" w:hAnsiTheme="majorHAnsi" w:cstheme="majorHAnsi"/>
                <w:sz w:val="20"/>
                <w:szCs w:val="20"/>
              </w:rPr>
              <w:t>Midterm Exam, Risk Characterization</w:t>
            </w:r>
            <w:r w:rsidR="00CB5EB1" w:rsidRPr="008E27E6">
              <w:rPr>
                <w:rFonts w:asciiTheme="majorHAnsi" w:eastAsia="Times New Roman" w:hAnsiTheme="majorHAnsi" w:cstheme="majorHAnsi"/>
                <w:sz w:val="20"/>
                <w:szCs w:val="20"/>
              </w:rPr>
              <w:t xml:space="preserve">: Students will conduct a risk characterization of an environmental hazard that critiques different exposure assessment methods, and subsequently informs risk mitigation recommendations to prevent and/or control environmental problems. </w:t>
            </w:r>
          </w:p>
        </w:tc>
      </w:tr>
      <w:tr w:rsidR="00CB5EB1" w:rsidRPr="008E27E6" w:rsidTr="009A299C">
        <w:trPr>
          <w:cantSplit/>
          <w:trHeight w:val="300"/>
        </w:trPr>
        <w:tc>
          <w:tcPr>
            <w:tcW w:w="2070" w:type="dxa"/>
            <w:shd w:val="clear" w:color="auto" w:fill="auto"/>
            <w:tcMar>
              <w:left w:w="29" w:type="dxa"/>
              <w:right w:w="29" w:type="dxa"/>
            </w:tcMar>
          </w:tcPr>
          <w:p w:rsidR="00CB5EB1" w:rsidRPr="008E27E6" w:rsidRDefault="00CB5EB1" w:rsidP="00A37ED6">
            <w:pPr>
              <w:rPr>
                <w:rFonts w:asciiTheme="majorHAnsi" w:hAnsiTheme="majorHAnsi" w:cstheme="majorHAnsi"/>
                <w:sz w:val="20"/>
                <w:szCs w:val="20"/>
              </w:rPr>
            </w:pPr>
            <w:r w:rsidRPr="008E27E6">
              <w:rPr>
                <w:rFonts w:asciiTheme="majorHAnsi" w:hAnsiTheme="majorHAnsi" w:cstheme="majorHAnsi"/>
                <w:sz w:val="20"/>
                <w:szCs w:val="20"/>
              </w:rPr>
              <w:t>MPH-O2. Critically evaluate information and data in the peer-reviewed literature related to environmental health sciences, considering the quality and suitability of literature and data.</w:t>
            </w:r>
          </w:p>
        </w:tc>
        <w:tc>
          <w:tcPr>
            <w:tcW w:w="2430" w:type="dxa"/>
            <w:shd w:val="clear" w:color="auto" w:fill="FFFFFF" w:themeFill="background1"/>
            <w:tcMar>
              <w:left w:w="29" w:type="dxa"/>
              <w:right w:w="29" w:type="dxa"/>
            </w:tcMar>
            <w:hideMark/>
          </w:tcPr>
          <w:p w:rsidR="00CB5EB1" w:rsidRPr="008E27E6" w:rsidRDefault="00BD45CB" w:rsidP="00FC4AEF">
            <w:pPr>
              <w:rPr>
                <w:rFonts w:asciiTheme="majorHAnsi" w:eastAsia="Times New Roman" w:hAnsiTheme="majorHAnsi" w:cstheme="majorHAnsi"/>
                <w:sz w:val="20"/>
                <w:szCs w:val="20"/>
              </w:rPr>
            </w:pPr>
            <w:r w:rsidRPr="008E27E6">
              <w:rPr>
                <w:rFonts w:asciiTheme="majorHAnsi" w:hAnsiTheme="majorHAnsi" w:cstheme="majorHAnsi"/>
                <w:b/>
                <w:sz w:val="20"/>
                <w:szCs w:val="20"/>
              </w:rPr>
              <w:t>PHWM 2175</w:t>
            </w:r>
            <w:r w:rsidRPr="008E27E6">
              <w:rPr>
                <w:rFonts w:asciiTheme="majorHAnsi" w:hAnsiTheme="majorHAnsi" w:cstheme="majorHAnsi"/>
                <w:sz w:val="20"/>
                <w:szCs w:val="20"/>
              </w:rPr>
              <w:t xml:space="preserve"> Toxicology 1: Principles of Toxicology</w:t>
            </w:r>
          </w:p>
        </w:tc>
        <w:tc>
          <w:tcPr>
            <w:tcW w:w="4115" w:type="dxa"/>
            <w:shd w:val="clear" w:color="auto" w:fill="FFFFFF" w:themeFill="background1"/>
            <w:tcMar>
              <w:left w:w="29" w:type="dxa"/>
              <w:right w:w="29" w:type="dxa"/>
            </w:tcMar>
          </w:tcPr>
          <w:p w:rsidR="00CB5EB1" w:rsidRPr="008E27E6" w:rsidRDefault="00BD45CB" w:rsidP="00A37ED6">
            <w:pPr>
              <w:rPr>
                <w:rFonts w:asciiTheme="majorHAnsi" w:eastAsia="Times New Roman" w:hAnsiTheme="majorHAnsi" w:cstheme="majorHAnsi"/>
                <w:sz w:val="20"/>
                <w:szCs w:val="20"/>
              </w:rPr>
            </w:pPr>
            <w:r w:rsidRPr="008E27E6">
              <w:rPr>
                <w:rFonts w:asciiTheme="majorHAnsi" w:hAnsiTheme="majorHAnsi" w:cstheme="majorHAnsi"/>
                <w:sz w:val="20"/>
                <w:szCs w:val="20"/>
              </w:rPr>
              <w:t>Paper Discussions</w:t>
            </w:r>
            <w:r w:rsidR="00CB5EB1" w:rsidRPr="008E27E6">
              <w:rPr>
                <w:rFonts w:asciiTheme="majorHAnsi" w:eastAsia="Times New Roman" w:hAnsiTheme="majorHAnsi" w:cstheme="majorHAnsi"/>
                <w:sz w:val="20"/>
                <w:szCs w:val="20"/>
              </w:rPr>
              <w:t xml:space="preserve">: Students must critically evaluate a toxicology/environmental health journal article and be able to describe the hypothesis, experimental design, basic methods, and results as they are presented. Students are asked to discuss the quality &amp; suitability of the data presented in the journal articles. Students must then formulate an experimental plan as a follow-up to a series of experiments described in a toxicology journal article. </w:t>
            </w:r>
          </w:p>
          <w:p w:rsidR="00CB5EB1" w:rsidRPr="008E27E6" w:rsidRDefault="00CB5EB1" w:rsidP="00A37ED6">
            <w:pPr>
              <w:rPr>
                <w:rFonts w:asciiTheme="majorHAnsi" w:eastAsia="Times New Roman" w:hAnsiTheme="majorHAnsi" w:cstheme="majorHAnsi"/>
                <w:sz w:val="20"/>
                <w:szCs w:val="20"/>
              </w:rPr>
            </w:pPr>
          </w:p>
          <w:p w:rsidR="00CB5EB1" w:rsidRPr="008E27E6" w:rsidRDefault="00BD45CB" w:rsidP="00A37ED6">
            <w:pPr>
              <w:rPr>
                <w:rFonts w:asciiTheme="majorHAnsi" w:eastAsia="Times New Roman" w:hAnsiTheme="majorHAnsi" w:cstheme="majorHAnsi"/>
                <w:sz w:val="20"/>
                <w:szCs w:val="20"/>
              </w:rPr>
            </w:pPr>
            <w:r w:rsidRPr="008E27E6">
              <w:rPr>
                <w:rFonts w:asciiTheme="majorHAnsi" w:hAnsiTheme="majorHAnsi" w:cstheme="majorHAnsi"/>
                <w:sz w:val="20"/>
                <w:szCs w:val="20"/>
              </w:rPr>
              <w:t>Midterm</w:t>
            </w:r>
            <w:r w:rsidR="00CB5EB1" w:rsidRPr="008E27E6">
              <w:rPr>
                <w:rFonts w:asciiTheme="majorHAnsi" w:hAnsiTheme="majorHAnsi" w:cstheme="majorHAnsi"/>
                <w:sz w:val="20"/>
                <w:szCs w:val="20"/>
              </w:rPr>
              <w:t xml:space="preserve"> and </w:t>
            </w:r>
            <w:r w:rsidRPr="008E27E6">
              <w:rPr>
                <w:rFonts w:asciiTheme="majorHAnsi" w:hAnsiTheme="majorHAnsi" w:cstheme="majorHAnsi"/>
                <w:sz w:val="20"/>
                <w:szCs w:val="20"/>
              </w:rPr>
              <w:t>Final Exams</w:t>
            </w:r>
            <w:r w:rsidR="00CB5EB1" w:rsidRPr="008E27E6">
              <w:rPr>
                <w:rFonts w:asciiTheme="majorHAnsi" w:eastAsia="Times New Roman" w:hAnsiTheme="majorHAnsi" w:cstheme="majorHAnsi"/>
                <w:sz w:val="20"/>
                <w:szCs w:val="20"/>
              </w:rPr>
              <w:t xml:space="preserve">: Students complete a midterm and a final exam, in which they must answer questions relevant to the evaluation of toxicology/environmental literature, specifically regarding the quality and suitability of the literature and data presented in the paper upon which the exam questions are directed.  </w:t>
            </w:r>
          </w:p>
        </w:tc>
      </w:tr>
      <w:tr w:rsidR="00CB5EB1" w:rsidRPr="008E27E6" w:rsidTr="009A299C">
        <w:trPr>
          <w:cantSplit/>
          <w:trHeight w:val="300"/>
        </w:trPr>
        <w:tc>
          <w:tcPr>
            <w:tcW w:w="2070" w:type="dxa"/>
            <w:shd w:val="clear" w:color="auto" w:fill="auto"/>
            <w:tcMar>
              <w:left w:w="29" w:type="dxa"/>
              <w:right w:w="29" w:type="dxa"/>
            </w:tcMar>
          </w:tcPr>
          <w:p w:rsidR="00CB5EB1" w:rsidRPr="008E27E6" w:rsidRDefault="00CB5EB1" w:rsidP="00A37ED6">
            <w:pPr>
              <w:rPr>
                <w:rFonts w:asciiTheme="majorHAnsi" w:hAnsiTheme="majorHAnsi" w:cstheme="majorHAnsi"/>
                <w:sz w:val="20"/>
                <w:szCs w:val="20"/>
              </w:rPr>
            </w:pPr>
            <w:r w:rsidRPr="008E27E6">
              <w:rPr>
                <w:rFonts w:asciiTheme="majorHAnsi" w:hAnsiTheme="majorHAnsi" w:cstheme="majorHAnsi"/>
                <w:sz w:val="20"/>
                <w:szCs w:val="20"/>
              </w:rPr>
              <w:t>MPH-O3. Describe regulatory programs, including effectiveness, in the context of legislative authorities that deal with environmental health issues at the local, state, federal, or international levels.</w:t>
            </w:r>
          </w:p>
        </w:tc>
        <w:tc>
          <w:tcPr>
            <w:tcW w:w="2430" w:type="dxa"/>
            <w:shd w:val="clear" w:color="auto" w:fill="FFFFFF" w:themeFill="background1"/>
            <w:tcMar>
              <w:left w:w="29" w:type="dxa"/>
              <w:right w:w="29" w:type="dxa"/>
            </w:tcMar>
            <w:hideMark/>
          </w:tcPr>
          <w:p w:rsidR="00CB5EB1" w:rsidRPr="008E27E6" w:rsidRDefault="00BD45CB" w:rsidP="00FC4AEF">
            <w:pPr>
              <w:rPr>
                <w:rFonts w:asciiTheme="majorHAnsi" w:hAnsiTheme="majorHAnsi" w:cstheme="majorHAnsi"/>
                <w:sz w:val="20"/>
                <w:szCs w:val="20"/>
              </w:rPr>
            </w:pPr>
            <w:r w:rsidRPr="008E27E6">
              <w:rPr>
                <w:rFonts w:asciiTheme="majorHAnsi" w:hAnsiTheme="majorHAnsi" w:cstheme="majorHAnsi"/>
                <w:b/>
                <w:sz w:val="20"/>
                <w:szCs w:val="20"/>
              </w:rPr>
              <w:t>PHWM 2205</w:t>
            </w:r>
            <w:r w:rsidRPr="008E27E6">
              <w:rPr>
                <w:rFonts w:asciiTheme="majorHAnsi" w:hAnsiTheme="majorHAnsi" w:cstheme="majorHAnsi"/>
                <w:sz w:val="20"/>
                <w:szCs w:val="20"/>
              </w:rPr>
              <w:t xml:space="preserve"> Health and Safety Program Management and Leadership</w:t>
            </w:r>
          </w:p>
        </w:tc>
        <w:tc>
          <w:tcPr>
            <w:tcW w:w="4115" w:type="dxa"/>
            <w:shd w:val="clear" w:color="auto" w:fill="FFFFFF" w:themeFill="background1"/>
            <w:tcMar>
              <w:left w:w="29" w:type="dxa"/>
              <w:right w:w="29" w:type="dxa"/>
            </w:tcMar>
          </w:tcPr>
          <w:p w:rsidR="00CB5EB1" w:rsidRPr="008E27E6" w:rsidRDefault="00BD45CB" w:rsidP="00A37ED6">
            <w:pPr>
              <w:rPr>
                <w:rFonts w:asciiTheme="majorHAnsi" w:eastAsia="Times New Roman" w:hAnsiTheme="majorHAnsi" w:cstheme="majorHAnsi"/>
                <w:sz w:val="20"/>
                <w:szCs w:val="20"/>
              </w:rPr>
            </w:pPr>
            <w:r w:rsidRPr="008E27E6">
              <w:rPr>
                <w:rFonts w:asciiTheme="majorHAnsi" w:hAnsiTheme="majorHAnsi" w:cstheme="majorHAnsi"/>
                <w:sz w:val="20"/>
                <w:szCs w:val="20"/>
              </w:rPr>
              <w:t>Tragedy Report</w:t>
            </w:r>
            <w:r w:rsidR="00CB5EB1" w:rsidRPr="008E27E6">
              <w:rPr>
                <w:rFonts w:asciiTheme="majorHAnsi" w:eastAsia="Times New Roman" w:hAnsiTheme="majorHAnsi" w:cstheme="majorHAnsi"/>
                <w:sz w:val="20"/>
                <w:szCs w:val="20"/>
              </w:rPr>
              <w:t>: Students will prepare a written document that identifies and describes a recognized safety/health hazard in an industry, and explains how local, state, federal, or international occupational health and safety standards or regulatory authorities would address the situation and their effectiveness.</w:t>
            </w:r>
          </w:p>
        </w:tc>
      </w:tr>
      <w:tr w:rsidR="00CB5EB1" w:rsidRPr="008E27E6" w:rsidTr="009A299C">
        <w:trPr>
          <w:cantSplit/>
          <w:trHeight w:val="315"/>
        </w:trPr>
        <w:tc>
          <w:tcPr>
            <w:tcW w:w="2070" w:type="dxa"/>
            <w:shd w:val="clear" w:color="auto" w:fill="auto"/>
            <w:tcMar>
              <w:left w:w="29" w:type="dxa"/>
              <w:right w:w="29" w:type="dxa"/>
            </w:tcMar>
          </w:tcPr>
          <w:p w:rsidR="00CB5EB1" w:rsidRPr="008E27E6" w:rsidRDefault="00CB5EB1" w:rsidP="00A37ED6">
            <w:pPr>
              <w:rPr>
                <w:rFonts w:asciiTheme="majorHAnsi" w:hAnsiTheme="majorHAnsi" w:cstheme="majorHAnsi"/>
                <w:sz w:val="20"/>
                <w:szCs w:val="20"/>
              </w:rPr>
            </w:pPr>
            <w:r w:rsidRPr="008E27E6">
              <w:rPr>
                <w:rFonts w:asciiTheme="majorHAnsi" w:hAnsiTheme="majorHAnsi" w:cstheme="majorHAnsi"/>
                <w:sz w:val="20"/>
                <w:szCs w:val="20"/>
              </w:rPr>
              <w:t xml:space="preserve">MPH-O4. Evaluate the function, structure and financing of environmental programs. </w:t>
            </w:r>
          </w:p>
        </w:tc>
        <w:tc>
          <w:tcPr>
            <w:tcW w:w="2430" w:type="dxa"/>
            <w:shd w:val="clear" w:color="auto" w:fill="FFFFFF" w:themeFill="background1"/>
            <w:tcMar>
              <w:left w:w="29" w:type="dxa"/>
              <w:right w:w="29" w:type="dxa"/>
            </w:tcMar>
            <w:hideMark/>
          </w:tcPr>
          <w:p w:rsidR="00CB5EB1" w:rsidRPr="008E27E6" w:rsidRDefault="00BD45CB" w:rsidP="00FC4AEF">
            <w:pPr>
              <w:rPr>
                <w:rFonts w:asciiTheme="majorHAnsi" w:eastAsia="Times New Roman" w:hAnsiTheme="majorHAnsi" w:cstheme="majorHAnsi"/>
                <w:sz w:val="20"/>
                <w:szCs w:val="20"/>
              </w:rPr>
            </w:pPr>
            <w:r w:rsidRPr="008E27E6">
              <w:rPr>
                <w:rFonts w:asciiTheme="majorHAnsi" w:hAnsiTheme="majorHAnsi" w:cstheme="majorHAnsi"/>
                <w:b/>
                <w:sz w:val="20"/>
                <w:szCs w:val="20"/>
              </w:rPr>
              <w:t>PHWM 2205</w:t>
            </w:r>
            <w:r w:rsidRPr="008E27E6">
              <w:rPr>
                <w:rFonts w:asciiTheme="majorHAnsi" w:hAnsiTheme="majorHAnsi" w:cstheme="majorHAnsi"/>
                <w:sz w:val="20"/>
                <w:szCs w:val="20"/>
              </w:rPr>
              <w:t xml:space="preserve"> Health and Safety Program Management and Leadership</w:t>
            </w:r>
          </w:p>
        </w:tc>
        <w:tc>
          <w:tcPr>
            <w:tcW w:w="4115" w:type="dxa"/>
            <w:shd w:val="clear" w:color="auto" w:fill="FFFFFF" w:themeFill="background1"/>
            <w:tcMar>
              <w:left w:w="29" w:type="dxa"/>
              <w:right w:w="29" w:type="dxa"/>
            </w:tcMar>
          </w:tcPr>
          <w:p w:rsidR="00CB5EB1" w:rsidRPr="008E27E6" w:rsidRDefault="00BD45CB" w:rsidP="00A37ED6">
            <w:pPr>
              <w:rPr>
                <w:rFonts w:asciiTheme="majorHAnsi" w:eastAsia="Times New Roman" w:hAnsiTheme="majorHAnsi" w:cstheme="majorHAnsi"/>
                <w:sz w:val="20"/>
                <w:szCs w:val="20"/>
              </w:rPr>
            </w:pPr>
            <w:r w:rsidRPr="008E27E6">
              <w:rPr>
                <w:rFonts w:asciiTheme="majorHAnsi" w:hAnsiTheme="majorHAnsi" w:cstheme="majorHAnsi"/>
                <w:sz w:val="20"/>
                <w:szCs w:val="20"/>
              </w:rPr>
              <w:t>Shark Tank Final Project</w:t>
            </w:r>
            <w:r w:rsidR="007C577E" w:rsidRPr="008E27E6">
              <w:rPr>
                <w:rFonts w:asciiTheme="majorHAnsi" w:hAnsiTheme="majorHAnsi" w:cstheme="majorHAnsi"/>
                <w:sz w:val="20"/>
                <w:szCs w:val="20"/>
              </w:rPr>
              <w:t xml:space="preserve"> (and </w:t>
            </w:r>
            <w:r w:rsidRPr="008E27E6">
              <w:rPr>
                <w:rFonts w:asciiTheme="majorHAnsi" w:hAnsiTheme="majorHAnsi" w:cstheme="majorHAnsi"/>
                <w:sz w:val="20"/>
                <w:szCs w:val="20"/>
              </w:rPr>
              <w:t>Rubric</w:t>
            </w:r>
            <w:r w:rsidR="007C577E" w:rsidRPr="008E27E6">
              <w:rPr>
                <w:rFonts w:asciiTheme="majorHAnsi" w:hAnsiTheme="majorHAnsi" w:cstheme="majorHAnsi"/>
                <w:sz w:val="20"/>
                <w:szCs w:val="20"/>
              </w:rPr>
              <w:t>)</w:t>
            </w:r>
            <w:r w:rsidR="00CB5EB1" w:rsidRPr="008E27E6">
              <w:rPr>
                <w:rFonts w:asciiTheme="majorHAnsi" w:eastAsia="Times New Roman" w:hAnsiTheme="majorHAnsi" w:cstheme="majorHAnsi"/>
                <w:sz w:val="20"/>
                <w:szCs w:val="20"/>
              </w:rPr>
              <w:t>: Students will write a report that describes the organizational function, structure, programmatic efforts, financing and cost-effectiveness of occupational health and safety programming in an existing business organization.</w:t>
            </w:r>
          </w:p>
        </w:tc>
      </w:tr>
      <w:tr w:rsidR="00CB5EB1" w:rsidRPr="008E27E6" w:rsidTr="009A299C">
        <w:trPr>
          <w:cantSplit/>
          <w:trHeight w:val="1070"/>
        </w:trPr>
        <w:tc>
          <w:tcPr>
            <w:tcW w:w="2070" w:type="dxa"/>
            <w:shd w:val="clear" w:color="auto" w:fill="auto"/>
            <w:tcMar>
              <w:left w:w="29" w:type="dxa"/>
              <w:right w:w="29" w:type="dxa"/>
            </w:tcMar>
          </w:tcPr>
          <w:p w:rsidR="00CB5EB1" w:rsidRPr="008E27E6" w:rsidRDefault="00CB5EB1" w:rsidP="00A37ED6">
            <w:pPr>
              <w:rPr>
                <w:rFonts w:asciiTheme="majorHAnsi" w:hAnsiTheme="majorHAnsi" w:cstheme="majorHAnsi"/>
                <w:sz w:val="20"/>
                <w:szCs w:val="20"/>
              </w:rPr>
            </w:pPr>
            <w:r w:rsidRPr="008E27E6">
              <w:rPr>
                <w:rFonts w:asciiTheme="majorHAnsi" w:hAnsiTheme="majorHAnsi" w:cstheme="majorHAnsi"/>
                <w:sz w:val="20"/>
                <w:szCs w:val="20"/>
              </w:rPr>
              <w:t>MPH-O5. Demonstrate effective risk communication that incorporates the principles of risk perception.</w:t>
            </w:r>
          </w:p>
        </w:tc>
        <w:tc>
          <w:tcPr>
            <w:tcW w:w="2430" w:type="dxa"/>
            <w:shd w:val="clear" w:color="auto" w:fill="FFFFFF" w:themeFill="background1"/>
            <w:tcMar>
              <w:left w:w="29" w:type="dxa"/>
              <w:right w:w="29" w:type="dxa"/>
            </w:tcMar>
          </w:tcPr>
          <w:p w:rsidR="00CB5EB1" w:rsidRPr="008E27E6" w:rsidRDefault="00BD45CB" w:rsidP="00FC4AEF">
            <w:pPr>
              <w:rPr>
                <w:rFonts w:asciiTheme="majorHAnsi" w:eastAsia="Times New Roman" w:hAnsiTheme="majorHAnsi" w:cstheme="majorHAnsi"/>
                <w:sz w:val="20"/>
                <w:szCs w:val="20"/>
              </w:rPr>
            </w:pPr>
            <w:r w:rsidRPr="008E27E6">
              <w:rPr>
                <w:rFonts w:asciiTheme="majorHAnsi" w:hAnsiTheme="majorHAnsi" w:cstheme="majorHAnsi"/>
                <w:b/>
                <w:sz w:val="20"/>
                <w:szCs w:val="20"/>
              </w:rPr>
              <w:t>PHWM 2135</w:t>
            </w:r>
            <w:r w:rsidRPr="008E27E6">
              <w:rPr>
                <w:rFonts w:asciiTheme="majorHAnsi" w:hAnsiTheme="majorHAnsi" w:cstheme="majorHAnsi"/>
                <w:sz w:val="20"/>
                <w:szCs w:val="20"/>
              </w:rPr>
              <w:t xml:space="preserve"> Risk Analysis: Principles and Practice</w:t>
            </w:r>
          </w:p>
        </w:tc>
        <w:tc>
          <w:tcPr>
            <w:tcW w:w="4115" w:type="dxa"/>
            <w:shd w:val="clear" w:color="auto" w:fill="FFFFFF" w:themeFill="background1"/>
            <w:tcMar>
              <w:left w:w="29" w:type="dxa"/>
              <w:right w:w="29" w:type="dxa"/>
            </w:tcMar>
          </w:tcPr>
          <w:p w:rsidR="00CB5EB1" w:rsidRPr="008E27E6" w:rsidRDefault="00BD45CB" w:rsidP="00A37ED6">
            <w:pPr>
              <w:rPr>
                <w:rFonts w:asciiTheme="majorHAnsi" w:eastAsia="Times New Roman" w:hAnsiTheme="majorHAnsi" w:cstheme="majorHAnsi"/>
                <w:sz w:val="20"/>
                <w:szCs w:val="20"/>
              </w:rPr>
            </w:pPr>
            <w:r w:rsidRPr="008E27E6">
              <w:rPr>
                <w:rFonts w:asciiTheme="majorHAnsi" w:hAnsiTheme="majorHAnsi" w:cstheme="majorHAnsi"/>
                <w:sz w:val="20"/>
                <w:szCs w:val="20"/>
              </w:rPr>
              <w:t>Risk Communication Presentation</w:t>
            </w:r>
            <w:r w:rsidR="00CB5EB1" w:rsidRPr="008E27E6">
              <w:rPr>
                <w:rFonts w:asciiTheme="majorHAnsi" w:eastAsia="Times New Roman" w:hAnsiTheme="majorHAnsi" w:cstheme="majorHAnsi"/>
                <w:sz w:val="20"/>
                <w:szCs w:val="20"/>
              </w:rPr>
              <w:t>: Students will select an environmental health problem, and create and present a "TED talk" style presentation that communicates associated risks to a diverse audience.</w:t>
            </w:r>
          </w:p>
          <w:p w:rsidR="00CB5EB1" w:rsidRPr="008E27E6" w:rsidRDefault="00CB5EB1" w:rsidP="00A37ED6">
            <w:pPr>
              <w:rPr>
                <w:rFonts w:asciiTheme="majorHAnsi" w:eastAsia="Times New Roman" w:hAnsiTheme="majorHAnsi" w:cstheme="majorHAnsi"/>
                <w:sz w:val="20"/>
                <w:szCs w:val="20"/>
              </w:rPr>
            </w:pPr>
          </w:p>
        </w:tc>
      </w:tr>
    </w:tbl>
    <w:p w:rsidR="003F4E3E" w:rsidRPr="00743A41" w:rsidRDefault="003F4E3E" w:rsidP="00A37ED6">
      <w:pPr>
        <w:jc w:val="both"/>
        <w:rPr>
          <w:rFonts w:asciiTheme="majorHAnsi" w:eastAsia="Arial Unicode MS" w:hAnsiTheme="majorHAnsi" w:cstheme="majorHAnsi"/>
          <w:sz w:val="20"/>
          <w:szCs w:val="20"/>
        </w:rPr>
      </w:pPr>
    </w:p>
    <w:p w:rsidR="00EF0A98" w:rsidRPr="00743A41" w:rsidRDefault="00EF0A98" w:rsidP="00A37ED6">
      <w:pPr>
        <w:jc w:val="both"/>
        <w:rPr>
          <w:rFonts w:asciiTheme="majorHAnsi" w:eastAsia="Arial Unicode MS" w:hAnsiTheme="majorHAnsi" w:cstheme="majorHAnsi"/>
          <w:sz w:val="20"/>
          <w:szCs w:val="20"/>
        </w:rPr>
      </w:pPr>
    </w:p>
    <w:p w:rsidR="003F4E3E" w:rsidRPr="00740AE3" w:rsidRDefault="00043819" w:rsidP="00A37ED6">
      <w:pPr>
        <w:ind w:left="720"/>
        <w:jc w:val="both"/>
        <w:rPr>
          <w:rStyle w:val="Hyperlink"/>
          <w:rFonts w:asciiTheme="majorHAnsi" w:hAnsiTheme="majorHAnsi" w:cstheme="majorHAnsi"/>
          <w:sz w:val="20"/>
          <w:szCs w:val="20"/>
        </w:rPr>
      </w:pPr>
      <w:r w:rsidRPr="00740AE3">
        <w:rPr>
          <w:rFonts w:asciiTheme="majorHAnsi" w:hAnsiTheme="majorHAnsi" w:cstheme="majorHAnsi"/>
          <w:sz w:val="20"/>
          <w:szCs w:val="20"/>
        </w:rPr>
        <w:t>Table D.4.1.</w:t>
      </w:r>
      <w:r w:rsidR="00EF0A98" w:rsidRPr="00740AE3">
        <w:rPr>
          <w:rFonts w:asciiTheme="majorHAnsi" w:hAnsiTheme="majorHAnsi" w:cstheme="majorHAnsi"/>
          <w:sz w:val="20"/>
          <w:szCs w:val="20"/>
        </w:rPr>
        <w:t>c</w:t>
      </w:r>
      <w:r w:rsidRPr="00740AE3">
        <w:rPr>
          <w:rFonts w:asciiTheme="majorHAnsi" w:hAnsiTheme="majorHAnsi" w:cstheme="majorHAnsi"/>
          <w:sz w:val="20"/>
          <w:szCs w:val="20"/>
        </w:rPr>
        <w:t>. Assessment of Competencies for MPH in Epidemiology (</w:t>
      </w:r>
      <w:r w:rsidRPr="00740AE3">
        <w:rPr>
          <w:rFonts w:asciiTheme="majorHAnsi" w:hAnsiTheme="majorHAnsi" w:cstheme="majorHAnsi"/>
          <w:i/>
          <w:sz w:val="20"/>
          <w:szCs w:val="20"/>
        </w:rPr>
        <w:t>ERF, D4.3. MPH in Epidemiology</w:t>
      </w:r>
      <w:r w:rsidRPr="00740AE3">
        <w:rPr>
          <w:rFonts w:asciiTheme="majorHAnsi" w:hAnsiTheme="majorHAnsi" w:cstheme="majorHAnsi"/>
          <w:sz w:val="20"/>
          <w:szCs w:val="20"/>
        </w:rPr>
        <w:t xml:space="preserve">) </w:t>
      </w: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431"/>
        <w:gridCol w:w="4138"/>
      </w:tblGrid>
      <w:tr w:rsidR="005D24F2" w:rsidRPr="00E40494" w:rsidTr="00321053">
        <w:trPr>
          <w:cantSplit/>
          <w:trHeight w:val="525"/>
          <w:tblHeader/>
        </w:trPr>
        <w:tc>
          <w:tcPr>
            <w:tcW w:w="1198" w:type="pct"/>
            <w:shd w:val="clear" w:color="000000" w:fill="D9D9D9"/>
            <w:tcMar>
              <w:left w:w="29" w:type="dxa"/>
              <w:right w:w="29" w:type="dxa"/>
            </w:tcMar>
            <w:hideMark/>
          </w:tcPr>
          <w:p w:rsidR="005D24F2" w:rsidRPr="00E40494" w:rsidRDefault="005D24F2" w:rsidP="00A37ED6">
            <w:pPr>
              <w:jc w:val="center"/>
              <w:rPr>
                <w:rFonts w:asciiTheme="majorHAnsi" w:eastAsia="Times New Roman" w:hAnsiTheme="majorHAnsi" w:cstheme="majorHAnsi"/>
                <w:b/>
                <w:bCs/>
                <w:color w:val="000000"/>
                <w:sz w:val="20"/>
                <w:szCs w:val="20"/>
              </w:rPr>
            </w:pPr>
            <w:r w:rsidRPr="00E40494">
              <w:rPr>
                <w:rFonts w:asciiTheme="majorHAnsi" w:eastAsia="Times New Roman" w:hAnsiTheme="majorHAnsi" w:cstheme="majorHAnsi"/>
                <w:b/>
                <w:bCs/>
                <w:color w:val="000000"/>
                <w:sz w:val="20"/>
                <w:szCs w:val="20"/>
              </w:rPr>
              <w:t>Competency</w:t>
            </w:r>
          </w:p>
        </w:tc>
        <w:tc>
          <w:tcPr>
            <w:tcW w:w="1407" w:type="pct"/>
            <w:shd w:val="clear" w:color="000000" w:fill="D9D9D9"/>
            <w:tcMar>
              <w:left w:w="29" w:type="dxa"/>
              <w:right w:w="29" w:type="dxa"/>
            </w:tcMar>
            <w:hideMark/>
          </w:tcPr>
          <w:p w:rsidR="005D24F2" w:rsidRPr="00E40494" w:rsidRDefault="005D24F2" w:rsidP="00A37ED6">
            <w:pPr>
              <w:jc w:val="center"/>
              <w:rPr>
                <w:rFonts w:asciiTheme="majorHAnsi" w:eastAsia="Times New Roman" w:hAnsiTheme="majorHAnsi" w:cstheme="majorHAnsi"/>
                <w:b/>
                <w:bCs/>
                <w:color w:val="000000"/>
                <w:sz w:val="20"/>
                <w:szCs w:val="20"/>
              </w:rPr>
            </w:pPr>
            <w:r w:rsidRPr="00E40494">
              <w:rPr>
                <w:rFonts w:asciiTheme="majorHAnsi" w:eastAsia="Times New Roman" w:hAnsiTheme="majorHAnsi" w:cstheme="majorHAnsi"/>
                <w:b/>
                <w:bCs/>
                <w:color w:val="000000"/>
                <w:sz w:val="20"/>
                <w:szCs w:val="20"/>
              </w:rPr>
              <w:t>Course number(s) and name(s)</w:t>
            </w:r>
          </w:p>
        </w:tc>
        <w:tc>
          <w:tcPr>
            <w:tcW w:w="2395" w:type="pct"/>
            <w:shd w:val="clear" w:color="000000" w:fill="D9D9D9"/>
            <w:tcMar>
              <w:left w:w="29" w:type="dxa"/>
              <w:right w:w="29" w:type="dxa"/>
            </w:tcMar>
            <w:hideMark/>
          </w:tcPr>
          <w:p w:rsidR="005D24F2" w:rsidRPr="00E40494" w:rsidRDefault="005D24F2" w:rsidP="00A37ED6">
            <w:pPr>
              <w:jc w:val="center"/>
              <w:rPr>
                <w:rFonts w:asciiTheme="majorHAnsi" w:eastAsia="Times New Roman" w:hAnsiTheme="majorHAnsi" w:cstheme="majorHAnsi"/>
                <w:b/>
                <w:bCs/>
                <w:color w:val="000000"/>
                <w:sz w:val="20"/>
                <w:szCs w:val="20"/>
              </w:rPr>
            </w:pPr>
            <w:r w:rsidRPr="00E40494">
              <w:rPr>
                <w:rFonts w:asciiTheme="majorHAnsi" w:eastAsia="Times New Roman" w:hAnsiTheme="majorHAnsi" w:cstheme="majorHAnsi"/>
                <w:b/>
                <w:bCs/>
                <w:color w:val="000000"/>
                <w:sz w:val="20"/>
                <w:szCs w:val="20"/>
              </w:rPr>
              <w:t>Specific assignment(s) that allow assessment</w:t>
            </w:r>
          </w:p>
        </w:tc>
      </w:tr>
      <w:tr w:rsidR="005D24F2" w:rsidRPr="00E40494" w:rsidTr="00321053">
        <w:trPr>
          <w:cantSplit/>
          <w:trHeight w:val="315"/>
        </w:trPr>
        <w:tc>
          <w:tcPr>
            <w:tcW w:w="1198" w:type="pct"/>
            <w:shd w:val="clear" w:color="auto" w:fill="auto"/>
            <w:tcMar>
              <w:left w:w="29" w:type="dxa"/>
              <w:right w:w="29" w:type="dxa"/>
            </w:tcMar>
          </w:tcPr>
          <w:p w:rsidR="005D24F2" w:rsidRPr="00E40494" w:rsidRDefault="005D24F2" w:rsidP="00A37ED6">
            <w:pPr>
              <w:rPr>
                <w:rFonts w:asciiTheme="majorHAnsi" w:hAnsiTheme="majorHAnsi" w:cstheme="majorHAnsi"/>
                <w:color w:val="000000"/>
                <w:sz w:val="20"/>
                <w:szCs w:val="20"/>
              </w:rPr>
            </w:pPr>
            <w:r w:rsidRPr="00E40494">
              <w:rPr>
                <w:rFonts w:asciiTheme="majorHAnsi" w:hAnsiTheme="majorHAnsi" w:cstheme="majorHAnsi"/>
                <w:color w:val="000000"/>
                <w:sz w:val="20"/>
                <w:szCs w:val="20"/>
              </w:rPr>
              <w:t>MPH-E1. Apply data collection and data management skills for an epidemiologic study.</w:t>
            </w:r>
          </w:p>
        </w:tc>
        <w:tc>
          <w:tcPr>
            <w:tcW w:w="1407" w:type="pct"/>
            <w:shd w:val="clear" w:color="auto" w:fill="auto"/>
            <w:tcMar>
              <w:left w:w="29" w:type="dxa"/>
              <w:right w:w="29" w:type="dxa"/>
            </w:tcMar>
          </w:tcPr>
          <w:p w:rsidR="005D24F2" w:rsidRPr="00E40494" w:rsidRDefault="00551BF4" w:rsidP="00FC4AEF">
            <w:pPr>
              <w:rPr>
                <w:rFonts w:asciiTheme="majorHAnsi" w:eastAsia="Times New Roman" w:hAnsiTheme="majorHAnsi" w:cstheme="majorHAnsi"/>
                <w:sz w:val="20"/>
                <w:szCs w:val="20"/>
              </w:rPr>
            </w:pPr>
            <w:r w:rsidRPr="00E40494">
              <w:rPr>
                <w:rFonts w:asciiTheme="majorHAnsi" w:hAnsiTheme="majorHAnsi" w:cstheme="majorHAnsi"/>
                <w:b/>
                <w:sz w:val="20"/>
                <w:szCs w:val="20"/>
              </w:rPr>
              <w:t>PH 2615</w:t>
            </w:r>
            <w:r w:rsidRPr="00E40494">
              <w:rPr>
                <w:rFonts w:asciiTheme="majorHAnsi" w:hAnsiTheme="majorHAnsi" w:cstheme="majorHAnsi"/>
                <w:sz w:val="20"/>
                <w:szCs w:val="20"/>
              </w:rPr>
              <w:t xml:space="preserve"> Epidemiology II</w:t>
            </w:r>
            <w:r w:rsidR="00F95041" w:rsidRPr="00E40494">
              <w:rPr>
                <w:rFonts w:asciiTheme="majorHAnsi" w:eastAsia="Times New Roman" w:hAnsiTheme="majorHAnsi" w:cstheme="majorHAnsi"/>
                <w:sz w:val="20"/>
                <w:szCs w:val="20"/>
              </w:rPr>
              <w:t xml:space="preserve"> </w:t>
            </w:r>
          </w:p>
        </w:tc>
        <w:tc>
          <w:tcPr>
            <w:tcW w:w="2395" w:type="pct"/>
            <w:shd w:val="clear" w:color="auto" w:fill="auto"/>
            <w:tcMar>
              <w:left w:w="29" w:type="dxa"/>
              <w:right w:w="29" w:type="dxa"/>
            </w:tcMar>
          </w:tcPr>
          <w:p w:rsidR="005D24F2" w:rsidRPr="00E40494" w:rsidRDefault="00087181" w:rsidP="00A37ED6">
            <w:pPr>
              <w:rPr>
                <w:rFonts w:asciiTheme="majorHAnsi" w:hAnsiTheme="majorHAnsi" w:cstheme="majorHAnsi"/>
                <w:color w:val="000000"/>
                <w:sz w:val="20"/>
                <w:szCs w:val="20"/>
              </w:rPr>
            </w:pPr>
            <w:r w:rsidRPr="00E40494">
              <w:rPr>
                <w:rFonts w:asciiTheme="majorHAnsi" w:hAnsiTheme="majorHAnsi" w:cstheme="majorHAnsi"/>
                <w:sz w:val="20"/>
                <w:szCs w:val="20"/>
              </w:rPr>
              <w:t>Homework, Data Entry and Management</w:t>
            </w:r>
            <w:r w:rsidR="005D24F2" w:rsidRPr="00E40494">
              <w:rPr>
                <w:rFonts w:asciiTheme="majorHAnsi" w:hAnsiTheme="majorHAnsi" w:cstheme="majorHAnsi"/>
                <w:color w:val="000000"/>
                <w:sz w:val="20"/>
                <w:szCs w:val="20"/>
              </w:rPr>
              <w:t>: This assignment requires students to detail the data entry and data management procedures that are to be followed in the proposed study. Additionally, students are required to create a codebook for the data used in the proposed study.</w:t>
            </w:r>
          </w:p>
          <w:p w:rsidR="005D24F2" w:rsidRPr="00E40494" w:rsidRDefault="005D24F2" w:rsidP="00A37ED6">
            <w:pPr>
              <w:rPr>
                <w:rFonts w:asciiTheme="majorHAnsi" w:hAnsiTheme="majorHAnsi" w:cstheme="majorHAnsi"/>
                <w:color w:val="000000"/>
                <w:sz w:val="20"/>
                <w:szCs w:val="20"/>
              </w:rPr>
            </w:pPr>
          </w:p>
          <w:p w:rsidR="005D24F2" w:rsidRPr="00E40494" w:rsidRDefault="00087181" w:rsidP="00A37ED6">
            <w:pPr>
              <w:rPr>
                <w:rFonts w:asciiTheme="majorHAnsi" w:eastAsia="Times New Roman" w:hAnsiTheme="majorHAnsi" w:cstheme="majorHAnsi"/>
                <w:sz w:val="20"/>
                <w:szCs w:val="20"/>
              </w:rPr>
            </w:pPr>
            <w:r w:rsidRPr="00E40494">
              <w:rPr>
                <w:rFonts w:asciiTheme="majorHAnsi" w:hAnsiTheme="majorHAnsi" w:cstheme="majorHAnsi"/>
                <w:sz w:val="20"/>
                <w:szCs w:val="20"/>
              </w:rPr>
              <w:t>Homework, Measurement Instrument</w:t>
            </w:r>
            <w:r w:rsidR="005D24F2" w:rsidRPr="00E40494">
              <w:rPr>
                <w:rFonts w:asciiTheme="majorHAnsi" w:eastAsia="Times New Roman" w:hAnsiTheme="majorHAnsi" w:cstheme="majorHAnsi"/>
                <w:sz w:val="20"/>
                <w:szCs w:val="20"/>
              </w:rPr>
              <w:t>: This assignment requires students to create a data collection instrument that will be used to screen for eligibility.</w:t>
            </w:r>
          </w:p>
        </w:tc>
      </w:tr>
      <w:tr w:rsidR="005D24F2" w:rsidRPr="00E40494" w:rsidTr="00321053">
        <w:trPr>
          <w:cantSplit/>
          <w:trHeight w:val="300"/>
        </w:trPr>
        <w:tc>
          <w:tcPr>
            <w:tcW w:w="1198" w:type="pct"/>
            <w:vMerge w:val="restart"/>
            <w:shd w:val="clear" w:color="auto" w:fill="auto"/>
            <w:tcMar>
              <w:left w:w="29" w:type="dxa"/>
              <w:right w:w="29" w:type="dxa"/>
            </w:tcMar>
          </w:tcPr>
          <w:p w:rsidR="005D24F2" w:rsidRPr="00E40494" w:rsidRDefault="005D24F2" w:rsidP="00A37ED6">
            <w:pPr>
              <w:rPr>
                <w:rFonts w:asciiTheme="majorHAnsi" w:hAnsiTheme="majorHAnsi" w:cstheme="majorHAnsi"/>
                <w:color w:val="000000"/>
                <w:sz w:val="20"/>
                <w:szCs w:val="20"/>
              </w:rPr>
            </w:pPr>
            <w:r w:rsidRPr="00E40494">
              <w:rPr>
                <w:rFonts w:asciiTheme="majorHAnsi" w:hAnsiTheme="majorHAnsi" w:cstheme="majorHAnsi"/>
                <w:color w:val="000000"/>
                <w:sz w:val="20"/>
                <w:szCs w:val="20"/>
              </w:rPr>
              <w:t>MPH-E2. Demonstrate the application of epidemiology for informing etiologic research, public health surveillance, or screening programs.</w:t>
            </w:r>
          </w:p>
        </w:tc>
        <w:tc>
          <w:tcPr>
            <w:tcW w:w="1407" w:type="pct"/>
            <w:shd w:val="clear" w:color="auto" w:fill="auto"/>
            <w:tcMar>
              <w:left w:w="29" w:type="dxa"/>
              <w:right w:w="29" w:type="dxa"/>
            </w:tcMar>
          </w:tcPr>
          <w:p w:rsidR="005D24F2" w:rsidRPr="00E40494" w:rsidRDefault="00551BF4" w:rsidP="00FC4AEF">
            <w:pPr>
              <w:rPr>
                <w:rFonts w:asciiTheme="majorHAnsi" w:eastAsia="Times New Roman" w:hAnsiTheme="majorHAnsi" w:cstheme="majorHAnsi"/>
                <w:sz w:val="20"/>
                <w:szCs w:val="20"/>
              </w:rPr>
            </w:pPr>
            <w:r w:rsidRPr="00E40494">
              <w:rPr>
                <w:rFonts w:asciiTheme="majorHAnsi" w:hAnsiTheme="majorHAnsi" w:cstheme="majorHAnsi"/>
                <w:b/>
                <w:sz w:val="20"/>
                <w:szCs w:val="20"/>
              </w:rPr>
              <w:t>PH 2615</w:t>
            </w:r>
            <w:r w:rsidRPr="00E40494">
              <w:rPr>
                <w:rFonts w:asciiTheme="majorHAnsi" w:hAnsiTheme="majorHAnsi" w:cstheme="majorHAnsi"/>
                <w:sz w:val="20"/>
                <w:szCs w:val="20"/>
              </w:rPr>
              <w:t xml:space="preserve"> Epidemiology II</w:t>
            </w:r>
            <w:r w:rsidR="00D12856" w:rsidRPr="00E40494">
              <w:rPr>
                <w:rFonts w:asciiTheme="majorHAnsi" w:eastAsia="Times New Roman" w:hAnsiTheme="majorHAnsi" w:cstheme="majorHAnsi"/>
                <w:sz w:val="20"/>
                <w:szCs w:val="20"/>
              </w:rPr>
              <w:t xml:space="preserve"> </w:t>
            </w:r>
          </w:p>
        </w:tc>
        <w:tc>
          <w:tcPr>
            <w:tcW w:w="2395" w:type="pct"/>
            <w:shd w:val="clear" w:color="auto" w:fill="auto"/>
            <w:tcMar>
              <w:left w:w="29" w:type="dxa"/>
              <w:right w:w="29" w:type="dxa"/>
            </w:tcMar>
          </w:tcPr>
          <w:p w:rsidR="005D24F2" w:rsidRPr="00E40494" w:rsidRDefault="00087181" w:rsidP="00A37ED6">
            <w:pPr>
              <w:rPr>
                <w:rFonts w:asciiTheme="majorHAnsi" w:hAnsiTheme="majorHAnsi" w:cstheme="majorHAnsi"/>
                <w:sz w:val="20"/>
                <w:szCs w:val="20"/>
              </w:rPr>
            </w:pPr>
            <w:r w:rsidRPr="00E40494">
              <w:rPr>
                <w:rFonts w:asciiTheme="majorHAnsi" w:hAnsiTheme="majorHAnsi" w:cstheme="majorHAnsi"/>
                <w:sz w:val="20"/>
                <w:szCs w:val="20"/>
              </w:rPr>
              <w:t>Homework, Research Objectives</w:t>
            </w:r>
            <w:r w:rsidR="005D24F2" w:rsidRPr="00E40494">
              <w:rPr>
                <w:rFonts w:asciiTheme="majorHAnsi" w:hAnsiTheme="majorHAnsi" w:cstheme="majorHAnsi"/>
                <w:color w:val="000000"/>
                <w:sz w:val="20"/>
                <w:szCs w:val="20"/>
              </w:rPr>
              <w:t xml:space="preserve">: This assignment requires the student to outline a research question, study design including (but not limited to) etiologic research, surveillance studies or screening programs, study population, and the variables of interest. The student is also required to write a section on the public health significance of the proposed research. </w:t>
            </w:r>
          </w:p>
        </w:tc>
      </w:tr>
      <w:tr w:rsidR="005D24F2" w:rsidRPr="00E40494" w:rsidTr="00321053">
        <w:trPr>
          <w:cantSplit/>
          <w:trHeight w:val="300"/>
        </w:trPr>
        <w:tc>
          <w:tcPr>
            <w:tcW w:w="1198" w:type="pct"/>
            <w:vMerge/>
            <w:shd w:val="clear" w:color="auto" w:fill="auto"/>
            <w:tcMar>
              <w:left w:w="29" w:type="dxa"/>
              <w:right w:w="29" w:type="dxa"/>
            </w:tcMar>
          </w:tcPr>
          <w:p w:rsidR="005D24F2" w:rsidRPr="00E40494" w:rsidRDefault="005D24F2" w:rsidP="00A37ED6">
            <w:pPr>
              <w:rPr>
                <w:rFonts w:asciiTheme="majorHAnsi" w:hAnsiTheme="majorHAnsi" w:cstheme="majorHAnsi"/>
                <w:color w:val="000000"/>
                <w:sz w:val="20"/>
                <w:szCs w:val="20"/>
              </w:rPr>
            </w:pPr>
          </w:p>
        </w:tc>
        <w:tc>
          <w:tcPr>
            <w:tcW w:w="1407" w:type="pct"/>
            <w:shd w:val="clear" w:color="auto" w:fill="auto"/>
            <w:tcMar>
              <w:left w:w="29" w:type="dxa"/>
              <w:right w:w="29" w:type="dxa"/>
            </w:tcMar>
          </w:tcPr>
          <w:p w:rsidR="005D24F2" w:rsidRPr="00E40494" w:rsidRDefault="00551BF4" w:rsidP="00FC4AEF">
            <w:pPr>
              <w:rPr>
                <w:rFonts w:asciiTheme="majorHAnsi" w:eastAsia="Times New Roman" w:hAnsiTheme="majorHAnsi" w:cstheme="majorHAnsi"/>
                <w:sz w:val="20"/>
                <w:szCs w:val="20"/>
              </w:rPr>
            </w:pPr>
            <w:r w:rsidRPr="00E40494">
              <w:rPr>
                <w:rFonts w:asciiTheme="majorHAnsi" w:hAnsiTheme="majorHAnsi" w:cstheme="majorHAnsi"/>
                <w:b/>
                <w:sz w:val="20"/>
                <w:szCs w:val="20"/>
              </w:rPr>
              <w:t>PH 2710</w:t>
            </w:r>
            <w:r w:rsidRPr="00E40494">
              <w:rPr>
                <w:rFonts w:asciiTheme="majorHAnsi" w:hAnsiTheme="majorHAnsi" w:cstheme="majorHAnsi"/>
                <w:sz w:val="20"/>
                <w:szCs w:val="20"/>
              </w:rPr>
              <w:t xml:space="preserve"> Epidemiology III</w:t>
            </w:r>
            <w:r w:rsidR="00F95041" w:rsidRPr="00E40494">
              <w:rPr>
                <w:rFonts w:asciiTheme="majorHAnsi" w:eastAsia="Times New Roman" w:hAnsiTheme="majorHAnsi" w:cstheme="majorHAnsi"/>
                <w:sz w:val="20"/>
                <w:szCs w:val="20"/>
              </w:rPr>
              <w:t xml:space="preserve"> </w:t>
            </w:r>
          </w:p>
        </w:tc>
        <w:tc>
          <w:tcPr>
            <w:tcW w:w="2395" w:type="pct"/>
            <w:shd w:val="clear" w:color="auto" w:fill="auto"/>
            <w:tcMar>
              <w:left w:w="29" w:type="dxa"/>
              <w:right w:w="29" w:type="dxa"/>
            </w:tcMar>
          </w:tcPr>
          <w:p w:rsidR="005D24F2" w:rsidRPr="00E40494" w:rsidRDefault="00087181" w:rsidP="00A37ED6">
            <w:pPr>
              <w:rPr>
                <w:rFonts w:asciiTheme="majorHAnsi" w:hAnsiTheme="majorHAnsi" w:cstheme="majorHAnsi"/>
                <w:sz w:val="20"/>
                <w:szCs w:val="20"/>
              </w:rPr>
            </w:pPr>
            <w:r w:rsidRPr="00E40494">
              <w:rPr>
                <w:rFonts w:asciiTheme="majorHAnsi" w:hAnsiTheme="majorHAnsi" w:cstheme="majorHAnsi"/>
                <w:sz w:val="20"/>
                <w:szCs w:val="20"/>
              </w:rPr>
              <w:t>HW1, Question 1</w:t>
            </w:r>
            <w:r w:rsidR="005D24F2" w:rsidRPr="00E40494">
              <w:rPr>
                <w:rFonts w:asciiTheme="majorHAnsi" w:hAnsiTheme="majorHAnsi" w:cstheme="majorHAnsi"/>
                <w:color w:val="000000"/>
                <w:sz w:val="20"/>
                <w:szCs w:val="20"/>
              </w:rPr>
              <w:t>: Assesse</w:t>
            </w:r>
            <w:r w:rsidR="000F29D3" w:rsidRPr="00E40494">
              <w:rPr>
                <w:rFonts w:asciiTheme="majorHAnsi" w:hAnsiTheme="majorHAnsi" w:cstheme="majorHAnsi"/>
                <w:color w:val="000000"/>
                <w:sz w:val="20"/>
                <w:szCs w:val="20"/>
              </w:rPr>
              <w:t>s</w:t>
            </w:r>
            <w:r w:rsidR="005D24F2" w:rsidRPr="00E40494">
              <w:rPr>
                <w:rFonts w:asciiTheme="majorHAnsi" w:hAnsiTheme="majorHAnsi" w:cstheme="majorHAnsi"/>
                <w:color w:val="000000"/>
                <w:sz w:val="20"/>
                <w:szCs w:val="20"/>
              </w:rPr>
              <w:t xml:space="preserve"> student's knowledge of critiquing a research study to evaluate the sufficient cause model which is one of the principles of epidemiology</w:t>
            </w:r>
            <w:r w:rsidR="00C3355E">
              <w:rPr>
                <w:rFonts w:asciiTheme="majorHAnsi" w:hAnsiTheme="majorHAnsi" w:cstheme="majorHAnsi"/>
                <w:color w:val="000000"/>
                <w:sz w:val="20"/>
                <w:szCs w:val="20"/>
              </w:rPr>
              <w:t>.</w:t>
            </w:r>
          </w:p>
        </w:tc>
      </w:tr>
      <w:tr w:rsidR="005D24F2" w:rsidRPr="00E40494" w:rsidTr="00321053">
        <w:trPr>
          <w:cantSplit/>
          <w:trHeight w:val="300"/>
        </w:trPr>
        <w:tc>
          <w:tcPr>
            <w:tcW w:w="1198" w:type="pct"/>
            <w:vMerge w:val="restart"/>
            <w:shd w:val="clear" w:color="auto" w:fill="auto"/>
            <w:tcMar>
              <w:left w:w="29" w:type="dxa"/>
              <w:right w:w="29" w:type="dxa"/>
            </w:tcMar>
          </w:tcPr>
          <w:p w:rsidR="005D24F2" w:rsidRPr="00E40494" w:rsidRDefault="005D24F2" w:rsidP="00A37ED6">
            <w:pPr>
              <w:rPr>
                <w:rFonts w:asciiTheme="majorHAnsi" w:hAnsiTheme="majorHAnsi" w:cstheme="majorHAnsi"/>
                <w:color w:val="000000"/>
                <w:sz w:val="20"/>
                <w:szCs w:val="20"/>
              </w:rPr>
            </w:pPr>
            <w:r w:rsidRPr="00E40494">
              <w:rPr>
                <w:rFonts w:asciiTheme="majorHAnsi" w:hAnsiTheme="majorHAnsi" w:cstheme="majorHAnsi"/>
                <w:color w:val="000000"/>
                <w:sz w:val="20"/>
                <w:szCs w:val="20"/>
              </w:rPr>
              <w:t>MPH-E3. Evaluate a public health problem in terms of magnitude, person, place and time, and exposure-outcome relationships</w:t>
            </w:r>
          </w:p>
        </w:tc>
        <w:tc>
          <w:tcPr>
            <w:tcW w:w="1407" w:type="pct"/>
            <w:shd w:val="clear" w:color="auto" w:fill="auto"/>
            <w:tcMar>
              <w:left w:w="29" w:type="dxa"/>
              <w:right w:w="29" w:type="dxa"/>
            </w:tcMar>
          </w:tcPr>
          <w:p w:rsidR="005D24F2" w:rsidRPr="00E40494" w:rsidRDefault="00551BF4" w:rsidP="00FC4AEF">
            <w:pPr>
              <w:rPr>
                <w:rFonts w:asciiTheme="majorHAnsi" w:eastAsia="Times New Roman" w:hAnsiTheme="majorHAnsi" w:cstheme="majorHAnsi"/>
                <w:sz w:val="20"/>
                <w:szCs w:val="20"/>
              </w:rPr>
            </w:pPr>
            <w:r w:rsidRPr="00E40494">
              <w:rPr>
                <w:rFonts w:asciiTheme="majorHAnsi" w:hAnsiTheme="majorHAnsi" w:cstheme="majorHAnsi"/>
                <w:b/>
                <w:sz w:val="20"/>
                <w:szCs w:val="20"/>
              </w:rPr>
              <w:t>PH 2615</w:t>
            </w:r>
            <w:r w:rsidRPr="00E40494">
              <w:rPr>
                <w:rFonts w:asciiTheme="majorHAnsi" w:hAnsiTheme="majorHAnsi" w:cstheme="majorHAnsi"/>
                <w:sz w:val="20"/>
                <w:szCs w:val="20"/>
              </w:rPr>
              <w:t xml:space="preserve"> Epidemiology II</w:t>
            </w:r>
            <w:r w:rsidR="00D12856" w:rsidRPr="00E40494">
              <w:rPr>
                <w:rFonts w:asciiTheme="majorHAnsi" w:eastAsia="Times New Roman" w:hAnsiTheme="majorHAnsi" w:cstheme="majorHAnsi"/>
                <w:sz w:val="20"/>
                <w:szCs w:val="20"/>
              </w:rPr>
              <w:t xml:space="preserve"> </w:t>
            </w:r>
          </w:p>
        </w:tc>
        <w:tc>
          <w:tcPr>
            <w:tcW w:w="2395" w:type="pct"/>
            <w:shd w:val="clear" w:color="auto" w:fill="auto"/>
            <w:tcMar>
              <w:left w:w="29" w:type="dxa"/>
              <w:right w:w="29" w:type="dxa"/>
            </w:tcMar>
          </w:tcPr>
          <w:p w:rsidR="005D24F2" w:rsidRPr="00E40494" w:rsidRDefault="00087181" w:rsidP="00A37ED6">
            <w:pPr>
              <w:rPr>
                <w:rFonts w:asciiTheme="majorHAnsi" w:hAnsiTheme="majorHAnsi" w:cstheme="majorHAnsi"/>
                <w:sz w:val="20"/>
                <w:szCs w:val="20"/>
              </w:rPr>
            </w:pPr>
            <w:r w:rsidRPr="00E40494">
              <w:rPr>
                <w:rFonts w:asciiTheme="majorHAnsi" w:hAnsiTheme="majorHAnsi" w:cstheme="majorHAnsi"/>
                <w:sz w:val="20"/>
                <w:szCs w:val="20"/>
              </w:rPr>
              <w:t>Homework, Brief Study Synopsis</w:t>
            </w:r>
            <w:r w:rsidR="005D24F2" w:rsidRPr="00E40494">
              <w:rPr>
                <w:rFonts w:asciiTheme="majorHAnsi" w:hAnsiTheme="majorHAnsi" w:cstheme="majorHAnsi"/>
                <w:color w:val="000000"/>
                <w:sz w:val="20"/>
                <w:szCs w:val="20"/>
              </w:rPr>
              <w:t xml:space="preserve">: This assignment requires the student to identify a research question, the study population, and the variables of interest. The student is also required to write a 2-3 page synopsis of the study, including the public health significance. </w:t>
            </w:r>
          </w:p>
        </w:tc>
      </w:tr>
      <w:tr w:rsidR="005D24F2" w:rsidRPr="00E40494" w:rsidTr="00321053">
        <w:trPr>
          <w:cantSplit/>
          <w:trHeight w:val="300"/>
        </w:trPr>
        <w:tc>
          <w:tcPr>
            <w:tcW w:w="1198" w:type="pct"/>
            <w:vMerge/>
            <w:shd w:val="clear" w:color="auto" w:fill="auto"/>
            <w:tcMar>
              <w:left w:w="29" w:type="dxa"/>
              <w:right w:w="29" w:type="dxa"/>
            </w:tcMar>
          </w:tcPr>
          <w:p w:rsidR="005D24F2" w:rsidRPr="00E40494" w:rsidRDefault="005D24F2" w:rsidP="00A37ED6">
            <w:pPr>
              <w:rPr>
                <w:rFonts w:asciiTheme="majorHAnsi" w:hAnsiTheme="majorHAnsi" w:cstheme="majorHAnsi"/>
                <w:color w:val="000000"/>
                <w:sz w:val="20"/>
                <w:szCs w:val="20"/>
              </w:rPr>
            </w:pPr>
          </w:p>
        </w:tc>
        <w:tc>
          <w:tcPr>
            <w:tcW w:w="1407" w:type="pct"/>
            <w:shd w:val="clear" w:color="auto" w:fill="auto"/>
            <w:tcMar>
              <w:left w:w="29" w:type="dxa"/>
              <w:right w:w="29" w:type="dxa"/>
            </w:tcMar>
          </w:tcPr>
          <w:p w:rsidR="005D24F2" w:rsidRPr="00E40494" w:rsidRDefault="00551BF4" w:rsidP="00FC4AEF">
            <w:pPr>
              <w:rPr>
                <w:rFonts w:asciiTheme="majorHAnsi" w:eastAsia="Times New Roman" w:hAnsiTheme="majorHAnsi" w:cstheme="majorHAnsi"/>
                <w:sz w:val="20"/>
                <w:szCs w:val="20"/>
              </w:rPr>
            </w:pPr>
            <w:r w:rsidRPr="00E40494">
              <w:rPr>
                <w:rFonts w:asciiTheme="majorHAnsi" w:hAnsiTheme="majorHAnsi" w:cstheme="majorHAnsi"/>
                <w:b/>
                <w:sz w:val="20"/>
                <w:szCs w:val="20"/>
              </w:rPr>
              <w:t>PH 2710</w:t>
            </w:r>
            <w:r w:rsidRPr="00E40494">
              <w:rPr>
                <w:rFonts w:asciiTheme="majorHAnsi" w:hAnsiTheme="majorHAnsi" w:cstheme="majorHAnsi"/>
                <w:sz w:val="20"/>
                <w:szCs w:val="20"/>
              </w:rPr>
              <w:t xml:space="preserve"> Epidemiology III</w:t>
            </w:r>
            <w:r w:rsidR="00756340" w:rsidRPr="00E40494">
              <w:rPr>
                <w:rFonts w:asciiTheme="majorHAnsi" w:eastAsia="Times New Roman" w:hAnsiTheme="majorHAnsi" w:cstheme="majorHAnsi"/>
                <w:sz w:val="20"/>
                <w:szCs w:val="20"/>
              </w:rPr>
              <w:t xml:space="preserve"> </w:t>
            </w:r>
          </w:p>
        </w:tc>
        <w:tc>
          <w:tcPr>
            <w:tcW w:w="2395" w:type="pct"/>
            <w:shd w:val="clear" w:color="auto" w:fill="auto"/>
            <w:tcMar>
              <w:left w:w="29" w:type="dxa"/>
              <w:right w:w="29" w:type="dxa"/>
            </w:tcMar>
          </w:tcPr>
          <w:p w:rsidR="005D24F2" w:rsidRPr="00E40494" w:rsidRDefault="00087181" w:rsidP="00A37ED6">
            <w:pPr>
              <w:rPr>
                <w:rFonts w:asciiTheme="majorHAnsi" w:hAnsiTheme="majorHAnsi" w:cstheme="majorHAnsi"/>
                <w:sz w:val="20"/>
                <w:szCs w:val="20"/>
              </w:rPr>
            </w:pPr>
            <w:r w:rsidRPr="00E40494">
              <w:rPr>
                <w:rFonts w:asciiTheme="majorHAnsi" w:hAnsiTheme="majorHAnsi" w:cstheme="majorHAnsi"/>
                <w:sz w:val="20"/>
                <w:szCs w:val="20"/>
              </w:rPr>
              <w:t>HW 4</w:t>
            </w:r>
            <w:r w:rsidR="005D24F2" w:rsidRPr="00E40494">
              <w:rPr>
                <w:rFonts w:asciiTheme="majorHAnsi" w:hAnsiTheme="majorHAnsi" w:cstheme="majorHAnsi"/>
                <w:sz w:val="20"/>
                <w:szCs w:val="20"/>
              </w:rPr>
              <w:t>: Assesse</w:t>
            </w:r>
            <w:r w:rsidR="000F29D3" w:rsidRPr="00E40494">
              <w:rPr>
                <w:rFonts w:asciiTheme="majorHAnsi" w:hAnsiTheme="majorHAnsi" w:cstheme="majorHAnsi"/>
                <w:sz w:val="20"/>
                <w:szCs w:val="20"/>
              </w:rPr>
              <w:t>s</w:t>
            </w:r>
            <w:r w:rsidR="005D24F2" w:rsidRPr="00E40494">
              <w:rPr>
                <w:rFonts w:asciiTheme="majorHAnsi" w:hAnsiTheme="majorHAnsi" w:cstheme="majorHAnsi"/>
                <w:sz w:val="20"/>
                <w:szCs w:val="20"/>
              </w:rPr>
              <w:t xml:space="preserve"> student's knowledge to determine and calculate appropriate measure of association for unmatched and matched case-control studies</w:t>
            </w:r>
            <w:r w:rsidR="001A014E" w:rsidRPr="00E40494">
              <w:rPr>
                <w:rFonts w:asciiTheme="majorHAnsi" w:hAnsiTheme="majorHAnsi" w:cstheme="majorHAnsi"/>
                <w:sz w:val="20"/>
                <w:szCs w:val="20"/>
              </w:rPr>
              <w:t>. Question 2 requires students to perform appropriate statistical methods, and principles of epidemiology to assess for confounding bias.</w:t>
            </w:r>
          </w:p>
          <w:p w:rsidR="005D24F2" w:rsidRPr="00E40494" w:rsidRDefault="005D24F2" w:rsidP="00A37ED6">
            <w:pPr>
              <w:rPr>
                <w:rFonts w:asciiTheme="majorHAnsi" w:hAnsiTheme="majorHAnsi" w:cstheme="majorHAnsi"/>
                <w:sz w:val="20"/>
                <w:szCs w:val="20"/>
              </w:rPr>
            </w:pPr>
          </w:p>
          <w:p w:rsidR="005D24F2" w:rsidRPr="00E40494" w:rsidRDefault="00087181" w:rsidP="00A37ED6">
            <w:pPr>
              <w:rPr>
                <w:rFonts w:asciiTheme="majorHAnsi" w:hAnsiTheme="majorHAnsi" w:cstheme="majorHAnsi"/>
                <w:sz w:val="20"/>
                <w:szCs w:val="20"/>
              </w:rPr>
            </w:pPr>
            <w:r w:rsidRPr="00E40494">
              <w:rPr>
                <w:rFonts w:asciiTheme="majorHAnsi" w:hAnsiTheme="majorHAnsi" w:cstheme="majorHAnsi"/>
                <w:sz w:val="20"/>
                <w:szCs w:val="20"/>
              </w:rPr>
              <w:t>HW1, Question 2</w:t>
            </w:r>
            <w:r w:rsidR="00390A6F" w:rsidRPr="00E40494">
              <w:rPr>
                <w:rFonts w:asciiTheme="majorHAnsi" w:hAnsiTheme="majorHAnsi" w:cstheme="majorHAnsi"/>
                <w:sz w:val="20"/>
                <w:szCs w:val="20"/>
              </w:rPr>
              <w:t>:</w:t>
            </w:r>
            <w:r w:rsidR="005D24F2" w:rsidRPr="00E40494">
              <w:rPr>
                <w:rFonts w:asciiTheme="majorHAnsi" w:hAnsiTheme="majorHAnsi" w:cstheme="majorHAnsi"/>
                <w:sz w:val="20"/>
                <w:szCs w:val="20"/>
              </w:rPr>
              <w:t xml:space="preserve"> Assesse</w:t>
            </w:r>
            <w:r w:rsidR="000F29D3" w:rsidRPr="00E40494">
              <w:rPr>
                <w:rFonts w:asciiTheme="majorHAnsi" w:hAnsiTheme="majorHAnsi" w:cstheme="majorHAnsi"/>
                <w:sz w:val="20"/>
                <w:szCs w:val="20"/>
              </w:rPr>
              <w:t>s</w:t>
            </w:r>
            <w:r w:rsidR="005D24F2" w:rsidRPr="00E40494">
              <w:rPr>
                <w:rFonts w:asciiTheme="majorHAnsi" w:hAnsiTheme="majorHAnsi" w:cstheme="majorHAnsi"/>
                <w:sz w:val="20"/>
                <w:szCs w:val="20"/>
              </w:rPr>
              <w:t xml:space="preserve"> the student's knowledge to determine the appropriate measure of association, calcul</w:t>
            </w:r>
            <w:r w:rsidR="001A014E" w:rsidRPr="00E40494">
              <w:rPr>
                <w:rFonts w:asciiTheme="majorHAnsi" w:hAnsiTheme="majorHAnsi" w:cstheme="majorHAnsi"/>
                <w:sz w:val="20"/>
                <w:szCs w:val="20"/>
              </w:rPr>
              <w:t>ate, and interpret the results.</w:t>
            </w:r>
            <w:r w:rsidR="005D24F2" w:rsidRPr="00E40494">
              <w:rPr>
                <w:rFonts w:asciiTheme="majorHAnsi" w:hAnsiTheme="majorHAnsi" w:cstheme="majorHAnsi"/>
                <w:sz w:val="20"/>
                <w:szCs w:val="20"/>
              </w:rPr>
              <w:t xml:space="preserve"> </w:t>
            </w:r>
          </w:p>
        </w:tc>
      </w:tr>
      <w:tr w:rsidR="005D24F2" w:rsidRPr="00E40494" w:rsidTr="00321053">
        <w:trPr>
          <w:cantSplit/>
          <w:trHeight w:val="300"/>
        </w:trPr>
        <w:tc>
          <w:tcPr>
            <w:tcW w:w="1198" w:type="pct"/>
            <w:shd w:val="clear" w:color="auto" w:fill="auto"/>
            <w:tcMar>
              <w:left w:w="29" w:type="dxa"/>
              <w:right w:w="29" w:type="dxa"/>
            </w:tcMar>
          </w:tcPr>
          <w:p w:rsidR="005D24F2" w:rsidRPr="00E40494" w:rsidRDefault="005D24F2" w:rsidP="00A37ED6">
            <w:pPr>
              <w:rPr>
                <w:rFonts w:asciiTheme="majorHAnsi" w:hAnsiTheme="majorHAnsi" w:cstheme="majorHAnsi"/>
                <w:color w:val="000000"/>
                <w:sz w:val="20"/>
                <w:szCs w:val="20"/>
              </w:rPr>
            </w:pPr>
            <w:r w:rsidRPr="00E40494">
              <w:rPr>
                <w:rFonts w:asciiTheme="majorHAnsi" w:hAnsiTheme="majorHAnsi" w:cstheme="majorHAnsi"/>
                <w:color w:val="000000"/>
                <w:sz w:val="20"/>
                <w:szCs w:val="20"/>
              </w:rPr>
              <w:t>MPH-E4. Apply basic ethical principles pertaining to the collection and management of epidemiologic information.</w:t>
            </w:r>
          </w:p>
        </w:tc>
        <w:tc>
          <w:tcPr>
            <w:tcW w:w="1407" w:type="pct"/>
            <w:shd w:val="clear" w:color="auto" w:fill="auto"/>
            <w:tcMar>
              <w:left w:w="29" w:type="dxa"/>
              <w:right w:w="29" w:type="dxa"/>
            </w:tcMar>
          </w:tcPr>
          <w:p w:rsidR="005D24F2" w:rsidRPr="00E40494" w:rsidRDefault="00551BF4" w:rsidP="00FC4AEF">
            <w:pPr>
              <w:rPr>
                <w:rFonts w:asciiTheme="majorHAnsi" w:eastAsia="Times New Roman" w:hAnsiTheme="majorHAnsi" w:cstheme="majorHAnsi"/>
                <w:sz w:val="20"/>
                <w:szCs w:val="20"/>
              </w:rPr>
            </w:pPr>
            <w:r w:rsidRPr="00E40494">
              <w:rPr>
                <w:rFonts w:asciiTheme="majorHAnsi" w:hAnsiTheme="majorHAnsi" w:cstheme="majorHAnsi"/>
                <w:b/>
                <w:sz w:val="20"/>
                <w:szCs w:val="20"/>
              </w:rPr>
              <w:t>PH 2615</w:t>
            </w:r>
            <w:r w:rsidRPr="00E40494">
              <w:rPr>
                <w:rFonts w:asciiTheme="majorHAnsi" w:hAnsiTheme="majorHAnsi" w:cstheme="majorHAnsi"/>
                <w:sz w:val="20"/>
                <w:szCs w:val="20"/>
              </w:rPr>
              <w:t xml:space="preserve"> Epidemiology II</w:t>
            </w:r>
            <w:r w:rsidR="00D12856" w:rsidRPr="00E40494">
              <w:rPr>
                <w:rFonts w:asciiTheme="majorHAnsi" w:eastAsia="Times New Roman" w:hAnsiTheme="majorHAnsi" w:cstheme="majorHAnsi"/>
                <w:sz w:val="20"/>
                <w:szCs w:val="20"/>
              </w:rPr>
              <w:t xml:space="preserve"> </w:t>
            </w:r>
          </w:p>
        </w:tc>
        <w:tc>
          <w:tcPr>
            <w:tcW w:w="2395" w:type="pct"/>
            <w:shd w:val="clear" w:color="auto" w:fill="auto"/>
            <w:tcMar>
              <w:left w:w="29" w:type="dxa"/>
              <w:right w:w="29" w:type="dxa"/>
            </w:tcMar>
          </w:tcPr>
          <w:p w:rsidR="005D24F2" w:rsidRPr="00E40494" w:rsidRDefault="00087181" w:rsidP="00A37ED6">
            <w:pPr>
              <w:rPr>
                <w:rFonts w:asciiTheme="majorHAnsi" w:hAnsiTheme="majorHAnsi" w:cstheme="majorHAnsi"/>
                <w:color w:val="000000"/>
                <w:sz w:val="20"/>
                <w:szCs w:val="20"/>
              </w:rPr>
            </w:pPr>
            <w:r w:rsidRPr="00E40494">
              <w:rPr>
                <w:rFonts w:asciiTheme="majorHAnsi" w:hAnsiTheme="majorHAnsi" w:cstheme="majorHAnsi"/>
                <w:sz w:val="20"/>
                <w:szCs w:val="20"/>
              </w:rPr>
              <w:t>Homework, Ethical Considerations</w:t>
            </w:r>
            <w:r w:rsidR="00EE5980" w:rsidRPr="00E40494">
              <w:rPr>
                <w:rFonts w:asciiTheme="majorHAnsi" w:hAnsiTheme="majorHAnsi" w:cstheme="majorHAnsi"/>
                <w:color w:val="000000"/>
                <w:sz w:val="20"/>
                <w:szCs w:val="20"/>
              </w:rPr>
              <w:t xml:space="preserve">: </w:t>
            </w:r>
            <w:r w:rsidR="005D24F2" w:rsidRPr="00E40494">
              <w:rPr>
                <w:rFonts w:asciiTheme="majorHAnsi" w:hAnsiTheme="majorHAnsi" w:cstheme="majorHAnsi"/>
                <w:color w:val="000000"/>
                <w:sz w:val="20"/>
                <w:szCs w:val="20"/>
              </w:rPr>
              <w:t xml:space="preserve">This assignment requires the students to complete the CITI training, and prepare the informed consent documents for their proposed study. </w:t>
            </w:r>
          </w:p>
          <w:p w:rsidR="005D24F2" w:rsidRPr="00E40494" w:rsidRDefault="005D24F2" w:rsidP="00A37ED6">
            <w:pPr>
              <w:rPr>
                <w:rFonts w:asciiTheme="majorHAnsi" w:hAnsiTheme="majorHAnsi" w:cstheme="majorHAnsi"/>
                <w:sz w:val="20"/>
                <w:szCs w:val="20"/>
              </w:rPr>
            </w:pPr>
          </w:p>
        </w:tc>
      </w:tr>
      <w:tr w:rsidR="005D24F2" w:rsidRPr="00E40494" w:rsidTr="00321053">
        <w:trPr>
          <w:cantSplit/>
          <w:trHeight w:val="315"/>
        </w:trPr>
        <w:tc>
          <w:tcPr>
            <w:tcW w:w="1198" w:type="pct"/>
            <w:vMerge w:val="restart"/>
            <w:shd w:val="clear" w:color="auto" w:fill="auto"/>
            <w:tcMar>
              <w:left w:w="29" w:type="dxa"/>
              <w:right w:w="29" w:type="dxa"/>
            </w:tcMar>
          </w:tcPr>
          <w:p w:rsidR="005D24F2" w:rsidRPr="00E40494" w:rsidRDefault="005D24F2" w:rsidP="00A37ED6">
            <w:pPr>
              <w:rPr>
                <w:rFonts w:asciiTheme="majorHAnsi" w:hAnsiTheme="majorHAnsi" w:cstheme="majorHAnsi"/>
                <w:color w:val="000000"/>
                <w:sz w:val="20"/>
                <w:szCs w:val="20"/>
              </w:rPr>
            </w:pPr>
            <w:r w:rsidRPr="00E40494">
              <w:rPr>
                <w:rFonts w:asciiTheme="majorHAnsi" w:hAnsiTheme="majorHAnsi" w:cstheme="majorHAnsi"/>
                <w:color w:val="000000"/>
                <w:sz w:val="20"/>
                <w:szCs w:val="20"/>
              </w:rPr>
              <w:t>MPH-E5. Appropriately interpret measures of disease frequency and association, taking into account the impact of bias and error on results and conclusions.</w:t>
            </w:r>
          </w:p>
        </w:tc>
        <w:tc>
          <w:tcPr>
            <w:tcW w:w="1407" w:type="pct"/>
            <w:shd w:val="clear" w:color="auto" w:fill="auto"/>
            <w:tcMar>
              <w:left w:w="29" w:type="dxa"/>
              <w:right w:w="29" w:type="dxa"/>
            </w:tcMar>
          </w:tcPr>
          <w:p w:rsidR="005D24F2" w:rsidRPr="00E40494" w:rsidRDefault="00551BF4" w:rsidP="00FC4AEF">
            <w:pPr>
              <w:rPr>
                <w:rFonts w:asciiTheme="majorHAnsi" w:eastAsia="Times New Roman" w:hAnsiTheme="majorHAnsi" w:cstheme="majorHAnsi"/>
                <w:sz w:val="20"/>
                <w:szCs w:val="20"/>
              </w:rPr>
            </w:pPr>
            <w:r w:rsidRPr="00E40494">
              <w:rPr>
                <w:rFonts w:asciiTheme="majorHAnsi" w:hAnsiTheme="majorHAnsi" w:cstheme="majorHAnsi"/>
                <w:b/>
                <w:sz w:val="20"/>
                <w:szCs w:val="20"/>
              </w:rPr>
              <w:t>PH 2615</w:t>
            </w:r>
            <w:r w:rsidRPr="00E40494">
              <w:rPr>
                <w:rFonts w:asciiTheme="majorHAnsi" w:hAnsiTheme="majorHAnsi" w:cstheme="majorHAnsi"/>
                <w:sz w:val="20"/>
                <w:szCs w:val="20"/>
              </w:rPr>
              <w:t xml:space="preserve"> Epidemiology II</w:t>
            </w:r>
            <w:r w:rsidR="00D12856" w:rsidRPr="00E40494">
              <w:rPr>
                <w:rFonts w:asciiTheme="majorHAnsi" w:eastAsia="Times New Roman" w:hAnsiTheme="majorHAnsi" w:cstheme="majorHAnsi"/>
                <w:sz w:val="20"/>
                <w:szCs w:val="20"/>
              </w:rPr>
              <w:t xml:space="preserve"> </w:t>
            </w:r>
          </w:p>
        </w:tc>
        <w:tc>
          <w:tcPr>
            <w:tcW w:w="2395" w:type="pct"/>
            <w:tcBorders>
              <w:top w:val="single" w:sz="8" w:space="0" w:color="auto"/>
              <w:left w:val="single" w:sz="8" w:space="0" w:color="auto"/>
              <w:bottom w:val="single" w:sz="8" w:space="0" w:color="000000"/>
              <w:right w:val="single" w:sz="8" w:space="0" w:color="auto"/>
            </w:tcBorders>
            <w:shd w:val="clear" w:color="auto" w:fill="auto"/>
            <w:tcMar>
              <w:left w:w="29" w:type="dxa"/>
              <w:right w:w="29" w:type="dxa"/>
            </w:tcMar>
          </w:tcPr>
          <w:p w:rsidR="005D24F2" w:rsidRPr="00E40494" w:rsidRDefault="00087181" w:rsidP="00A37ED6">
            <w:pPr>
              <w:rPr>
                <w:rFonts w:asciiTheme="majorHAnsi" w:hAnsiTheme="majorHAnsi" w:cstheme="majorHAnsi"/>
                <w:sz w:val="20"/>
                <w:szCs w:val="20"/>
              </w:rPr>
            </w:pPr>
            <w:r w:rsidRPr="00E40494">
              <w:rPr>
                <w:rFonts w:asciiTheme="majorHAnsi" w:hAnsiTheme="majorHAnsi" w:cstheme="majorHAnsi"/>
                <w:sz w:val="20"/>
                <w:szCs w:val="20"/>
              </w:rPr>
              <w:t>Homework, Data Analysis</w:t>
            </w:r>
            <w:r w:rsidR="005D24F2" w:rsidRPr="00E40494">
              <w:rPr>
                <w:rFonts w:asciiTheme="majorHAnsi" w:hAnsiTheme="majorHAnsi" w:cstheme="majorHAnsi"/>
                <w:color w:val="000000"/>
                <w:sz w:val="20"/>
                <w:szCs w:val="20"/>
              </w:rPr>
              <w:t xml:space="preserve">: This assignment requires the students to construct two mock tables (for descriptive and analytical results). The descriptive table will contain all the variables included in the study, along with the potential confounders and effect modifiers. </w:t>
            </w:r>
          </w:p>
        </w:tc>
      </w:tr>
      <w:tr w:rsidR="005D24F2" w:rsidRPr="00E40494" w:rsidTr="00321053">
        <w:trPr>
          <w:cantSplit/>
          <w:trHeight w:val="315"/>
        </w:trPr>
        <w:tc>
          <w:tcPr>
            <w:tcW w:w="1198" w:type="pct"/>
            <w:vMerge/>
            <w:shd w:val="clear" w:color="auto" w:fill="auto"/>
            <w:tcMar>
              <w:left w:w="29" w:type="dxa"/>
              <w:right w:w="29" w:type="dxa"/>
            </w:tcMar>
          </w:tcPr>
          <w:p w:rsidR="005D24F2" w:rsidRPr="00E40494" w:rsidRDefault="005D24F2" w:rsidP="00A37ED6">
            <w:pPr>
              <w:rPr>
                <w:rFonts w:asciiTheme="majorHAnsi" w:hAnsiTheme="majorHAnsi" w:cstheme="majorHAnsi"/>
                <w:color w:val="000000"/>
                <w:sz w:val="20"/>
                <w:szCs w:val="20"/>
              </w:rPr>
            </w:pPr>
          </w:p>
        </w:tc>
        <w:tc>
          <w:tcPr>
            <w:tcW w:w="1407" w:type="pct"/>
            <w:shd w:val="clear" w:color="auto" w:fill="auto"/>
            <w:tcMar>
              <w:left w:w="29" w:type="dxa"/>
              <w:right w:w="29" w:type="dxa"/>
            </w:tcMar>
          </w:tcPr>
          <w:p w:rsidR="005D24F2" w:rsidRPr="00E40494" w:rsidRDefault="00551BF4" w:rsidP="00FC4AEF">
            <w:pPr>
              <w:rPr>
                <w:rFonts w:asciiTheme="majorHAnsi" w:eastAsia="Times New Roman" w:hAnsiTheme="majorHAnsi" w:cstheme="majorHAnsi"/>
                <w:sz w:val="20"/>
                <w:szCs w:val="20"/>
              </w:rPr>
            </w:pPr>
            <w:r w:rsidRPr="00E40494">
              <w:rPr>
                <w:rFonts w:asciiTheme="majorHAnsi" w:hAnsiTheme="majorHAnsi" w:cstheme="majorHAnsi"/>
                <w:b/>
                <w:sz w:val="20"/>
                <w:szCs w:val="20"/>
              </w:rPr>
              <w:t>PH 2710</w:t>
            </w:r>
            <w:r w:rsidRPr="00E40494">
              <w:rPr>
                <w:rFonts w:asciiTheme="majorHAnsi" w:hAnsiTheme="majorHAnsi" w:cstheme="majorHAnsi"/>
                <w:sz w:val="20"/>
                <w:szCs w:val="20"/>
              </w:rPr>
              <w:t xml:space="preserve"> Epidemiology III</w:t>
            </w:r>
            <w:r w:rsidR="00756340" w:rsidRPr="00E40494">
              <w:rPr>
                <w:rFonts w:asciiTheme="majorHAnsi" w:eastAsia="Times New Roman" w:hAnsiTheme="majorHAnsi" w:cstheme="majorHAnsi"/>
                <w:sz w:val="20"/>
                <w:szCs w:val="20"/>
              </w:rPr>
              <w:t xml:space="preserve"> </w:t>
            </w:r>
          </w:p>
        </w:tc>
        <w:tc>
          <w:tcPr>
            <w:tcW w:w="2395" w:type="pct"/>
            <w:tcBorders>
              <w:top w:val="single" w:sz="8" w:space="0" w:color="auto"/>
              <w:left w:val="single" w:sz="8" w:space="0" w:color="auto"/>
              <w:bottom w:val="single" w:sz="8" w:space="0" w:color="000000"/>
              <w:right w:val="single" w:sz="8" w:space="0" w:color="auto"/>
            </w:tcBorders>
            <w:tcMar>
              <w:left w:w="29" w:type="dxa"/>
              <w:right w:w="29" w:type="dxa"/>
            </w:tcMar>
            <w:vAlign w:val="center"/>
          </w:tcPr>
          <w:p w:rsidR="005D24F2" w:rsidRPr="00E40494" w:rsidRDefault="00087181" w:rsidP="00A37ED6">
            <w:pPr>
              <w:rPr>
                <w:rFonts w:asciiTheme="majorHAnsi" w:hAnsiTheme="majorHAnsi" w:cstheme="majorHAnsi"/>
                <w:sz w:val="20"/>
                <w:szCs w:val="20"/>
              </w:rPr>
            </w:pPr>
            <w:r w:rsidRPr="00E40494">
              <w:rPr>
                <w:rFonts w:asciiTheme="majorHAnsi" w:hAnsiTheme="majorHAnsi" w:cstheme="majorHAnsi"/>
                <w:sz w:val="20"/>
                <w:szCs w:val="20"/>
              </w:rPr>
              <w:t>HW 6, Question 1</w:t>
            </w:r>
            <w:r w:rsidR="00390A6F" w:rsidRPr="00E40494">
              <w:rPr>
                <w:rFonts w:asciiTheme="majorHAnsi" w:hAnsiTheme="majorHAnsi" w:cstheme="majorHAnsi"/>
                <w:sz w:val="20"/>
                <w:szCs w:val="20"/>
              </w:rPr>
              <w:t>:</w:t>
            </w:r>
            <w:r w:rsidR="005D24F2" w:rsidRPr="00E40494">
              <w:rPr>
                <w:rFonts w:asciiTheme="majorHAnsi" w:hAnsiTheme="majorHAnsi" w:cstheme="majorHAnsi"/>
                <w:sz w:val="20"/>
                <w:szCs w:val="20"/>
              </w:rPr>
              <w:t xml:space="preserve"> Assesse</w:t>
            </w:r>
            <w:r w:rsidR="00A143B6" w:rsidRPr="00E40494">
              <w:rPr>
                <w:rFonts w:asciiTheme="majorHAnsi" w:hAnsiTheme="majorHAnsi" w:cstheme="majorHAnsi"/>
                <w:sz w:val="20"/>
                <w:szCs w:val="20"/>
              </w:rPr>
              <w:t>s</w:t>
            </w:r>
            <w:r w:rsidR="005D24F2" w:rsidRPr="00E40494">
              <w:rPr>
                <w:rFonts w:asciiTheme="majorHAnsi" w:hAnsiTheme="majorHAnsi" w:cstheme="majorHAnsi"/>
                <w:sz w:val="20"/>
                <w:szCs w:val="20"/>
              </w:rPr>
              <w:t xml:space="preserve"> student's </w:t>
            </w:r>
            <w:r w:rsidR="008E59AB" w:rsidRPr="00E40494">
              <w:rPr>
                <w:rFonts w:asciiTheme="majorHAnsi" w:hAnsiTheme="majorHAnsi" w:cstheme="majorHAnsi"/>
                <w:sz w:val="20"/>
                <w:szCs w:val="20"/>
              </w:rPr>
              <w:t>knowledge to</w:t>
            </w:r>
            <w:r w:rsidR="005D24F2" w:rsidRPr="00E40494">
              <w:rPr>
                <w:rFonts w:asciiTheme="majorHAnsi" w:hAnsiTheme="majorHAnsi" w:cstheme="majorHAnsi"/>
                <w:sz w:val="20"/>
                <w:szCs w:val="20"/>
              </w:rPr>
              <w:t xml:space="preserve"> interpret the effect of evaluated interaction and effect modification on additive and multiplicative scales</w:t>
            </w:r>
            <w:r w:rsidR="00C3355E">
              <w:rPr>
                <w:rFonts w:asciiTheme="majorHAnsi" w:hAnsiTheme="majorHAnsi" w:cstheme="majorHAnsi"/>
                <w:sz w:val="20"/>
                <w:szCs w:val="20"/>
              </w:rPr>
              <w:t>.</w:t>
            </w:r>
          </w:p>
          <w:p w:rsidR="005D24F2" w:rsidRPr="00E40494" w:rsidRDefault="005D24F2" w:rsidP="00A37ED6">
            <w:pPr>
              <w:rPr>
                <w:rFonts w:asciiTheme="majorHAnsi" w:hAnsiTheme="majorHAnsi" w:cstheme="majorHAnsi"/>
                <w:sz w:val="20"/>
                <w:szCs w:val="20"/>
              </w:rPr>
            </w:pPr>
          </w:p>
          <w:p w:rsidR="005D24F2" w:rsidRPr="00E40494" w:rsidRDefault="00087181" w:rsidP="00A37ED6">
            <w:pPr>
              <w:rPr>
                <w:rFonts w:asciiTheme="majorHAnsi" w:hAnsiTheme="majorHAnsi" w:cstheme="majorHAnsi"/>
                <w:sz w:val="20"/>
                <w:szCs w:val="20"/>
              </w:rPr>
            </w:pPr>
            <w:r w:rsidRPr="00E40494">
              <w:rPr>
                <w:rFonts w:asciiTheme="majorHAnsi" w:hAnsiTheme="majorHAnsi" w:cstheme="majorHAnsi"/>
                <w:sz w:val="20"/>
                <w:szCs w:val="20"/>
              </w:rPr>
              <w:t>HW4, Question</w:t>
            </w:r>
            <w:r w:rsidR="00A143B6" w:rsidRPr="00E40494">
              <w:rPr>
                <w:rFonts w:asciiTheme="majorHAnsi" w:hAnsiTheme="majorHAnsi" w:cstheme="majorHAnsi"/>
                <w:sz w:val="20"/>
                <w:szCs w:val="20"/>
              </w:rPr>
              <w:t xml:space="preserve"> </w:t>
            </w:r>
            <w:r w:rsidRPr="00E40494">
              <w:rPr>
                <w:rFonts w:asciiTheme="majorHAnsi" w:hAnsiTheme="majorHAnsi" w:cstheme="majorHAnsi"/>
                <w:sz w:val="20"/>
                <w:szCs w:val="20"/>
              </w:rPr>
              <w:t>2</w:t>
            </w:r>
            <w:r w:rsidR="00390A6F" w:rsidRPr="00E40494">
              <w:rPr>
                <w:rFonts w:asciiTheme="majorHAnsi" w:hAnsiTheme="majorHAnsi" w:cstheme="majorHAnsi"/>
                <w:sz w:val="20"/>
                <w:szCs w:val="20"/>
              </w:rPr>
              <w:t>:</w:t>
            </w:r>
            <w:r w:rsidR="00450A9C" w:rsidRPr="00E40494">
              <w:rPr>
                <w:rFonts w:asciiTheme="majorHAnsi" w:hAnsiTheme="majorHAnsi" w:cstheme="majorHAnsi"/>
                <w:sz w:val="20"/>
                <w:szCs w:val="20"/>
              </w:rPr>
              <w:t xml:space="preserve"> Requires</w:t>
            </w:r>
            <w:r w:rsidR="005D24F2" w:rsidRPr="00E40494">
              <w:rPr>
                <w:rFonts w:asciiTheme="majorHAnsi" w:hAnsiTheme="majorHAnsi" w:cstheme="majorHAnsi"/>
                <w:sz w:val="20"/>
                <w:szCs w:val="20"/>
              </w:rPr>
              <w:t xml:space="preserve"> students to perform appropriate methods to assess for a confounder and interpret the effect of confounder on measure of association</w:t>
            </w:r>
            <w:r w:rsidR="00C3355E">
              <w:rPr>
                <w:rFonts w:asciiTheme="majorHAnsi" w:hAnsiTheme="majorHAnsi" w:cstheme="majorHAnsi"/>
                <w:sz w:val="20"/>
                <w:szCs w:val="20"/>
              </w:rPr>
              <w:t>.</w:t>
            </w:r>
          </w:p>
          <w:p w:rsidR="005D24F2" w:rsidRPr="00E40494" w:rsidRDefault="005D24F2" w:rsidP="00A37ED6">
            <w:pPr>
              <w:rPr>
                <w:rFonts w:asciiTheme="majorHAnsi" w:hAnsiTheme="majorHAnsi" w:cstheme="majorHAnsi"/>
                <w:sz w:val="20"/>
                <w:szCs w:val="20"/>
              </w:rPr>
            </w:pPr>
          </w:p>
          <w:p w:rsidR="005D24F2" w:rsidRPr="00E40494" w:rsidRDefault="00087181" w:rsidP="00A37ED6">
            <w:pPr>
              <w:rPr>
                <w:rFonts w:asciiTheme="majorHAnsi" w:hAnsiTheme="majorHAnsi" w:cstheme="majorHAnsi"/>
                <w:sz w:val="20"/>
                <w:szCs w:val="20"/>
              </w:rPr>
            </w:pPr>
            <w:r w:rsidRPr="00E40494">
              <w:rPr>
                <w:rFonts w:asciiTheme="majorHAnsi" w:hAnsiTheme="majorHAnsi" w:cstheme="majorHAnsi"/>
                <w:sz w:val="20"/>
                <w:szCs w:val="20"/>
              </w:rPr>
              <w:t>HW 7</w:t>
            </w:r>
            <w:r w:rsidR="00390A6F" w:rsidRPr="00E40494">
              <w:rPr>
                <w:rFonts w:asciiTheme="majorHAnsi" w:hAnsiTheme="majorHAnsi" w:cstheme="majorHAnsi"/>
                <w:sz w:val="20"/>
                <w:szCs w:val="20"/>
              </w:rPr>
              <w:t>:</w:t>
            </w:r>
            <w:r w:rsidR="005D24F2" w:rsidRPr="00E40494">
              <w:rPr>
                <w:rFonts w:asciiTheme="majorHAnsi" w:hAnsiTheme="majorHAnsi" w:cstheme="majorHAnsi"/>
                <w:sz w:val="20"/>
                <w:szCs w:val="20"/>
              </w:rPr>
              <w:t xml:space="preserve"> Assesse</w:t>
            </w:r>
            <w:r w:rsidR="0004788C" w:rsidRPr="00E40494">
              <w:rPr>
                <w:rFonts w:asciiTheme="majorHAnsi" w:hAnsiTheme="majorHAnsi" w:cstheme="majorHAnsi"/>
                <w:sz w:val="20"/>
                <w:szCs w:val="20"/>
              </w:rPr>
              <w:t>s</w:t>
            </w:r>
            <w:r w:rsidR="005D24F2" w:rsidRPr="00E40494">
              <w:rPr>
                <w:rFonts w:asciiTheme="majorHAnsi" w:hAnsiTheme="majorHAnsi" w:cstheme="majorHAnsi"/>
                <w:sz w:val="20"/>
                <w:szCs w:val="20"/>
              </w:rPr>
              <w:t xml:space="preserve"> student's knowledge of interpre</w:t>
            </w:r>
            <w:r w:rsidR="00C3355E">
              <w:rPr>
                <w:rFonts w:asciiTheme="majorHAnsi" w:hAnsiTheme="majorHAnsi" w:cstheme="majorHAnsi"/>
                <w:sz w:val="20"/>
                <w:szCs w:val="20"/>
              </w:rPr>
              <w:t>tation of calculated odds ratio.</w:t>
            </w:r>
          </w:p>
        </w:tc>
      </w:tr>
    </w:tbl>
    <w:p w:rsidR="005D24F2" w:rsidRPr="00740AE3" w:rsidRDefault="005D24F2" w:rsidP="00A37ED6">
      <w:pPr>
        <w:ind w:left="720"/>
        <w:jc w:val="both"/>
        <w:rPr>
          <w:rStyle w:val="Hyperlink"/>
          <w:rFonts w:asciiTheme="majorHAnsi" w:hAnsiTheme="majorHAnsi" w:cstheme="majorHAnsi"/>
          <w:sz w:val="20"/>
          <w:szCs w:val="20"/>
        </w:rPr>
      </w:pPr>
    </w:p>
    <w:p w:rsidR="003F4E3E" w:rsidRPr="00740AE3" w:rsidRDefault="0004788C" w:rsidP="00A37ED6">
      <w:pPr>
        <w:ind w:left="720"/>
        <w:rPr>
          <w:rFonts w:asciiTheme="majorHAnsi" w:hAnsiTheme="majorHAnsi" w:cstheme="majorHAnsi"/>
          <w:sz w:val="20"/>
          <w:szCs w:val="20"/>
        </w:rPr>
      </w:pPr>
      <w:r w:rsidRPr="00740AE3">
        <w:rPr>
          <w:rFonts w:asciiTheme="majorHAnsi" w:hAnsiTheme="majorHAnsi" w:cstheme="majorHAnsi"/>
          <w:sz w:val="20"/>
          <w:szCs w:val="20"/>
        </w:rPr>
        <w:t>Table D.4.1.</w:t>
      </w:r>
      <w:r w:rsidR="00EF0A98" w:rsidRPr="00740AE3">
        <w:rPr>
          <w:rFonts w:asciiTheme="majorHAnsi" w:hAnsiTheme="majorHAnsi" w:cstheme="majorHAnsi"/>
          <w:sz w:val="20"/>
          <w:szCs w:val="20"/>
        </w:rPr>
        <w:t>d</w:t>
      </w:r>
      <w:r w:rsidRPr="00740AE3">
        <w:rPr>
          <w:rFonts w:asciiTheme="majorHAnsi" w:hAnsiTheme="majorHAnsi" w:cstheme="majorHAnsi"/>
          <w:sz w:val="20"/>
          <w:szCs w:val="20"/>
        </w:rPr>
        <w:t xml:space="preserve">. Assessment of Competencies for MPH in Health Promotion/Health Education </w:t>
      </w:r>
      <w:r w:rsidR="00F03D58" w:rsidRPr="00740AE3">
        <w:rPr>
          <w:rFonts w:asciiTheme="majorHAnsi" w:hAnsiTheme="majorHAnsi" w:cstheme="majorHAnsi"/>
          <w:sz w:val="20"/>
          <w:szCs w:val="20"/>
        </w:rPr>
        <w:t>(</w:t>
      </w:r>
      <w:r w:rsidR="00F03D58" w:rsidRPr="00740AE3">
        <w:rPr>
          <w:rFonts w:asciiTheme="majorHAnsi" w:hAnsiTheme="majorHAnsi" w:cstheme="majorHAnsi"/>
          <w:i/>
          <w:sz w:val="20"/>
          <w:szCs w:val="20"/>
        </w:rPr>
        <w:t>ERF, D4.3. MPH in Health Promotion and Health Education</w:t>
      </w:r>
      <w:r w:rsidR="00F03D58" w:rsidRPr="00740AE3">
        <w:rPr>
          <w:rFonts w:asciiTheme="majorHAnsi" w:hAnsiTheme="majorHAnsi" w:cstheme="majorHAnsi"/>
          <w:sz w:val="20"/>
          <w:szCs w:val="20"/>
        </w:rPr>
        <w:t>)</w:t>
      </w: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2430"/>
        <w:gridCol w:w="4140"/>
      </w:tblGrid>
      <w:tr w:rsidR="00CB5EB1" w:rsidRPr="002D117C" w:rsidTr="009A299C">
        <w:trPr>
          <w:cantSplit/>
          <w:trHeight w:val="525"/>
          <w:tblHeader/>
        </w:trPr>
        <w:tc>
          <w:tcPr>
            <w:tcW w:w="1197" w:type="pct"/>
            <w:shd w:val="clear" w:color="000000" w:fill="D9D9D9"/>
            <w:tcMar>
              <w:left w:w="29" w:type="dxa"/>
              <w:right w:w="29" w:type="dxa"/>
            </w:tcMar>
            <w:hideMark/>
          </w:tcPr>
          <w:p w:rsidR="00CB5EB1" w:rsidRPr="002D117C" w:rsidRDefault="00CB5EB1" w:rsidP="00A37ED6">
            <w:pPr>
              <w:jc w:val="center"/>
              <w:rPr>
                <w:rFonts w:asciiTheme="majorHAnsi" w:eastAsia="Times New Roman" w:hAnsiTheme="majorHAnsi" w:cstheme="majorHAnsi"/>
                <w:b/>
                <w:bCs/>
                <w:color w:val="000000"/>
                <w:sz w:val="20"/>
                <w:szCs w:val="20"/>
              </w:rPr>
            </w:pPr>
            <w:r w:rsidRPr="002D117C">
              <w:rPr>
                <w:rFonts w:asciiTheme="majorHAnsi" w:eastAsia="Times New Roman" w:hAnsiTheme="majorHAnsi" w:cstheme="majorHAnsi"/>
                <w:b/>
                <w:bCs/>
                <w:color w:val="000000"/>
                <w:sz w:val="20"/>
                <w:szCs w:val="20"/>
              </w:rPr>
              <w:t>Competency</w:t>
            </w:r>
          </w:p>
        </w:tc>
        <w:tc>
          <w:tcPr>
            <w:tcW w:w="1406" w:type="pct"/>
            <w:shd w:val="clear" w:color="000000" w:fill="D9D9D9"/>
            <w:tcMar>
              <w:left w:w="29" w:type="dxa"/>
              <w:right w:w="29" w:type="dxa"/>
            </w:tcMar>
            <w:hideMark/>
          </w:tcPr>
          <w:p w:rsidR="00CB5EB1" w:rsidRPr="002D117C" w:rsidRDefault="00CB5EB1" w:rsidP="00A37ED6">
            <w:pPr>
              <w:jc w:val="center"/>
              <w:rPr>
                <w:rFonts w:asciiTheme="majorHAnsi" w:eastAsia="Times New Roman" w:hAnsiTheme="majorHAnsi" w:cstheme="majorHAnsi"/>
                <w:b/>
                <w:bCs/>
                <w:color w:val="000000"/>
                <w:sz w:val="20"/>
                <w:szCs w:val="20"/>
              </w:rPr>
            </w:pPr>
            <w:r w:rsidRPr="002D117C">
              <w:rPr>
                <w:rFonts w:asciiTheme="majorHAnsi" w:eastAsia="Times New Roman" w:hAnsiTheme="majorHAnsi" w:cstheme="majorHAnsi"/>
                <w:b/>
                <w:bCs/>
                <w:color w:val="000000"/>
                <w:sz w:val="20"/>
                <w:szCs w:val="20"/>
              </w:rPr>
              <w:t>Course number(s) and name(s)</w:t>
            </w:r>
          </w:p>
        </w:tc>
        <w:tc>
          <w:tcPr>
            <w:tcW w:w="2396" w:type="pct"/>
            <w:shd w:val="clear" w:color="000000" w:fill="D9D9D9"/>
            <w:tcMar>
              <w:left w:w="29" w:type="dxa"/>
              <w:right w:w="29" w:type="dxa"/>
            </w:tcMar>
            <w:hideMark/>
          </w:tcPr>
          <w:p w:rsidR="00CB5EB1" w:rsidRPr="002D117C" w:rsidRDefault="00CB5EB1" w:rsidP="00A37ED6">
            <w:pPr>
              <w:jc w:val="center"/>
              <w:rPr>
                <w:rFonts w:asciiTheme="majorHAnsi" w:eastAsia="Times New Roman" w:hAnsiTheme="majorHAnsi" w:cstheme="majorHAnsi"/>
                <w:b/>
                <w:bCs/>
                <w:color w:val="000000"/>
                <w:sz w:val="20"/>
                <w:szCs w:val="20"/>
              </w:rPr>
            </w:pPr>
            <w:r w:rsidRPr="002D117C">
              <w:rPr>
                <w:rFonts w:asciiTheme="majorHAnsi" w:eastAsia="Times New Roman" w:hAnsiTheme="majorHAnsi" w:cstheme="majorHAnsi"/>
                <w:b/>
                <w:bCs/>
                <w:color w:val="000000"/>
                <w:sz w:val="20"/>
                <w:szCs w:val="20"/>
              </w:rPr>
              <w:t>Specific assignment(s) that allow assessment</w:t>
            </w:r>
          </w:p>
        </w:tc>
      </w:tr>
      <w:tr w:rsidR="00CB5EB1" w:rsidRPr="002D117C" w:rsidTr="009A299C">
        <w:trPr>
          <w:cantSplit/>
          <w:trHeight w:val="1727"/>
        </w:trPr>
        <w:tc>
          <w:tcPr>
            <w:tcW w:w="1197" w:type="pct"/>
            <w:shd w:val="clear" w:color="auto" w:fill="auto"/>
            <w:tcMar>
              <w:left w:w="29" w:type="dxa"/>
              <w:right w:w="29" w:type="dxa"/>
            </w:tcMar>
            <w:hideMark/>
          </w:tcPr>
          <w:p w:rsidR="00CB5EB1" w:rsidRPr="002D117C" w:rsidRDefault="00CB5EB1" w:rsidP="00A37ED6">
            <w:pPr>
              <w:rPr>
                <w:rFonts w:asciiTheme="majorHAnsi" w:hAnsiTheme="majorHAnsi" w:cstheme="majorHAnsi"/>
                <w:color w:val="000000"/>
                <w:sz w:val="20"/>
                <w:szCs w:val="20"/>
              </w:rPr>
            </w:pPr>
            <w:r w:rsidRPr="002D117C">
              <w:rPr>
                <w:rFonts w:asciiTheme="majorHAnsi" w:hAnsiTheme="majorHAnsi" w:cstheme="majorHAnsi"/>
                <w:color w:val="000000"/>
                <w:sz w:val="20"/>
                <w:szCs w:val="20"/>
              </w:rPr>
              <w:t>MPH-H1. Conduct a needs assessment in partnership with stakeholders to address a public health issue.</w:t>
            </w:r>
          </w:p>
        </w:tc>
        <w:tc>
          <w:tcPr>
            <w:tcW w:w="1406" w:type="pct"/>
            <w:shd w:val="clear" w:color="auto" w:fill="auto"/>
            <w:tcMar>
              <w:left w:w="29" w:type="dxa"/>
              <w:right w:w="29" w:type="dxa"/>
            </w:tcMar>
            <w:hideMark/>
          </w:tcPr>
          <w:p w:rsidR="00CB5EB1" w:rsidRPr="002D117C" w:rsidRDefault="00BF4724" w:rsidP="00FC4AEF">
            <w:pPr>
              <w:rPr>
                <w:rFonts w:asciiTheme="majorHAnsi" w:hAnsiTheme="majorHAnsi" w:cstheme="majorHAnsi"/>
                <w:color w:val="000000"/>
                <w:sz w:val="20"/>
                <w:szCs w:val="20"/>
              </w:rPr>
            </w:pPr>
            <w:r w:rsidRPr="002D117C">
              <w:rPr>
                <w:rFonts w:asciiTheme="majorHAnsi" w:hAnsiTheme="majorHAnsi" w:cstheme="majorHAnsi"/>
                <w:b/>
                <w:sz w:val="20"/>
                <w:szCs w:val="20"/>
              </w:rPr>
              <w:t>PH 1112</w:t>
            </w:r>
            <w:r w:rsidRPr="002D117C">
              <w:rPr>
                <w:rFonts w:asciiTheme="majorHAnsi" w:hAnsiTheme="majorHAnsi" w:cstheme="majorHAnsi"/>
                <w:sz w:val="20"/>
                <w:szCs w:val="20"/>
              </w:rPr>
              <w:t xml:space="preserve"> Community Assessment Methods in Public Health</w:t>
            </w:r>
          </w:p>
        </w:tc>
        <w:tc>
          <w:tcPr>
            <w:tcW w:w="2396" w:type="pct"/>
            <w:shd w:val="clear" w:color="auto" w:fill="auto"/>
            <w:tcMar>
              <w:left w:w="29" w:type="dxa"/>
              <w:right w:w="29" w:type="dxa"/>
            </w:tcMar>
            <w:hideMark/>
          </w:tcPr>
          <w:p w:rsidR="00CB5EB1" w:rsidRPr="002D117C" w:rsidRDefault="003631EB" w:rsidP="00A37ED6">
            <w:pPr>
              <w:rPr>
                <w:rFonts w:asciiTheme="majorHAnsi" w:hAnsiTheme="majorHAnsi" w:cstheme="majorHAnsi"/>
                <w:color w:val="FF0000"/>
                <w:sz w:val="20"/>
                <w:szCs w:val="20"/>
              </w:rPr>
            </w:pPr>
            <w:r w:rsidRPr="002D117C">
              <w:rPr>
                <w:rFonts w:asciiTheme="majorHAnsi" w:hAnsiTheme="majorHAnsi" w:cstheme="majorHAnsi"/>
                <w:sz w:val="20"/>
                <w:szCs w:val="20"/>
              </w:rPr>
              <w:t>Community Assessment</w:t>
            </w:r>
            <w:r w:rsidR="00CB5EB1" w:rsidRPr="00C84B36">
              <w:rPr>
                <w:rFonts w:asciiTheme="majorHAnsi" w:hAnsiTheme="majorHAnsi" w:cstheme="majorHAnsi"/>
                <w:bCs/>
                <w:sz w:val="20"/>
                <w:szCs w:val="20"/>
              </w:rPr>
              <w:t>:</w:t>
            </w:r>
            <w:r w:rsidR="00CB5EB1" w:rsidRPr="002D117C">
              <w:rPr>
                <w:rFonts w:asciiTheme="majorHAnsi" w:hAnsiTheme="majorHAnsi" w:cstheme="majorHAnsi"/>
                <w:bCs/>
                <w:sz w:val="20"/>
                <w:szCs w:val="20"/>
              </w:rPr>
              <w:t xml:space="preserve"> Students in the course will partner with community stakeholders across communities (regional campuses) to identify a community assessment related project to complete within the 3-month data co</w:t>
            </w:r>
            <w:r w:rsidR="009D4216">
              <w:rPr>
                <w:rFonts w:asciiTheme="majorHAnsi" w:hAnsiTheme="majorHAnsi" w:cstheme="majorHAnsi"/>
                <w:bCs/>
                <w:sz w:val="20"/>
                <w:szCs w:val="20"/>
              </w:rPr>
              <w:t xml:space="preserve">llection and reporting period. </w:t>
            </w:r>
            <w:r w:rsidR="00CB5EB1" w:rsidRPr="002D117C">
              <w:rPr>
                <w:rFonts w:asciiTheme="majorHAnsi" w:hAnsiTheme="majorHAnsi" w:cstheme="majorHAnsi"/>
                <w:bCs/>
                <w:sz w:val="20"/>
                <w:szCs w:val="20"/>
              </w:rPr>
              <w:t>Community stakeholders define a project, students work to finalize the scope of work and complete data collection (primary and secondary) activities to complete a final report.  Community activities may include quantitative, qualitative, survey development, review of secondary data or reviewing, coding and priority analysis of secondary data. Students will identify recommendations and next steps for community assessment processes tailored to the</w:t>
            </w:r>
            <w:r w:rsidR="003B4443">
              <w:rPr>
                <w:rFonts w:asciiTheme="majorHAnsi" w:hAnsiTheme="majorHAnsi" w:cstheme="majorHAnsi"/>
                <w:bCs/>
                <w:sz w:val="20"/>
                <w:szCs w:val="20"/>
              </w:rPr>
              <w:t xml:space="preserve"> stakeholder identified needs. </w:t>
            </w:r>
            <w:r w:rsidR="00CB5EB1" w:rsidRPr="002D117C">
              <w:rPr>
                <w:rFonts w:asciiTheme="majorHAnsi" w:hAnsiTheme="majorHAnsi" w:cstheme="majorHAnsi"/>
                <w:bCs/>
                <w:sz w:val="20"/>
                <w:szCs w:val="20"/>
              </w:rPr>
              <w:t>Students may be asked by stakeholders to present to boards of directors, community groups, coalitions, and conferences.</w:t>
            </w:r>
          </w:p>
        </w:tc>
      </w:tr>
      <w:tr w:rsidR="00CB5EB1" w:rsidRPr="002D117C" w:rsidTr="009A299C">
        <w:trPr>
          <w:cantSplit/>
          <w:trHeight w:val="1538"/>
        </w:trPr>
        <w:tc>
          <w:tcPr>
            <w:tcW w:w="1197" w:type="pct"/>
            <w:shd w:val="clear" w:color="auto" w:fill="auto"/>
            <w:tcMar>
              <w:left w:w="29" w:type="dxa"/>
              <w:right w:w="29" w:type="dxa"/>
            </w:tcMar>
            <w:hideMark/>
          </w:tcPr>
          <w:p w:rsidR="00CB5EB1" w:rsidRPr="002D117C" w:rsidRDefault="00CB5EB1" w:rsidP="00A37ED6">
            <w:pPr>
              <w:rPr>
                <w:rFonts w:asciiTheme="majorHAnsi" w:hAnsiTheme="majorHAnsi" w:cstheme="majorHAnsi"/>
                <w:color w:val="000000"/>
                <w:sz w:val="20"/>
                <w:szCs w:val="20"/>
              </w:rPr>
            </w:pPr>
            <w:r w:rsidRPr="002D117C">
              <w:rPr>
                <w:rFonts w:asciiTheme="majorHAnsi" w:hAnsiTheme="majorHAnsi" w:cstheme="majorHAnsi"/>
                <w:color w:val="000000"/>
                <w:sz w:val="20"/>
                <w:szCs w:val="20"/>
              </w:rPr>
              <w:t>MPH-H2. Explain how social or behavioral sciences theories are operationalized in health promotion interventions.</w:t>
            </w:r>
          </w:p>
        </w:tc>
        <w:tc>
          <w:tcPr>
            <w:tcW w:w="1406" w:type="pct"/>
            <w:shd w:val="clear" w:color="auto" w:fill="auto"/>
            <w:tcMar>
              <w:left w:w="29" w:type="dxa"/>
              <w:right w:w="29" w:type="dxa"/>
            </w:tcMar>
            <w:hideMark/>
          </w:tcPr>
          <w:p w:rsidR="00CB5EB1" w:rsidRPr="002D117C" w:rsidRDefault="00BF4724" w:rsidP="00FC4AEF">
            <w:pPr>
              <w:rPr>
                <w:rFonts w:asciiTheme="majorHAnsi" w:hAnsiTheme="majorHAnsi" w:cstheme="majorHAnsi"/>
                <w:color w:val="000000"/>
                <w:sz w:val="20"/>
                <w:szCs w:val="20"/>
              </w:rPr>
            </w:pPr>
            <w:r w:rsidRPr="002D117C">
              <w:rPr>
                <w:rFonts w:asciiTheme="majorHAnsi" w:hAnsiTheme="majorHAnsi" w:cstheme="majorHAnsi"/>
                <w:b/>
                <w:sz w:val="20"/>
                <w:szCs w:val="20"/>
              </w:rPr>
              <w:t>PHM 1111</w:t>
            </w:r>
            <w:r w:rsidRPr="002D117C">
              <w:rPr>
                <w:rFonts w:asciiTheme="majorHAnsi" w:hAnsiTheme="majorHAnsi" w:cstheme="majorHAnsi"/>
                <w:sz w:val="20"/>
                <w:szCs w:val="20"/>
              </w:rPr>
              <w:t xml:space="preserve"> Health Promotion Theory and Methods</w:t>
            </w:r>
            <w:r w:rsidR="00CB5EB1" w:rsidRPr="002D117C">
              <w:rPr>
                <w:rFonts w:asciiTheme="majorHAnsi" w:hAnsiTheme="majorHAnsi" w:cstheme="majorHAnsi"/>
                <w:color w:val="000000"/>
                <w:sz w:val="20"/>
                <w:szCs w:val="20"/>
              </w:rPr>
              <w:t xml:space="preserve"> </w:t>
            </w:r>
          </w:p>
        </w:tc>
        <w:tc>
          <w:tcPr>
            <w:tcW w:w="2396" w:type="pct"/>
            <w:shd w:val="clear" w:color="auto" w:fill="auto"/>
            <w:tcMar>
              <w:left w:w="29" w:type="dxa"/>
              <w:right w:w="29" w:type="dxa"/>
            </w:tcMar>
            <w:hideMark/>
          </w:tcPr>
          <w:p w:rsidR="00CB5EB1" w:rsidRPr="002D117C" w:rsidRDefault="0038773A" w:rsidP="00A37ED6">
            <w:pPr>
              <w:rPr>
                <w:rFonts w:asciiTheme="majorHAnsi" w:hAnsiTheme="majorHAnsi" w:cstheme="majorHAnsi"/>
                <w:color w:val="FF0000"/>
                <w:sz w:val="20"/>
                <w:szCs w:val="20"/>
              </w:rPr>
            </w:pPr>
            <w:r w:rsidRPr="002D117C">
              <w:rPr>
                <w:rFonts w:asciiTheme="majorHAnsi" w:hAnsiTheme="majorHAnsi" w:cstheme="majorHAnsi"/>
                <w:sz w:val="20"/>
                <w:szCs w:val="20"/>
              </w:rPr>
              <w:t>Theory and Practice Report:</w:t>
            </w:r>
            <w:r w:rsidR="00CB5EB1" w:rsidRPr="002D117C">
              <w:rPr>
                <w:rFonts w:asciiTheme="majorHAnsi" w:hAnsiTheme="majorHAnsi" w:cstheme="majorHAnsi"/>
                <w:bCs/>
                <w:color w:val="FF0000"/>
                <w:sz w:val="20"/>
                <w:szCs w:val="20"/>
              </w:rPr>
              <w:t xml:space="preserve"> </w:t>
            </w:r>
            <w:r w:rsidR="00CB5EB1" w:rsidRPr="002D117C">
              <w:rPr>
                <w:rFonts w:asciiTheme="majorHAnsi" w:hAnsiTheme="majorHAnsi" w:cstheme="majorHAnsi"/>
                <w:bCs/>
                <w:sz w:val="20"/>
                <w:szCs w:val="20"/>
              </w:rPr>
              <w:t>Students will provide a written summary of how a social and behavioral science theory is used to address a public health issue characterized in a published journal article and from an interview with a practice partner.</w:t>
            </w:r>
          </w:p>
        </w:tc>
      </w:tr>
      <w:tr w:rsidR="00CB5EB1" w:rsidRPr="002D117C" w:rsidTr="009A299C">
        <w:trPr>
          <w:cantSplit/>
          <w:trHeight w:val="1088"/>
        </w:trPr>
        <w:tc>
          <w:tcPr>
            <w:tcW w:w="1197" w:type="pct"/>
            <w:shd w:val="clear" w:color="auto" w:fill="auto"/>
            <w:tcMar>
              <w:left w:w="29" w:type="dxa"/>
              <w:right w:w="29" w:type="dxa"/>
            </w:tcMar>
            <w:hideMark/>
          </w:tcPr>
          <w:p w:rsidR="00CB5EB1" w:rsidRPr="002D117C" w:rsidRDefault="00CB5EB1" w:rsidP="00A37ED6">
            <w:pPr>
              <w:rPr>
                <w:rFonts w:asciiTheme="majorHAnsi" w:hAnsiTheme="majorHAnsi" w:cstheme="majorHAnsi"/>
                <w:color w:val="000000"/>
                <w:sz w:val="20"/>
                <w:szCs w:val="20"/>
              </w:rPr>
            </w:pPr>
            <w:r w:rsidRPr="002D117C">
              <w:rPr>
                <w:rFonts w:asciiTheme="majorHAnsi" w:hAnsiTheme="majorHAnsi" w:cstheme="majorHAnsi"/>
                <w:color w:val="000000"/>
                <w:sz w:val="20"/>
                <w:szCs w:val="20"/>
              </w:rPr>
              <w:t>MPH-H3. Apply a systematic planning framework to plan a theory and evidence-based health promotion intervention.</w:t>
            </w:r>
          </w:p>
        </w:tc>
        <w:tc>
          <w:tcPr>
            <w:tcW w:w="1406" w:type="pct"/>
            <w:shd w:val="clear" w:color="auto" w:fill="auto"/>
            <w:tcMar>
              <w:left w:w="29" w:type="dxa"/>
              <w:right w:w="29" w:type="dxa"/>
            </w:tcMar>
          </w:tcPr>
          <w:p w:rsidR="00CB5EB1" w:rsidRPr="002D117C" w:rsidRDefault="00BF4724" w:rsidP="00FC4AEF">
            <w:pPr>
              <w:rPr>
                <w:rFonts w:asciiTheme="majorHAnsi" w:hAnsiTheme="majorHAnsi" w:cstheme="majorHAnsi"/>
                <w:color w:val="000000"/>
                <w:sz w:val="20"/>
                <w:szCs w:val="20"/>
              </w:rPr>
            </w:pPr>
            <w:r w:rsidRPr="002D117C">
              <w:rPr>
                <w:rFonts w:asciiTheme="majorHAnsi" w:hAnsiTheme="majorHAnsi" w:cstheme="majorHAnsi"/>
                <w:b/>
                <w:sz w:val="20"/>
                <w:szCs w:val="20"/>
              </w:rPr>
              <w:t>PHM 1113</w:t>
            </w:r>
            <w:r w:rsidRPr="002D117C">
              <w:rPr>
                <w:rFonts w:asciiTheme="majorHAnsi" w:hAnsiTheme="majorHAnsi" w:cstheme="majorHAnsi"/>
                <w:sz w:val="20"/>
                <w:szCs w:val="20"/>
              </w:rPr>
              <w:t xml:space="preserve"> Advanced Methods for Planning and Implementing Health Promotion Programs (Intervention Mapping)</w:t>
            </w:r>
          </w:p>
        </w:tc>
        <w:tc>
          <w:tcPr>
            <w:tcW w:w="2396" w:type="pct"/>
            <w:shd w:val="clear" w:color="auto" w:fill="auto"/>
            <w:tcMar>
              <w:left w:w="29" w:type="dxa"/>
              <w:right w:w="29" w:type="dxa"/>
            </w:tcMar>
          </w:tcPr>
          <w:p w:rsidR="00CB5EB1" w:rsidRPr="002D117C" w:rsidRDefault="0038773A" w:rsidP="00A37ED6">
            <w:pPr>
              <w:rPr>
                <w:rFonts w:asciiTheme="majorHAnsi" w:hAnsiTheme="majorHAnsi" w:cstheme="majorHAnsi"/>
                <w:sz w:val="20"/>
                <w:szCs w:val="20"/>
              </w:rPr>
            </w:pPr>
            <w:r w:rsidRPr="002D117C">
              <w:rPr>
                <w:rFonts w:asciiTheme="majorHAnsi" w:hAnsiTheme="majorHAnsi" w:cstheme="majorHAnsi"/>
                <w:sz w:val="20"/>
                <w:szCs w:val="20"/>
              </w:rPr>
              <w:t>Exam 1</w:t>
            </w:r>
            <w:r w:rsidR="00B704CC" w:rsidRPr="002D117C">
              <w:rPr>
                <w:rFonts w:asciiTheme="majorHAnsi" w:hAnsiTheme="majorHAnsi" w:cstheme="majorHAnsi"/>
                <w:sz w:val="20"/>
                <w:szCs w:val="20"/>
              </w:rPr>
              <w:t xml:space="preserve"> </w:t>
            </w:r>
            <w:r w:rsidR="00B704CC" w:rsidRPr="002D117C">
              <w:rPr>
                <w:rFonts w:asciiTheme="majorHAnsi" w:hAnsiTheme="majorHAnsi" w:cstheme="majorHAnsi"/>
                <w:bCs/>
                <w:sz w:val="20"/>
                <w:szCs w:val="20"/>
              </w:rPr>
              <w:t xml:space="preserve">(and </w:t>
            </w:r>
            <w:r w:rsidRPr="002D117C">
              <w:rPr>
                <w:rFonts w:asciiTheme="majorHAnsi" w:hAnsiTheme="majorHAnsi" w:cstheme="majorHAnsi"/>
                <w:sz w:val="20"/>
                <w:szCs w:val="20"/>
              </w:rPr>
              <w:t>Grading Sheet</w:t>
            </w:r>
            <w:r w:rsidR="00B704CC" w:rsidRPr="002D117C">
              <w:rPr>
                <w:rFonts w:asciiTheme="majorHAnsi" w:hAnsiTheme="majorHAnsi" w:cstheme="majorHAnsi"/>
                <w:bCs/>
                <w:sz w:val="20"/>
                <w:szCs w:val="20"/>
              </w:rPr>
              <w:t>):</w:t>
            </w:r>
            <w:r w:rsidR="00CB5EB1" w:rsidRPr="002D117C">
              <w:rPr>
                <w:rFonts w:asciiTheme="majorHAnsi" w:hAnsiTheme="majorHAnsi" w:cstheme="majorHAnsi"/>
                <w:color w:val="FF0000"/>
                <w:sz w:val="20"/>
                <w:szCs w:val="20"/>
              </w:rPr>
              <w:t xml:space="preserve"> </w:t>
            </w:r>
            <w:r w:rsidR="00CB5EB1" w:rsidRPr="002D117C">
              <w:rPr>
                <w:rFonts w:asciiTheme="majorHAnsi" w:hAnsiTheme="majorHAnsi" w:cstheme="majorHAnsi"/>
                <w:sz w:val="20"/>
                <w:szCs w:val="20"/>
              </w:rPr>
              <w:t xml:space="preserve">By completing workbook assignments and a written narrative, students describe stakeholder involvement in their intervention development planning process. </w:t>
            </w:r>
          </w:p>
          <w:p w:rsidR="00CB5EB1" w:rsidRPr="002D117C" w:rsidRDefault="00CB5EB1" w:rsidP="00A37ED6">
            <w:pPr>
              <w:rPr>
                <w:rFonts w:asciiTheme="majorHAnsi" w:hAnsiTheme="majorHAnsi" w:cstheme="majorHAnsi"/>
                <w:color w:val="FF0000"/>
                <w:sz w:val="20"/>
                <w:szCs w:val="20"/>
              </w:rPr>
            </w:pPr>
          </w:p>
          <w:p w:rsidR="00CB5EB1" w:rsidRPr="002D117C" w:rsidRDefault="0038773A" w:rsidP="00A37ED6">
            <w:pPr>
              <w:rPr>
                <w:rFonts w:asciiTheme="majorHAnsi" w:hAnsiTheme="majorHAnsi" w:cstheme="majorHAnsi"/>
                <w:color w:val="FF0000"/>
                <w:sz w:val="20"/>
                <w:szCs w:val="20"/>
              </w:rPr>
            </w:pPr>
            <w:r w:rsidRPr="002D117C">
              <w:rPr>
                <w:rFonts w:asciiTheme="majorHAnsi" w:hAnsiTheme="majorHAnsi" w:cstheme="majorHAnsi"/>
                <w:sz w:val="20"/>
                <w:szCs w:val="20"/>
              </w:rPr>
              <w:t>Exam 2</w:t>
            </w:r>
            <w:r w:rsidR="00B704CC" w:rsidRPr="002D117C">
              <w:rPr>
                <w:rFonts w:asciiTheme="majorHAnsi" w:hAnsiTheme="majorHAnsi" w:cstheme="majorHAnsi"/>
                <w:sz w:val="20"/>
                <w:szCs w:val="20"/>
              </w:rPr>
              <w:t xml:space="preserve"> (and </w:t>
            </w:r>
            <w:r w:rsidRPr="002D117C">
              <w:rPr>
                <w:rFonts w:asciiTheme="majorHAnsi" w:hAnsiTheme="majorHAnsi" w:cstheme="majorHAnsi"/>
                <w:sz w:val="20"/>
                <w:szCs w:val="20"/>
              </w:rPr>
              <w:t>Grading Sheet</w:t>
            </w:r>
            <w:r w:rsidR="00B704CC" w:rsidRPr="002D117C">
              <w:rPr>
                <w:rFonts w:asciiTheme="majorHAnsi" w:hAnsiTheme="majorHAnsi" w:cstheme="majorHAnsi"/>
                <w:sz w:val="20"/>
                <w:szCs w:val="20"/>
              </w:rPr>
              <w:t>):</w:t>
            </w:r>
            <w:r w:rsidR="00CB5EB1" w:rsidRPr="002D117C">
              <w:rPr>
                <w:rFonts w:asciiTheme="majorHAnsi" w:hAnsiTheme="majorHAnsi" w:cstheme="majorHAnsi"/>
                <w:color w:val="FF0000"/>
                <w:sz w:val="20"/>
                <w:szCs w:val="20"/>
              </w:rPr>
              <w:t xml:space="preserve"> </w:t>
            </w:r>
            <w:r w:rsidR="00CB5EB1" w:rsidRPr="002D117C">
              <w:rPr>
                <w:rFonts w:asciiTheme="majorHAnsi" w:hAnsiTheme="majorHAnsi" w:cstheme="majorHAnsi"/>
                <w:sz w:val="20"/>
                <w:szCs w:val="20"/>
              </w:rPr>
              <w:t>By completing workbook assignments and written narratives, students use Intervention Mapping, a systematic planning framework, to plan behavioral and environmental outcomes, methods and practical applications, scope and sequence for a theory- and evidence-based program, practice, or policy.</w:t>
            </w:r>
          </w:p>
        </w:tc>
      </w:tr>
      <w:tr w:rsidR="00CB5EB1" w:rsidRPr="002D117C" w:rsidTr="009A299C">
        <w:trPr>
          <w:cantSplit/>
          <w:trHeight w:val="1160"/>
        </w:trPr>
        <w:tc>
          <w:tcPr>
            <w:tcW w:w="1197" w:type="pct"/>
            <w:shd w:val="clear" w:color="auto" w:fill="auto"/>
            <w:tcMar>
              <w:left w:w="29" w:type="dxa"/>
              <w:right w:w="29" w:type="dxa"/>
            </w:tcMar>
            <w:hideMark/>
          </w:tcPr>
          <w:p w:rsidR="00CB5EB1" w:rsidRPr="002D117C" w:rsidRDefault="00CB5EB1" w:rsidP="00A37ED6">
            <w:pPr>
              <w:rPr>
                <w:rFonts w:asciiTheme="majorHAnsi" w:hAnsiTheme="majorHAnsi" w:cstheme="majorHAnsi"/>
                <w:color w:val="000000"/>
                <w:sz w:val="20"/>
                <w:szCs w:val="20"/>
              </w:rPr>
            </w:pPr>
            <w:r w:rsidRPr="002D117C">
              <w:rPr>
                <w:rFonts w:asciiTheme="majorHAnsi" w:hAnsiTheme="majorHAnsi" w:cstheme="majorHAnsi"/>
                <w:color w:val="000000"/>
                <w:sz w:val="20"/>
                <w:szCs w:val="20"/>
              </w:rPr>
              <w:t>MPH-H4. Apply a systematic planning framework to plan the adoption and implementation of a health promotion intervention.</w:t>
            </w:r>
          </w:p>
        </w:tc>
        <w:tc>
          <w:tcPr>
            <w:tcW w:w="1406" w:type="pct"/>
            <w:shd w:val="clear" w:color="auto" w:fill="auto"/>
            <w:tcMar>
              <w:left w:w="29" w:type="dxa"/>
              <w:right w:w="29" w:type="dxa"/>
            </w:tcMar>
            <w:hideMark/>
          </w:tcPr>
          <w:p w:rsidR="00CB5EB1" w:rsidRPr="002D117C" w:rsidRDefault="00CC4F04" w:rsidP="00FC4AEF">
            <w:pPr>
              <w:rPr>
                <w:rFonts w:asciiTheme="majorHAnsi" w:hAnsiTheme="majorHAnsi" w:cstheme="majorHAnsi"/>
                <w:color w:val="000000"/>
                <w:sz w:val="20"/>
                <w:szCs w:val="20"/>
              </w:rPr>
            </w:pPr>
            <w:r w:rsidRPr="002D117C">
              <w:rPr>
                <w:rFonts w:asciiTheme="majorHAnsi" w:hAnsiTheme="majorHAnsi" w:cstheme="majorHAnsi"/>
                <w:b/>
                <w:sz w:val="20"/>
                <w:szCs w:val="20"/>
              </w:rPr>
              <w:t>PHM 1113</w:t>
            </w:r>
            <w:r w:rsidRPr="002D117C">
              <w:rPr>
                <w:rFonts w:asciiTheme="majorHAnsi" w:hAnsiTheme="majorHAnsi" w:cstheme="majorHAnsi"/>
                <w:sz w:val="20"/>
                <w:szCs w:val="20"/>
              </w:rPr>
              <w:t xml:space="preserve"> Advanced Methods for Planning and Implementing Health Promotion Programs (Intervention Mapping)</w:t>
            </w:r>
            <w:r w:rsidR="00CB5EB1" w:rsidRPr="002D117C">
              <w:rPr>
                <w:rFonts w:asciiTheme="majorHAnsi" w:hAnsiTheme="majorHAnsi" w:cstheme="majorHAnsi"/>
                <w:b/>
                <w:bCs/>
                <w:color w:val="000000"/>
                <w:sz w:val="20"/>
                <w:szCs w:val="20"/>
              </w:rPr>
              <w:t xml:space="preserve"> </w:t>
            </w:r>
          </w:p>
        </w:tc>
        <w:tc>
          <w:tcPr>
            <w:tcW w:w="2396" w:type="pct"/>
            <w:shd w:val="clear" w:color="auto" w:fill="auto"/>
            <w:tcMar>
              <w:left w:w="29" w:type="dxa"/>
              <w:right w:w="29" w:type="dxa"/>
            </w:tcMar>
            <w:hideMark/>
          </w:tcPr>
          <w:p w:rsidR="00CB5EB1" w:rsidRPr="002D117C" w:rsidRDefault="0038773A" w:rsidP="00A37ED6">
            <w:pPr>
              <w:rPr>
                <w:rFonts w:asciiTheme="majorHAnsi" w:hAnsiTheme="majorHAnsi" w:cstheme="majorHAnsi"/>
                <w:color w:val="FF0000"/>
                <w:sz w:val="20"/>
                <w:szCs w:val="20"/>
              </w:rPr>
            </w:pPr>
            <w:r w:rsidRPr="002D117C">
              <w:rPr>
                <w:rFonts w:asciiTheme="majorHAnsi" w:hAnsiTheme="majorHAnsi" w:cstheme="majorHAnsi"/>
                <w:sz w:val="20"/>
                <w:szCs w:val="20"/>
              </w:rPr>
              <w:t>Exam 3</w:t>
            </w:r>
            <w:r w:rsidR="00B704CC" w:rsidRPr="002D117C">
              <w:rPr>
                <w:rFonts w:asciiTheme="majorHAnsi" w:hAnsiTheme="majorHAnsi" w:cstheme="majorHAnsi"/>
                <w:sz w:val="20"/>
                <w:szCs w:val="20"/>
              </w:rPr>
              <w:t xml:space="preserve"> (and </w:t>
            </w:r>
            <w:r w:rsidRPr="002D117C">
              <w:rPr>
                <w:rFonts w:asciiTheme="majorHAnsi" w:hAnsiTheme="majorHAnsi" w:cstheme="majorHAnsi"/>
                <w:sz w:val="20"/>
                <w:szCs w:val="20"/>
              </w:rPr>
              <w:t>Grading Sheet</w:t>
            </w:r>
            <w:r w:rsidR="00B704CC" w:rsidRPr="002D117C">
              <w:rPr>
                <w:rFonts w:asciiTheme="majorHAnsi" w:hAnsiTheme="majorHAnsi" w:cstheme="majorHAnsi"/>
                <w:sz w:val="20"/>
                <w:szCs w:val="20"/>
              </w:rPr>
              <w:t>):</w:t>
            </w:r>
            <w:r w:rsidR="00CB5EB1" w:rsidRPr="002D117C">
              <w:rPr>
                <w:rFonts w:asciiTheme="majorHAnsi" w:hAnsiTheme="majorHAnsi" w:cstheme="majorHAnsi"/>
                <w:color w:val="FF0000"/>
                <w:sz w:val="20"/>
                <w:szCs w:val="20"/>
              </w:rPr>
              <w:t xml:space="preserve"> </w:t>
            </w:r>
            <w:r w:rsidR="00CB5EB1" w:rsidRPr="002D117C">
              <w:rPr>
                <w:rFonts w:asciiTheme="majorHAnsi" w:hAnsiTheme="majorHAnsi" w:cstheme="majorHAnsi"/>
                <w:sz w:val="20"/>
                <w:szCs w:val="20"/>
              </w:rPr>
              <w:t xml:space="preserve">By completing workbook assignments and a written narrative, students use Intervention Mapping, a systematic planning framework, to plan for the adoption, implementation, and maintenance of a health promotion program, practice, or policy.   </w:t>
            </w:r>
          </w:p>
        </w:tc>
      </w:tr>
      <w:tr w:rsidR="00CB5EB1" w:rsidRPr="002D117C" w:rsidTr="009A299C">
        <w:trPr>
          <w:cantSplit/>
          <w:trHeight w:val="1718"/>
        </w:trPr>
        <w:tc>
          <w:tcPr>
            <w:tcW w:w="1197" w:type="pct"/>
            <w:shd w:val="clear" w:color="auto" w:fill="auto"/>
            <w:tcMar>
              <w:left w:w="29" w:type="dxa"/>
              <w:right w:w="29" w:type="dxa"/>
            </w:tcMar>
            <w:hideMark/>
          </w:tcPr>
          <w:p w:rsidR="00CB5EB1" w:rsidRPr="002D117C" w:rsidRDefault="00CB5EB1" w:rsidP="00A37ED6">
            <w:pPr>
              <w:rPr>
                <w:rFonts w:asciiTheme="majorHAnsi" w:hAnsiTheme="majorHAnsi" w:cstheme="majorHAnsi"/>
                <w:color w:val="000000"/>
                <w:sz w:val="20"/>
                <w:szCs w:val="20"/>
              </w:rPr>
            </w:pPr>
            <w:r w:rsidRPr="002D117C">
              <w:rPr>
                <w:rFonts w:asciiTheme="majorHAnsi" w:hAnsiTheme="majorHAnsi" w:cstheme="majorHAnsi"/>
                <w:color w:val="000000"/>
                <w:sz w:val="20"/>
                <w:szCs w:val="20"/>
              </w:rPr>
              <w:t xml:space="preserve">MPH-H5. Describe a plan to evaluate a health promotion intervention. </w:t>
            </w:r>
          </w:p>
        </w:tc>
        <w:tc>
          <w:tcPr>
            <w:tcW w:w="1406" w:type="pct"/>
            <w:shd w:val="clear" w:color="auto" w:fill="auto"/>
            <w:tcMar>
              <w:left w:w="29" w:type="dxa"/>
              <w:right w:w="29" w:type="dxa"/>
            </w:tcMar>
            <w:hideMark/>
          </w:tcPr>
          <w:p w:rsidR="00CB5EB1" w:rsidRPr="002D117C" w:rsidRDefault="00CC4F04" w:rsidP="00FC4AEF">
            <w:pPr>
              <w:rPr>
                <w:rFonts w:asciiTheme="majorHAnsi" w:hAnsiTheme="majorHAnsi" w:cstheme="majorHAnsi"/>
                <w:color w:val="000000"/>
                <w:sz w:val="20"/>
                <w:szCs w:val="20"/>
              </w:rPr>
            </w:pPr>
            <w:r w:rsidRPr="002D117C">
              <w:rPr>
                <w:rFonts w:asciiTheme="majorHAnsi" w:hAnsiTheme="majorHAnsi" w:cstheme="majorHAnsi"/>
                <w:b/>
                <w:sz w:val="20"/>
                <w:szCs w:val="20"/>
              </w:rPr>
              <w:t>PHM 1120</w:t>
            </w:r>
            <w:r w:rsidRPr="002D117C">
              <w:rPr>
                <w:rFonts w:asciiTheme="majorHAnsi" w:hAnsiTheme="majorHAnsi" w:cstheme="majorHAnsi"/>
                <w:sz w:val="20"/>
                <w:szCs w:val="20"/>
              </w:rPr>
              <w:t xml:space="preserve"> Program Evaluation</w:t>
            </w:r>
          </w:p>
        </w:tc>
        <w:tc>
          <w:tcPr>
            <w:tcW w:w="2396" w:type="pct"/>
            <w:shd w:val="clear" w:color="auto" w:fill="auto"/>
            <w:tcMar>
              <w:left w:w="29" w:type="dxa"/>
              <w:right w:w="29" w:type="dxa"/>
            </w:tcMar>
            <w:hideMark/>
          </w:tcPr>
          <w:p w:rsidR="00CB5EB1" w:rsidRPr="002D117C" w:rsidRDefault="00A56AAA" w:rsidP="00A37ED6">
            <w:pPr>
              <w:rPr>
                <w:rFonts w:asciiTheme="majorHAnsi" w:hAnsiTheme="majorHAnsi" w:cstheme="majorHAnsi"/>
                <w:sz w:val="20"/>
                <w:szCs w:val="20"/>
              </w:rPr>
            </w:pPr>
            <w:r w:rsidRPr="002D117C">
              <w:rPr>
                <w:rFonts w:asciiTheme="majorHAnsi" w:hAnsiTheme="majorHAnsi" w:cstheme="majorHAnsi"/>
                <w:sz w:val="20"/>
                <w:szCs w:val="20"/>
              </w:rPr>
              <w:t>Final Exam:</w:t>
            </w:r>
            <w:r w:rsidR="00CB5EB1" w:rsidRPr="002D117C">
              <w:rPr>
                <w:rFonts w:asciiTheme="majorHAnsi" w:hAnsiTheme="majorHAnsi" w:cstheme="majorHAnsi"/>
                <w:bCs/>
                <w:sz w:val="20"/>
                <w:szCs w:val="20"/>
              </w:rPr>
              <w:t xml:space="preserve"> Students will individually complete one online exam. On this exam, students will be tested on their knowledge of the concepts covered in the class and their application, including describing a plan to evaluate a health promotion intervention. This will encompass the design of a logic model; program implementation and process questions; and program impact and outcome questions, including threats to validity and measurement issues.</w:t>
            </w:r>
          </w:p>
        </w:tc>
      </w:tr>
    </w:tbl>
    <w:p w:rsidR="00CB5EB1" w:rsidRPr="00740AE3" w:rsidRDefault="00CB5EB1" w:rsidP="00A37ED6">
      <w:pPr>
        <w:ind w:left="720"/>
        <w:jc w:val="both"/>
        <w:rPr>
          <w:rFonts w:asciiTheme="majorHAnsi" w:hAnsiTheme="majorHAnsi" w:cstheme="majorHAnsi"/>
          <w:sz w:val="20"/>
          <w:szCs w:val="20"/>
        </w:rPr>
      </w:pPr>
    </w:p>
    <w:p w:rsidR="003F4E3E" w:rsidRPr="00740AE3" w:rsidRDefault="00B43834" w:rsidP="00FC4AEF">
      <w:pPr>
        <w:ind w:left="720"/>
        <w:rPr>
          <w:rStyle w:val="Hyperlink"/>
          <w:rFonts w:asciiTheme="majorHAnsi" w:hAnsiTheme="majorHAnsi" w:cstheme="majorHAnsi"/>
          <w:color w:val="auto"/>
          <w:sz w:val="20"/>
          <w:szCs w:val="20"/>
        </w:rPr>
      </w:pPr>
      <w:r w:rsidRPr="00740AE3">
        <w:rPr>
          <w:rFonts w:asciiTheme="majorHAnsi" w:hAnsiTheme="majorHAnsi" w:cstheme="majorHAnsi"/>
          <w:sz w:val="20"/>
          <w:szCs w:val="20"/>
        </w:rPr>
        <w:t>Table D.4.1.</w:t>
      </w:r>
      <w:r w:rsidR="00EF0A98" w:rsidRPr="00740AE3">
        <w:rPr>
          <w:rFonts w:asciiTheme="majorHAnsi" w:hAnsiTheme="majorHAnsi" w:cstheme="majorHAnsi"/>
          <w:sz w:val="20"/>
          <w:szCs w:val="20"/>
        </w:rPr>
        <w:t>e</w:t>
      </w:r>
      <w:r w:rsidRPr="00740AE3">
        <w:rPr>
          <w:rFonts w:asciiTheme="majorHAnsi" w:hAnsiTheme="majorHAnsi" w:cstheme="majorHAnsi"/>
          <w:sz w:val="20"/>
          <w:szCs w:val="20"/>
        </w:rPr>
        <w:t>. Assessment of Competencies for MPH in Health Promotion/Health Education, Dietetic Internship Program (</w:t>
      </w:r>
      <w:r w:rsidRPr="00740AE3">
        <w:rPr>
          <w:rFonts w:asciiTheme="majorHAnsi" w:hAnsiTheme="majorHAnsi" w:cstheme="majorHAnsi"/>
          <w:i/>
          <w:sz w:val="20"/>
          <w:szCs w:val="20"/>
        </w:rPr>
        <w:t>ERF, D4.3. MPH in Health Promotion and Health Education, Dietetic Internship Program</w:t>
      </w:r>
      <w:r w:rsidRPr="00740AE3">
        <w:rPr>
          <w:rFonts w:asciiTheme="majorHAnsi" w:hAnsiTheme="majorHAnsi" w:cstheme="majorHAnsi"/>
          <w:sz w:val="20"/>
          <w:szCs w:val="20"/>
        </w:rPr>
        <w:t xml:space="preserve">) </w:t>
      </w: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2430"/>
        <w:gridCol w:w="4138"/>
      </w:tblGrid>
      <w:tr w:rsidR="005D24F2" w:rsidRPr="00EE5A26" w:rsidTr="00DE072A">
        <w:trPr>
          <w:cantSplit/>
          <w:trHeight w:val="525"/>
          <w:tblHeader/>
        </w:trPr>
        <w:tc>
          <w:tcPr>
            <w:tcW w:w="1198" w:type="pct"/>
            <w:shd w:val="clear" w:color="000000" w:fill="D9D9D9"/>
            <w:tcMar>
              <w:left w:w="29" w:type="dxa"/>
              <w:right w:w="29" w:type="dxa"/>
            </w:tcMar>
            <w:hideMark/>
          </w:tcPr>
          <w:p w:rsidR="005D24F2" w:rsidRPr="00EE5A26" w:rsidRDefault="005D24F2" w:rsidP="00A37ED6">
            <w:pPr>
              <w:jc w:val="center"/>
              <w:rPr>
                <w:rFonts w:asciiTheme="majorHAnsi" w:eastAsia="Times New Roman" w:hAnsiTheme="majorHAnsi" w:cstheme="majorHAnsi"/>
                <w:b/>
                <w:bCs/>
                <w:color w:val="000000"/>
                <w:sz w:val="20"/>
                <w:szCs w:val="20"/>
              </w:rPr>
            </w:pPr>
            <w:r w:rsidRPr="00EE5A26">
              <w:rPr>
                <w:rFonts w:asciiTheme="majorHAnsi" w:eastAsia="Times New Roman" w:hAnsiTheme="majorHAnsi" w:cstheme="majorHAnsi"/>
                <w:b/>
                <w:bCs/>
                <w:color w:val="000000"/>
                <w:sz w:val="20"/>
                <w:szCs w:val="20"/>
              </w:rPr>
              <w:t>Competency</w:t>
            </w:r>
          </w:p>
        </w:tc>
        <w:tc>
          <w:tcPr>
            <w:tcW w:w="1406" w:type="pct"/>
            <w:shd w:val="clear" w:color="000000" w:fill="D9D9D9"/>
            <w:tcMar>
              <w:left w:w="29" w:type="dxa"/>
              <w:right w:w="29" w:type="dxa"/>
            </w:tcMar>
            <w:hideMark/>
          </w:tcPr>
          <w:p w:rsidR="005D24F2" w:rsidRPr="00EE5A26" w:rsidRDefault="005D24F2" w:rsidP="00A37ED6">
            <w:pPr>
              <w:jc w:val="center"/>
              <w:rPr>
                <w:rFonts w:asciiTheme="majorHAnsi" w:eastAsia="Times New Roman" w:hAnsiTheme="majorHAnsi" w:cstheme="majorHAnsi"/>
                <w:b/>
                <w:bCs/>
                <w:color w:val="000000"/>
                <w:sz w:val="20"/>
                <w:szCs w:val="20"/>
              </w:rPr>
            </w:pPr>
            <w:r w:rsidRPr="00EE5A26">
              <w:rPr>
                <w:rFonts w:asciiTheme="majorHAnsi" w:eastAsia="Times New Roman" w:hAnsiTheme="majorHAnsi" w:cstheme="majorHAnsi"/>
                <w:b/>
                <w:bCs/>
                <w:color w:val="000000"/>
                <w:sz w:val="20"/>
                <w:szCs w:val="20"/>
              </w:rPr>
              <w:t>Course number(s) and name(s)</w:t>
            </w:r>
          </w:p>
        </w:tc>
        <w:tc>
          <w:tcPr>
            <w:tcW w:w="2395" w:type="pct"/>
            <w:shd w:val="clear" w:color="000000" w:fill="D9D9D9"/>
            <w:tcMar>
              <w:left w:w="29" w:type="dxa"/>
              <w:right w:w="29" w:type="dxa"/>
            </w:tcMar>
            <w:hideMark/>
          </w:tcPr>
          <w:p w:rsidR="005D24F2" w:rsidRPr="00EE5A26" w:rsidRDefault="005D24F2" w:rsidP="00A37ED6">
            <w:pPr>
              <w:jc w:val="center"/>
              <w:rPr>
                <w:rFonts w:asciiTheme="majorHAnsi" w:eastAsia="Times New Roman" w:hAnsiTheme="majorHAnsi" w:cstheme="majorHAnsi"/>
                <w:b/>
                <w:bCs/>
                <w:color w:val="000000"/>
                <w:sz w:val="20"/>
                <w:szCs w:val="20"/>
              </w:rPr>
            </w:pPr>
            <w:r w:rsidRPr="00EE5A26">
              <w:rPr>
                <w:rFonts w:asciiTheme="majorHAnsi" w:eastAsia="Times New Roman" w:hAnsiTheme="majorHAnsi" w:cstheme="majorHAnsi"/>
                <w:b/>
                <w:bCs/>
                <w:color w:val="000000"/>
                <w:sz w:val="20"/>
                <w:szCs w:val="20"/>
              </w:rPr>
              <w:t>Specific assignment(s) that allow assessment</w:t>
            </w:r>
          </w:p>
        </w:tc>
      </w:tr>
      <w:tr w:rsidR="005D24F2" w:rsidRPr="00EE5A26" w:rsidTr="00DE072A">
        <w:trPr>
          <w:cantSplit/>
          <w:trHeight w:val="315"/>
        </w:trPr>
        <w:tc>
          <w:tcPr>
            <w:tcW w:w="1198" w:type="pct"/>
            <w:shd w:val="clear" w:color="auto" w:fill="auto"/>
            <w:tcMar>
              <w:left w:w="29" w:type="dxa"/>
              <w:right w:w="29" w:type="dxa"/>
            </w:tcMar>
          </w:tcPr>
          <w:p w:rsidR="005D24F2" w:rsidRPr="00EE5A26" w:rsidRDefault="005D24F2" w:rsidP="00A37ED6">
            <w:pPr>
              <w:rPr>
                <w:rFonts w:asciiTheme="majorHAnsi" w:hAnsiTheme="majorHAnsi" w:cstheme="majorHAnsi"/>
                <w:color w:val="000000"/>
                <w:sz w:val="20"/>
                <w:szCs w:val="20"/>
              </w:rPr>
            </w:pPr>
            <w:r w:rsidRPr="00EE5A26">
              <w:rPr>
                <w:rFonts w:asciiTheme="majorHAnsi" w:hAnsiTheme="majorHAnsi" w:cstheme="majorHAnsi"/>
                <w:color w:val="000000"/>
                <w:sz w:val="20"/>
                <w:szCs w:val="20"/>
              </w:rPr>
              <w:t>MPH-DI1. Use the Evidence Analyses Process (EAP) to review a nutrition topic and develop a nutrition focused public health intervention.</w:t>
            </w:r>
          </w:p>
        </w:tc>
        <w:tc>
          <w:tcPr>
            <w:tcW w:w="1406" w:type="pct"/>
            <w:shd w:val="clear" w:color="auto" w:fill="auto"/>
            <w:tcMar>
              <w:left w:w="29" w:type="dxa"/>
              <w:right w:w="29" w:type="dxa"/>
            </w:tcMar>
          </w:tcPr>
          <w:p w:rsidR="005D24F2" w:rsidRPr="00EE5A26" w:rsidRDefault="00AB0F77" w:rsidP="00FC4AEF">
            <w:pPr>
              <w:rPr>
                <w:rFonts w:asciiTheme="majorHAnsi" w:eastAsia="Times New Roman" w:hAnsiTheme="majorHAnsi" w:cstheme="majorHAnsi"/>
                <w:color w:val="FF0000"/>
                <w:sz w:val="20"/>
                <w:szCs w:val="20"/>
              </w:rPr>
            </w:pPr>
            <w:r w:rsidRPr="00EE5A26">
              <w:rPr>
                <w:rFonts w:asciiTheme="majorHAnsi" w:hAnsiTheme="majorHAnsi" w:cstheme="majorHAnsi"/>
                <w:b/>
                <w:sz w:val="20"/>
                <w:szCs w:val="20"/>
              </w:rPr>
              <w:t>PH 2755</w:t>
            </w:r>
            <w:r w:rsidRPr="00EE5A26">
              <w:rPr>
                <w:rFonts w:asciiTheme="majorHAnsi" w:hAnsiTheme="majorHAnsi" w:cstheme="majorHAnsi"/>
                <w:sz w:val="20"/>
                <w:szCs w:val="20"/>
              </w:rPr>
              <w:t xml:space="preserve"> Nutrition Research Methods</w:t>
            </w:r>
          </w:p>
        </w:tc>
        <w:tc>
          <w:tcPr>
            <w:tcW w:w="2395" w:type="pct"/>
            <w:shd w:val="clear" w:color="auto" w:fill="auto"/>
            <w:tcMar>
              <w:left w:w="29" w:type="dxa"/>
              <w:right w:w="29" w:type="dxa"/>
            </w:tcMar>
          </w:tcPr>
          <w:p w:rsidR="005D24F2" w:rsidRPr="00EE5A26" w:rsidRDefault="008324A8" w:rsidP="00A37ED6">
            <w:pPr>
              <w:rPr>
                <w:rFonts w:asciiTheme="majorHAnsi" w:eastAsia="Times New Roman" w:hAnsiTheme="majorHAnsi" w:cstheme="majorHAnsi"/>
                <w:sz w:val="20"/>
                <w:szCs w:val="20"/>
              </w:rPr>
            </w:pPr>
            <w:r w:rsidRPr="00EE5A26">
              <w:rPr>
                <w:rFonts w:asciiTheme="majorHAnsi" w:hAnsiTheme="majorHAnsi" w:cstheme="majorHAnsi"/>
                <w:sz w:val="20"/>
                <w:szCs w:val="20"/>
              </w:rPr>
              <w:t>EAL Review</w:t>
            </w:r>
            <w:r w:rsidR="00A03F7B" w:rsidRPr="00EE5A26">
              <w:rPr>
                <w:rFonts w:asciiTheme="majorHAnsi" w:eastAsia="Times New Roman" w:hAnsiTheme="majorHAnsi" w:cstheme="majorHAnsi"/>
                <w:sz w:val="20"/>
                <w:szCs w:val="20"/>
              </w:rPr>
              <w:t xml:space="preserve"> (and </w:t>
            </w:r>
            <w:r w:rsidR="00A03F7B" w:rsidRPr="00EE5A26">
              <w:rPr>
                <w:rFonts w:asciiTheme="majorHAnsi" w:hAnsiTheme="majorHAnsi" w:cstheme="majorHAnsi"/>
                <w:sz w:val="20"/>
                <w:szCs w:val="20"/>
              </w:rPr>
              <w:t>Rubric</w:t>
            </w:r>
            <w:r w:rsidR="00A03F7B" w:rsidRPr="00EE5A26">
              <w:rPr>
                <w:rFonts w:asciiTheme="majorHAnsi" w:eastAsia="Times New Roman" w:hAnsiTheme="majorHAnsi" w:cstheme="majorHAnsi"/>
                <w:sz w:val="20"/>
                <w:szCs w:val="20"/>
              </w:rPr>
              <w:t>)</w:t>
            </w:r>
            <w:r w:rsidRPr="00EE5A26">
              <w:rPr>
                <w:rFonts w:asciiTheme="majorHAnsi" w:eastAsia="Times New Roman" w:hAnsiTheme="majorHAnsi" w:cstheme="majorHAnsi"/>
                <w:sz w:val="20"/>
                <w:szCs w:val="20"/>
              </w:rPr>
              <w:t xml:space="preserve">: </w:t>
            </w:r>
            <w:r w:rsidR="005D24F2" w:rsidRPr="00EE5A26">
              <w:rPr>
                <w:rFonts w:asciiTheme="majorHAnsi" w:eastAsia="Times New Roman" w:hAnsiTheme="majorHAnsi" w:cstheme="majorHAnsi"/>
                <w:sz w:val="20"/>
                <w:szCs w:val="20"/>
              </w:rPr>
              <w:t>Complete a group Evidence Analysis Process review on a nutrition topic</w:t>
            </w:r>
          </w:p>
          <w:p w:rsidR="008324A8" w:rsidRPr="00EE5A26" w:rsidRDefault="008324A8" w:rsidP="00A37ED6">
            <w:pPr>
              <w:rPr>
                <w:rFonts w:asciiTheme="majorHAnsi" w:eastAsia="Times New Roman" w:hAnsiTheme="majorHAnsi" w:cstheme="majorHAnsi"/>
                <w:sz w:val="20"/>
                <w:szCs w:val="20"/>
              </w:rPr>
            </w:pPr>
          </w:p>
          <w:p w:rsidR="005D24F2" w:rsidRPr="00EE5A26" w:rsidRDefault="008324A8" w:rsidP="00FC4AEF">
            <w:pPr>
              <w:rPr>
                <w:rFonts w:asciiTheme="majorHAnsi" w:hAnsiTheme="majorHAnsi" w:cstheme="majorHAnsi"/>
                <w:sz w:val="20"/>
                <w:szCs w:val="20"/>
                <w:highlight w:val="yellow"/>
              </w:rPr>
            </w:pPr>
            <w:r w:rsidRPr="00EE5A26">
              <w:rPr>
                <w:rFonts w:asciiTheme="majorHAnsi" w:hAnsiTheme="majorHAnsi" w:cstheme="majorHAnsi"/>
                <w:sz w:val="20"/>
                <w:szCs w:val="20"/>
              </w:rPr>
              <w:t>Community Nutrition Project</w:t>
            </w:r>
            <w:r w:rsidR="00A03F7B" w:rsidRPr="00EE5A26">
              <w:rPr>
                <w:rFonts w:asciiTheme="majorHAnsi" w:eastAsia="Times New Roman" w:hAnsiTheme="majorHAnsi" w:cstheme="majorHAnsi"/>
                <w:sz w:val="20"/>
                <w:szCs w:val="20"/>
              </w:rPr>
              <w:t xml:space="preserve"> (and </w:t>
            </w:r>
            <w:r w:rsidR="00A03F7B" w:rsidRPr="00EE5A26">
              <w:rPr>
                <w:rFonts w:asciiTheme="majorHAnsi" w:hAnsiTheme="majorHAnsi" w:cstheme="majorHAnsi"/>
                <w:sz w:val="20"/>
                <w:szCs w:val="20"/>
              </w:rPr>
              <w:t>Rubric</w:t>
            </w:r>
            <w:r w:rsidR="00A03F7B" w:rsidRPr="00EE5A26">
              <w:rPr>
                <w:rFonts w:asciiTheme="majorHAnsi" w:eastAsia="Times New Roman" w:hAnsiTheme="majorHAnsi" w:cstheme="majorHAnsi"/>
                <w:sz w:val="20"/>
                <w:szCs w:val="20"/>
              </w:rPr>
              <w:t>)</w:t>
            </w:r>
            <w:r w:rsidRPr="00EE5A26">
              <w:rPr>
                <w:rFonts w:asciiTheme="majorHAnsi" w:eastAsia="Times New Roman" w:hAnsiTheme="majorHAnsi" w:cstheme="majorHAnsi"/>
                <w:sz w:val="20"/>
                <w:szCs w:val="20"/>
              </w:rPr>
              <w:t>:</w:t>
            </w:r>
            <w:r w:rsidR="009513F3" w:rsidRPr="00EE5A26">
              <w:rPr>
                <w:rFonts w:asciiTheme="majorHAnsi" w:eastAsia="Times New Roman" w:hAnsiTheme="majorHAnsi" w:cstheme="majorHAnsi"/>
                <w:sz w:val="20"/>
                <w:szCs w:val="20"/>
              </w:rPr>
              <w:t xml:space="preserve"> </w:t>
            </w:r>
            <w:r w:rsidR="005D24F2" w:rsidRPr="00EE5A26">
              <w:rPr>
                <w:rFonts w:asciiTheme="majorHAnsi" w:eastAsia="Times New Roman" w:hAnsiTheme="majorHAnsi" w:cstheme="majorHAnsi"/>
                <w:sz w:val="20"/>
                <w:szCs w:val="20"/>
              </w:rPr>
              <w:t xml:space="preserve">Develop a community nutrition research proposal </w:t>
            </w:r>
            <w:r w:rsidR="00CB5EB1" w:rsidRPr="00EE5A26">
              <w:rPr>
                <w:rFonts w:asciiTheme="majorHAnsi" w:eastAsia="Times New Roman" w:hAnsiTheme="majorHAnsi" w:cstheme="majorHAnsi"/>
                <w:sz w:val="20"/>
                <w:szCs w:val="20"/>
              </w:rPr>
              <w:t xml:space="preserve">using </w:t>
            </w:r>
            <w:r w:rsidR="005D24F2" w:rsidRPr="00EE5A26">
              <w:rPr>
                <w:rFonts w:asciiTheme="majorHAnsi" w:eastAsia="Times New Roman" w:hAnsiTheme="majorHAnsi" w:cstheme="majorHAnsi"/>
                <w:sz w:val="20"/>
                <w:szCs w:val="20"/>
              </w:rPr>
              <w:t>Nourish culinary resources</w:t>
            </w:r>
            <w:r w:rsidRPr="00EE5A26">
              <w:rPr>
                <w:rFonts w:asciiTheme="majorHAnsi" w:eastAsia="Times New Roman" w:hAnsiTheme="majorHAnsi" w:cstheme="majorHAnsi"/>
                <w:sz w:val="20"/>
                <w:szCs w:val="20"/>
              </w:rPr>
              <w:t>.</w:t>
            </w:r>
          </w:p>
        </w:tc>
      </w:tr>
      <w:tr w:rsidR="005D24F2" w:rsidRPr="00EE5A26" w:rsidTr="00DE072A">
        <w:trPr>
          <w:cantSplit/>
          <w:trHeight w:val="315"/>
        </w:trPr>
        <w:tc>
          <w:tcPr>
            <w:tcW w:w="1198" w:type="pct"/>
            <w:shd w:val="clear" w:color="auto" w:fill="auto"/>
            <w:tcMar>
              <w:left w:w="29" w:type="dxa"/>
              <w:right w:w="29" w:type="dxa"/>
            </w:tcMar>
          </w:tcPr>
          <w:p w:rsidR="005D24F2" w:rsidRPr="00EE5A26" w:rsidRDefault="005D24F2" w:rsidP="00A37ED6">
            <w:pPr>
              <w:rPr>
                <w:rFonts w:asciiTheme="majorHAnsi" w:hAnsiTheme="majorHAnsi" w:cstheme="majorHAnsi"/>
                <w:color w:val="000000"/>
                <w:sz w:val="20"/>
                <w:szCs w:val="20"/>
              </w:rPr>
            </w:pPr>
            <w:r w:rsidRPr="00EE5A26">
              <w:rPr>
                <w:rFonts w:asciiTheme="majorHAnsi" w:hAnsiTheme="majorHAnsi" w:cstheme="majorHAnsi"/>
                <w:color w:val="000000"/>
                <w:sz w:val="20"/>
                <w:szCs w:val="20"/>
              </w:rPr>
              <w:t xml:space="preserve">MPH-DI2. Develop a public health nutrition intervention activity based on community nutrition-related needs, assets and capacities.  </w:t>
            </w:r>
          </w:p>
        </w:tc>
        <w:tc>
          <w:tcPr>
            <w:tcW w:w="1406" w:type="pct"/>
            <w:shd w:val="clear" w:color="auto" w:fill="auto"/>
            <w:tcMar>
              <w:left w:w="29" w:type="dxa"/>
              <w:right w:w="29" w:type="dxa"/>
            </w:tcMar>
          </w:tcPr>
          <w:p w:rsidR="005D24F2" w:rsidRPr="00EE5A26" w:rsidRDefault="005D24F2" w:rsidP="00FC4AEF">
            <w:pPr>
              <w:rPr>
                <w:rFonts w:asciiTheme="majorHAnsi" w:eastAsia="Times New Roman" w:hAnsiTheme="majorHAnsi" w:cstheme="majorHAnsi"/>
                <w:sz w:val="20"/>
                <w:szCs w:val="20"/>
              </w:rPr>
            </w:pPr>
            <w:r w:rsidRPr="00EE5A26">
              <w:rPr>
                <w:rFonts w:asciiTheme="majorHAnsi" w:hAnsiTheme="majorHAnsi" w:cstheme="majorHAnsi"/>
                <w:b/>
                <w:sz w:val="20"/>
                <w:szCs w:val="20"/>
              </w:rPr>
              <w:t>PH 1232</w:t>
            </w:r>
            <w:r w:rsidRPr="00EE5A26">
              <w:rPr>
                <w:rFonts w:asciiTheme="majorHAnsi" w:hAnsiTheme="majorHAnsi" w:cstheme="majorHAnsi"/>
                <w:sz w:val="20"/>
                <w:szCs w:val="20"/>
              </w:rPr>
              <w:t xml:space="preserve"> Public Health Nutrition</w:t>
            </w:r>
          </w:p>
        </w:tc>
        <w:tc>
          <w:tcPr>
            <w:tcW w:w="2395" w:type="pct"/>
            <w:shd w:val="clear" w:color="auto" w:fill="auto"/>
            <w:tcMar>
              <w:left w:w="29" w:type="dxa"/>
              <w:right w:w="29" w:type="dxa"/>
            </w:tcMar>
          </w:tcPr>
          <w:p w:rsidR="005D24F2" w:rsidRPr="00EE5A26" w:rsidRDefault="005D24F2" w:rsidP="00A37ED6">
            <w:pPr>
              <w:autoSpaceDE w:val="0"/>
              <w:autoSpaceDN w:val="0"/>
              <w:adjustRightInd w:val="0"/>
              <w:rPr>
                <w:rFonts w:asciiTheme="majorHAnsi" w:hAnsiTheme="majorHAnsi" w:cstheme="majorHAnsi"/>
                <w:color w:val="FF0000"/>
                <w:sz w:val="20"/>
                <w:szCs w:val="20"/>
              </w:rPr>
            </w:pPr>
            <w:r w:rsidRPr="00EE5A26">
              <w:rPr>
                <w:rFonts w:asciiTheme="majorHAnsi" w:hAnsiTheme="majorHAnsi" w:cstheme="majorHAnsi"/>
                <w:sz w:val="20"/>
                <w:szCs w:val="20"/>
              </w:rPr>
              <w:t>Community Nutrition Intervention Activity</w:t>
            </w:r>
            <w:r w:rsidR="00C83667" w:rsidRPr="00EE5A26">
              <w:rPr>
                <w:rFonts w:asciiTheme="majorHAnsi" w:eastAsia="Times New Roman" w:hAnsiTheme="majorHAnsi" w:cstheme="majorHAnsi"/>
                <w:sz w:val="20"/>
                <w:szCs w:val="20"/>
              </w:rPr>
              <w:t xml:space="preserve"> (and </w:t>
            </w:r>
            <w:r w:rsidR="00C83667" w:rsidRPr="00EE5A26">
              <w:rPr>
                <w:rFonts w:asciiTheme="majorHAnsi" w:hAnsiTheme="majorHAnsi" w:cstheme="majorHAnsi"/>
                <w:sz w:val="20"/>
                <w:szCs w:val="20"/>
              </w:rPr>
              <w:t>Evaluation</w:t>
            </w:r>
            <w:r w:rsidR="0006036D" w:rsidRPr="00EE5A26">
              <w:rPr>
                <w:rFonts w:asciiTheme="majorHAnsi" w:eastAsia="Times New Roman" w:hAnsiTheme="majorHAnsi" w:cstheme="majorHAnsi"/>
                <w:sz w:val="20"/>
                <w:szCs w:val="20"/>
              </w:rPr>
              <w:t xml:space="preserve">): </w:t>
            </w:r>
            <w:r w:rsidRPr="00EE5A26">
              <w:rPr>
                <w:rFonts w:asciiTheme="majorHAnsi" w:eastAsia="Times New Roman" w:hAnsiTheme="majorHAnsi" w:cstheme="majorHAnsi"/>
                <w:sz w:val="20"/>
                <w:szCs w:val="20"/>
              </w:rPr>
              <w:t>The Community Nutrition Intervention Activity is based directly on the results from student’s Community Diagnosis/Assessments. Each student will create their own activity and evaluation plan for that specific activity</w:t>
            </w:r>
            <w:r w:rsidRPr="00EE5A26">
              <w:rPr>
                <w:rFonts w:asciiTheme="majorHAnsi" w:eastAsia="Times New Roman" w:hAnsiTheme="majorHAnsi" w:cstheme="majorHAnsi"/>
                <w:i/>
                <w:sz w:val="20"/>
                <w:szCs w:val="20"/>
              </w:rPr>
              <w:t xml:space="preserve">. </w:t>
            </w:r>
            <w:r w:rsidRPr="00EE5A26">
              <w:rPr>
                <w:rFonts w:asciiTheme="majorHAnsi" w:eastAsia="Times New Roman" w:hAnsiTheme="majorHAnsi" w:cstheme="majorHAnsi"/>
                <w:sz w:val="20"/>
                <w:szCs w:val="20"/>
              </w:rPr>
              <w:t>This assessment evaluates students’ ability to individually design and create a public health nutrition intervention activity based on data from the community assessment.</w:t>
            </w:r>
            <w:r w:rsidRPr="00EE5A26">
              <w:rPr>
                <w:rFonts w:asciiTheme="majorHAnsi" w:eastAsia="Times New Roman" w:hAnsiTheme="majorHAnsi" w:cstheme="majorHAnsi"/>
                <w:i/>
                <w:sz w:val="20"/>
                <w:szCs w:val="20"/>
              </w:rPr>
              <w:t xml:space="preserve"> </w:t>
            </w:r>
          </w:p>
        </w:tc>
      </w:tr>
      <w:tr w:rsidR="005D24F2" w:rsidRPr="00EE5A26" w:rsidTr="00DE072A">
        <w:trPr>
          <w:cantSplit/>
          <w:trHeight w:val="315"/>
        </w:trPr>
        <w:tc>
          <w:tcPr>
            <w:tcW w:w="1198" w:type="pct"/>
            <w:shd w:val="clear" w:color="auto" w:fill="auto"/>
            <w:tcMar>
              <w:left w:w="29" w:type="dxa"/>
              <w:right w:w="29" w:type="dxa"/>
            </w:tcMar>
          </w:tcPr>
          <w:p w:rsidR="005D24F2" w:rsidRPr="00EE5A26" w:rsidRDefault="005D24F2" w:rsidP="00A37ED6">
            <w:pPr>
              <w:rPr>
                <w:rFonts w:asciiTheme="majorHAnsi" w:hAnsiTheme="majorHAnsi" w:cstheme="majorHAnsi"/>
                <w:color w:val="000000"/>
                <w:sz w:val="20"/>
                <w:szCs w:val="20"/>
              </w:rPr>
            </w:pPr>
            <w:r w:rsidRPr="00EE5A26">
              <w:rPr>
                <w:rFonts w:asciiTheme="majorHAnsi" w:hAnsiTheme="majorHAnsi" w:cstheme="majorHAnsi"/>
                <w:color w:val="000000"/>
                <w:sz w:val="20"/>
                <w:szCs w:val="20"/>
              </w:rPr>
              <w:t>MPH-DI3. Communicate patient or client cases using professional nutrition standards.</w:t>
            </w:r>
          </w:p>
        </w:tc>
        <w:tc>
          <w:tcPr>
            <w:tcW w:w="1406" w:type="pct"/>
            <w:shd w:val="clear" w:color="auto" w:fill="auto"/>
            <w:tcMar>
              <w:left w:w="29" w:type="dxa"/>
              <w:right w:w="29" w:type="dxa"/>
            </w:tcMar>
          </w:tcPr>
          <w:p w:rsidR="005D24F2" w:rsidRPr="00EE5A26" w:rsidRDefault="005D24F2" w:rsidP="00FC4AEF">
            <w:pPr>
              <w:rPr>
                <w:rFonts w:asciiTheme="majorHAnsi" w:eastAsia="Times New Roman" w:hAnsiTheme="majorHAnsi" w:cstheme="majorHAnsi"/>
                <w:sz w:val="20"/>
                <w:szCs w:val="20"/>
              </w:rPr>
            </w:pPr>
            <w:r w:rsidRPr="00EE5A26">
              <w:rPr>
                <w:rFonts w:asciiTheme="majorHAnsi" w:hAnsiTheme="majorHAnsi" w:cstheme="majorHAnsi"/>
                <w:b/>
                <w:sz w:val="20"/>
                <w:szCs w:val="20"/>
              </w:rPr>
              <w:t>PH 1231</w:t>
            </w:r>
            <w:r w:rsidRPr="00EE5A26">
              <w:rPr>
                <w:rFonts w:asciiTheme="majorHAnsi" w:hAnsiTheme="majorHAnsi" w:cstheme="majorHAnsi"/>
                <w:sz w:val="20"/>
                <w:szCs w:val="20"/>
              </w:rPr>
              <w:t xml:space="preserve"> Medical Nutrition Therapy</w:t>
            </w:r>
          </w:p>
        </w:tc>
        <w:tc>
          <w:tcPr>
            <w:tcW w:w="2395" w:type="pct"/>
            <w:shd w:val="clear" w:color="auto" w:fill="auto"/>
            <w:tcMar>
              <w:left w:w="29" w:type="dxa"/>
              <w:right w:w="29" w:type="dxa"/>
            </w:tcMar>
          </w:tcPr>
          <w:p w:rsidR="005D24F2" w:rsidRPr="00EE5A26" w:rsidRDefault="008324A8" w:rsidP="00A37ED6">
            <w:pPr>
              <w:rPr>
                <w:rFonts w:asciiTheme="majorHAnsi" w:eastAsia="Times New Roman" w:hAnsiTheme="majorHAnsi" w:cstheme="majorHAnsi"/>
                <w:sz w:val="20"/>
                <w:szCs w:val="20"/>
              </w:rPr>
            </w:pPr>
            <w:r w:rsidRPr="00EE5A26">
              <w:rPr>
                <w:rFonts w:asciiTheme="majorHAnsi" w:hAnsiTheme="majorHAnsi" w:cstheme="majorHAnsi"/>
                <w:sz w:val="20"/>
                <w:szCs w:val="20"/>
              </w:rPr>
              <w:t>Case Study</w:t>
            </w:r>
            <w:r w:rsidR="00FA41D3" w:rsidRPr="00EE5A26">
              <w:rPr>
                <w:rFonts w:asciiTheme="majorHAnsi" w:eastAsia="Times New Roman" w:hAnsiTheme="majorHAnsi" w:cstheme="majorHAnsi"/>
                <w:sz w:val="20"/>
                <w:szCs w:val="20"/>
              </w:rPr>
              <w:t xml:space="preserve"> and (</w:t>
            </w:r>
            <w:r w:rsidR="00FA41D3" w:rsidRPr="00EE5A26">
              <w:rPr>
                <w:rFonts w:asciiTheme="majorHAnsi" w:hAnsiTheme="majorHAnsi" w:cstheme="majorHAnsi"/>
                <w:sz w:val="20"/>
                <w:szCs w:val="20"/>
              </w:rPr>
              <w:t>Rubric</w:t>
            </w:r>
            <w:r w:rsidR="00FA41D3" w:rsidRPr="00EE5A26">
              <w:rPr>
                <w:rFonts w:asciiTheme="majorHAnsi" w:eastAsia="Times New Roman" w:hAnsiTheme="majorHAnsi" w:cstheme="majorHAnsi"/>
                <w:sz w:val="20"/>
                <w:szCs w:val="20"/>
              </w:rPr>
              <w:t>)</w:t>
            </w:r>
            <w:r w:rsidRPr="00EE5A26">
              <w:rPr>
                <w:rFonts w:asciiTheme="majorHAnsi" w:eastAsia="Times New Roman" w:hAnsiTheme="majorHAnsi" w:cstheme="majorHAnsi"/>
                <w:sz w:val="20"/>
                <w:szCs w:val="20"/>
              </w:rPr>
              <w:t xml:space="preserve">: </w:t>
            </w:r>
            <w:r w:rsidR="005D24F2" w:rsidRPr="00EE5A26">
              <w:rPr>
                <w:rFonts w:asciiTheme="majorHAnsi" w:eastAsia="Times New Roman" w:hAnsiTheme="majorHAnsi" w:cstheme="majorHAnsi"/>
                <w:sz w:val="20"/>
                <w:szCs w:val="20"/>
              </w:rPr>
              <w:t>The students will each be assigned and present a specific case study related to a chronic, acute, or environmental disease.  The student will use both verbal and written descriptions to demonstrate their understanding of the Nutrition Care Process.  Students will review, research and evaluate their assigned case and presentations will be completed on the total care of their patient.</w:t>
            </w:r>
          </w:p>
          <w:p w:rsidR="005D24F2" w:rsidRPr="00EE5A26" w:rsidRDefault="005D24F2" w:rsidP="00A37ED6">
            <w:pPr>
              <w:rPr>
                <w:rFonts w:asciiTheme="majorHAnsi" w:eastAsia="Times New Roman" w:hAnsiTheme="majorHAnsi" w:cstheme="majorHAnsi"/>
                <w:sz w:val="20"/>
                <w:szCs w:val="20"/>
              </w:rPr>
            </w:pPr>
            <w:r w:rsidRPr="00EE5A26">
              <w:rPr>
                <w:rFonts w:asciiTheme="majorHAnsi" w:eastAsia="Times New Roman" w:hAnsiTheme="majorHAnsi" w:cstheme="majorHAnsi"/>
                <w:sz w:val="20"/>
                <w:szCs w:val="20"/>
              </w:rPr>
              <w:t>This presentation will be evaluated utilizing our DI rubric.</w:t>
            </w:r>
          </w:p>
        </w:tc>
      </w:tr>
      <w:tr w:rsidR="005D24F2" w:rsidRPr="00EE5A26" w:rsidTr="00DE072A">
        <w:trPr>
          <w:cantSplit/>
          <w:trHeight w:val="315"/>
        </w:trPr>
        <w:tc>
          <w:tcPr>
            <w:tcW w:w="1198" w:type="pct"/>
            <w:shd w:val="clear" w:color="auto" w:fill="auto"/>
            <w:tcMar>
              <w:left w:w="29" w:type="dxa"/>
              <w:right w:w="29" w:type="dxa"/>
            </w:tcMar>
          </w:tcPr>
          <w:p w:rsidR="005D24F2" w:rsidRPr="00EE5A26" w:rsidRDefault="005D24F2" w:rsidP="00A37ED6">
            <w:pPr>
              <w:rPr>
                <w:rFonts w:asciiTheme="majorHAnsi" w:hAnsiTheme="majorHAnsi" w:cstheme="majorHAnsi"/>
                <w:color w:val="000000"/>
                <w:sz w:val="20"/>
                <w:szCs w:val="20"/>
              </w:rPr>
            </w:pPr>
            <w:r w:rsidRPr="00EE5A26">
              <w:rPr>
                <w:rFonts w:asciiTheme="majorHAnsi" w:hAnsiTheme="majorHAnsi" w:cstheme="majorHAnsi"/>
                <w:color w:val="000000"/>
                <w:sz w:val="20"/>
                <w:szCs w:val="20"/>
              </w:rPr>
              <w:t>MPH-DI4. Demonstrate the ability to conduct nutrition-focused physical assessments.</w:t>
            </w:r>
          </w:p>
        </w:tc>
        <w:tc>
          <w:tcPr>
            <w:tcW w:w="1406" w:type="pct"/>
            <w:shd w:val="clear" w:color="auto" w:fill="auto"/>
            <w:tcMar>
              <w:left w:w="29" w:type="dxa"/>
              <w:right w:w="29" w:type="dxa"/>
            </w:tcMar>
          </w:tcPr>
          <w:p w:rsidR="005D24F2" w:rsidRPr="00EE5A26" w:rsidRDefault="005D24F2" w:rsidP="00FC4AEF">
            <w:pPr>
              <w:rPr>
                <w:rFonts w:asciiTheme="majorHAnsi" w:eastAsia="Times New Roman" w:hAnsiTheme="majorHAnsi" w:cstheme="majorHAnsi"/>
                <w:sz w:val="20"/>
                <w:szCs w:val="20"/>
              </w:rPr>
            </w:pPr>
            <w:r w:rsidRPr="00EE5A26">
              <w:rPr>
                <w:rFonts w:asciiTheme="majorHAnsi" w:hAnsiTheme="majorHAnsi" w:cstheme="majorHAnsi"/>
                <w:b/>
                <w:sz w:val="20"/>
                <w:szCs w:val="20"/>
              </w:rPr>
              <w:t>PH 1229</w:t>
            </w:r>
            <w:r w:rsidRPr="00EE5A26">
              <w:rPr>
                <w:rFonts w:asciiTheme="majorHAnsi" w:hAnsiTheme="majorHAnsi" w:cstheme="majorHAnsi"/>
                <w:sz w:val="20"/>
                <w:szCs w:val="20"/>
              </w:rPr>
              <w:t xml:space="preserve"> Medical Nutrition Therapy Simulation Lab</w:t>
            </w:r>
          </w:p>
        </w:tc>
        <w:tc>
          <w:tcPr>
            <w:tcW w:w="2395" w:type="pct"/>
            <w:shd w:val="clear" w:color="auto" w:fill="auto"/>
            <w:tcMar>
              <w:left w:w="29" w:type="dxa"/>
              <w:right w:w="29" w:type="dxa"/>
            </w:tcMar>
          </w:tcPr>
          <w:p w:rsidR="005D24F2" w:rsidRPr="00EE5A26" w:rsidRDefault="00210D3D" w:rsidP="00A37ED6">
            <w:pPr>
              <w:rPr>
                <w:rFonts w:asciiTheme="majorHAnsi" w:eastAsia="Times New Roman" w:hAnsiTheme="majorHAnsi" w:cstheme="majorHAnsi"/>
                <w:sz w:val="20"/>
                <w:szCs w:val="20"/>
              </w:rPr>
            </w:pPr>
            <w:r w:rsidRPr="00EE5A26">
              <w:rPr>
                <w:rFonts w:asciiTheme="majorHAnsi" w:hAnsiTheme="majorHAnsi" w:cstheme="majorHAnsi"/>
                <w:sz w:val="20"/>
                <w:szCs w:val="20"/>
              </w:rPr>
              <w:t>NFPA Assessment</w:t>
            </w:r>
            <w:r w:rsidRPr="00EE5A26">
              <w:rPr>
                <w:rFonts w:asciiTheme="majorHAnsi" w:eastAsia="Times New Roman" w:hAnsiTheme="majorHAnsi" w:cstheme="majorHAnsi"/>
                <w:sz w:val="20"/>
                <w:szCs w:val="20"/>
              </w:rPr>
              <w:t xml:space="preserve"> and </w:t>
            </w:r>
            <w:r w:rsidRPr="00EE5A26">
              <w:rPr>
                <w:rFonts w:asciiTheme="majorHAnsi" w:hAnsiTheme="majorHAnsi" w:cstheme="majorHAnsi"/>
                <w:sz w:val="20"/>
                <w:szCs w:val="20"/>
              </w:rPr>
              <w:t>NFPA Rubric</w:t>
            </w:r>
            <w:r w:rsidRPr="00EE5A26">
              <w:rPr>
                <w:rFonts w:asciiTheme="majorHAnsi" w:eastAsia="Times New Roman" w:hAnsiTheme="majorHAnsi" w:cstheme="majorHAnsi"/>
                <w:sz w:val="20"/>
                <w:szCs w:val="20"/>
              </w:rPr>
              <w:t>:</w:t>
            </w:r>
            <w:r w:rsidR="00E14560" w:rsidRPr="00EE5A26">
              <w:rPr>
                <w:rFonts w:asciiTheme="majorHAnsi" w:eastAsia="Times New Roman" w:hAnsiTheme="majorHAnsi" w:cstheme="majorHAnsi"/>
                <w:sz w:val="20"/>
                <w:szCs w:val="20"/>
              </w:rPr>
              <w:t xml:space="preserve"> </w:t>
            </w:r>
            <w:r w:rsidR="005D24F2" w:rsidRPr="00EE5A26">
              <w:rPr>
                <w:rFonts w:asciiTheme="majorHAnsi" w:eastAsia="Times New Roman" w:hAnsiTheme="majorHAnsi" w:cstheme="majorHAnsi"/>
                <w:sz w:val="20"/>
                <w:szCs w:val="20"/>
              </w:rPr>
              <w:t>The student will explain the etiology and pathophysiology of an Acute, Chronic, or Environmental disease as outlined in the ASPEN/AND Consensus Paper. The student will demonstrate and be evaluated on the NFPA process. An evaluation tool has been given to the students to ensure proper techniques are utilized when completing this malnutrition exam.</w:t>
            </w:r>
          </w:p>
          <w:p w:rsidR="005D24F2" w:rsidRPr="00EE5A26" w:rsidRDefault="005D24F2" w:rsidP="00A37ED6">
            <w:pPr>
              <w:rPr>
                <w:rFonts w:asciiTheme="majorHAnsi" w:eastAsia="Times New Roman" w:hAnsiTheme="majorHAnsi" w:cstheme="majorHAnsi"/>
                <w:sz w:val="20"/>
                <w:szCs w:val="20"/>
              </w:rPr>
            </w:pPr>
            <w:r w:rsidRPr="00EE5A26">
              <w:rPr>
                <w:rFonts w:asciiTheme="majorHAnsi" w:eastAsia="Times New Roman" w:hAnsiTheme="majorHAnsi" w:cstheme="majorHAnsi"/>
                <w:sz w:val="20"/>
                <w:szCs w:val="20"/>
              </w:rPr>
              <w:t>The students will complete the exam on a weekly basis and discern disease state and interventions.</w:t>
            </w:r>
          </w:p>
          <w:p w:rsidR="005D24F2" w:rsidRPr="00EE5A26" w:rsidRDefault="005D24F2" w:rsidP="00A37ED6">
            <w:pPr>
              <w:rPr>
                <w:rFonts w:asciiTheme="majorHAnsi" w:eastAsia="Times New Roman" w:hAnsiTheme="majorHAnsi" w:cstheme="majorHAnsi"/>
                <w:sz w:val="20"/>
                <w:szCs w:val="20"/>
              </w:rPr>
            </w:pPr>
            <w:r w:rsidRPr="00EE5A26">
              <w:rPr>
                <w:rFonts w:asciiTheme="majorHAnsi" w:eastAsia="Times New Roman" w:hAnsiTheme="majorHAnsi" w:cstheme="majorHAnsi"/>
                <w:sz w:val="20"/>
                <w:szCs w:val="20"/>
              </w:rPr>
              <w:t>The students will be evaluated on a weekly basis for development of their assessment techniques.</w:t>
            </w:r>
            <w:r w:rsidR="0078412D" w:rsidRPr="00EE5A26">
              <w:rPr>
                <w:rFonts w:asciiTheme="majorHAnsi" w:eastAsia="Times New Roman" w:hAnsiTheme="majorHAnsi" w:cstheme="majorHAnsi"/>
                <w:sz w:val="20"/>
                <w:szCs w:val="20"/>
              </w:rPr>
              <w:t xml:space="preserve">  </w:t>
            </w:r>
            <w:r w:rsidRPr="00EE5A26">
              <w:rPr>
                <w:rFonts w:asciiTheme="majorHAnsi" w:eastAsia="Times New Roman" w:hAnsiTheme="majorHAnsi" w:cstheme="majorHAnsi"/>
                <w:sz w:val="20"/>
                <w:szCs w:val="20"/>
              </w:rPr>
              <w:t>The students will complete 3 self-evaluations throughout the semester to develop proper techniques.</w:t>
            </w:r>
          </w:p>
        </w:tc>
      </w:tr>
      <w:tr w:rsidR="005D24F2" w:rsidRPr="00EE5A26" w:rsidTr="00DE072A">
        <w:trPr>
          <w:cantSplit/>
          <w:trHeight w:val="315"/>
        </w:trPr>
        <w:tc>
          <w:tcPr>
            <w:tcW w:w="1198" w:type="pct"/>
            <w:shd w:val="clear" w:color="auto" w:fill="auto"/>
            <w:tcMar>
              <w:left w:w="29" w:type="dxa"/>
              <w:right w:w="29" w:type="dxa"/>
            </w:tcMar>
          </w:tcPr>
          <w:p w:rsidR="005D24F2" w:rsidRPr="00EE5A26" w:rsidRDefault="005D24F2" w:rsidP="00A37ED6">
            <w:pPr>
              <w:rPr>
                <w:rFonts w:asciiTheme="majorHAnsi" w:hAnsiTheme="majorHAnsi" w:cstheme="majorHAnsi"/>
                <w:color w:val="000000"/>
                <w:sz w:val="20"/>
                <w:szCs w:val="20"/>
              </w:rPr>
            </w:pPr>
            <w:r w:rsidRPr="00EE5A26">
              <w:rPr>
                <w:rFonts w:asciiTheme="majorHAnsi" w:hAnsiTheme="majorHAnsi" w:cstheme="majorHAnsi"/>
                <w:color w:val="000000"/>
                <w:sz w:val="20"/>
                <w:szCs w:val="20"/>
              </w:rPr>
              <w:t>MPH-DI5. Implement evidence and theory based nutrition interventions</w:t>
            </w:r>
          </w:p>
        </w:tc>
        <w:tc>
          <w:tcPr>
            <w:tcW w:w="1406" w:type="pct"/>
            <w:shd w:val="clear" w:color="auto" w:fill="auto"/>
            <w:tcMar>
              <w:left w:w="29" w:type="dxa"/>
              <w:right w:w="29" w:type="dxa"/>
            </w:tcMar>
          </w:tcPr>
          <w:p w:rsidR="005D24F2" w:rsidRPr="00EE5A26" w:rsidRDefault="0078412D" w:rsidP="00FC4AEF">
            <w:pPr>
              <w:rPr>
                <w:rFonts w:asciiTheme="majorHAnsi" w:eastAsia="Times New Roman" w:hAnsiTheme="majorHAnsi" w:cstheme="majorHAnsi"/>
                <w:sz w:val="20"/>
                <w:szCs w:val="20"/>
              </w:rPr>
            </w:pPr>
            <w:r w:rsidRPr="00EE5A26">
              <w:rPr>
                <w:rFonts w:asciiTheme="majorHAnsi" w:hAnsiTheme="majorHAnsi" w:cstheme="majorHAnsi"/>
                <w:b/>
                <w:sz w:val="20"/>
                <w:szCs w:val="20"/>
              </w:rPr>
              <w:t>PH 1229</w:t>
            </w:r>
            <w:r w:rsidRPr="00EE5A26">
              <w:rPr>
                <w:rFonts w:asciiTheme="majorHAnsi" w:hAnsiTheme="majorHAnsi" w:cstheme="majorHAnsi"/>
                <w:sz w:val="20"/>
                <w:szCs w:val="20"/>
              </w:rPr>
              <w:t xml:space="preserve"> Medical Nutrition Therapy Simulation Lab</w:t>
            </w:r>
          </w:p>
        </w:tc>
        <w:tc>
          <w:tcPr>
            <w:tcW w:w="2395" w:type="pct"/>
            <w:shd w:val="clear" w:color="auto" w:fill="auto"/>
            <w:tcMar>
              <w:left w:w="29" w:type="dxa"/>
              <w:right w:w="29" w:type="dxa"/>
            </w:tcMar>
          </w:tcPr>
          <w:p w:rsidR="005D24F2" w:rsidRPr="00EE5A26" w:rsidRDefault="00210D3D" w:rsidP="00A37ED6">
            <w:pPr>
              <w:rPr>
                <w:rFonts w:asciiTheme="majorHAnsi" w:eastAsia="Times New Roman" w:hAnsiTheme="majorHAnsi" w:cstheme="majorHAnsi"/>
                <w:sz w:val="20"/>
                <w:szCs w:val="20"/>
              </w:rPr>
            </w:pPr>
            <w:r w:rsidRPr="00EE5A26">
              <w:rPr>
                <w:rFonts w:asciiTheme="majorHAnsi" w:hAnsiTheme="majorHAnsi" w:cstheme="majorHAnsi"/>
                <w:sz w:val="20"/>
                <w:szCs w:val="20"/>
              </w:rPr>
              <w:t>Case Study, Nutrition Care Process (</w:t>
            </w:r>
            <w:r w:rsidR="0007301B" w:rsidRPr="00EE5A26">
              <w:rPr>
                <w:rFonts w:asciiTheme="majorHAnsi" w:hAnsiTheme="majorHAnsi" w:cstheme="majorHAnsi"/>
                <w:sz w:val="20"/>
                <w:szCs w:val="20"/>
              </w:rPr>
              <w:t>Case Study Example)</w:t>
            </w:r>
            <w:r w:rsidR="00E14560" w:rsidRPr="00EE5A26">
              <w:rPr>
                <w:rFonts w:asciiTheme="majorHAnsi" w:hAnsiTheme="majorHAnsi" w:cstheme="majorHAnsi"/>
                <w:sz w:val="20"/>
                <w:szCs w:val="20"/>
              </w:rPr>
              <w:t xml:space="preserve">: </w:t>
            </w:r>
            <w:r w:rsidR="005D24F2" w:rsidRPr="00EE5A26">
              <w:rPr>
                <w:rFonts w:asciiTheme="majorHAnsi" w:hAnsiTheme="majorHAnsi" w:cstheme="majorHAnsi"/>
                <w:sz w:val="20"/>
                <w:szCs w:val="20"/>
              </w:rPr>
              <w:t xml:space="preserve">The students will describe pathophysiology of acute, chronic and environmental diseases.  Each week a different case study will be presented to the DI student who will then complete a full NFPA assessment including a diet prescription and intervention for that patient.  </w:t>
            </w:r>
          </w:p>
        </w:tc>
      </w:tr>
    </w:tbl>
    <w:p w:rsidR="00740AE3" w:rsidRDefault="00740AE3" w:rsidP="006E28EE">
      <w:pPr>
        <w:ind w:left="720"/>
        <w:rPr>
          <w:rFonts w:asciiTheme="majorHAnsi" w:hAnsiTheme="majorHAnsi" w:cstheme="majorHAnsi"/>
          <w:sz w:val="20"/>
          <w:szCs w:val="20"/>
        </w:rPr>
      </w:pPr>
    </w:p>
    <w:p w:rsidR="00740AE3" w:rsidRDefault="00740AE3">
      <w:pPr>
        <w:rPr>
          <w:rFonts w:asciiTheme="majorHAnsi" w:hAnsiTheme="majorHAnsi" w:cstheme="majorHAnsi"/>
          <w:sz w:val="20"/>
          <w:szCs w:val="20"/>
        </w:rPr>
      </w:pPr>
      <w:r>
        <w:rPr>
          <w:rFonts w:asciiTheme="majorHAnsi" w:hAnsiTheme="majorHAnsi" w:cstheme="majorHAnsi"/>
          <w:sz w:val="20"/>
          <w:szCs w:val="20"/>
        </w:rPr>
        <w:br w:type="page"/>
      </w:r>
    </w:p>
    <w:p w:rsidR="00A3583C" w:rsidRPr="00740AE3" w:rsidRDefault="00A3583C" w:rsidP="006E28EE">
      <w:pPr>
        <w:ind w:left="720"/>
        <w:rPr>
          <w:rStyle w:val="Hyperlink"/>
          <w:rFonts w:asciiTheme="majorHAnsi" w:hAnsiTheme="majorHAnsi" w:cstheme="majorHAnsi"/>
          <w:sz w:val="20"/>
          <w:szCs w:val="20"/>
        </w:rPr>
      </w:pPr>
      <w:r w:rsidRPr="00740AE3">
        <w:rPr>
          <w:rFonts w:asciiTheme="majorHAnsi" w:hAnsiTheme="majorHAnsi" w:cstheme="majorHAnsi"/>
          <w:sz w:val="20"/>
          <w:szCs w:val="20"/>
        </w:rPr>
        <w:t>Table D</w:t>
      </w:r>
      <w:r w:rsidR="008A304A" w:rsidRPr="00740AE3">
        <w:rPr>
          <w:rFonts w:asciiTheme="majorHAnsi" w:hAnsiTheme="majorHAnsi" w:cstheme="majorHAnsi"/>
          <w:sz w:val="20"/>
          <w:szCs w:val="20"/>
        </w:rPr>
        <w:t>.</w:t>
      </w:r>
      <w:r w:rsidRPr="00740AE3">
        <w:rPr>
          <w:rFonts w:asciiTheme="majorHAnsi" w:hAnsiTheme="majorHAnsi" w:cstheme="majorHAnsi"/>
          <w:sz w:val="20"/>
          <w:szCs w:val="20"/>
        </w:rPr>
        <w:t>4.1</w:t>
      </w:r>
      <w:r w:rsidR="008A304A" w:rsidRPr="00740AE3">
        <w:rPr>
          <w:rFonts w:asciiTheme="majorHAnsi" w:hAnsiTheme="majorHAnsi" w:cstheme="majorHAnsi"/>
          <w:sz w:val="20"/>
          <w:szCs w:val="20"/>
        </w:rPr>
        <w:t>.</w:t>
      </w:r>
      <w:r w:rsidR="00B22AEB" w:rsidRPr="00740AE3">
        <w:rPr>
          <w:rFonts w:asciiTheme="majorHAnsi" w:hAnsiTheme="majorHAnsi" w:cstheme="majorHAnsi"/>
          <w:sz w:val="20"/>
          <w:szCs w:val="20"/>
        </w:rPr>
        <w:t>f</w:t>
      </w:r>
      <w:r w:rsidR="008A304A" w:rsidRPr="00740AE3">
        <w:rPr>
          <w:rFonts w:asciiTheme="majorHAnsi" w:hAnsiTheme="majorHAnsi" w:cstheme="majorHAnsi"/>
          <w:sz w:val="20"/>
          <w:szCs w:val="20"/>
        </w:rPr>
        <w:t>.</w:t>
      </w:r>
      <w:r w:rsidRPr="00740AE3">
        <w:rPr>
          <w:rFonts w:asciiTheme="majorHAnsi" w:hAnsiTheme="majorHAnsi" w:cstheme="majorHAnsi"/>
          <w:sz w:val="20"/>
          <w:szCs w:val="20"/>
        </w:rPr>
        <w:t xml:space="preserve"> Assessment of Competencies for MPH in Healthcare Manageme</w:t>
      </w:r>
      <w:r w:rsidR="009073B1" w:rsidRPr="00740AE3">
        <w:rPr>
          <w:rFonts w:asciiTheme="majorHAnsi" w:hAnsiTheme="majorHAnsi" w:cstheme="majorHAnsi"/>
          <w:sz w:val="20"/>
          <w:szCs w:val="20"/>
        </w:rPr>
        <w:t xml:space="preserve">nt </w:t>
      </w:r>
      <w:r w:rsidR="00A67537" w:rsidRPr="00740AE3">
        <w:rPr>
          <w:rFonts w:asciiTheme="majorHAnsi" w:hAnsiTheme="majorHAnsi" w:cstheme="majorHAnsi"/>
          <w:sz w:val="20"/>
          <w:szCs w:val="20"/>
        </w:rPr>
        <w:t>(</w:t>
      </w:r>
      <w:r w:rsidR="00A67537" w:rsidRPr="00740AE3">
        <w:rPr>
          <w:rFonts w:asciiTheme="majorHAnsi" w:hAnsiTheme="majorHAnsi" w:cstheme="majorHAnsi"/>
          <w:i/>
          <w:sz w:val="20"/>
          <w:szCs w:val="20"/>
        </w:rPr>
        <w:t>ERF, D4.3. MPH in Healthcare Management)</w:t>
      </w:r>
    </w:p>
    <w:tbl>
      <w:tblPr>
        <w:tblW w:w="4661"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2428"/>
        <w:gridCol w:w="4217"/>
      </w:tblGrid>
      <w:tr w:rsidR="005D24F2" w:rsidRPr="00740AE3" w:rsidTr="00DE072A">
        <w:trPr>
          <w:cantSplit/>
          <w:trHeight w:val="525"/>
          <w:tblHeader/>
        </w:trPr>
        <w:tc>
          <w:tcPr>
            <w:tcW w:w="1188" w:type="pct"/>
            <w:shd w:val="clear" w:color="000000" w:fill="D9D9D9"/>
            <w:tcMar>
              <w:left w:w="29" w:type="dxa"/>
              <w:right w:w="29" w:type="dxa"/>
            </w:tcMar>
            <w:hideMark/>
          </w:tcPr>
          <w:p w:rsidR="005D24F2" w:rsidRPr="00740AE3" w:rsidRDefault="005D24F2" w:rsidP="00A37ED6">
            <w:pPr>
              <w:jc w:val="center"/>
              <w:rPr>
                <w:rFonts w:asciiTheme="majorHAnsi" w:eastAsia="Times New Roman" w:hAnsiTheme="majorHAnsi" w:cstheme="majorHAnsi"/>
                <w:b/>
                <w:bCs/>
                <w:color w:val="000000"/>
                <w:sz w:val="20"/>
                <w:szCs w:val="20"/>
              </w:rPr>
            </w:pPr>
            <w:r w:rsidRPr="00740AE3">
              <w:rPr>
                <w:rFonts w:asciiTheme="majorHAnsi" w:eastAsia="Times New Roman" w:hAnsiTheme="majorHAnsi" w:cstheme="majorHAnsi"/>
                <w:b/>
                <w:bCs/>
                <w:color w:val="000000"/>
                <w:sz w:val="20"/>
                <w:szCs w:val="20"/>
              </w:rPr>
              <w:t>Competency</w:t>
            </w:r>
          </w:p>
        </w:tc>
        <w:tc>
          <w:tcPr>
            <w:tcW w:w="1393" w:type="pct"/>
            <w:shd w:val="clear" w:color="000000" w:fill="D9D9D9"/>
            <w:tcMar>
              <w:left w:w="29" w:type="dxa"/>
              <w:right w:w="29" w:type="dxa"/>
            </w:tcMar>
            <w:hideMark/>
          </w:tcPr>
          <w:p w:rsidR="005D24F2" w:rsidRPr="00740AE3" w:rsidRDefault="005D24F2" w:rsidP="00A37ED6">
            <w:pPr>
              <w:jc w:val="center"/>
              <w:rPr>
                <w:rFonts w:asciiTheme="majorHAnsi" w:eastAsia="Times New Roman" w:hAnsiTheme="majorHAnsi" w:cstheme="majorHAnsi"/>
                <w:b/>
                <w:bCs/>
                <w:color w:val="000000"/>
                <w:sz w:val="20"/>
                <w:szCs w:val="20"/>
              </w:rPr>
            </w:pPr>
            <w:r w:rsidRPr="00740AE3">
              <w:rPr>
                <w:rFonts w:asciiTheme="majorHAnsi" w:eastAsia="Times New Roman" w:hAnsiTheme="majorHAnsi" w:cstheme="majorHAnsi"/>
                <w:b/>
                <w:bCs/>
                <w:color w:val="000000"/>
                <w:sz w:val="20"/>
                <w:szCs w:val="20"/>
              </w:rPr>
              <w:t>Course number(s) and name(s)</w:t>
            </w:r>
          </w:p>
        </w:tc>
        <w:tc>
          <w:tcPr>
            <w:tcW w:w="2419" w:type="pct"/>
            <w:shd w:val="clear" w:color="000000" w:fill="D9D9D9"/>
            <w:tcMar>
              <w:left w:w="29" w:type="dxa"/>
              <w:right w:w="29" w:type="dxa"/>
            </w:tcMar>
            <w:hideMark/>
          </w:tcPr>
          <w:p w:rsidR="005D24F2" w:rsidRPr="00740AE3" w:rsidRDefault="005D24F2" w:rsidP="00A37ED6">
            <w:pPr>
              <w:jc w:val="center"/>
              <w:rPr>
                <w:rFonts w:asciiTheme="majorHAnsi" w:eastAsia="Times New Roman" w:hAnsiTheme="majorHAnsi" w:cstheme="majorHAnsi"/>
                <w:b/>
                <w:bCs/>
                <w:color w:val="000000"/>
                <w:sz w:val="20"/>
                <w:szCs w:val="20"/>
              </w:rPr>
            </w:pPr>
            <w:r w:rsidRPr="00740AE3">
              <w:rPr>
                <w:rFonts w:asciiTheme="majorHAnsi" w:eastAsia="Times New Roman" w:hAnsiTheme="majorHAnsi" w:cstheme="majorHAnsi"/>
                <w:b/>
                <w:bCs/>
                <w:color w:val="000000"/>
                <w:sz w:val="20"/>
                <w:szCs w:val="20"/>
              </w:rPr>
              <w:t>Specific assignment(s) that allow assessment</w:t>
            </w:r>
          </w:p>
        </w:tc>
      </w:tr>
      <w:tr w:rsidR="005D24F2" w:rsidRPr="00740AE3" w:rsidTr="00DE072A">
        <w:trPr>
          <w:cantSplit/>
          <w:trHeight w:val="1160"/>
        </w:trPr>
        <w:tc>
          <w:tcPr>
            <w:tcW w:w="1188" w:type="pct"/>
            <w:vMerge w:val="restart"/>
            <w:shd w:val="clear" w:color="auto" w:fill="auto"/>
            <w:tcMar>
              <w:left w:w="29" w:type="dxa"/>
              <w:right w:w="29" w:type="dxa"/>
            </w:tcMar>
          </w:tcPr>
          <w:p w:rsidR="005D24F2" w:rsidRPr="00740AE3" w:rsidRDefault="005D24F2" w:rsidP="00A37ED6">
            <w:pPr>
              <w:rPr>
                <w:rFonts w:asciiTheme="majorHAnsi" w:hAnsiTheme="majorHAnsi" w:cstheme="majorHAnsi"/>
                <w:sz w:val="20"/>
                <w:szCs w:val="20"/>
              </w:rPr>
            </w:pPr>
            <w:r w:rsidRPr="00740AE3">
              <w:rPr>
                <w:rFonts w:asciiTheme="majorHAnsi" w:eastAsia="Times New Roman" w:hAnsiTheme="majorHAnsi" w:cstheme="majorHAnsi"/>
                <w:color w:val="000000"/>
                <w:sz w:val="20"/>
                <w:szCs w:val="20"/>
              </w:rPr>
              <w:t>MPH-M1. </w:t>
            </w:r>
            <w:r w:rsidRPr="00740AE3">
              <w:rPr>
                <w:rFonts w:asciiTheme="majorHAnsi" w:hAnsiTheme="majorHAnsi" w:cstheme="majorHAnsi"/>
                <w:sz w:val="20"/>
                <w:szCs w:val="20"/>
              </w:rPr>
              <w:t xml:space="preserve">(TL) Team Leadership: Collaborates with others to complete team-based assignments within healthcare organizations, adapting when needed to maximize organizational and personal success.  </w:t>
            </w:r>
          </w:p>
        </w:tc>
        <w:tc>
          <w:tcPr>
            <w:tcW w:w="1393" w:type="pct"/>
            <w:shd w:val="clear" w:color="auto" w:fill="auto"/>
            <w:tcMar>
              <w:left w:w="29" w:type="dxa"/>
              <w:right w:w="29" w:type="dxa"/>
            </w:tcMar>
          </w:tcPr>
          <w:p w:rsidR="005D24F2" w:rsidRPr="00740AE3" w:rsidRDefault="005D24F2" w:rsidP="00FC4AEF">
            <w:pPr>
              <w:rPr>
                <w:rFonts w:asciiTheme="majorHAnsi" w:hAnsiTheme="majorHAnsi" w:cstheme="majorHAnsi"/>
                <w:color w:val="000000"/>
                <w:sz w:val="20"/>
                <w:szCs w:val="20"/>
              </w:rPr>
            </w:pPr>
            <w:r w:rsidRPr="00740AE3">
              <w:rPr>
                <w:rFonts w:asciiTheme="majorHAnsi" w:hAnsiTheme="majorHAnsi" w:cstheme="majorHAnsi"/>
                <w:b/>
                <w:sz w:val="20"/>
                <w:szCs w:val="20"/>
              </w:rPr>
              <w:t>PHM 3746</w:t>
            </w:r>
            <w:r w:rsidRPr="00740AE3">
              <w:rPr>
                <w:rFonts w:asciiTheme="majorHAnsi" w:hAnsiTheme="majorHAnsi" w:cstheme="majorHAnsi"/>
                <w:sz w:val="20"/>
                <w:szCs w:val="20"/>
              </w:rPr>
              <w:t xml:space="preserve"> Evaluation and Improvement of Healthcare Quality</w:t>
            </w:r>
          </w:p>
        </w:tc>
        <w:tc>
          <w:tcPr>
            <w:tcW w:w="2419" w:type="pct"/>
            <w:shd w:val="clear" w:color="auto" w:fill="auto"/>
            <w:tcMar>
              <w:left w:w="29" w:type="dxa"/>
              <w:right w:w="29" w:type="dxa"/>
            </w:tcMar>
          </w:tcPr>
          <w:p w:rsidR="005D24F2" w:rsidRPr="00740AE3" w:rsidRDefault="0052666E" w:rsidP="00A37ED6">
            <w:pPr>
              <w:pStyle w:val="ng-binding"/>
              <w:spacing w:after="30" w:afterAutospacing="0"/>
              <w:rPr>
                <w:rFonts w:asciiTheme="majorHAnsi" w:hAnsiTheme="majorHAnsi" w:cstheme="majorHAnsi"/>
                <w:color w:val="000000"/>
                <w:sz w:val="20"/>
                <w:szCs w:val="20"/>
              </w:rPr>
            </w:pPr>
            <w:r w:rsidRPr="00740AE3">
              <w:rPr>
                <w:rFonts w:asciiTheme="majorHAnsi" w:hAnsiTheme="majorHAnsi" w:cstheme="majorHAnsi"/>
                <w:sz w:val="20"/>
                <w:szCs w:val="20"/>
              </w:rPr>
              <w:t>Lean Six Sigma</w:t>
            </w:r>
            <w:r w:rsidR="00FA1F40" w:rsidRPr="00740AE3">
              <w:rPr>
                <w:rFonts w:asciiTheme="majorHAnsi" w:hAnsiTheme="majorHAnsi" w:cstheme="majorHAnsi"/>
                <w:sz w:val="20"/>
                <w:szCs w:val="20"/>
              </w:rPr>
              <w:t xml:space="preserve"> Proje</w:t>
            </w:r>
            <w:r w:rsidR="00FA1F40" w:rsidRPr="00450A9C">
              <w:rPr>
                <w:rFonts w:asciiTheme="majorHAnsi" w:hAnsiTheme="majorHAnsi" w:cstheme="majorHAnsi"/>
                <w:sz w:val="20"/>
                <w:szCs w:val="20"/>
              </w:rPr>
              <w:t>ct</w:t>
            </w:r>
            <w:r w:rsidR="001B37EC" w:rsidRPr="00450A9C">
              <w:rPr>
                <w:rFonts w:asciiTheme="majorHAnsi" w:hAnsiTheme="majorHAnsi" w:cstheme="majorHAnsi"/>
                <w:color w:val="000000"/>
                <w:sz w:val="20"/>
                <w:szCs w:val="20"/>
              </w:rPr>
              <w:t xml:space="preserve"> and </w:t>
            </w:r>
            <w:r w:rsidR="004F167E" w:rsidRPr="00450A9C">
              <w:rPr>
                <w:rFonts w:asciiTheme="majorHAnsi" w:hAnsiTheme="majorHAnsi" w:cstheme="majorHAnsi"/>
                <w:sz w:val="20"/>
                <w:szCs w:val="20"/>
              </w:rPr>
              <w:t xml:space="preserve">Peer </w:t>
            </w:r>
            <w:r w:rsidR="004F167E" w:rsidRPr="00740AE3">
              <w:rPr>
                <w:rFonts w:asciiTheme="majorHAnsi" w:hAnsiTheme="majorHAnsi" w:cstheme="majorHAnsi"/>
                <w:sz w:val="20"/>
                <w:szCs w:val="20"/>
              </w:rPr>
              <w:t>Evaluation</w:t>
            </w:r>
            <w:r w:rsidR="004F167E" w:rsidRPr="00740AE3">
              <w:rPr>
                <w:rFonts w:asciiTheme="majorHAnsi" w:hAnsiTheme="majorHAnsi" w:cstheme="majorHAnsi"/>
                <w:color w:val="000000"/>
                <w:sz w:val="20"/>
                <w:szCs w:val="20"/>
              </w:rPr>
              <w:t xml:space="preserve">: Students complete a </w:t>
            </w:r>
            <w:r w:rsidRPr="00740AE3">
              <w:rPr>
                <w:rFonts w:asciiTheme="majorHAnsi" w:hAnsiTheme="majorHAnsi" w:cstheme="majorHAnsi"/>
                <w:color w:val="000000"/>
                <w:sz w:val="20"/>
                <w:szCs w:val="20"/>
              </w:rPr>
              <w:t xml:space="preserve">project for a healthcare organization selected by instructor. Students must define, measure, analyze and recommend improvements to the institution including a formal presentation. </w:t>
            </w:r>
            <w:r w:rsidR="00E93248" w:rsidRPr="00740AE3">
              <w:rPr>
                <w:rFonts w:asciiTheme="majorHAnsi" w:hAnsiTheme="majorHAnsi" w:cstheme="majorHAnsi"/>
                <w:color w:val="000000"/>
                <w:sz w:val="20"/>
                <w:szCs w:val="20"/>
              </w:rPr>
              <w:t>Student’s</w:t>
            </w:r>
            <w:r w:rsidRPr="00740AE3">
              <w:rPr>
                <w:rFonts w:asciiTheme="majorHAnsi" w:hAnsiTheme="majorHAnsi" w:cstheme="majorHAnsi"/>
                <w:color w:val="000000"/>
                <w:sz w:val="20"/>
                <w:szCs w:val="20"/>
              </w:rPr>
              <w:t xml:space="preserve"> complete individual presentations during the semester (see course schedule) over each of the stages: define, measure, analyze. Peer evaluations are done to assess individual performance within the team.</w:t>
            </w:r>
          </w:p>
        </w:tc>
      </w:tr>
      <w:tr w:rsidR="005D24F2" w:rsidRPr="00740AE3" w:rsidTr="00321053">
        <w:trPr>
          <w:cantSplit/>
          <w:trHeight w:val="917"/>
        </w:trPr>
        <w:tc>
          <w:tcPr>
            <w:tcW w:w="1188" w:type="pct"/>
            <w:vMerge/>
            <w:shd w:val="clear" w:color="auto" w:fill="auto"/>
            <w:tcMar>
              <w:left w:w="29" w:type="dxa"/>
              <w:right w:w="29" w:type="dxa"/>
            </w:tcMar>
          </w:tcPr>
          <w:p w:rsidR="005D24F2" w:rsidRPr="00740AE3" w:rsidRDefault="005D24F2" w:rsidP="00A37ED6">
            <w:pPr>
              <w:rPr>
                <w:rFonts w:asciiTheme="majorHAnsi" w:eastAsia="Times New Roman" w:hAnsiTheme="majorHAnsi" w:cstheme="majorHAnsi"/>
                <w:color w:val="000000"/>
                <w:sz w:val="20"/>
                <w:szCs w:val="20"/>
              </w:rPr>
            </w:pPr>
          </w:p>
        </w:tc>
        <w:tc>
          <w:tcPr>
            <w:tcW w:w="1393" w:type="pct"/>
            <w:shd w:val="clear" w:color="auto" w:fill="auto"/>
            <w:tcMar>
              <w:left w:w="29" w:type="dxa"/>
              <w:right w:w="29" w:type="dxa"/>
            </w:tcMar>
          </w:tcPr>
          <w:p w:rsidR="005D24F2" w:rsidRPr="00740AE3" w:rsidRDefault="005D24F2" w:rsidP="00FC4AEF">
            <w:pPr>
              <w:rPr>
                <w:rFonts w:asciiTheme="majorHAnsi" w:hAnsiTheme="majorHAnsi" w:cstheme="majorHAnsi"/>
                <w:color w:val="000000"/>
                <w:sz w:val="20"/>
                <w:szCs w:val="20"/>
              </w:rPr>
            </w:pPr>
            <w:r w:rsidRPr="00450A9C">
              <w:rPr>
                <w:rFonts w:asciiTheme="majorHAnsi" w:hAnsiTheme="majorHAnsi" w:cstheme="majorHAnsi"/>
                <w:b/>
                <w:sz w:val="20"/>
                <w:szCs w:val="20"/>
              </w:rPr>
              <w:t>PH 3735</w:t>
            </w:r>
            <w:r w:rsidRPr="00740AE3">
              <w:rPr>
                <w:rFonts w:asciiTheme="majorHAnsi" w:hAnsiTheme="majorHAnsi" w:cstheme="majorHAnsi"/>
                <w:sz w:val="20"/>
                <w:szCs w:val="20"/>
              </w:rPr>
              <w:t xml:space="preserve"> </w:t>
            </w:r>
            <w:r w:rsidR="00DD2E3C" w:rsidRPr="00740AE3">
              <w:rPr>
                <w:rFonts w:asciiTheme="majorHAnsi" w:hAnsiTheme="majorHAnsi" w:cstheme="majorHAnsi"/>
                <w:sz w:val="20"/>
                <w:szCs w:val="20"/>
              </w:rPr>
              <w:t>Strategic Healthcare Management</w:t>
            </w:r>
          </w:p>
        </w:tc>
        <w:tc>
          <w:tcPr>
            <w:tcW w:w="2419" w:type="pct"/>
            <w:shd w:val="clear" w:color="auto" w:fill="auto"/>
            <w:tcMar>
              <w:left w:w="29" w:type="dxa"/>
              <w:right w:w="29" w:type="dxa"/>
            </w:tcMar>
          </w:tcPr>
          <w:p w:rsidR="005D24F2" w:rsidRPr="00740AE3" w:rsidRDefault="008A28AB" w:rsidP="00A37ED6">
            <w:pPr>
              <w:rPr>
                <w:rFonts w:asciiTheme="majorHAnsi" w:hAnsiTheme="majorHAnsi" w:cstheme="majorHAnsi"/>
                <w:color w:val="000000"/>
                <w:sz w:val="20"/>
                <w:szCs w:val="20"/>
              </w:rPr>
            </w:pPr>
            <w:r w:rsidRPr="00740AE3">
              <w:rPr>
                <w:rFonts w:asciiTheme="majorHAnsi" w:hAnsiTheme="majorHAnsi" w:cstheme="majorHAnsi"/>
                <w:sz w:val="20"/>
                <w:szCs w:val="20"/>
              </w:rPr>
              <w:t>Peer Evaluations</w:t>
            </w:r>
            <w:r w:rsidRPr="00740AE3">
              <w:rPr>
                <w:rFonts w:asciiTheme="majorHAnsi" w:hAnsiTheme="majorHAnsi" w:cstheme="majorHAnsi"/>
                <w:color w:val="000000"/>
                <w:sz w:val="20"/>
                <w:szCs w:val="20"/>
              </w:rPr>
              <w:t xml:space="preserve">: </w:t>
            </w:r>
            <w:r w:rsidR="005D24F2" w:rsidRPr="00740AE3">
              <w:rPr>
                <w:rFonts w:asciiTheme="majorHAnsi" w:hAnsiTheme="majorHAnsi" w:cstheme="majorHAnsi"/>
                <w:color w:val="000000"/>
                <w:sz w:val="20"/>
                <w:szCs w:val="20"/>
              </w:rPr>
              <w:t>Complete peer evaluation assessing own role in leading the project, quality of own and peers contribution to semester-long group project</w:t>
            </w:r>
          </w:p>
        </w:tc>
      </w:tr>
      <w:tr w:rsidR="005D24F2" w:rsidRPr="00740AE3" w:rsidTr="00DE072A">
        <w:trPr>
          <w:cantSplit/>
          <w:trHeight w:val="2240"/>
        </w:trPr>
        <w:tc>
          <w:tcPr>
            <w:tcW w:w="1188" w:type="pct"/>
            <w:shd w:val="clear" w:color="auto" w:fill="auto"/>
            <w:tcMar>
              <w:left w:w="29" w:type="dxa"/>
              <w:right w:w="29" w:type="dxa"/>
            </w:tcMar>
          </w:tcPr>
          <w:p w:rsidR="005D24F2" w:rsidRPr="00740AE3" w:rsidRDefault="005D24F2" w:rsidP="00A37ED6">
            <w:pPr>
              <w:rPr>
                <w:rFonts w:asciiTheme="majorHAnsi" w:hAnsiTheme="majorHAnsi" w:cstheme="majorHAnsi"/>
                <w:sz w:val="20"/>
                <w:szCs w:val="20"/>
              </w:rPr>
            </w:pPr>
            <w:r w:rsidRPr="00740AE3">
              <w:rPr>
                <w:rFonts w:asciiTheme="majorHAnsi" w:eastAsia="Times New Roman" w:hAnsiTheme="majorHAnsi" w:cstheme="majorHAnsi"/>
                <w:color w:val="000000"/>
                <w:sz w:val="20"/>
                <w:szCs w:val="20"/>
              </w:rPr>
              <w:t>MPH-M2. </w:t>
            </w:r>
            <w:r w:rsidRPr="00740AE3">
              <w:rPr>
                <w:rFonts w:asciiTheme="majorHAnsi" w:hAnsiTheme="majorHAnsi" w:cstheme="majorHAnsi"/>
                <w:sz w:val="20"/>
                <w:szCs w:val="20"/>
              </w:rPr>
              <w:t>(SO) Strategic Orientation: Synthesizes organizational opportunities and challenges and defends strategies for organizational success.</w:t>
            </w:r>
          </w:p>
        </w:tc>
        <w:tc>
          <w:tcPr>
            <w:tcW w:w="1393" w:type="pct"/>
            <w:shd w:val="clear" w:color="auto" w:fill="auto"/>
            <w:tcMar>
              <w:left w:w="29" w:type="dxa"/>
              <w:right w:w="29" w:type="dxa"/>
            </w:tcMar>
          </w:tcPr>
          <w:p w:rsidR="005D24F2" w:rsidRPr="00740AE3" w:rsidRDefault="00C41114" w:rsidP="00FC4AEF">
            <w:pPr>
              <w:rPr>
                <w:rFonts w:asciiTheme="majorHAnsi" w:hAnsiTheme="majorHAnsi" w:cstheme="majorHAnsi"/>
                <w:color w:val="000000"/>
                <w:sz w:val="20"/>
                <w:szCs w:val="20"/>
              </w:rPr>
            </w:pPr>
            <w:r w:rsidRPr="00450A9C">
              <w:rPr>
                <w:rFonts w:asciiTheme="majorHAnsi" w:hAnsiTheme="majorHAnsi" w:cstheme="majorHAnsi"/>
                <w:b/>
                <w:sz w:val="20"/>
                <w:szCs w:val="20"/>
              </w:rPr>
              <w:t>PH 3735</w:t>
            </w:r>
            <w:r w:rsidRPr="00740AE3">
              <w:rPr>
                <w:rFonts w:asciiTheme="majorHAnsi" w:hAnsiTheme="majorHAnsi" w:cstheme="majorHAnsi"/>
                <w:sz w:val="20"/>
                <w:szCs w:val="20"/>
              </w:rPr>
              <w:t xml:space="preserve"> Strategic Healthcare Management</w:t>
            </w:r>
          </w:p>
        </w:tc>
        <w:tc>
          <w:tcPr>
            <w:tcW w:w="2419" w:type="pct"/>
            <w:shd w:val="clear" w:color="auto" w:fill="auto"/>
            <w:tcMar>
              <w:left w:w="29" w:type="dxa"/>
              <w:right w:w="29" w:type="dxa"/>
            </w:tcMar>
          </w:tcPr>
          <w:p w:rsidR="005D24F2" w:rsidRPr="00740AE3" w:rsidRDefault="00E93248" w:rsidP="00A37ED6">
            <w:pPr>
              <w:rPr>
                <w:rFonts w:asciiTheme="majorHAnsi" w:hAnsiTheme="majorHAnsi" w:cstheme="majorHAnsi"/>
                <w:color w:val="000000"/>
                <w:sz w:val="20"/>
                <w:szCs w:val="20"/>
              </w:rPr>
            </w:pPr>
            <w:r w:rsidRPr="00AF5600">
              <w:rPr>
                <w:rFonts w:asciiTheme="majorHAnsi" w:hAnsiTheme="majorHAnsi" w:cstheme="majorHAnsi"/>
                <w:sz w:val="20"/>
                <w:szCs w:val="20"/>
              </w:rPr>
              <w:t>Questions:</w:t>
            </w:r>
            <w:r w:rsidRPr="00740AE3">
              <w:rPr>
                <w:rFonts w:asciiTheme="majorHAnsi" w:hAnsiTheme="majorHAnsi" w:cstheme="majorHAnsi"/>
                <w:sz w:val="20"/>
                <w:szCs w:val="20"/>
              </w:rPr>
              <w:t xml:space="preserve"> Each</w:t>
            </w:r>
            <w:r w:rsidR="005D24F2" w:rsidRPr="00740AE3">
              <w:rPr>
                <w:rFonts w:asciiTheme="majorHAnsi" w:hAnsiTheme="majorHAnsi" w:cstheme="majorHAnsi"/>
                <w:color w:val="000000"/>
                <w:sz w:val="20"/>
                <w:szCs w:val="20"/>
              </w:rPr>
              <w:t xml:space="preserve"> student will need to respond to four weekly questions over the course of the semester. Two questions are required of all students. These two questions assess each student’s ability to synthesis organizational opportunities and challenges and defends strategies for organizational success by completing a SWOT analysis and proposing a strategic direction.</w:t>
            </w:r>
          </w:p>
        </w:tc>
      </w:tr>
      <w:tr w:rsidR="005D24F2" w:rsidRPr="00740AE3" w:rsidTr="00DE072A">
        <w:trPr>
          <w:cantSplit/>
          <w:trHeight w:val="602"/>
        </w:trPr>
        <w:tc>
          <w:tcPr>
            <w:tcW w:w="1188" w:type="pct"/>
            <w:vMerge w:val="restart"/>
            <w:shd w:val="clear" w:color="auto" w:fill="auto"/>
            <w:tcMar>
              <w:left w:w="29" w:type="dxa"/>
              <w:right w:w="29" w:type="dxa"/>
            </w:tcMar>
          </w:tcPr>
          <w:p w:rsidR="005D24F2" w:rsidRPr="00740AE3" w:rsidRDefault="005D24F2" w:rsidP="00A37ED6">
            <w:pPr>
              <w:rPr>
                <w:rFonts w:asciiTheme="majorHAnsi" w:hAnsiTheme="majorHAnsi" w:cstheme="majorHAnsi"/>
                <w:sz w:val="20"/>
                <w:szCs w:val="20"/>
              </w:rPr>
            </w:pPr>
            <w:r w:rsidRPr="00740AE3">
              <w:rPr>
                <w:rFonts w:asciiTheme="majorHAnsi" w:eastAsia="Times New Roman" w:hAnsiTheme="majorHAnsi" w:cstheme="majorHAnsi"/>
                <w:color w:val="000000"/>
                <w:sz w:val="20"/>
                <w:szCs w:val="20"/>
              </w:rPr>
              <w:t>MPH-M3. </w:t>
            </w:r>
            <w:r w:rsidRPr="00740AE3">
              <w:rPr>
                <w:rFonts w:asciiTheme="majorHAnsi" w:hAnsiTheme="majorHAnsi" w:cstheme="majorHAnsi"/>
                <w:sz w:val="20"/>
                <w:szCs w:val="20"/>
              </w:rPr>
              <w:t>(AT) Analytical Thinking: Evaluates and analyzes quality, safety and financial performance measures to support managerial decision making in healthcare organizations.</w:t>
            </w:r>
          </w:p>
        </w:tc>
        <w:tc>
          <w:tcPr>
            <w:tcW w:w="1393" w:type="pct"/>
            <w:shd w:val="clear" w:color="auto" w:fill="auto"/>
            <w:tcMar>
              <w:left w:w="29" w:type="dxa"/>
              <w:right w:w="29" w:type="dxa"/>
            </w:tcMar>
          </w:tcPr>
          <w:p w:rsidR="005D24F2" w:rsidRPr="00740AE3" w:rsidRDefault="005D24F2" w:rsidP="00A37ED6">
            <w:pPr>
              <w:rPr>
                <w:rFonts w:asciiTheme="majorHAnsi" w:hAnsiTheme="majorHAnsi" w:cstheme="majorHAnsi"/>
                <w:b/>
                <w:color w:val="000000" w:themeColor="text1"/>
                <w:sz w:val="20"/>
                <w:szCs w:val="20"/>
              </w:rPr>
            </w:pPr>
            <w:r w:rsidRPr="00450A9C">
              <w:rPr>
                <w:rFonts w:asciiTheme="majorHAnsi" w:hAnsiTheme="majorHAnsi" w:cstheme="majorHAnsi"/>
                <w:b/>
                <w:sz w:val="20"/>
                <w:szCs w:val="20"/>
              </w:rPr>
              <w:t>PHM 3718</w:t>
            </w:r>
            <w:r w:rsidRPr="00740AE3">
              <w:rPr>
                <w:rFonts w:asciiTheme="majorHAnsi" w:hAnsiTheme="majorHAnsi" w:cstheme="majorHAnsi"/>
                <w:sz w:val="20"/>
                <w:szCs w:val="20"/>
              </w:rPr>
              <w:t xml:space="preserve"> Accounting for Healthcare Management</w:t>
            </w:r>
          </w:p>
          <w:p w:rsidR="005D24F2" w:rsidRPr="00740AE3" w:rsidRDefault="005D24F2" w:rsidP="00A37ED6">
            <w:pPr>
              <w:rPr>
                <w:rFonts w:asciiTheme="majorHAnsi" w:hAnsiTheme="majorHAnsi" w:cstheme="majorHAnsi"/>
                <w:color w:val="000000"/>
                <w:sz w:val="20"/>
                <w:szCs w:val="20"/>
              </w:rPr>
            </w:pPr>
          </w:p>
        </w:tc>
        <w:tc>
          <w:tcPr>
            <w:tcW w:w="2419" w:type="pct"/>
            <w:shd w:val="clear" w:color="auto" w:fill="auto"/>
            <w:tcMar>
              <w:left w:w="29" w:type="dxa"/>
              <w:right w:w="29" w:type="dxa"/>
            </w:tcMar>
          </w:tcPr>
          <w:p w:rsidR="005D24F2" w:rsidRPr="00740AE3" w:rsidRDefault="00A939C6" w:rsidP="00A37ED6">
            <w:pPr>
              <w:rPr>
                <w:rFonts w:asciiTheme="majorHAnsi" w:hAnsiTheme="majorHAnsi" w:cstheme="majorHAnsi"/>
                <w:color w:val="000000"/>
                <w:sz w:val="20"/>
                <w:szCs w:val="20"/>
              </w:rPr>
            </w:pPr>
            <w:r w:rsidRPr="00740AE3">
              <w:rPr>
                <w:rFonts w:asciiTheme="majorHAnsi" w:hAnsiTheme="majorHAnsi" w:cstheme="majorHAnsi"/>
                <w:sz w:val="20"/>
                <w:szCs w:val="20"/>
              </w:rPr>
              <w:t xml:space="preserve">Midterm </w:t>
            </w:r>
            <w:r w:rsidRPr="00AF5600">
              <w:rPr>
                <w:rFonts w:asciiTheme="majorHAnsi" w:hAnsiTheme="majorHAnsi" w:cstheme="majorHAnsi"/>
                <w:sz w:val="20"/>
                <w:szCs w:val="20"/>
              </w:rPr>
              <w:t>Exam</w:t>
            </w:r>
            <w:r w:rsidRPr="00AF5600">
              <w:rPr>
                <w:rFonts w:asciiTheme="majorHAnsi" w:hAnsiTheme="majorHAnsi" w:cstheme="majorHAnsi"/>
                <w:color w:val="000000" w:themeColor="text1"/>
                <w:sz w:val="20"/>
                <w:szCs w:val="20"/>
              </w:rPr>
              <w:t xml:space="preserve"> and</w:t>
            </w:r>
            <w:r w:rsidRPr="00740AE3">
              <w:rPr>
                <w:rFonts w:asciiTheme="majorHAnsi" w:hAnsiTheme="majorHAnsi" w:cstheme="majorHAnsi"/>
                <w:color w:val="000000" w:themeColor="text1"/>
                <w:sz w:val="20"/>
                <w:szCs w:val="20"/>
                <w:u w:val="single"/>
              </w:rPr>
              <w:t xml:space="preserve"> </w:t>
            </w:r>
            <w:r w:rsidRPr="00740AE3">
              <w:rPr>
                <w:rFonts w:asciiTheme="majorHAnsi" w:hAnsiTheme="majorHAnsi" w:cstheme="majorHAnsi"/>
                <w:sz w:val="20"/>
                <w:szCs w:val="20"/>
              </w:rPr>
              <w:t>Final Exam</w:t>
            </w:r>
            <w:r w:rsidRPr="00740AE3">
              <w:rPr>
                <w:rFonts w:asciiTheme="majorHAnsi" w:hAnsiTheme="majorHAnsi" w:cstheme="majorHAnsi"/>
                <w:color w:val="000000" w:themeColor="text1"/>
                <w:sz w:val="20"/>
                <w:szCs w:val="20"/>
              </w:rPr>
              <w:t xml:space="preserve">: </w:t>
            </w:r>
            <w:r w:rsidR="005D24F2" w:rsidRPr="00740AE3">
              <w:rPr>
                <w:rFonts w:asciiTheme="majorHAnsi" w:hAnsiTheme="majorHAnsi" w:cstheme="majorHAnsi"/>
                <w:color w:val="000000" w:themeColor="text1"/>
                <w:sz w:val="20"/>
                <w:szCs w:val="20"/>
              </w:rPr>
              <w:t xml:space="preserve">Students </w:t>
            </w:r>
            <w:r w:rsidR="002018BB" w:rsidRPr="00740AE3">
              <w:rPr>
                <w:rFonts w:asciiTheme="majorHAnsi" w:hAnsiTheme="majorHAnsi" w:cstheme="majorHAnsi"/>
                <w:color w:val="000000" w:themeColor="text1"/>
                <w:sz w:val="20"/>
                <w:szCs w:val="20"/>
              </w:rPr>
              <w:t xml:space="preserve">will complete midterm and final exams through which they must demonstrate their understanding of principles of financial accounting and ability to analyze and evaluate financial performance in the healthcare sector. Students will be tested on their ability to apply key theories and principles of healthcare accounting and all ethical decision making in financial management. </w:t>
            </w:r>
          </w:p>
        </w:tc>
      </w:tr>
      <w:tr w:rsidR="005D24F2" w:rsidRPr="00740AE3" w:rsidTr="00DE072A">
        <w:trPr>
          <w:cantSplit/>
          <w:trHeight w:val="2753"/>
        </w:trPr>
        <w:tc>
          <w:tcPr>
            <w:tcW w:w="1188" w:type="pct"/>
            <w:vMerge/>
            <w:shd w:val="clear" w:color="auto" w:fill="auto"/>
            <w:tcMar>
              <w:left w:w="29" w:type="dxa"/>
              <w:right w:w="29" w:type="dxa"/>
            </w:tcMar>
          </w:tcPr>
          <w:p w:rsidR="005D24F2" w:rsidRPr="00740AE3" w:rsidRDefault="005D24F2" w:rsidP="00A37ED6">
            <w:pPr>
              <w:rPr>
                <w:rFonts w:asciiTheme="majorHAnsi" w:eastAsia="Times New Roman" w:hAnsiTheme="majorHAnsi" w:cstheme="majorHAnsi"/>
                <w:color w:val="000000"/>
                <w:sz w:val="20"/>
                <w:szCs w:val="20"/>
              </w:rPr>
            </w:pPr>
          </w:p>
        </w:tc>
        <w:tc>
          <w:tcPr>
            <w:tcW w:w="1393" w:type="pct"/>
            <w:shd w:val="clear" w:color="auto" w:fill="auto"/>
            <w:tcMar>
              <w:left w:w="29" w:type="dxa"/>
              <w:right w:w="29" w:type="dxa"/>
            </w:tcMar>
          </w:tcPr>
          <w:p w:rsidR="005D24F2" w:rsidRPr="00740AE3" w:rsidDel="006F2A6E" w:rsidRDefault="001B37EC" w:rsidP="00FC4AEF">
            <w:pPr>
              <w:rPr>
                <w:rFonts w:asciiTheme="majorHAnsi" w:hAnsiTheme="majorHAnsi" w:cstheme="majorHAnsi"/>
                <w:color w:val="000000"/>
                <w:sz w:val="20"/>
                <w:szCs w:val="20"/>
              </w:rPr>
            </w:pPr>
            <w:r w:rsidRPr="00450A9C">
              <w:rPr>
                <w:rFonts w:asciiTheme="majorHAnsi" w:hAnsiTheme="majorHAnsi" w:cstheme="majorHAnsi"/>
                <w:b/>
                <w:sz w:val="20"/>
                <w:szCs w:val="20"/>
              </w:rPr>
              <w:t>PHM 3746</w:t>
            </w:r>
            <w:r w:rsidRPr="00740AE3">
              <w:rPr>
                <w:rFonts w:asciiTheme="majorHAnsi" w:hAnsiTheme="majorHAnsi" w:cstheme="majorHAnsi"/>
                <w:sz w:val="20"/>
                <w:szCs w:val="20"/>
              </w:rPr>
              <w:t xml:space="preserve"> Evaluation and Improvement of Healthcare Quality</w:t>
            </w:r>
          </w:p>
        </w:tc>
        <w:tc>
          <w:tcPr>
            <w:tcW w:w="2419" w:type="pct"/>
            <w:shd w:val="clear" w:color="auto" w:fill="auto"/>
            <w:tcMar>
              <w:left w:w="29" w:type="dxa"/>
              <w:right w:w="29" w:type="dxa"/>
            </w:tcMar>
          </w:tcPr>
          <w:p w:rsidR="005D24F2" w:rsidRPr="00740AE3" w:rsidRDefault="00E51AFD" w:rsidP="00A37ED6">
            <w:pPr>
              <w:rPr>
                <w:rFonts w:asciiTheme="majorHAnsi" w:hAnsiTheme="majorHAnsi" w:cstheme="majorHAnsi"/>
                <w:color w:val="000000"/>
                <w:sz w:val="20"/>
                <w:szCs w:val="20"/>
              </w:rPr>
            </w:pPr>
            <w:r w:rsidRPr="00740AE3">
              <w:rPr>
                <w:rFonts w:asciiTheme="majorHAnsi" w:hAnsiTheme="majorHAnsi" w:cstheme="majorHAnsi"/>
                <w:sz w:val="20"/>
                <w:szCs w:val="20"/>
              </w:rPr>
              <w:t>Lean Six Sigma</w:t>
            </w:r>
            <w:r w:rsidRPr="00740AE3">
              <w:rPr>
                <w:rFonts w:asciiTheme="majorHAnsi" w:eastAsia="Times New Roman" w:hAnsiTheme="majorHAnsi" w:cstheme="majorHAnsi"/>
                <w:color w:val="000000"/>
                <w:sz w:val="20"/>
                <w:szCs w:val="20"/>
              </w:rPr>
              <w:t xml:space="preserve">: Students complete a project for a healthcare organization selected by instructor. Students must define, measure, analyze and recommend improvements to the institution including a formal presentation. </w:t>
            </w:r>
            <w:r w:rsidRPr="00740AE3">
              <w:rPr>
                <w:rFonts w:asciiTheme="majorHAnsi" w:eastAsia="Times New Roman" w:hAnsiTheme="majorHAnsi" w:cstheme="majorHAnsi"/>
                <w:color w:val="000000"/>
                <w:sz w:val="20"/>
                <w:szCs w:val="20"/>
              </w:rPr>
              <w:br/>
            </w:r>
            <w:r w:rsidRPr="00740AE3">
              <w:rPr>
                <w:rFonts w:asciiTheme="majorHAnsi" w:eastAsia="Times New Roman" w:hAnsiTheme="majorHAnsi" w:cstheme="majorHAnsi"/>
                <w:color w:val="000000"/>
                <w:sz w:val="20"/>
                <w:szCs w:val="20"/>
              </w:rPr>
              <w:br/>
            </w:r>
            <w:r w:rsidRPr="00450A9C">
              <w:rPr>
                <w:rFonts w:asciiTheme="majorHAnsi" w:eastAsia="Times New Roman" w:hAnsiTheme="majorHAnsi" w:cstheme="majorHAnsi"/>
                <w:color w:val="212121"/>
                <w:sz w:val="20"/>
                <w:szCs w:val="20"/>
              </w:rPr>
              <w:t xml:space="preserve">Institute of </w:t>
            </w:r>
            <w:r w:rsidR="005E0C9E" w:rsidRPr="00450A9C">
              <w:rPr>
                <w:rFonts w:asciiTheme="majorHAnsi" w:eastAsia="Times New Roman" w:hAnsiTheme="majorHAnsi" w:cstheme="majorHAnsi"/>
                <w:color w:val="212121"/>
                <w:sz w:val="20"/>
                <w:szCs w:val="20"/>
              </w:rPr>
              <w:t>H</w:t>
            </w:r>
            <w:r w:rsidRPr="00450A9C">
              <w:rPr>
                <w:rFonts w:asciiTheme="majorHAnsi" w:eastAsia="Times New Roman" w:hAnsiTheme="majorHAnsi" w:cstheme="majorHAnsi"/>
                <w:color w:val="212121"/>
                <w:sz w:val="20"/>
                <w:szCs w:val="20"/>
              </w:rPr>
              <w:t>ealthcare Improvement Modules</w:t>
            </w:r>
            <w:r w:rsidRPr="00740AE3">
              <w:rPr>
                <w:rFonts w:asciiTheme="majorHAnsi" w:eastAsia="Times New Roman" w:hAnsiTheme="majorHAnsi" w:cstheme="majorHAnsi"/>
                <w:color w:val="212121"/>
                <w:sz w:val="20"/>
                <w:szCs w:val="20"/>
              </w:rPr>
              <w:t xml:space="preserve">: As part of the course, students complete modules from the Institute of Healthcare Improvement </w:t>
            </w:r>
            <w:r w:rsidRPr="00740AE3">
              <w:rPr>
                <w:rFonts w:asciiTheme="majorHAnsi" w:eastAsia="Times New Roman" w:hAnsiTheme="majorHAnsi" w:cstheme="majorHAnsi"/>
                <w:color w:val="000000"/>
                <w:sz w:val="20"/>
                <w:szCs w:val="20"/>
              </w:rPr>
              <w:t>and complete the Institute for Healthcare Improvements Basic Certificate for Quality.</w:t>
            </w:r>
          </w:p>
        </w:tc>
      </w:tr>
      <w:tr w:rsidR="005D24F2" w:rsidRPr="00740AE3" w:rsidTr="00DE072A">
        <w:trPr>
          <w:cantSplit/>
          <w:trHeight w:val="1250"/>
        </w:trPr>
        <w:tc>
          <w:tcPr>
            <w:tcW w:w="1188" w:type="pct"/>
            <w:vMerge/>
            <w:shd w:val="clear" w:color="auto" w:fill="auto"/>
            <w:tcMar>
              <w:left w:w="29" w:type="dxa"/>
              <w:right w:w="29" w:type="dxa"/>
            </w:tcMar>
          </w:tcPr>
          <w:p w:rsidR="005D24F2" w:rsidRPr="00740AE3" w:rsidRDefault="005D24F2" w:rsidP="00A37ED6">
            <w:pPr>
              <w:rPr>
                <w:rFonts w:asciiTheme="majorHAnsi" w:eastAsia="Times New Roman" w:hAnsiTheme="majorHAnsi" w:cstheme="majorHAnsi"/>
                <w:color w:val="000000"/>
                <w:sz w:val="20"/>
                <w:szCs w:val="20"/>
              </w:rPr>
            </w:pPr>
          </w:p>
        </w:tc>
        <w:tc>
          <w:tcPr>
            <w:tcW w:w="1393" w:type="pct"/>
            <w:shd w:val="clear" w:color="auto" w:fill="auto"/>
            <w:tcMar>
              <w:left w:w="29" w:type="dxa"/>
              <w:right w:w="29" w:type="dxa"/>
            </w:tcMar>
          </w:tcPr>
          <w:p w:rsidR="005D24F2" w:rsidRPr="00740AE3" w:rsidDel="006F2A6E" w:rsidRDefault="005D24F2" w:rsidP="00FC4AEF">
            <w:pPr>
              <w:rPr>
                <w:rFonts w:asciiTheme="majorHAnsi" w:hAnsiTheme="majorHAnsi" w:cstheme="majorHAnsi"/>
                <w:color w:val="000000"/>
                <w:sz w:val="20"/>
                <w:szCs w:val="20"/>
              </w:rPr>
            </w:pPr>
            <w:r w:rsidRPr="00450A9C">
              <w:rPr>
                <w:rFonts w:asciiTheme="majorHAnsi" w:hAnsiTheme="majorHAnsi" w:cstheme="majorHAnsi"/>
                <w:b/>
                <w:sz w:val="20"/>
                <w:szCs w:val="20"/>
              </w:rPr>
              <w:t>PHM 3720</w:t>
            </w:r>
            <w:r w:rsidRPr="00740AE3">
              <w:rPr>
                <w:rFonts w:asciiTheme="majorHAnsi" w:hAnsiTheme="majorHAnsi" w:cstheme="majorHAnsi"/>
                <w:sz w:val="20"/>
                <w:szCs w:val="20"/>
              </w:rPr>
              <w:t xml:space="preserve"> Healthcare Finance</w:t>
            </w:r>
            <w:r w:rsidR="00C41114" w:rsidRPr="00740AE3">
              <w:rPr>
                <w:rFonts w:asciiTheme="majorHAnsi" w:hAnsiTheme="majorHAnsi" w:cstheme="majorHAnsi"/>
                <w:color w:val="000000"/>
                <w:sz w:val="20"/>
                <w:szCs w:val="20"/>
              </w:rPr>
              <w:t xml:space="preserve"> </w:t>
            </w:r>
          </w:p>
        </w:tc>
        <w:tc>
          <w:tcPr>
            <w:tcW w:w="2419" w:type="pct"/>
            <w:shd w:val="clear" w:color="auto" w:fill="auto"/>
            <w:tcMar>
              <w:left w:w="29" w:type="dxa"/>
              <w:right w:w="29" w:type="dxa"/>
            </w:tcMar>
          </w:tcPr>
          <w:p w:rsidR="005D24F2" w:rsidRPr="00740AE3" w:rsidRDefault="00BE51BC" w:rsidP="00A37ED6">
            <w:pPr>
              <w:rPr>
                <w:rFonts w:asciiTheme="majorHAnsi" w:hAnsiTheme="majorHAnsi" w:cstheme="majorHAnsi"/>
                <w:color w:val="000000"/>
                <w:sz w:val="20"/>
                <w:szCs w:val="20"/>
              </w:rPr>
            </w:pPr>
            <w:r w:rsidRPr="00740AE3">
              <w:rPr>
                <w:rFonts w:asciiTheme="majorHAnsi" w:hAnsiTheme="majorHAnsi" w:cstheme="majorHAnsi"/>
                <w:sz w:val="20"/>
                <w:szCs w:val="20"/>
              </w:rPr>
              <w:t xml:space="preserve">Homework </w:t>
            </w:r>
            <w:r w:rsidRPr="00450A9C">
              <w:rPr>
                <w:rFonts w:asciiTheme="majorHAnsi" w:hAnsiTheme="majorHAnsi" w:cstheme="majorHAnsi"/>
                <w:sz w:val="20"/>
                <w:szCs w:val="20"/>
              </w:rPr>
              <w:t>Assignments</w:t>
            </w:r>
            <w:r w:rsidRPr="00450A9C">
              <w:rPr>
                <w:rFonts w:asciiTheme="majorHAnsi" w:hAnsiTheme="majorHAnsi" w:cstheme="majorHAnsi"/>
                <w:color w:val="000000"/>
                <w:sz w:val="20"/>
                <w:szCs w:val="20"/>
              </w:rPr>
              <w:t xml:space="preserve"> and</w:t>
            </w:r>
            <w:r w:rsidRPr="00740AE3">
              <w:rPr>
                <w:rFonts w:asciiTheme="majorHAnsi" w:hAnsiTheme="majorHAnsi" w:cstheme="majorHAnsi"/>
                <w:color w:val="000000"/>
                <w:sz w:val="20"/>
                <w:szCs w:val="20"/>
                <w:u w:val="single"/>
              </w:rPr>
              <w:t xml:space="preserve"> </w:t>
            </w:r>
            <w:r w:rsidRPr="00740AE3">
              <w:rPr>
                <w:rFonts w:asciiTheme="majorHAnsi" w:hAnsiTheme="majorHAnsi" w:cstheme="majorHAnsi"/>
                <w:sz w:val="20"/>
                <w:szCs w:val="20"/>
              </w:rPr>
              <w:t>Final Exam</w:t>
            </w:r>
            <w:r w:rsidRPr="00740AE3">
              <w:rPr>
                <w:rFonts w:asciiTheme="majorHAnsi" w:hAnsiTheme="majorHAnsi" w:cstheme="majorHAnsi"/>
                <w:color w:val="000000"/>
                <w:sz w:val="20"/>
                <w:szCs w:val="20"/>
              </w:rPr>
              <w:t xml:space="preserve">: </w:t>
            </w:r>
            <w:r w:rsidR="005D24F2" w:rsidRPr="00740AE3">
              <w:rPr>
                <w:rFonts w:asciiTheme="majorHAnsi" w:hAnsiTheme="majorHAnsi" w:cstheme="majorHAnsi"/>
                <w:color w:val="000000"/>
                <w:sz w:val="20"/>
                <w:szCs w:val="20"/>
              </w:rPr>
              <w:t xml:space="preserve">Students will complete homework practice problems to review financial measures. Midterm and </w:t>
            </w:r>
            <w:r w:rsidRPr="00740AE3">
              <w:rPr>
                <w:rFonts w:asciiTheme="majorHAnsi" w:hAnsiTheme="majorHAnsi" w:cstheme="majorHAnsi"/>
                <w:color w:val="000000"/>
                <w:sz w:val="20"/>
                <w:szCs w:val="20"/>
              </w:rPr>
              <w:t xml:space="preserve">final </w:t>
            </w:r>
            <w:r w:rsidR="005D24F2" w:rsidRPr="00740AE3">
              <w:rPr>
                <w:rFonts w:asciiTheme="majorHAnsi" w:hAnsiTheme="majorHAnsi" w:cstheme="majorHAnsi"/>
                <w:color w:val="000000"/>
                <w:sz w:val="20"/>
                <w:szCs w:val="20"/>
              </w:rPr>
              <w:t>exam are used to assess their ability to integrate financial concepts and measures for</w:t>
            </w:r>
            <w:r w:rsidR="005D24F2" w:rsidRPr="00740AE3">
              <w:rPr>
                <w:rFonts w:asciiTheme="majorHAnsi" w:hAnsiTheme="majorHAnsi" w:cstheme="majorHAnsi"/>
                <w:sz w:val="20"/>
                <w:szCs w:val="20"/>
              </w:rPr>
              <w:t xml:space="preserve"> managerial decision making in healthcare organizations.</w:t>
            </w:r>
          </w:p>
        </w:tc>
      </w:tr>
      <w:tr w:rsidR="005D24F2" w:rsidRPr="00740AE3" w:rsidTr="00DE072A">
        <w:trPr>
          <w:cantSplit/>
          <w:trHeight w:val="300"/>
        </w:trPr>
        <w:tc>
          <w:tcPr>
            <w:tcW w:w="1188" w:type="pct"/>
            <w:vMerge w:val="restart"/>
            <w:shd w:val="clear" w:color="auto" w:fill="auto"/>
            <w:tcMar>
              <w:left w:w="29" w:type="dxa"/>
              <w:right w:w="29" w:type="dxa"/>
            </w:tcMar>
          </w:tcPr>
          <w:p w:rsidR="005D24F2" w:rsidRPr="00740AE3" w:rsidRDefault="005D24F2" w:rsidP="00A37ED6">
            <w:pPr>
              <w:rPr>
                <w:rFonts w:asciiTheme="majorHAnsi" w:hAnsiTheme="majorHAnsi" w:cstheme="majorHAnsi"/>
                <w:sz w:val="20"/>
                <w:szCs w:val="20"/>
              </w:rPr>
            </w:pPr>
            <w:r w:rsidRPr="00740AE3">
              <w:rPr>
                <w:rFonts w:asciiTheme="majorHAnsi" w:eastAsia="Times New Roman" w:hAnsiTheme="majorHAnsi" w:cstheme="majorHAnsi"/>
                <w:color w:val="000000"/>
                <w:sz w:val="20"/>
                <w:szCs w:val="20"/>
              </w:rPr>
              <w:t xml:space="preserve">MPH-M4. </w:t>
            </w:r>
            <w:r w:rsidRPr="00740AE3">
              <w:rPr>
                <w:rFonts w:asciiTheme="majorHAnsi" w:hAnsiTheme="majorHAnsi" w:cstheme="majorHAnsi"/>
                <w:sz w:val="20"/>
                <w:szCs w:val="20"/>
              </w:rPr>
              <w:t>(EP) Ethics &amp; Professionalism: Synthesizes knowledge and skills needed to excel professionally with high ethical standards and uses these skills while making a meaningful contribution to the field</w:t>
            </w:r>
          </w:p>
        </w:tc>
        <w:tc>
          <w:tcPr>
            <w:tcW w:w="1393" w:type="pct"/>
            <w:shd w:val="clear" w:color="auto" w:fill="auto"/>
            <w:tcMar>
              <w:left w:w="29" w:type="dxa"/>
              <w:right w:w="29" w:type="dxa"/>
            </w:tcMar>
          </w:tcPr>
          <w:p w:rsidR="005D24F2" w:rsidRPr="00740AE3" w:rsidRDefault="001B37EC" w:rsidP="00FC4AEF">
            <w:pPr>
              <w:rPr>
                <w:rFonts w:asciiTheme="majorHAnsi" w:hAnsiTheme="majorHAnsi" w:cstheme="majorHAnsi"/>
                <w:color w:val="000000"/>
                <w:sz w:val="20"/>
                <w:szCs w:val="20"/>
              </w:rPr>
            </w:pPr>
            <w:r w:rsidRPr="00450A9C">
              <w:rPr>
                <w:rFonts w:asciiTheme="majorHAnsi" w:hAnsiTheme="majorHAnsi" w:cstheme="majorHAnsi"/>
                <w:b/>
                <w:sz w:val="20"/>
                <w:szCs w:val="20"/>
              </w:rPr>
              <w:t>PHM 3746</w:t>
            </w:r>
            <w:r w:rsidRPr="00740AE3">
              <w:rPr>
                <w:rFonts w:asciiTheme="majorHAnsi" w:hAnsiTheme="majorHAnsi" w:cstheme="majorHAnsi"/>
                <w:sz w:val="20"/>
                <w:szCs w:val="20"/>
              </w:rPr>
              <w:t xml:space="preserve"> Evaluation and Improvement of Healthcare Quality</w:t>
            </w:r>
          </w:p>
        </w:tc>
        <w:tc>
          <w:tcPr>
            <w:tcW w:w="2419" w:type="pct"/>
            <w:shd w:val="clear" w:color="auto" w:fill="auto"/>
            <w:tcMar>
              <w:left w:w="29" w:type="dxa"/>
              <w:right w:w="29" w:type="dxa"/>
            </w:tcMar>
          </w:tcPr>
          <w:p w:rsidR="005D24F2" w:rsidRPr="00740AE3" w:rsidRDefault="00E51AFD" w:rsidP="00A37ED6">
            <w:pPr>
              <w:rPr>
                <w:rFonts w:asciiTheme="majorHAnsi" w:hAnsiTheme="majorHAnsi" w:cstheme="majorHAnsi"/>
                <w:color w:val="000000"/>
                <w:sz w:val="20"/>
                <w:szCs w:val="20"/>
              </w:rPr>
            </w:pPr>
            <w:r w:rsidRPr="00740AE3">
              <w:rPr>
                <w:rFonts w:asciiTheme="majorHAnsi" w:hAnsiTheme="majorHAnsi" w:cstheme="majorHAnsi"/>
                <w:sz w:val="20"/>
                <w:szCs w:val="20"/>
              </w:rPr>
              <w:t>Lean Six Sigma</w:t>
            </w:r>
            <w:r w:rsidRPr="00450A9C">
              <w:rPr>
                <w:rFonts w:asciiTheme="majorHAnsi" w:eastAsia="Times New Roman" w:hAnsiTheme="majorHAnsi" w:cstheme="majorHAnsi"/>
                <w:color w:val="000000"/>
                <w:sz w:val="20"/>
                <w:szCs w:val="20"/>
              </w:rPr>
              <w:t xml:space="preserve"> </w:t>
            </w:r>
            <w:r w:rsidR="001B37EC" w:rsidRPr="00450A9C">
              <w:rPr>
                <w:rFonts w:asciiTheme="majorHAnsi" w:eastAsia="Times New Roman" w:hAnsiTheme="majorHAnsi" w:cstheme="majorHAnsi"/>
                <w:color w:val="000000"/>
                <w:sz w:val="20"/>
                <w:szCs w:val="20"/>
              </w:rPr>
              <w:t>and</w:t>
            </w:r>
            <w:r w:rsidR="001B37EC" w:rsidRPr="00740AE3">
              <w:rPr>
                <w:rFonts w:asciiTheme="majorHAnsi" w:eastAsia="Times New Roman" w:hAnsiTheme="majorHAnsi" w:cstheme="majorHAnsi"/>
                <w:color w:val="000000"/>
                <w:sz w:val="20"/>
                <w:szCs w:val="20"/>
                <w:u w:val="single"/>
              </w:rPr>
              <w:t xml:space="preserve"> </w:t>
            </w:r>
            <w:r w:rsidRPr="00740AE3">
              <w:rPr>
                <w:rFonts w:asciiTheme="majorHAnsi" w:hAnsiTheme="majorHAnsi" w:cstheme="majorHAnsi"/>
                <w:sz w:val="20"/>
                <w:szCs w:val="20"/>
              </w:rPr>
              <w:t>Presentation Evaluation</w:t>
            </w:r>
            <w:r w:rsidRPr="00740AE3">
              <w:rPr>
                <w:rFonts w:asciiTheme="majorHAnsi" w:eastAsia="Times New Roman" w:hAnsiTheme="majorHAnsi" w:cstheme="majorHAnsi"/>
                <w:color w:val="000000"/>
                <w:sz w:val="20"/>
                <w:szCs w:val="20"/>
              </w:rPr>
              <w:t>: Students complete a project for a healthcare organization selected by instructor. Students must work on a project within a selected healthcare organization, communicating weekly with a mentor and/or others within the organization. A formal presentation to the organization conducted. The formal presentation is graded using a rubric which assesses individual level professionalism. Feedback from mentors on overall team and individual performance is ascertained.</w:t>
            </w:r>
          </w:p>
        </w:tc>
      </w:tr>
      <w:tr w:rsidR="005D24F2" w:rsidRPr="00740AE3" w:rsidTr="00DE072A">
        <w:trPr>
          <w:cantSplit/>
          <w:trHeight w:val="300"/>
        </w:trPr>
        <w:tc>
          <w:tcPr>
            <w:tcW w:w="1188" w:type="pct"/>
            <w:vMerge/>
            <w:shd w:val="clear" w:color="auto" w:fill="auto"/>
            <w:tcMar>
              <w:left w:w="29" w:type="dxa"/>
              <w:right w:w="29" w:type="dxa"/>
            </w:tcMar>
          </w:tcPr>
          <w:p w:rsidR="005D24F2" w:rsidRPr="00740AE3" w:rsidRDefault="005D24F2" w:rsidP="00A37ED6">
            <w:pPr>
              <w:rPr>
                <w:rFonts w:asciiTheme="majorHAnsi" w:hAnsiTheme="majorHAnsi" w:cstheme="majorHAnsi"/>
                <w:sz w:val="20"/>
                <w:szCs w:val="20"/>
              </w:rPr>
            </w:pPr>
          </w:p>
        </w:tc>
        <w:tc>
          <w:tcPr>
            <w:tcW w:w="1393" w:type="pct"/>
            <w:shd w:val="clear" w:color="auto" w:fill="auto"/>
            <w:tcMar>
              <w:left w:w="29" w:type="dxa"/>
              <w:right w:w="29" w:type="dxa"/>
            </w:tcMar>
          </w:tcPr>
          <w:p w:rsidR="005D24F2" w:rsidRPr="00740AE3" w:rsidRDefault="005D24F2" w:rsidP="00FC4AEF">
            <w:pPr>
              <w:rPr>
                <w:rFonts w:asciiTheme="majorHAnsi" w:hAnsiTheme="majorHAnsi" w:cstheme="majorHAnsi"/>
                <w:color w:val="000000"/>
                <w:sz w:val="20"/>
                <w:szCs w:val="20"/>
              </w:rPr>
            </w:pPr>
            <w:r w:rsidRPr="00450A9C">
              <w:rPr>
                <w:rFonts w:asciiTheme="majorHAnsi" w:hAnsiTheme="majorHAnsi" w:cstheme="majorHAnsi"/>
                <w:b/>
                <w:sz w:val="20"/>
                <w:szCs w:val="20"/>
              </w:rPr>
              <w:t>PH 3738</w:t>
            </w:r>
            <w:r w:rsidRPr="00740AE3">
              <w:rPr>
                <w:rFonts w:asciiTheme="majorHAnsi" w:hAnsiTheme="majorHAnsi" w:cstheme="majorHAnsi"/>
                <w:sz w:val="20"/>
                <w:szCs w:val="20"/>
              </w:rPr>
              <w:t xml:space="preserve"> Legal Issues in Healthcare</w:t>
            </w:r>
          </w:p>
        </w:tc>
        <w:tc>
          <w:tcPr>
            <w:tcW w:w="2419" w:type="pct"/>
            <w:shd w:val="clear" w:color="auto" w:fill="auto"/>
            <w:tcMar>
              <w:left w:w="29" w:type="dxa"/>
              <w:right w:w="29" w:type="dxa"/>
            </w:tcMar>
          </w:tcPr>
          <w:p w:rsidR="005D24F2" w:rsidRPr="00740AE3" w:rsidRDefault="005D24F2" w:rsidP="00A37ED6">
            <w:pPr>
              <w:rPr>
                <w:rFonts w:asciiTheme="majorHAnsi" w:hAnsiTheme="majorHAnsi" w:cstheme="majorHAnsi"/>
                <w:color w:val="000000"/>
                <w:sz w:val="20"/>
                <w:szCs w:val="20"/>
              </w:rPr>
            </w:pPr>
            <w:r w:rsidRPr="00740AE3">
              <w:rPr>
                <w:rFonts w:asciiTheme="majorHAnsi" w:hAnsiTheme="majorHAnsi" w:cstheme="majorHAnsi"/>
                <w:sz w:val="20"/>
                <w:szCs w:val="20"/>
              </w:rPr>
              <w:t xml:space="preserve">Midterm </w:t>
            </w:r>
            <w:r w:rsidR="00421BC3" w:rsidRPr="00450A9C">
              <w:rPr>
                <w:rFonts w:asciiTheme="majorHAnsi" w:hAnsiTheme="majorHAnsi" w:cstheme="majorHAnsi"/>
                <w:sz w:val="20"/>
                <w:szCs w:val="20"/>
              </w:rPr>
              <w:t>Exam</w:t>
            </w:r>
            <w:r w:rsidR="00421BC3" w:rsidRPr="00450A9C">
              <w:rPr>
                <w:rFonts w:asciiTheme="majorHAnsi" w:hAnsiTheme="majorHAnsi" w:cstheme="majorHAnsi"/>
                <w:color w:val="000000"/>
                <w:sz w:val="20"/>
                <w:szCs w:val="20"/>
              </w:rPr>
              <w:t xml:space="preserve"> </w:t>
            </w:r>
            <w:r w:rsidRPr="00450A9C">
              <w:rPr>
                <w:rFonts w:asciiTheme="majorHAnsi" w:hAnsiTheme="majorHAnsi" w:cstheme="majorHAnsi"/>
                <w:color w:val="000000"/>
                <w:sz w:val="20"/>
                <w:szCs w:val="20"/>
              </w:rPr>
              <w:t xml:space="preserve">and </w:t>
            </w:r>
            <w:r w:rsidRPr="00450A9C">
              <w:rPr>
                <w:rFonts w:asciiTheme="majorHAnsi" w:hAnsiTheme="majorHAnsi" w:cstheme="majorHAnsi"/>
                <w:sz w:val="20"/>
                <w:szCs w:val="20"/>
              </w:rPr>
              <w:t>Final</w:t>
            </w:r>
            <w:r w:rsidRPr="00740AE3">
              <w:rPr>
                <w:rFonts w:asciiTheme="majorHAnsi" w:hAnsiTheme="majorHAnsi" w:cstheme="majorHAnsi"/>
                <w:sz w:val="20"/>
                <w:szCs w:val="20"/>
              </w:rPr>
              <w:t xml:space="preserve"> Exam</w:t>
            </w:r>
            <w:r w:rsidRPr="00740AE3">
              <w:rPr>
                <w:rFonts w:asciiTheme="majorHAnsi" w:hAnsiTheme="majorHAnsi" w:cstheme="majorHAnsi"/>
                <w:color w:val="000000"/>
                <w:sz w:val="20"/>
                <w:szCs w:val="20"/>
              </w:rPr>
              <w:t>: Short essay-style questions covering the following topics: ethical issues of concern to health providers; legal and ethical issues related to end of life access to healthcare issues and role(s) of reproductive health; structure of hospital ethics committees; and utilizing ethical decision-making in the healthcare setting.</w:t>
            </w:r>
          </w:p>
        </w:tc>
      </w:tr>
      <w:tr w:rsidR="005D24F2" w:rsidRPr="00740AE3" w:rsidTr="00DE072A">
        <w:trPr>
          <w:cantSplit/>
          <w:trHeight w:val="1250"/>
        </w:trPr>
        <w:tc>
          <w:tcPr>
            <w:tcW w:w="1188" w:type="pct"/>
            <w:vMerge w:val="restart"/>
            <w:shd w:val="clear" w:color="auto" w:fill="auto"/>
            <w:tcMar>
              <w:left w:w="29" w:type="dxa"/>
              <w:right w:w="29" w:type="dxa"/>
            </w:tcMar>
          </w:tcPr>
          <w:p w:rsidR="005D24F2" w:rsidRPr="00740AE3" w:rsidRDefault="005D24F2" w:rsidP="00A37ED6">
            <w:pPr>
              <w:rPr>
                <w:rFonts w:asciiTheme="majorHAnsi" w:hAnsiTheme="majorHAnsi" w:cstheme="majorHAnsi"/>
                <w:sz w:val="20"/>
                <w:szCs w:val="20"/>
              </w:rPr>
            </w:pPr>
            <w:r w:rsidRPr="00740AE3">
              <w:rPr>
                <w:rFonts w:asciiTheme="majorHAnsi" w:eastAsia="Times New Roman" w:hAnsiTheme="majorHAnsi" w:cstheme="majorHAnsi"/>
                <w:color w:val="000000"/>
                <w:sz w:val="20"/>
                <w:szCs w:val="20"/>
              </w:rPr>
              <w:t>MPH-M5. </w:t>
            </w:r>
            <w:r w:rsidRPr="00740AE3">
              <w:rPr>
                <w:rFonts w:asciiTheme="majorHAnsi" w:hAnsiTheme="majorHAnsi" w:cstheme="majorHAnsi"/>
                <w:sz w:val="20"/>
                <w:szCs w:val="20"/>
              </w:rPr>
              <w:t xml:space="preserve">(OM) Organizational Management:  Selects, integrates and evaluates organizational resources to provide high-quality customer-oriented health services responsive to the ever-changing political landscape  </w:t>
            </w:r>
          </w:p>
        </w:tc>
        <w:tc>
          <w:tcPr>
            <w:tcW w:w="1393" w:type="pct"/>
            <w:shd w:val="clear" w:color="auto" w:fill="auto"/>
            <w:tcMar>
              <w:left w:w="29" w:type="dxa"/>
              <w:right w:w="29" w:type="dxa"/>
            </w:tcMar>
          </w:tcPr>
          <w:p w:rsidR="005D24F2" w:rsidRPr="00740AE3" w:rsidRDefault="005D24F2" w:rsidP="00FC4AEF">
            <w:pPr>
              <w:rPr>
                <w:rFonts w:asciiTheme="majorHAnsi" w:hAnsiTheme="majorHAnsi" w:cstheme="majorHAnsi"/>
                <w:color w:val="000000"/>
                <w:sz w:val="20"/>
                <w:szCs w:val="20"/>
              </w:rPr>
            </w:pPr>
            <w:r w:rsidRPr="00450A9C">
              <w:rPr>
                <w:rFonts w:asciiTheme="majorHAnsi" w:hAnsiTheme="majorHAnsi" w:cstheme="majorHAnsi"/>
                <w:b/>
                <w:sz w:val="20"/>
                <w:szCs w:val="20"/>
              </w:rPr>
              <w:t>PHM 3744</w:t>
            </w:r>
            <w:r w:rsidRPr="00740AE3">
              <w:rPr>
                <w:rFonts w:asciiTheme="majorHAnsi" w:hAnsiTheme="majorHAnsi" w:cstheme="majorHAnsi"/>
                <w:sz w:val="20"/>
                <w:szCs w:val="20"/>
              </w:rPr>
              <w:t xml:space="preserve"> Organizational Behavior and Human Resource Management in Health Services Org</w:t>
            </w:r>
          </w:p>
        </w:tc>
        <w:tc>
          <w:tcPr>
            <w:tcW w:w="2419" w:type="pct"/>
            <w:shd w:val="clear" w:color="auto" w:fill="auto"/>
            <w:tcMar>
              <w:left w:w="29" w:type="dxa"/>
              <w:right w:w="29" w:type="dxa"/>
            </w:tcMar>
          </w:tcPr>
          <w:p w:rsidR="005D24F2" w:rsidRPr="00740AE3" w:rsidRDefault="005D24F2" w:rsidP="00A37ED6">
            <w:pPr>
              <w:rPr>
                <w:rFonts w:asciiTheme="majorHAnsi" w:hAnsiTheme="majorHAnsi" w:cstheme="majorHAnsi"/>
                <w:color w:val="000000"/>
                <w:sz w:val="20"/>
                <w:szCs w:val="20"/>
              </w:rPr>
            </w:pPr>
            <w:r w:rsidRPr="00740AE3">
              <w:rPr>
                <w:rFonts w:asciiTheme="majorHAnsi" w:hAnsiTheme="majorHAnsi" w:cstheme="majorHAnsi"/>
                <w:sz w:val="20"/>
                <w:szCs w:val="20"/>
              </w:rPr>
              <w:t>Original Case: Each student will be required to write and analyze an original case on one of the following topics: recruitment and retention, motivation, individual differences, group behavior, leadership, interpersonal conflict, disciplining and terminating employees. The case analysis must be based on an actual organization (need not be identified), real people (real names not necessary), and actual events.  If your own experiences does not provide ample material for the development of a case, you may use personal observations and interviews with organizational managers to generate your case.</w:t>
            </w:r>
          </w:p>
        </w:tc>
      </w:tr>
      <w:tr w:rsidR="005D24F2" w:rsidRPr="00740AE3" w:rsidTr="00DE072A">
        <w:trPr>
          <w:cantSplit/>
          <w:trHeight w:val="1250"/>
        </w:trPr>
        <w:tc>
          <w:tcPr>
            <w:tcW w:w="1188" w:type="pct"/>
            <w:vMerge/>
            <w:shd w:val="clear" w:color="auto" w:fill="auto"/>
            <w:tcMar>
              <w:left w:w="29" w:type="dxa"/>
              <w:right w:w="29" w:type="dxa"/>
            </w:tcMar>
          </w:tcPr>
          <w:p w:rsidR="005D24F2" w:rsidRPr="00740AE3" w:rsidRDefault="005D24F2" w:rsidP="00A37ED6">
            <w:pPr>
              <w:rPr>
                <w:rFonts w:asciiTheme="majorHAnsi" w:hAnsiTheme="majorHAnsi" w:cstheme="majorHAnsi"/>
                <w:sz w:val="20"/>
                <w:szCs w:val="20"/>
              </w:rPr>
            </w:pPr>
          </w:p>
        </w:tc>
        <w:tc>
          <w:tcPr>
            <w:tcW w:w="1393" w:type="pct"/>
            <w:shd w:val="clear" w:color="auto" w:fill="auto"/>
            <w:tcMar>
              <w:left w:w="29" w:type="dxa"/>
              <w:right w:w="29" w:type="dxa"/>
            </w:tcMar>
          </w:tcPr>
          <w:p w:rsidR="005D24F2" w:rsidRPr="00740AE3" w:rsidRDefault="005D24F2" w:rsidP="00FC4AEF">
            <w:pPr>
              <w:rPr>
                <w:rFonts w:asciiTheme="majorHAnsi" w:hAnsiTheme="majorHAnsi" w:cstheme="majorHAnsi"/>
                <w:color w:val="000000"/>
                <w:sz w:val="20"/>
                <w:szCs w:val="20"/>
              </w:rPr>
            </w:pPr>
            <w:r w:rsidRPr="00450A9C">
              <w:rPr>
                <w:rFonts w:asciiTheme="majorHAnsi" w:hAnsiTheme="majorHAnsi" w:cstheme="majorHAnsi"/>
                <w:b/>
                <w:sz w:val="20"/>
                <w:szCs w:val="20"/>
              </w:rPr>
              <w:t>PH 3736</w:t>
            </w:r>
            <w:r w:rsidRPr="00740AE3">
              <w:rPr>
                <w:rFonts w:asciiTheme="majorHAnsi" w:hAnsiTheme="majorHAnsi" w:cstheme="majorHAnsi"/>
                <w:sz w:val="20"/>
                <w:szCs w:val="20"/>
              </w:rPr>
              <w:t xml:space="preserve"> Healthcare Payment Systems and Policy</w:t>
            </w:r>
          </w:p>
        </w:tc>
        <w:tc>
          <w:tcPr>
            <w:tcW w:w="2419" w:type="pct"/>
            <w:shd w:val="clear" w:color="auto" w:fill="auto"/>
            <w:tcMar>
              <w:left w:w="29" w:type="dxa"/>
              <w:right w:w="29" w:type="dxa"/>
            </w:tcMar>
          </w:tcPr>
          <w:p w:rsidR="005D24F2" w:rsidRPr="00740AE3" w:rsidRDefault="00DE5A64" w:rsidP="00A37ED6">
            <w:pPr>
              <w:rPr>
                <w:rFonts w:asciiTheme="majorHAnsi" w:eastAsia="Times New Roman" w:hAnsiTheme="majorHAnsi" w:cstheme="majorHAnsi"/>
                <w:sz w:val="20"/>
                <w:szCs w:val="20"/>
              </w:rPr>
            </w:pPr>
            <w:r w:rsidRPr="00740AE3">
              <w:rPr>
                <w:rFonts w:asciiTheme="majorHAnsi" w:hAnsiTheme="majorHAnsi" w:cstheme="majorHAnsi"/>
                <w:sz w:val="20"/>
                <w:szCs w:val="20"/>
              </w:rPr>
              <w:t xml:space="preserve">Matrix: </w:t>
            </w:r>
            <w:r w:rsidR="005D24F2" w:rsidRPr="00740AE3">
              <w:rPr>
                <w:rFonts w:asciiTheme="majorHAnsi" w:hAnsiTheme="majorHAnsi" w:cstheme="majorHAnsi"/>
                <w:sz w:val="20"/>
                <w:szCs w:val="20"/>
              </w:rPr>
              <w:t xml:space="preserve">Each student will prepare a matrix that compares the various healthcare payment systems along key points point (origin, funding, eligibility, and delivery system) to provide a succinct comparison. Grading of the matrix examines if the student 1) </w:t>
            </w:r>
            <w:r w:rsidR="005D24F2" w:rsidRPr="00740AE3">
              <w:rPr>
                <w:rFonts w:asciiTheme="majorHAnsi" w:eastAsia="Times New Roman" w:hAnsiTheme="majorHAnsi" w:cstheme="majorHAnsi"/>
                <w:sz w:val="20"/>
                <w:szCs w:val="20"/>
              </w:rPr>
              <w:t>has elected an appropriate number of key elements for comparison along the grid, 2) included all relevant policy types for comparison and 3) accurately, succinctly and thoughtfully defined the comparative elements.</w:t>
            </w:r>
          </w:p>
          <w:p w:rsidR="005D24F2" w:rsidRPr="00740AE3" w:rsidRDefault="005D24F2" w:rsidP="00A37ED6">
            <w:pPr>
              <w:rPr>
                <w:rFonts w:asciiTheme="majorHAnsi" w:hAnsiTheme="majorHAnsi" w:cstheme="majorHAnsi"/>
                <w:color w:val="000000"/>
                <w:sz w:val="20"/>
                <w:szCs w:val="20"/>
              </w:rPr>
            </w:pPr>
          </w:p>
        </w:tc>
      </w:tr>
    </w:tbl>
    <w:p w:rsidR="004024BD" w:rsidRPr="00740AE3" w:rsidRDefault="004024BD" w:rsidP="006E28EE">
      <w:pPr>
        <w:pStyle w:val="BodyText"/>
        <w:tabs>
          <w:tab w:val="left" w:pos="841"/>
        </w:tabs>
        <w:ind w:left="0" w:right="115" w:firstLine="0"/>
        <w:rPr>
          <w:rFonts w:asciiTheme="majorHAnsi" w:eastAsiaTheme="minorHAnsi" w:hAnsiTheme="majorHAnsi" w:cstheme="majorHAnsi"/>
        </w:rPr>
      </w:pPr>
    </w:p>
    <w:p w:rsidR="005D24F2" w:rsidRPr="00740AE3" w:rsidRDefault="00A3583C" w:rsidP="006E28EE">
      <w:pPr>
        <w:ind w:left="720"/>
        <w:rPr>
          <w:rFonts w:asciiTheme="majorHAnsi" w:hAnsiTheme="majorHAnsi" w:cstheme="majorHAnsi"/>
          <w:sz w:val="20"/>
          <w:szCs w:val="20"/>
        </w:rPr>
      </w:pPr>
      <w:r w:rsidRPr="00740AE3">
        <w:rPr>
          <w:rFonts w:asciiTheme="majorHAnsi" w:hAnsiTheme="majorHAnsi" w:cstheme="majorHAnsi"/>
          <w:sz w:val="20"/>
          <w:szCs w:val="20"/>
        </w:rPr>
        <w:t>Table D</w:t>
      </w:r>
      <w:r w:rsidR="00200D23" w:rsidRPr="00740AE3">
        <w:rPr>
          <w:rFonts w:asciiTheme="majorHAnsi" w:hAnsiTheme="majorHAnsi" w:cstheme="majorHAnsi"/>
          <w:sz w:val="20"/>
          <w:szCs w:val="20"/>
        </w:rPr>
        <w:t>.</w:t>
      </w:r>
      <w:r w:rsidRPr="00740AE3">
        <w:rPr>
          <w:rFonts w:asciiTheme="majorHAnsi" w:hAnsiTheme="majorHAnsi" w:cstheme="majorHAnsi"/>
          <w:sz w:val="20"/>
          <w:szCs w:val="20"/>
        </w:rPr>
        <w:t>4.1</w:t>
      </w:r>
      <w:r w:rsidR="00200D23" w:rsidRPr="00740AE3">
        <w:rPr>
          <w:rFonts w:asciiTheme="majorHAnsi" w:hAnsiTheme="majorHAnsi" w:cstheme="majorHAnsi"/>
          <w:sz w:val="20"/>
          <w:szCs w:val="20"/>
        </w:rPr>
        <w:t>.</w:t>
      </w:r>
      <w:r w:rsidR="00B22AEB" w:rsidRPr="00740AE3">
        <w:rPr>
          <w:rFonts w:asciiTheme="majorHAnsi" w:hAnsiTheme="majorHAnsi" w:cstheme="majorHAnsi"/>
          <w:sz w:val="20"/>
          <w:szCs w:val="20"/>
        </w:rPr>
        <w:t>g</w:t>
      </w:r>
      <w:r w:rsidR="00200D23" w:rsidRPr="00740AE3">
        <w:rPr>
          <w:rFonts w:asciiTheme="majorHAnsi" w:hAnsiTheme="majorHAnsi" w:cstheme="majorHAnsi"/>
          <w:sz w:val="20"/>
          <w:szCs w:val="20"/>
        </w:rPr>
        <w:t>.</w:t>
      </w:r>
      <w:r w:rsidRPr="00740AE3">
        <w:rPr>
          <w:rFonts w:asciiTheme="majorHAnsi" w:hAnsiTheme="majorHAnsi" w:cstheme="majorHAnsi"/>
          <w:sz w:val="20"/>
          <w:szCs w:val="20"/>
        </w:rPr>
        <w:t xml:space="preserve"> Assessment of Competencies for MPH in Health Services Organizati</w:t>
      </w:r>
      <w:r w:rsidR="007F240E" w:rsidRPr="00740AE3">
        <w:rPr>
          <w:rFonts w:asciiTheme="majorHAnsi" w:hAnsiTheme="majorHAnsi" w:cstheme="majorHAnsi"/>
          <w:sz w:val="20"/>
          <w:szCs w:val="20"/>
        </w:rPr>
        <w:t>on (</w:t>
      </w:r>
      <w:r w:rsidR="007F240E" w:rsidRPr="00740AE3">
        <w:rPr>
          <w:rFonts w:asciiTheme="majorHAnsi" w:hAnsiTheme="majorHAnsi" w:cstheme="majorHAnsi"/>
          <w:i/>
          <w:sz w:val="20"/>
          <w:szCs w:val="20"/>
        </w:rPr>
        <w:t>ERF, D4.3. MPH in Health Services Organization</w:t>
      </w:r>
      <w:r w:rsidR="007F240E" w:rsidRPr="00740AE3">
        <w:rPr>
          <w:rFonts w:asciiTheme="majorHAnsi" w:hAnsiTheme="majorHAnsi" w:cstheme="majorHAnsi"/>
          <w:sz w:val="20"/>
          <w:szCs w:val="20"/>
        </w:rPr>
        <w:t>)</w:t>
      </w:r>
    </w:p>
    <w:tbl>
      <w:tblPr>
        <w:tblW w:w="4661"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2428"/>
        <w:gridCol w:w="4217"/>
      </w:tblGrid>
      <w:tr w:rsidR="005D24F2" w:rsidRPr="00740AE3" w:rsidTr="00DE072A">
        <w:trPr>
          <w:cantSplit/>
          <w:trHeight w:val="315"/>
          <w:tblHeader/>
        </w:trPr>
        <w:tc>
          <w:tcPr>
            <w:tcW w:w="1188" w:type="pct"/>
            <w:shd w:val="clear" w:color="000000" w:fill="D9D9D9"/>
            <w:tcMar>
              <w:left w:w="29" w:type="dxa"/>
              <w:right w:w="29" w:type="dxa"/>
            </w:tcMar>
            <w:hideMark/>
          </w:tcPr>
          <w:p w:rsidR="005D24F2" w:rsidRPr="00740AE3" w:rsidRDefault="005D24F2" w:rsidP="00A37ED6">
            <w:pPr>
              <w:jc w:val="center"/>
              <w:rPr>
                <w:rFonts w:asciiTheme="majorHAnsi" w:eastAsia="Times New Roman" w:hAnsiTheme="majorHAnsi" w:cstheme="majorHAnsi"/>
                <w:b/>
                <w:bCs/>
                <w:color w:val="000000"/>
                <w:sz w:val="20"/>
                <w:szCs w:val="20"/>
              </w:rPr>
            </w:pPr>
            <w:r w:rsidRPr="00740AE3">
              <w:rPr>
                <w:rFonts w:asciiTheme="majorHAnsi" w:eastAsia="Times New Roman" w:hAnsiTheme="majorHAnsi" w:cstheme="majorHAnsi"/>
                <w:b/>
                <w:bCs/>
                <w:color w:val="000000"/>
                <w:sz w:val="20"/>
                <w:szCs w:val="20"/>
              </w:rPr>
              <w:t>Competency</w:t>
            </w:r>
          </w:p>
        </w:tc>
        <w:tc>
          <w:tcPr>
            <w:tcW w:w="1393" w:type="pct"/>
            <w:shd w:val="clear" w:color="000000" w:fill="D9D9D9"/>
            <w:tcMar>
              <w:left w:w="29" w:type="dxa"/>
              <w:right w:w="29" w:type="dxa"/>
            </w:tcMar>
            <w:hideMark/>
          </w:tcPr>
          <w:p w:rsidR="005D24F2" w:rsidRPr="00740AE3" w:rsidRDefault="005D24F2" w:rsidP="00A37ED6">
            <w:pPr>
              <w:jc w:val="center"/>
              <w:rPr>
                <w:rFonts w:asciiTheme="majorHAnsi" w:eastAsia="Times New Roman" w:hAnsiTheme="majorHAnsi" w:cstheme="majorHAnsi"/>
                <w:b/>
                <w:bCs/>
                <w:color w:val="000000"/>
                <w:sz w:val="20"/>
                <w:szCs w:val="20"/>
              </w:rPr>
            </w:pPr>
            <w:r w:rsidRPr="00740AE3">
              <w:rPr>
                <w:rFonts w:asciiTheme="majorHAnsi" w:eastAsia="Times New Roman" w:hAnsiTheme="majorHAnsi" w:cstheme="majorHAnsi"/>
                <w:b/>
                <w:bCs/>
                <w:color w:val="000000"/>
                <w:sz w:val="20"/>
                <w:szCs w:val="20"/>
              </w:rPr>
              <w:t>Course number(s) and name(s)</w:t>
            </w:r>
          </w:p>
        </w:tc>
        <w:tc>
          <w:tcPr>
            <w:tcW w:w="2419" w:type="pct"/>
            <w:shd w:val="clear" w:color="000000" w:fill="D9D9D9"/>
            <w:tcMar>
              <w:left w:w="29" w:type="dxa"/>
              <w:right w:w="29" w:type="dxa"/>
            </w:tcMar>
          </w:tcPr>
          <w:p w:rsidR="005D24F2" w:rsidRPr="00740AE3" w:rsidRDefault="005D24F2" w:rsidP="00A37ED6">
            <w:pPr>
              <w:jc w:val="center"/>
              <w:rPr>
                <w:rFonts w:asciiTheme="majorHAnsi" w:eastAsia="Times New Roman" w:hAnsiTheme="majorHAnsi" w:cstheme="majorHAnsi"/>
                <w:b/>
                <w:bCs/>
                <w:color w:val="000000"/>
                <w:sz w:val="20"/>
                <w:szCs w:val="20"/>
              </w:rPr>
            </w:pPr>
            <w:r w:rsidRPr="00740AE3">
              <w:rPr>
                <w:rFonts w:asciiTheme="majorHAnsi" w:eastAsia="Times New Roman" w:hAnsiTheme="majorHAnsi" w:cstheme="majorHAnsi"/>
                <w:b/>
                <w:bCs/>
                <w:color w:val="000000"/>
                <w:sz w:val="20"/>
                <w:szCs w:val="20"/>
              </w:rPr>
              <w:t>Specific assignment(s) that allow assessment</w:t>
            </w:r>
          </w:p>
        </w:tc>
      </w:tr>
      <w:tr w:rsidR="005D24F2" w:rsidRPr="00740AE3" w:rsidTr="00DE072A">
        <w:trPr>
          <w:cantSplit/>
          <w:trHeight w:val="315"/>
        </w:trPr>
        <w:tc>
          <w:tcPr>
            <w:tcW w:w="1188" w:type="pct"/>
            <w:shd w:val="clear" w:color="auto" w:fill="auto"/>
            <w:tcMar>
              <w:left w:w="29" w:type="dxa"/>
              <w:right w:w="29" w:type="dxa"/>
            </w:tcMar>
            <w:hideMark/>
          </w:tcPr>
          <w:p w:rsidR="005D24F2" w:rsidRPr="00740AE3" w:rsidRDefault="005D24F2" w:rsidP="00A37ED6">
            <w:pPr>
              <w:rPr>
                <w:rFonts w:asciiTheme="majorHAnsi" w:hAnsiTheme="majorHAnsi" w:cstheme="majorHAnsi"/>
                <w:sz w:val="20"/>
                <w:szCs w:val="20"/>
              </w:rPr>
            </w:pPr>
            <w:r w:rsidRPr="00740AE3">
              <w:rPr>
                <w:rFonts w:asciiTheme="majorHAnsi" w:hAnsiTheme="majorHAnsi" w:cstheme="majorHAnsi"/>
                <w:sz w:val="20"/>
                <w:szCs w:val="20"/>
              </w:rPr>
              <w:t>MPH-S1. Demonstrate understanding of microeconomic theory in a market system and how to apply those concepts to understand the economics of the healthcare system and market failure in the US.</w:t>
            </w:r>
          </w:p>
        </w:tc>
        <w:tc>
          <w:tcPr>
            <w:tcW w:w="1393" w:type="pct"/>
            <w:shd w:val="clear" w:color="auto" w:fill="auto"/>
            <w:tcMar>
              <w:left w:w="29" w:type="dxa"/>
              <w:right w:w="29" w:type="dxa"/>
            </w:tcMar>
            <w:hideMark/>
          </w:tcPr>
          <w:p w:rsidR="005D24F2" w:rsidRPr="00740AE3" w:rsidRDefault="005D24F2" w:rsidP="00FC4AEF">
            <w:pPr>
              <w:rPr>
                <w:rFonts w:asciiTheme="majorHAnsi" w:hAnsiTheme="majorHAnsi" w:cstheme="majorHAnsi"/>
                <w:sz w:val="20"/>
                <w:szCs w:val="20"/>
              </w:rPr>
            </w:pPr>
            <w:r w:rsidRPr="00740AE3">
              <w:rPr>
                <w:rFonts w:asciiTheme="majorHAnsi" w:hAnsiTheme="majorHAnsi" w:cstheme="majorHAnsi"/>
                <w:b/>
                <w:sz w:val="20"/>
                <w:szCs w:val="20"/>
              </w:rPr>
              <w:t>PHM 3910</w:t>
            </w:r>
            <w:r w:rsidRPr="00740AE3">
              <w:rPr>
                <w:rFonts w:asciiTheme="majorHAnsi" w:hAnsiTheme="majorHAnsi" w:cstheme="majorHAnsi"/>
                <w:sz w:val="20"/>
                <w:szCs w:val="20"/>
              </w:rPr>
              <w:t xml:space="preserve"> Health Economics</w:t>
            </w:r>
          </w:p>
        </w:tc>
        <w:tc>
          <w:tcPr>
            <w:tcW w:w="2419" w:type="pct"/>
            <w:shd w:val="clear" w:color="auto" w:fill="auto"/>
            <w:tcMar>
              <w:left w:w="29" w:type="dxa"/>
              <w:right w:w="29" w:type="dxa"/>
            </w:tcMar>
          </w:tcPr>
          <w:p w:rsidR="005D24F2" w:rsidRPr="00740AE3" w:rsidRDefault="000224CC" w:rsidP="00A37ED6">
            <w:pPr>
              <w:rPr>
                <w:rFonts w:asciiTheme="majorHAnsi" w:hAnsiTheme="majorHAnsi" w:cstheme="majorHAnsi"/>
                <w:i/>
                <w:color w:val="FF0000"/>
                <w:sz w:val="20"/>
                <w:szCs w:val="20"/>
              </w:rPr>
            </w:pPr>
            <w:r w:rsidRPr="00740AE3">
              <w:rPr>
                <w:rFonts w:asciiTheme="majorHAnsi" w:hAnsiTheme="majorHAnsi" w:cstheme="majorHAnsi"/>
                <w:sz w:val="20"/>
                <w:szCs w:val="20"/>
              </w:rPr>
              <w:t xml:space="preserve">Midterm and Final Exams: </w:t>
            </w:r>
            <w:r w:rsidR="005D24F2" w:rsidRPr="00740AE3">
              <w:rPr>
                <w:rFonts w:asciiTheme="majorHAnsi" w:hAnsiTheme="majorHAnsi" w:cstheme="majorHAnsi"/>
                <w:sz w:val="20"/>
                <w:szCs w:val="20"/>
              </w:rPr>
              <w:t xml:space="preserve">Through one closed-book mid-term exam and one closed book final exam, which include data analyses and short-answer items, students demonstrate knowledge of principles of economics as applied to </w:t>
            </w:r>
            <w:r w:rsidR="00D06EEE" w:rsidRPr="00740AE3">
              <w:rPr>
                <w:rFonts w:asciiTheme="majorHAnsi" w:hAnsiTheme="majorHAnsi" w:cstheme="majorHAnsi"/>
                <w:sz w:val="20"/>
                <w:szCs w:val="20"/>
              </w:rPr>
              <w:t>healthcare</w:t>
            </w:r>
            <w:r w:rsidR="005D24F2" w:rsidRPr="00740AE3">
              <w:rPr>
                <w:rFonts w:asciiTheme="majorHAnsi" w:hAnsiTheme="majorHAnsi" w:cstheme="majorHAnsi"/>
                <w:sz w:val="20"/>
                <w:szCs w:val="20"/>
              </w:rPr>
              <w:t xml:space="preserve"> consumption, including through knowledge of empirical tests of these principles via published studies, via content covering: microeconomic theory; consumer “utility” of </w:t>
            </w:r>
            <w:r w:rsidR="00D06EEE" w:rsidRPr="00740AE3">
              <w:rPr>
                <w:rFonts w:asciiTheme="majorHAnsi" w:hAnsiTheme="majorHAnsi" w:cstheme="majorHAnsi"/>
                <w:sz w:val="20"/>
                <w:szCs w:val="20"/>
              </w:rPr>
              <w:t>healthcare</w:t>
            </w:r>
            <w:r w:rsidR="005D24F2" w:rsidRPr="00740AE3">
              <w:rPr>
                <w:rFonts w:asciiTheme="majorHAnsi" w:hAnsiTheme="majorHAnsi" w:cstheme="majorHAnsi"/>
                <w:sz w:val="20"/>
                <w:szCs w:val="20"/>
              </w:rPr>
              <w:t xml:space="preserve"> services; production theory; cost theory; competition principles (perfect competition, monopoly, oligopoly); market failure and public policy exercise via taxation; economic principles and the relation between income and health; influence of payment models such as deductibles and copays upon </w:t>
            </w:r>
            <w:r w:rsidR="00D06EEE" w:rsidRPr="00740AE3">
              <w:rPr>
                <w:rFonts w:asciiTheme="majorHAnsi" w:hAnsiTheme="majorHAnsi" w:cstheme="majorHAnsi"/>
                <w:sz w:val="20"/>
                <w:szCs w:val="20"/>
              </w:rPr>
              <w:t>healthcare</w:t>
            </w:r>
            <w:r w:rsidR="005D24F2" w:rsidRPr="00740AE3">
              <w:rPr>
                <w:rFonts w:asciiTheme="majorHAnsi" w:hAnsiTheme="majorHAnsi" w:cstheme="majorHAnsi"/>
                <w:sz w:val="20"/>
                <w:szCs w:val="20"/>
              </w:rPr>
              <w:t xml:space="preserve"> consumption; effect of dis-equities in health knowledge upon consumption; effect of health insurance upon consumption; influence of technology advances upon consumption; policy-based interventions to affect costs and inequities.</w:t>
            </w:r>
          </w:p>
        </w:tc>
      </w:tr>
      <w:tr w:rsidR="005D24F2" w:rsidRPr="00740AE3" w:rsidTr="00DE072A">
        <w:trPr>
          <w:cantSplit/>
          <w:trHeight w:val="300"/>
        </w:trPr>
        <w:tc>
          <w:tcPr>
            <w:tcW w:w="1188" w:type="pct"/>
            <w:shd w:val="clear" w:color="auto" w:fill="auto"/>
            <w:tcMar>
              <w:left w:w="29" w:type="dxa"/>
              <w:right w:w="29" w:type="dxa"/>
            </w:tcMar>
            <w:hideMark/>
          </w:tcPr>
          <w:p w:rsidR="005D24F2" w:rsidRPr="00740AE3" w:rsidRDefault="005D24F2" w:rsidP="00A37ED6">
            <w:pPr>
              <w:rPr>
                <w:rFonts w:asciiTheme="majorHAnsi" w:hAnsiTheme="majorHAnsi" w:cstheme="majorHAnsi"/>
                <w:sz w:val="20"/>
                <w:szCs w:val="20"/>
              </w:rPr>
            </w:pPr>
            <w:r w:rsidRPr="00740AE3">
              <w:rPr>
                <w:rFonts w:asciiTheme="majorHAnsi" w:hAnsiTheme="majorHAnsi" w:cstheme="majorHAnsi"/>
                <w:sz w:val="20"/>
                <w:szCs w:val="20"/>
              </w:rPr>
              <w:t>MPH-S2. Review and critically evaluate scientific studies that estimate the effectiveness, efficiency, and equity of health policy alternatives.</w:t>
            </w:r>
          </w:p>
          <w:p w:rsidR="005D24F2" w:rsidRPr="00740AE3" w:rsidRDefault="005D24F2" w:rsidP="00A37ED6">
            <w:pPr>
              <w:rPr>
                <w:rFonts w:asciiTheme="majorHAnsi" w:hAnsiTheme="majorHAnsi" w:cstheme="majorHAnsi"/>
                <w:sz w:val="20"/>
                <w:szCs w:val="20"/>
              </w:rPr>
            </w:pPr>
          </w:p>
        </w:tc>
        <w:tc>
          <w:tcPr>
            <w:tcW w:w="1393" w:type="pct"/>
            <w:shd w:val="clear" w:color="auto" w:fill="auto"/>
            <w:tcMar>
              <w:left w:w="29" w:type="dxa"/>
              <w:right w:w="29" w:type="dxa"/>
            </w:tcMar>
          </w:tcPr>
          <w:p w:rsidR="005D24F2" w:rsidRPr="00740AE3" w:rsidRDefault="005D24F2" w:rsidP="00FC4AEF">
            <w:pPr>
              <w:rPr>
                <w:rFonts w:asciiTheme="majorHAnsi" w:hAnsiTheme="majorHAnsi" w:cstheme="majorHAnsi"/>
                <w:color w:val="FF0000"/>
                <w:sz w:val="20"/>
                <w:szCs w:val="20"/>
              </w:rPr>
            </w:pPr>
            <w:r w:rsidRPr="00740AE3">
              <w:rPr>
                <w:rFonts w:asciiTheme="majorHAnsi" w:hAnsiTheme="majorHAnsi" w:cstheme="majorHAnsi"/>
                <w:b/>
                <w:sz w:val="20"/>
                <w:szCs w:val="20"/>
              </w:rPr>
              <w:t>PH 3920</w:t>
            </w:r>
            <w:r w:rsidRPr="00740AE3">
              <w:rPr>
                <w:rFonts w:asciiTheme="majorHAnsi" w:hAnsiTheme="majorHAnsi" w:cstheme="majorHAnsi"/>
                <w:sz w:val="20"/>
                <w:szCs w:val="20"/>
              </w:rPr>
              <w:t xml:space="preserve"> Health Services Delivery and Performance</w:t>
            </w:r>
          </w:p>
        </w:tc>
        <w:tc>
          <w:tcPr>
            <w:tcW w:w="2419" w:type="pct"/>
            <w:tcMar>
              <w:left w:w="29" w:type="dxa"/>
              <w:right w:w="29" w:type="dxa"/>
            </w:tcMar>
          </w:tcPr>
          <w:p w:rsidR="005D24F2" w:rsidRPr="00740AE3" w:rsidRDefault="005D24F2" w:rsidP="00A37ED6">
            <w:pPr>
              <w:rPr>
                <w:rFonts w:asciiTheme="majorHAnsi" w:hAnsiTheme="majorHAnsi" w:cstheme="majorHAnsi"/>
                <w:sz w:val="20"/>
                <w:szCs w:val="20"/>
              </w:rPr>
            </w:pPr>
            <w:r w:rsidRPr="00740AE3">
              <w:rPr>
                <w:rFonts w:asciiTheme="majorHAnsi" w:hAnsiTheme="majorHAnsi" w:cstheme="majorHAnsi"/>
                <w:sz w:val="20"/>
                <w:szCs w:val="20"/>
              </w:rPr>
              <w:t xml:space="preserve">Effectiveness Assignment: As a complement to the course’s Effectiveness, Efficiency, Equity, and Policy Group Assignment, each student must respond to short answer questions about the assigned course readings. Students will respond to questions regarding empirical evidence in </w:t>
            </w:r>
            <w:r w:rsidR="00D06EEE" w:rsidRPr="00740AE3">
              <w:rPr>
                <w:rFonts w:asciiTheme="majorHAnsi" w:hAnsiTheme="majorHAnsi" w:cstheme="majorHAnsi"/>
                <w:sz w:val="20"/>
                <w:szCs w:val="20"/>
              </w:rPr>
              <w:t>healthcare</w:t>
            </w:r>
            <w:r w:rsidRPr="00740AE3">
              <w:rPr>
                <w:rFonts w:asciiTheme="majorHAnsi" w:hAnsiTheme="majorHAnsi" w:cstheme="majorHAnsi"/>
                <w:sz w:val="20"/>
                <w:szCs w:val="20"/>
              </w:rPr>
              <w:t xml:space="preserve"> delivery; models for conceptualizing the </w:t>
            </w:r>
            <w:r w:rsidR="00D06EEE" w:rsidRPr="00740AE3">
              <w:rPr>
                <w:rFonts w:asciiTheme="majorHAnsi" w:hAnsiTheme="majorHAnsi" w:cstheme="majorHAnsi"/>
                <w:sz w:val="20"/>
                <w:szCs w:val="20"/>
              </w:rPr>
              <w:t>healthcare</w:t>
            </w:r>
            <w:r w:rsidRPr="00740AE3">
              <w:rPr>
                <w:rFonts w:asciiTheme="majorHAnsi" w:hAnsiTheme="majorHAnsi" w:cstheme="majorHAnsi"/>
                <w:sz w:val="20"/>
                <w:szCs w:val="20"/>
              </w:rPr>
              <w:t xml:space="preserve"> system; measures regarding </w:t>
            </w:r>
            <w:r w:rsidR="00D06EEE" w:rsidRPr="00740AE3">
              <w:rPr>
                <w:rFonts w:asciiTheme="majorHAnsi" w:hAnsiTheme="majorHAnsi" w:cstheme="majorHAnsi"/>
                <w:sz w:val="20"/>
                <w:szCs w:val="20"/>
              </w:rPr>
              <w:t>healthcare</w:t>
            </w:r>
            <w:r w:rsidRPr="00740AE3">
              <w:rPr>
                <w:rFonts w:asciiTheme="majorHAnsi" w:hAnsiTheme="majorHAnsi" w:cstheme="majorHAnsi"/>
                <w:sz w:val="20"/>
                <w:szCs w:val="20"/>
              </w:rPr>
              <w:t xml:space="preserve"> performance; and evaluation strategies regarding effectiveness, efficiency, and equity of the of the </w:t>
            </w:r>
            <w:r w:rsidR="00D06EEE" w:rsidRPr="00740AE3">
              <w:rPr>
                <w:rFonts w:asciiTheme="majorHAnsi" w:hAnsiTheme="majorHAnsi" w:cstheme="majorHAnsi"/>
                <w:sz w:val="20"/>
                <w:szCs w:val="20"/>
              </w:rPr>
              <w:t>healthcare</w:t>
            </w:r>
            <w:r w:rsidRPr="00740AE3">
              <w:rPr>
                <w:rFonts w:asciiTheme="majorHAnsi" w:hAnsiTheme="majorHAnsi" w:cstheme="majorHAnsi"/>
                <w:sz w:val="20"/>
                <w:szCs w:val="20"/>
              </w:rPr>
              <w:t xml:space="preserve"> system, and health policies that affect these performance measures.</w:t>
            </w:r>
          </w:p>
          <w:p w:rsidR="005D24F2" w:rsidRPr="00740AE3" w:rsidRDefault="005D24F2" w:rsidP="00A37ED6">
            <w:pPr>
              <w:rPr>
                <w:rFonts w:asciiTheme="majorHAnsi" w:hAnsiTheme="majorHAnsi" w:cstheme="majorHAnsi"/>
                <w:color w:val="FF0000"/>
                <w:sz w:val="20"/>
                <w:szCs w:val="20"/>
              </w:rPr>
            </w:pPr>
          </w:p>
        </w:tc>
      </w:tr>
      <w:tr w:rsidR="005D24F2" w:rsidRPr="00743A41" w:rsidTr="00DE072A">
        <w:trPr>
          <w:cantSplit/>
          <w:trHeight w:val="315"/>
        </w:trPr>
        <w:tc>
          <w:tcPr>
            <w:tcW w:w="1188" w:type="pct"/>
            <w:shd w:val="clear" w:color="auto" w:fill="auto"/>
            <w:tcMar>
              <w:left w:w="29" w:type="dxa"/>
              <w:right w:w="29" w:type="dxa"/>
            </w:tcMar>
          </w:tcPr>
          <w:p w:rsidR="005D24F2" w:rsidRPr="00743A41" w:rsidRDefault="005D24F2" w:rsidP="00A37ED6">
            <w:pPr>
              <w:rPr>
                <w:rFonts w:asciiTheme="majorHAnsi" w:hAnsiTheme="majorHAnsi" w:cstheme="majorHAnsi"/>
                <w:sz w:val="20"/>
                <w:szCs w:val="20"/>
              </w:rPr>
            </w:pPr>
            <w:r w:rsidRPr="00743A41">
              <w:rPr>
                <w:rFonts w:asciiTheme="majorHAnsi" w:hAnsiTheme="majorHAnsi" w:cstheme="majorHAnsi"/>
                <w:sz w:val="20"/>
                <w:szCs w:val="20"/>
              </w:rPr>
              <w:t>MPH-S3. Prepare a detailed policy analysis plan to assess alternative policies for improving the effectiveness, efficiency and equity of health services.</w:t>
            </w:r>
          </w:p>
        </w:tc>
        <w:tc>
          <w:tcPr>
            <w:tcW w:w="1393" w:type="pct"/>
            <w:shd w:val="clear" w:color="auto" w:fill="auto"/>
            <w:tcMar>
              <w:left w:w="29" w:type="dxa"/>
              <w:right w:w="29" w:type="dxa"/>
            </w:tcMar>
          </w:tcPr>
          <w:p w:rsidR="005D24F2" w:rsidRPr="00740AE3" w:rsidRDefault="000224CC" w:rsidP="00FC4AEF">
            <w:pPr>
              <w:rPr>
                <w:rFonts w:asciiTheme="majorHAnsi" w:hAnsiTheme="majorHAnsi" w:cstheme="majorHAnsi"/>
                <w:sz w:val="20"/>
                <w:szCs w:val="20"/>
              </w:rPr>
            </w:pPr>
            <w:r w:rsidRPr="00740AE3">
              <w:rPr>
                <w:rFonts w:asciiTheme="majorHAnsi" w:hAnsiTheme="majorHAnsi" w:cstheme="majorHAnsi"/>
                <w:b/>
                <w:sz w:val="20"/>
                <w:szCs w:val="20"/>
              </w:rPr>
              <w:t>PH 3920</w:t>
            </w:r>
            <w:r w:rsidRPr="00740AE3">
              <w:rPr>
                <w:rFonts w:asciiTheme="majorHAnsi" w:hAnsiTheme="majorHAnsi" w:cstheme="majorHAnsi"/>
                <w:sz w:val="20"/>
                <w:szCs w:val="20"/>
              </w:rPr>
              <w:t xml:space="preserve"> Health Services Delivery and Performance</w:t>
            </w:r>
          </w:p>
        </w:tc>
        <w:tc>
          <w:tcPr>
            <w:tcW w:w="2419" w:type="pct"/>
            <w:shd w:val="clear" w:color="auto" w:fill="auto"/>
            <w:tcMar>
              <w:left w:w="29" w:type="dxa"/>
              <w:right w:w="29" w:type="dxa"/>
            </w:tcMar>
          </w:tcPr>
          <w:p w:rsidR="005D24F2" w:rsidRPr="00740AE3" w:rsidRDefault="005D24F2" w:rsidP="00A37ED6">
            <w:pPr>
              <w:rPr>
                <w:rFonts w:asciiTheme="majorHAnsi" w:hAnsiTheme="majorHAnsi" w:cstheme="majorHAnsi"/>
                <w:sz w:val="20"/>
                <w:szCs w:val="20"/>
              </w:rPr>
            </w:pPr>
            <w:r w:rsidRPr="00740AE3">
              <w:rPr>
                <w:rFonts w:asciiTheme="majorHAnsi" w:hAnsiTheme="majorHAnsi" w:cstheme="majorHAnsi"/>
                <w:sz w:val="20"/>
                <w:szCs w:val="20"/>
              </w:rPr>
              <w:t xml:space="preserve">Policy Assignment: As a complement to the course’s Effectiveness, Efficiency, Equity, and Policy Group Assignment, each student completes an individual assignment in which they follow the class’s models of policy analysis to assess effectiveness, efficiency, and equity of noted policy choices addressing the </w:t>
            </w:r>
            <w:r w:rsidR="00D06EEE" w:rsidRPr="00740AE3">
              <w:rPr>
                <w:rFonts w:asciiTheme="majorHAnsi" w:hAnsiTheme="majorHAnsi" w:cstheme="majorHAnsi"/>
                <w:sz w:val="20"/>
                <w:szCs w:val="20"/>
              </w:rPr>
              <w:t>healthcare</w:t>
            </w:r>
            <w:r w:rsidRPr="00740AE3">
              <w:rPr>
                <w:rFonts w:asciiTheme="majorHAnsi" w:hAnsiTheme="majorHAnsi" w:cstheme="majorHAnsi"/>
                <w:sz w:val="20"/>
                <w:szCs w:val="20"/>
              </w:rPr>
              <w:t xml:space="preserve"> problem of their group project.</w:t>
            </w:r>
          </w:p>
        </w:tc>
      </w:tr>
      <w:tr w:rsidR="005D24F2" w:rsidRPr="00740AE3" w:rsidTr="00DE072A">
        <w:trPr>
          <w:cantSplit/>
          <w:trHeight w:val="315"/>
        </w:trPr>
        <w:tc>
          <w:tcPr>
            <w:tcW w:w="1188" w:type="pct"/>
            <w:vMerge w:val="restart"/>
            <w:shd w:val="clear" w:color="auto" w:fill="auto"/>
            <w:tcMar>
              <w:left w:w="29" w:type="dxa"/>
              <w:right w:w="29" w:type="dxa"/>
            </w:tcMar>
          </w:tcPr>
          <w:p w:rsidR="005D24F2" w:rsidRPr="00740AE3" w:rsidRDefault="005D24F2" w:rsidP="00A37ED6">
            <w:pPr>
              <w:rPr>
                <w:rFonts w:asciiTheme="majorHAnsi" w:hAnsiTheme="majorHAnsi" w:cstheme="majorHAnsi"/>
                <w:sz w:val="20"/>
                <w:szCs w:val="20"/>
              </w:rPr>
            </w:pPr>
            <w:r w:rsidRPr="00740AE3">
              <w:rPr>
                <w:rFonts w:asciiTheme="majorHAnsi" w:hAnsiTheme="majorHAnsi" w:cstheme="majorHAnsi"/>
                <w:sz w:val="20"/>
                <w:szCs w:val="20"/>
              </w:rPr>
              <w:t>MPH-S4. Describe the internal and external validity strengths and limitations of health policy evaluations and the degree to which results are useful to decision-makers.</w:t>
            </w:r>
          </w:p>
        </w:tc>
        <w:tc>
          <w:tcPr>
            <w:tcW w:w="1393" w:type="pct"/>
            <w:shd w:val="clear" w:color="auto" w:fill="auto"/>
            <w:tcMar>
              <w:left w:w="29" w:type="dxa"/>
              <w:right w:w="29" w:type="dxa"/>
            </w:tcMar>
          </w:tcPr>
          <w:p w:rsidR="005D24F2" w:rsidRPr="00740AE3" w:rsidRDefault="005D24F2" w:rsidP="00A37ED6">
            <w:pPr>
              <w:rPr>
                <w:rFonts w:asciiTheme="majorHAnsi" w:hAnsiTheme="majorHAnsi" w:cstheme="majorHAnsi"/>
                <w:sz w:val="20"/>
                <w:szCs w:val="20"/>
              </w:rPr>
            </w:pPr>
            <w:r w:rsidRPr="00740AE3">
              <w:rPr>
                <w:rFonts w:asciiTheme="majorHAnsi" w:hAnsiTheme="majorHAnsi" w:cstheme="majorHAnsi"/>
                <w:b/>
                <w:sz w:val="20"/>
                <w:szCs w:val="20"/>
              </w:rPr>
              <w:t>PHM 3810</w:t>
            </w:r>
            <w:r w:rsidRPr="00740AE3">
              <w:rPr>
                <w:rFonts w:asciiTheme="majorHAnsi" w:hAnsiTheme="majorHAnsi" w:cstheme="majorHAnsi"/>
                <w:sz w:val="20"/>
                <w:szCs w:val="20"/>
              </w:rPr>
              <w:t xml:space="preserve"> Health Policy in the United States</w:t>
            </w:r>
          </w:p>
          <w:p w:rsidR="005D24F2" w:rsidRPr="00740AE3" w:rsidRDefault="005D24F2" w:rsidP="00A37ED6">
            <w:pPr>
              <w:rPr>
                <w:rFonts w:asciiTheme="majorHAnsi" w:hAnsiTheme="majorHAnsi" w:cstheme="majorHAnsi"/>
                <w:color w:val="FF0000"/>
                <w:sz w:val="20"/>
                <w:szCs w:val="20"/>
              </w:rPr>
            </w:pPr>
          </w:p>
          <w:p w:rsidR="005D24F2" w:rsidRPr="00740AE3" w:rsidRDefault="005D24F2" w:rsidP="00A37ED6">
            <w:pPr>
              <w:rPr>
                <w:rFonts w:asciiTheme="majorHAnsi" w:hAnsiTheme="majorHAnsi" w:cstheme="majorHAnsi"/>
                <w:color w:val="FF0000"/>
                <w:sz w:val="20"/>
                <w:szCs w:val="20"/>
              </w:rPr>
            </w:pPr>
          </w:p>
        </w:tc>
        <w:tc>
          <w:tcPr>
            <w:tcW w:w="2419" w:type="pct"/>
            <w:shd w:val="clear" w:color="auto" w:fill="auto"/>
            <w:tcMar>
              <w:left w:w="29" w:type="dxa"/>
              <w:right w:w="29" w:type="dxa"/>
            </w:tcMar>
          </w:tcPr>
          <w:p w:rsidR="005D24F2" w:rsidRPr="00740AE3" w:rsidRDefault="005D24F2" w:rsidP="00A37ED6">
            <w:pPr>
              <w:rPr>
                <w:rFonts w:asciiTheme="majorHAnsi" w:hAnsiTheme="majorHAnsi" w:cstheme="majorHAnsi"/>
                <w:sz w:val="20"/>
                <w:szCs w:val="20"/>
              </w:rPr>
            </w:pPr>
            <w:r w:rsidRPr="00740AE3">
              <w:rPr>
                <w:rFonts w:asciiTheme="majorHAnsi" w:hAnsiTheme="majorHAnsi" w:cstheme="majorHAnsi"/>
                <w:sz w:val="20"/>
                <w:szCs w:val="20"/>
              </w:rPr>
              <w:t xml:space="preserve">Policy Paper: Students are responsible for writing a final paper for this class on a health policy issue of their choosing. This paper is meant to be a policy memo. Memo should be address to someone you will identify and who can act on the issue. Students need to make their case for pressing on a specific strategy to tackle the issue. With this in mind you will have to evaluate the evidence and information out there on the issue and strategies to address it, what are </w:t>
            </w:r>
            <w:r w:rsidR="00E93248" w:rsidRPr="00740AE3">
              <w:rPr>
                <w:rFonts w:asciiTheme="majorHAnsi" w:hAnsiTheme="majorHAnsi" w:cstheme="majorHAnsi"/>
                <w:sz w:val="20"/>
                <w:szCs w:val="20"/>
              </w:rPr>
              <w:t>its</w:t>
            </w:r>
            <w:r w:rsidRPr="00740AE3">
              <w:rPr>
                <w:rFonts w:asciiTheme="majorHAnsi" w:hAnsiTheme="majorHAnsi" w:cstheme="majorHAnsi"/>
                <w:sz w:val="20"/>
                <w:szCs w:val="20"/>
              </w:rPr>
              <w:t xml:space="preserve"> strengths and limitations, how it can be extrapolated to the actual issue at hand and why should the decision maker take it into consideration. </w:t>
            </w:r>
          </w:p>
          <w:p w:rsidR="005D24F2" w:rsidRPr="00740AE3" w:rsidRDefault="005D24F2" w:rsidP="00A37ED6">
            <w:pPr>
              <w:rPr>
                <w:rFonts w:asciiTheme="majorHAnsi" w:hAnsiTheme="majorHAnsi" w:cstheme="majorHAnsi"/>
                <w:sz w:val="20"/>
                <w:szCs w:val="20"/>
              </w:rPr>
            </w:pPr>
          </w:p>
          <w:p w:rsidR="005D24F2" w:rsidRPr="00740AE3" w:rsidRDefault="005D24F2" w:rsidP="00A37ED6">
            <w:pPr>
              <w:rPr>
                <w:rFonts w:asciiTheme="majorHAnsi" w:hAnsiTheme="majorHAnsi" w:cstheme="majorHAnsi"/>
                <w:color w:val="FF0000"/>
                <w:sz w:val="20"/>
                <w:szCs w:val="20"/>
              </w:rPr>
            </w:pPr>
            <w:r w:rsidRPr="00740AE3">
              <w:rPr>
                <w:rFonts w:asciiTheme="majorHAnsi" w:hAnsiTheme="majorHAnsi" w:cstheme="majorHAnsi"/>
                <w:sz w:val="20"/>
                <w:szCs w:val="20"/>
              </w:rPr>
              <w:t>Advocacy Strategy: Your final presentation will be on the same topic as your policy paper, however, students will submit their advocacy strategy for achieving their policy goals. Students have to design their strategy keeping in mind the policy making process and identify key individuals and/or organizations, entities to which the strategy should be addressed. Likewise, students will need to identify what information is valid, applicable to the issue at hand and more likely to be the best advocacy message.</w:t>
            </w:r>
          </w:p>
        </w:tc>
      </w:tr>
      <w:tr w:rsidR="005D24F2" w:rsidRPr="00740AE3" w:rsidTr="00DE072A">
        <w:trPr>
          <w:cantSplit/>
          <w:trHeight w:val="315"/>
        </w:trPr>
        <w:tc>
          <w:tcPr>
            <w:tcW w:w="1188" w:type="pct"/>
            <w:vMerge/>
            <w:shd w:val="clear" w:color="auto" w:fill="auto"/>
            <w:tcMar>
              <w:left w:w="29" w:type="dxa"/>
              <w:right w:w="29" w:type="dxa"/>
            </w:tcMar>
          </w:tcPr>
          <w:p w:rsidR="005D24F2" w:rsidRPr="00740AE3" w:rsidRDefault="005D24F2" w:rsidP="00A37ED6">
            <w:pPr>
              <w:rPr>
                <w:rFonts w:asciiTheme="majorHAnsi" w:hAnsiTheme="majorHAnsi" w:cstheme="majorHAnsi"/>
                <w:sz w:val="20"/>
                <w:szCs w:val="20"/>
              </w:rPr>
            </w:pPr>
          </w:p>
        </w:tc>
        <w:tc>
          <w:tcPr>
            <w:tcW w:w="1393" w:type="pct"/>
            <w:shd w:val="clear" w:color="auto" w:fill="auto"/>
            <w:tcMar>
              <w:left w:w="29" w:type="dxa"/>
              <w:right w:w="29" w:type="dxa"/>
            </w:tcMar>
          </w:tcPr>
          <w:p w:rsidR="005D24F2" w:rsidRPr="00740AE3" w:rsidRDefault="005D24F2" w:rsidP="00FC4AEF">
            <w:pPr>
              <w:rPr>
                <w:rFonts w:asciiTheme="majorHAnsi" w:hAnsiTheme="majorHAnsi" w:cstheme="majorHAnsi"/>
                <w:color w:val="FF0000"/>
                <w:sz w:val="20"/>
                <w:szCs w:val="20"/>
              </w:rPr>
            </w:pPr>
            <w:r w:rsidRPr="00740AE3">
              <w:rPr>
                <w:rFonts w:asciiTheme="majorHAnsi" w:hAnsiTheme="majorHAnsi" w:cstheme="majorHAnsi"/>
                <w:b/>
                <w:sz w:val="20"/>
                <w:szCs w:val="20"/>
              </w:rPr>
              <w:t>PH 3818</w:t>
            </w:r>
            <w:r w:rsidRPr="00740AE3">
              <w:rPr>
                <w:rFonts w:asciiTheme="majorHAnsi" w:hAnsiTheme="majorHAnsi" w:cstheme="majorHAnsi"/>
                <w:sz w:val="20"/>
                <w:szCs w:val="20"/>
              </w:rPr>
              <w:t xml:space="preserve"> Texas Health Policy: Emerging Issues and New Approaches</w:t>
            </w:r>
            <w:r w:rsidR="00240BAF" w:rsidRPr="00740AE3">
              <w:rPr>
                <w:rFonts w:asciiTheme="majorHAnsi" w:hAnsiTheme="majorHAnsi" w:cstheme="majorHAnsi"/>
                <w:sz w:val="20"/>
                <w:szCs w:val="20"/>
              </w:rPr>
              <w:t xml:space="preserve"> </w:t>
            </w:r>
          </w:p>
        </w:tc>
        <w:tc>
          <w:tcPr>
            <w:tcW w:w="2419" w:type="pct"/>
            <w:shd w:val="clear" w:color="auto" w:fill="auto"/>
            <w:tcMar>
              <w:left w:w="29" w:type="dxa"/>
              <w:right w:w="29" w:type="dxa"/>
            </w:tcMar>
          </w:tcPr>
          <w:p w:rsidR="005D24F2" w:rsidRPr="00740AE3" w:rsidRDefault="00240BAF" w:rsidP="00A37ED6">
            <w:pPr>
              <w:rPr>
                <w:rFonts w:asciiTheme="majorHAnsi" w:hAnsiTheme="majorHAnsi" w:cstheme="majorHAnsi"/>
                <w:color w:val="FF0000"/>
                <w:sz w:val="20"/>
                <w:szCs w:val="20"/>
              </w:rPr>
            </w:pPr>
            <w:r w:rsidRPr="00740AE3">
              <w:rPr>
                <w:rFonts w:asciiTheme="majorHAnsi" w:hAnsiTheme="majorHAnsi" w:cstheme="majorHAnsi"/>
                <w:sz w:val="20"/>
                <w:szCs w:val="20"/>
              </w:rPr>
              <w:t xml:space="preserve">Policy Analysis Paper: </w:t>
            </w:r>
            <w:r w:rsidR="005D24F2" w:rsidRPr="00740AE3">
              <w:rPr>
                <w:rFonts w:asciiTheme="majorHAnsi" w:hAnsiTheme="majorHAnsi" w:cstheme="majorHAnsi"/>
                <w:sz w:val="20"/>
                <w:szCs w:val="20"/>
              </w:rPr>
              <w:t>Students will prepare an 18-20 page policy issue paper evaluating a new state health policy, a policy proposal, or a recent change in existing policy.  This should generally follow the policy analysis model provided in the required Bardach text. The paper should include evidence on the nature and severity of the policy issue or problem, should describe and analyze the pros and cons of alternatives, and make a recommendation based upon this analysis. Per the “Bardach” model of policy analysis, students will describe the internal and external validity strengths and weaknesses of projected outcomes of assessed policies. Students should describe the usefulness of policy analysis results to decision-makers.</w:t>
            </w:r>
          </w:p>
        </w:tc>
      </w:tr>
      <w:tr w:rsidR="005D24F2" w:rsidRPr="00740AE3" w:rsidTr="00DE072A">
        <w:trPr>
          <w:cantSplit/>
          <w:trHeight w:val="315"/>
        </w:trPr>
        <w:tc>
          <w:tcPr>
            <w:tcW w:w="1188" w:type="pct"/>
            <w:shd w:val="clear" w:color="auto" w:fill="auto"/>
            <w:tcMar>
              <w:left w:w="29" w:type="dxa"/>
              <w:right w:w="29" w:type="dxa"/>
            </w:tcMar>
          </w:tcPr>
          <w:p w:rsidR="005D24F2" w:rsidRPr="00740AE3" w:rsidRDefault="005D24F2" w:rsidP="00A37ED6">
            <w:pPr>
              <w:rPr>
                <w:rFonts w:asciiTheme="majorHAnsi" w:hAnsiTheme="majorHAnsi" w:cstheme="majorHAnsi"/>
                <w:sz w:val="20"/>
                <w:szCs w:val="20"/>
              </w:rPr>
            </w:pPr>
            <w:r w:rsidRPr="00740AE3">
              <w:rPr>
                <w:rFonts w:asciiTheme="majorHAnsi" w:hAnsiTheme="majorHAnsi" w:cstheme="majorHAnsi"/>
                <w:sz w:val="20"/>
                <w:szCs w:val="20"/>
              </w:rPr>
              <w:t xml:space="preserve">MPH-S5. Critically evaluate peer-reviewed published manuscripts in the area of health economics or health services research to identify potential study questions.  </w:t>
            </w:r>
          </w:p>
        </w:tc>
        <w:tc>
          <w:tcPr>
            <w:tcW w:w="1393" w:type="pct"/>
            <w:shd w:val="clear" w:color="auto" w:fill="auto"/>
            <w:tcMar>
              <w:left w:w="29" w:type="dxa"/>
              <w:right w:w="29" w:type="dxa"/>
            </w:tcMar>
          </w:tcPr>
          <w:p w:rsidR="005D24F2" w:rsidRPr="00740AE3" w:rsidRDefault="005D24F2" w:rsidP="00FC4AEF">
            <w:pPr>
              <w:rPr>
                <w:rFonts w:asciiTheme="majorHAnsi" w:hAnsiTheme="majorHAnsi" w:cstheme="majorHAnsi"/>
                <w:sz w:val="20"/>
                <w:szCs w:val="20"/>
              </w:rPr>
            </w:pPr>
            <w:r w:rsidRPr="00740AE3">
              <w:rPr>
                <w:rFonts w:asciiTheme="majorHAnsi" w:hAnsiTheme="majorHAnsi" w:cstheme="majorHAnsi"/>
                <w:b/>
                <w:sz w:val="20"/>
                <w:szCs w:val="20"/>
              </w:rPr>
              <w:t>PH 3915</w:t>
            </w:r>
            <w:r w:rsidRPr="00740AE3">
              <w:rPr>
                <w:rFonts w:asciiTheme="majorHAnsi" w:hAnsiTheme="majorHAnsi" w:cstheme="majorHAnsi"/>
                <w:sz w:val="20"/>
                <w:szCs w:val="20"/>
              </w:rPr>
              <w:t xml:space="preserve"> Methods for Economic Evaluation of Health Programs</w:t>
            </w:r>
          </w:p>
        </w:tc>
        <w:tc>
          <w:tcPr>
            <w:tcW w:w="2419" w:type="pct"/>
            <w:tcMar>
              <w:left w:w="29" w:type="dxa"/>
              <w:right w:w="29" w:type="dxa"/>
            </w:tcMar>
          </w:tcPr>
          <w:p w:rsidR="005D24F2" w:rsidRPr="00740AE3" w:rsidRDefault="00D55D24" w:rsidP="00A37ED6">
            <w:pPr>
              <w:rPr>
                <w:rFonts w:asciiTheme="majorHAnsi" w:hAnsiTheme="majorHAnsi" w:cstheme="majorHAnsi"/>
                <w:color w:val="FF0000"/>
                <w:sz w:val="20"/>
                <w:szCs w:val="20"/>
              </w:rPr>
            </w:pPr>
            <w:r w:rsidRPr="00740AE3">
              <w:rPr>
                <w:rFonts w:asciiTheme="majorHAnsi" w:hAnsiTheme="majorHAnsi" w:cstheme="majorHAnsi"/>
                <w:sz w:val="20"/>
                <w:szCs w:val="20"/>
              </w:rPr>
              <w:t>Term Paper</w:t>
            </w:r>
            <w:r w:rsidR="005D24F2" w:rsidRPr="00740AE3">
              <w:rPr>
                <w:rFonts w:asciiTheme="majorHAnsi" w:eastAsia="Times New Roman" w:hAnsiTheme="majorHAnsi" w:cstheme="majorHAnsi"/>
                <w:sz w:val="20"/>
                <w:szCs w:val="20"/>
              </w:rPr>
              <w:t>: Students conduct a literature search and critically evaluate articles to identify gaps in economic evaluation and health/healthcare topics and to provide a rationale for their own health economic evaluation proposal. Students also critically review and present published economic evaluation articles on current healthcare topics.</w:t>
            </w:r>
          </w:p>
        </w:tc>
      </w:tr>
    </w:tbl>
    <w:p w:rsidR="00472B28" w:rsidRPr="00740AE3" w:rsidRDefault="00472B28" w:rsidP="00A37ED6">
      <w:pPr>
        <w:ind w:left="720"/>
        <w:jc w:val="both"/>
        <w:rPr>
          <w:rFonts w:asciiTheme="majorHAnsi" w:hAnsiTheme="majorHAnsi" w:cstheme="majorHAnsi"/>
          <w:sz w:val="20"/>
          <w:szCs w:val="20"/>
        </w:rPr>
      </w:pPr>
    </w:p>
    <w:p w:rsidR="005538C6" w:rsidRPr="00740AE3" w:rsidRDefault="005538C6" w:rsidP="00A37ED6">
      <w:pPr>
        <w:rPr>
          <w:rFonts w:asciiTheme="majorHAnsi" w:hAnsiTheme="majorHAnsi" w:cstheme="majorHAnsi"/>
          <w:sz w:val="20"/>
          <w:szCs w:val="20"/>
        </w:rPr>
      </w:pPr>
    </w:p>
    <w:p w:rsidR="00A3583C" w:rsidRPr="00740AE3" w:rsidRDefault="00E1744F" w:rsidP="002D2089">
      <w:pPr>
        <w:ind w:left="720"/>
        <w:rPr>
          <w:rStyle w:val="Hyperlink"/>
          <w:rFonts w:asciiTheme="majorHAnsi" w:hAnsiTheme="majorHAnsi" w:cstheme="majorHAnsi"/>
          <w:color w:val="auto"/>
          <w:sz w:val="20"/>
          <w:szCs w:val="20"/>
          <w:u w:val="none"/>
        </w:rPr>
      </w:pPr>
      <w:r w:rsidRPr="00740AE3">
        <w:rPr>
          <w:rFonts w:asciiTheme="majorHAnsi" w:hAnsiTheme="majorHAnsi" w:cstheme="majorHAnsi"/>
          <w:sz w:val="20"/>
          <w:szCs w:val="20"/>
        </w:rPr>
        <w:t>Table D</w:t>
      </w:r>
      <w:r w:rsidR="005257F4" w:rsidRPr="00740AE3">
        <w:rPr>
          <w:rFonts w:asciiTheme="majorHAnsi" w:hAnsiTheme="majorHAnsi" w:cstheme="majorHAnsi"/>
          <w:sz w:val="20"/>
          <w:szCs w:val="20"/>
        </w:rPr>
        <w:t>.</w:t>
      </w:r>
      <w:r w:rsidRPr="00740AE3">
        <w:rPr>
          <w:rFonts w:asciiTheme="majorHAnsi" w:hAnsiTheme="majorHAnsi" w:cstheme="majorHAnsi"/>
          <w:sz w:val="20"/>
          <w:szCs w:val="20"/>
        </w:rPr>
        <w:t>4.1</w:t>
      </w:r>
      <w:r w:rsidR="005257F4" w:rsidRPr="00740AE3">
        <w:rPr>
          <w:rFonts w:asciiTheme="majorHAnsi" w:hAnsiTheme="majorHAnsi" w:cstheme="majorHAnsi"/>
          <w:sz w:val="20"/>
          <w:szCs w:val="20"/>
        </w:rPr>
        <w:t>.</w:t>
      </w:r>
      <w:r w:rsidR="00B22AEB" w:rsidRPr="00740AE3">
        <w:rPr>
          <w:rFonts w:asciiTheme="majorHAnsi" w:hAnsiTheme="majorHAnsi" w:cstheme="majorHAnsi"/>
          <w:sz w:val="20"/>
          <w:szCs w:val="20"/>
        </w:rPr>
        <w:t>h</w:t>
      </w:r>
      <w:r w:rsidR="005257F4" w:rsidRPr="00740AE3">
        <w:rPr>
          <w:rFonts w:asciiTheme="majorHAnsi" w:hAnsiTheme="majorHAnsi" w:cstheme="majorHAnsi"/>
          <w:sz w:val="20"/>
          <w:szCs w:val="20"/>
        </w:rPr>
        <w:t>.</w:t>
      </w:r>
      <w:r w:rsidRPr="00740AE3">
        <w:rPr>
          <w:rFonts w:asciiTheme="majorHAnsi" w:hAnsiTheme="majorHAnsi" w:cstheme="majorHAnsi"/>
          <w:sz w:val="20"/>
          <w:szCs w:val="20"/>
        </w:rPr>
        <w:t xml:space="preserve"> – Assessment of Competencies for DrPH in Community Health Practice</w:t>
      </w:r>
      <w:r w:rsidR="002D2089">
        <w:rPr>
          <w:rFonts w:asciiTheme="majorHAnsi" w:hAnsiTheme="majorHAnsi" w:cstheme="majorHAnsi"/>
          <w:sz w:val="20"/>
          <w:szCs w:val="20"/>
        </w:rPr>
        <w:t xml:space="preserve"> (</w:t>
      </w:r>
      <w:r w:rsidR="002D2089" w:rsidRPr="002D2089">
        <w:rPr>
          <w:rFonts w:asciiTheme="majorHAnsi" w:hAnsiTheme="majorHAnsi" w:cstheme="majorHAnsi"/>
          <w:i/>
          <w:sz w:val="20"/>
          <w:szCs w:val="20"/>
        </w:rPr>
        <w:t xml:space="preserve">ERF, D4.3. </w:t>
      </w:r>
      <w:r w:rsidR="00F9646D">
        <w:rPr>
          <w:rFonts w:asciiTheme="majorHAnsi" w:hAnsiTheme="majorHAnsi" w:cstheme="majorHAnsi"/>
          <w:i/>
          <w:sz w:val="20"/>
          <w:szCs w:val="20"/>
        </w:rPr>
        <w:t>DrP</w:t>
      </w:r>
      <w:r w:rsidR="00FC7011">
        <w:rPr>
          <w:rFonts w:asciiTheme="majorHAnsi" w:hAnsiTheme="majorHAnsi" w:cstheme="majorHAnsi"/>
          <w:i/>
          <w:sz w:val="20"/>
          <w:szCs w:val="20"/>
        </w:rPr>
        <w:t>H</w:t>
      </w:r>
      <w:r w:rsidR="002D2089" w:rsidRPr="002D2089">
        <w:rPr>
          <w:rFonts w:asciiTheme="majorHAnsi" w:hAnsiTheme="majorHAnsi" w:cstheme="majorHAnsi"/>
          <w:i/>
          <w:sz w:val="20"/>
          <w:szCs w:val="20"/>
        </w:rPr>
        <w:t xml:space="preserve"> in Community Health Practice</w:t>
      </w:r>
      <w:r w:rsidR="002D2089">
        <w:rPr>
          <w:rFonts w:asciiTheme="majorHAnsi" w:hAnsiTheme="majorHAnsi" w:cstheme="majorHAnsi"/>
          <w:sz w:val="20"/>
          <w:szCs w:val="20"/>
        </w:rPr>
        <w:t>)</w:t>
      </w:r>
    </w:p>
    <w:tbl>
      <w:tblPr>
        <w:tblW w:w="4661"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2428"/>
        <w:gridCol w:w="4217"/>
      </w:tblGrid>
      <w:tr w:rsidR="005D24F2" w:rsidRPr="00740AE3" w:rsidTr="00DE072A">
        <w:trPr>
          <w:cantSplit/>
          <w:trHeight w:val="525"/>
          <w:tblHeader/>
        </w:trPr>
        <w:tc>
          <w:tcPr>
            <w:tcW w:w="1188" w:type="pct"/>
            <w:shd w:val="clear" w:color="000000" w:fill="D9D9D9"/>
            <w:tcMar>
              <w:left w:w="29" w:type="dxa"/>
              <w:right w:w="29" w:type="dxa"/>
            </w:tcMar>
            <w:hideMark/>
          </w:tcPr>
          <w:p w:rsidR="005D24F2" w:rsidRPr="00740AE3" w:rsidRDefault="005D24F2" w:rsidP="00A37ED6">
            <w:pPr>
              <w:jc w:val="center"/>
              <w:rPr>
                <w:rFonts w:asciiTheme="majorHAnsi" w:eastAsia="Times New Roman" w:hAnsiTheme="majorHAnsi" w:cstheme="majorHAnsi"/>
                <w:b/>
                <w:bCs/>
                <w:color w:val="000000"/>
                <w:sz w:val="20"/>
                <w:szCs w:val="20"/>
              </w:rPr>
            </w:pPr>
            <w:r w:rsidRPr="00740AE3">
              <w:rPr>
                <w:rFonts w:asciiTheme="majorHAnsi" w:eastAsia="Times New Roman" w:hAnsiTheme="majorHAnsi" w:cstheme="majorHAnsi"/>
                <w:b/>
                <w:bCs/>
                <w:color w:val="000000"/>
                <w:sz w:val="20"/>
                <w:szCs w:val="20"/>
              </w:rPr>
              <w:t>Competency</w:t>
            </w:r>
          </w:p>
        </w:tc>
        <w:tc>
          <w:tcPr>
            <w:tcW w:w="1393" w:type="pct"/>
            <w:shd w:val="clear" w:color="000000" w:fill="D9D9D9"/>
            <w:tcMar>
              <w:left w:w="29" w:type="dxa"/>
              <w:right w:w="29" w:type="dxa"/>
            </w:tcMar>
            <w:hideMark/>
          </w:tcPr>
          <w:p w:rsidR="005D24F2" w:rsidRPr="00740AE3" w:rsidRDefault="005D24F2" w:rsidP="00A37ED6">
            <w:pPr>
              <w:jc w:val="center"/>
              <w:rPr>
                <w:rFonts w:asciiTheme="majorHAnsi" w:eastAsia="Times New Roman" w:hAnsiTheme="majorHAnsi" w:cstheme="majorHAnsi"/>
                <w:b/>
                <w:bCs/>
                <w:color w:val="000000"/>
                <w:sz w:val="20"/>
                <w:szCs w:val="20"/>
              </w:rPr>
            </w:pPr>
            <w:r w:rsidRPr="00740AE3">
              <w:rPr>
                <w:rFonts w:asciiTheme="majorHAnsi" w:eastAsia="Times New Roman" w:hAnsiTheme="majorHAnsi" w:cstheme="majorHAnsi"/>
                <w:b/>
                <w:bCs/>
                <w:color w:val="000000"/>
                <w:sz w:val="20"/>
                <w:szCs w:val="20"/>
              </w:rPr>
              <w:t>Course number(s) and name(s)</w:t>
            </w:r>
          </w:p>
        </w:tc>
        <w:tc>
          <w:tcPr>
            <w:tcW w:w="2419" w:type="pct"/>
            <w:shd w:val="clear" w:color="000000" w:fill="D9D9D9"/>
            <w:tcMar>
              <w:left w:w="29" w:type="dxa"/>
              <w:right w:w="29" w:type="dxa"/>
            </w:tcMar>
            <w:hideMark/>
          </w:tcPr>
          <w:p w:rsidR="005D24F2" w:rsidRPr="00740AE3" w:rsidRDefault="005D24F2" w:rsidP="00A37ED6">
            <w:pPr>
              <w:jc w:val="center"/>
              <w:rPr>
                <w:rFonts w:asciiTheme="majorHAnsi" w:eastAsia="Times New Roman" w:hAnsiTheme="majorHAnsi" w:cstheme="majorHAnsi"/>
                <w:b/>
                <w:bCs/>
                <w:color w:val="000000"/>
                <w:sz w:val="20"/>
                <w:szCs w:val="20"/>
              </w:rPr>
            </w:pPr>
            <w:r w:rsidRPr="00740AE3">
              <w:rPr>
                <w:rFonts w:asciiTheme="majorHAnsi" w:eastAsia="Times New Roman" w:hAnsiTheme="majorHAnsi" w:cstheme="majorHAnsi"/>
                <w:b/>
                <w:bCs/>
                <w:color w:val="000000"/>
                <w:sz w:val="20"/>
                <w:szCs w:val="20"/>
              </w:rPr>
              <w:t>Specific assignment(s) that allow assessment</w:t>
            </w:r>
          </w:p>
        </w:tc>
      </w:tr>
      <w:tr w:rsidR="005D24F2" w:rsidRPr="00740AE3" w:rsidTr="00DE072A">
        <w:trPr>
          <w:cantSplit/>
          <w:trHeight w:val="315"/>
        </w:trPr>
        <w:tc>
          <w:tcPr>
            <w:tcW w:w="1188" w:type="pct"/>
            <w:shd w:val="clear" w:color="auto" w:fill="auto"/>
            <w:tcMar>
              <w:left w:w="29" w:type="dxa"/>
              <w:right w:w="29" w:type="dxa"/>
            </w:tcMar>
            <w:hideMark/>
          </w:tcPr>
          <w:p w:rsidR="005D24F2" w:rsidRPr="00740AE3" w:rsidRDefault="005D24F2" w:rsidP="00A37ED6">
            <w:pPr>
              <w:rPr>
                <w:rFonts w:asciiTheme="majorHAnsi" w:hAnsiTheme="majorHAnsi" w:cstheme="majorHAnsi"/>
                <w:color w:val="000000"/>
                <w:sz w:val="20"/>
                <w:szCs w:val="20"/>
              </w:rPr>
            </w:pPr>
            <w:r w:rsidRPr="00740AE3">
              <w:rPr>
                <w:rFonts w:asciiTheme="majorHAnsi" w:hAnsiTheme="majorHAnsi" w:cstheme="majorHAnsi"/>
                <w:color w:val="000000"/>
                <w:sz w:val="20"/>
                <w:szCs w:val="20"/>
              </w:rPr>
              <w:t>DrPH-C1. Support and defend, both orally and in writing, a public health policy issue affecting vulnerable communities.</w:t>
            </w:r>
          </w:p>
        </w:tc>
        <w:tc>
          <w:tcPr>
            <w:tcW w:w="1393" w:type="pct"/>
            <w:shd w:val="clear" w:color="auto" w:fill="auto"/>
            <w:tcMar>
              <w:left w:w="29" w:type="dxa"/>
              <w:right w:w="29" w:type="dxa"/>
            </w:tcMar>
            <w:hideMark/>
          </w:tcPr>
          <w:p w:rsidR="005D24F2" w:rsidRPr="00740AE3" w:rsidRDefault="001A7A13" w:rsidP="00FC4AEF">
            <w:pPr>
              <w:rPr>
                <w:rFonts w:asciiTheme="majorHAnsi" w:hAnsiTheme="majorHAnsi" w:cstheme="majorHAnsi"/>
                <w:b/>
                <w:bCs/>
                <w:color w:val="000000"/>
                <w:sz w:val="20"/>
                <w:szCs w:val="20"/>
              </w:rPr>
            </w:pPr>
            <w:r w:rsidRPr="00740AE3">
              <w:rPr>
                <w:rFonts w:asciiTheme="majorHAnsi" w:hAnsiTheme="majorHAnsi" w:cstheme="majorHAnsi"/>
                <w:b/>
                <w:sz w:val="20"/>
                <w:szCs w:val="20"/>
              </w:rPr>
              <w:t xml:space="preserve">PH 3998 </w:t>
            </w:r>
            <w:r w:rsidRPr="00740AE3">
              <w:rPr>
                <w:rFonts w:asciiTheme="majorHAnsi" w:hAnsiTheme="majorHAnsi" w:cstheme="majorHAnsi"/>
                <w:sz w:val="20"/>
                <w:szCs w:val="20"/>
              </w:rPr>
              <w:t>Public Health Advocacy</w:t>
            </w:r>
          </w:p>
        </w:tc>
        <w:tc>
          <w:tcPr>
            <w:tcW w:w="2419" w:type="pct"/>
            <w:shd w:val="clear" w:color="auto" w:fill="auto"/>
            <w:tcMar>
              <w:left w:w="29" w:type="dxa"/>
              <w:right w:w="29" w:type="dxa"/>
            </w:tcMar>
            <w:hideMark/>
          </w:tcPr>
          <w:p w:rsidR="005D24F2" w:rsidRPr="00740AE3" w:rsidRDefault="00E56A39" w:rsidP="00A37ED6">
            <w:pPr>
              <w:rPr>
                <w:rFonts w:asciiTheme="majorHAnsi" w:hAnsiTheme="majorHAnsi" w:cstheme="majorHAnsi"/>
                <w:color w:val="000000"/>
                <w:sz w:val="20"/>
                <w:szCs w:val="20"/>
              </w:rPr>
            </w:pPr>
            <w:r w:rsidRPr="00740AE3">
              <w:rPr>
                <w:rFonts w:asciiTheme="majorHAnsi" w:hAnsiTheme="majorHAnsi" w:cstheme="majorHAnsi"/>
                <w:sz w:val="20"/>
                <w:szCs w:val="20"/>
              </w:rPr>
              <w:t>Op-Ed</w:t>
            </w:r>
            <w:r w:rsidRPr="00740AE3">
              <w:rPr>
                <w:rFonts w:asciiTheme="majorHAnsi" w:hAnsiTheme="majorHAnsi" w:cstheme="majorHAnsi"/>
                <w:color w:val="000000"/>
                <w:sz w:val="20"/>
                <w:szCs w:val="20"/>
              </w:rPr>
              <w:t xml:space="preserve">: </w:t>
            </w:r>
            <w:r w:rsidR="005D24F2" w:rsidRPr="00740AE3">
              <w:rPr>
                <w:rFonts w:asciiTheme="majorHAnsi" w:hAnsiTheme="majorHAnsi" w:cstheme="majorHAnsi"/>
                <w:color w:val="000000"/>
                <w:sz w:val="20"/>
                <w:szCs w:val="20"/>
              </w:rPr>
              <w:t>Writ</w:t>
            </w:r>
            <w:r w:rsidR="00E87F1E" w:rsidRPr="00740AE3">
              <w:rPr>
                <w:rFonts w:asciiTheme="majorHAnsi" w:hAnsiTheme="majorHAnsi" w:cstheme="majorHAnsi"/>
                <w:color w:val="000000"/>
                <w:sz w:val="20"/>
                <w:szCs w:val="20"/>
              </w:rPr>
              <w:t>t</w:t>
            </w:r>
            <w:r w:rsidRPr="00740AE3">
              <w:rPr>
                <w:rFonts w:asciiTheme="majorHAnsi" w:hAnsiTheme="majorHAnsi" w:cstheme="majorHAnsi"/>
                <w:color w:val="000000"/>
                <w:sz w:val="20"/>
                <w:szCs w:val="20"/>
              </w:rPr>
              <w:t xml:space="preserve">en </w:t>
            </w:r>
            <w:r w:rsidR="005D24F2" w:rsidRPr="00740AE3">
              <w:rPr>
                <w:rFonts w:asciiTheme="majorHAnsi" w:hAnsiTheme="majorHAnsi" w:cstheme="majorHAnsi"/>
                <w:color w:val="000000"/>
                <w:sz w:val="20"/>
                <w:szCs w:val="20"/>
              </w:rPr>
              <w:t>op</w:t>
            </w:r>
            <w:r w:rsidRPr="00740AE3">
              <w:rPr>
                <w:rFonts w:asciiTheme="majorHAnsi" w:hAnsiTheme="majorHAnsi" w:cstheme="majorHAnsi"/>
                <w:color w:val="000000"/>
                <w:sz w:val="20"/>
                <w:szCs w:val="20"/>
              </w:rPr>
              <w:t>-</w:t>
            </w:r>
            <w:r w:rsidR="005D24F2" w:rsidRPr="00740AE3">
              <w:rPr>
                <w:rFonts w:asciiTheme="majorHAnsi" w:hAnsiTheme="majorHAnsi" w:cstheme="majorHAnsi"/>
                <w:color w:val="000000"/>
                <w:sz w:val="20"/>
                <w:szCs w:val="20"/>
              </w:rPr>
              <w:t xml:space="preserve">ed on public health issue; prepare both oral and written testimony on this issue to present to legislative committee; meet with legislator and/or staffer to present information about the chosen issue.  </w:t>
            </w:r>
          </w:p>
        </w:tc>
      </w:tr>
      <w:tr w:rsidR="005D24F2" w:rsidRPr="00740AE3" w:rsidTr="00DE072A">
        <w:trPr>
          <w:cantSplit/>
          <w:trHeight w:val="300"/>
        </w:trPr>
        <w:tc>
          <w:tcPr>
            <w:tcW w:w="1188" w:type="pct"/>
            <w:shd w:val="clear" w:color="auto" w:fill="auto"/>
            <w:tcMar>
              <w:left w:w="29" w:type="dxa"/>
              <w:right w:w="29" w:type="dxa"/>
            </w:tcMar>
            <w:hideMark/>
          </w:tcPr>
          <w:p w:rsidR="005D24F2" w:rsidRPr="00740AE3" w:rsidRDefault="005D24F2" w:rsidP="00A37ED6">
            <w:pPr>
              <w:rPr>
                <w:rFonts w:asciiTheme="majorHAnsi" w:hAnsiTheme="majorHAnsi" w:cstheme="majorHAnsi"/>
                <w:color w:val="000000"/>
                <w:sz w:val="20"/>
                <w:szCs w:val="20"/>
              </w:rPr>
            </w:pPr>
            <w:r w:rsidRPr="00740AE3">
              <w:rPr>
                <w:rFonts w:asciiTheme="majorHAnsi" w:hAnsiTheme="majorHAnsi" w:cstheme="majorHAnsi"/>
                <w:color w:val="000000"/>
                <w:sz w:val="20"/>
                <w:szCs w:val="20"/>
              </w:rPr>
              <w:t>DrPH-C2. Develop a grant or fellowship proposal with a community partner to support a community-based social justice initiative.</w:t>
            </w:r>
          </w:p>
        </w:tc>
        <w:tc>
          <w:tcPr>
            <w:tcW w:w="1393" w:type="pct"/>
            <w:shd w:val="clear" w:color="auto" w:fill="auto"/>
            <w:tcMar>
              <w:left w:w="29" w:type="dxa"/>
              <w:right w:w="29" w:type="dxa"/>
            </w:tcMar>
            <w:hideMark/>
          </w:tcPr>
          <w:p w:rsidR="005D24F2" w:rsidRPr="00740AE3" w:rsidRDefault="005D24F2" w:rsidP="00FC4AEF">
            <w:pPr>
              <w:rPr>
                <w:rFonts w:asciiTheme="majorHAnsi" w:hAnsiTheme="majorHAnsi" w:cstheme="majorHAnsi"/>
                <w:b/>
                <w:bCs/>
                <w:color w:val="000000"/>
                <w:sz w:val="20"/>
                <w:szCs w:val="20"/>
              </w:rPr>
            </w:pPr>
            <w:r w:rsidRPr="00740AE3">
              <w:rPr>
                <w:rFonts w:asciiTheme="majorHAnsi" w:hAnsiTheme="majorHAnsi" w:cstheme="majorHAnsi"/>
                <w:b/>
                <w:sz w:val="20"/>
                <w:szCs w:val="20"/>
              </w:rPr>
              <w:t>PHD 3998</w:t>
            </w:r>
            <w:r w:rsidRPr="00740AE3">
              <w:rPr>
                <w:rFonts w:asciiTheme="majorHAnsi" w:hAnsiTheme="majorHAnsi" w:cstheme="majorHAnsi"/>
                <w:sz w:val="20"/>
                <w:szCs w:val="20"/>
              </w:rPr>
              <w:t xml:space="preserve"> Working with Diverse Communities</w:t>
            </w:r>
          </w:p>
        </w:tc>
        <w:tc>
          <w:tcPr>
            <w:tcW w:w="2419" w:type="pct"/>
            <w:shd w:val="clear" w:color="auto" w:fill="auto"/>
            <w:tcMar>
              <w:left w:w="29" w:type="dxa"/>
              <w:right w:w="29" w:type="dxa"/>
            </w:tcMar>
            <w:hideMark/>
          </w:tcPr>
          <w:p w:rsidR="005D24F2" w:rsidRPr="00740AE3" w:rsidRDefault="000E66F8" w:rsidP="00A37ED6">
            <w:pPr>
              <w:rPr>
                <w:rFonts w:asciiTheme="majorHAnsi" w:hAnsiTheme="majorHAnsi" w:cstheme="majorHAnsi"/>
                <w:color w:val="FF0000"/>
                <w:sz w:val="20"/>
                <w:szCs w:val="20"/>
              </w:rPr>
            </w:pPr>
            <w:r w:rsidRPr="00740AE3">
              <w:rPr>
                <w:rFonts w:asciiTheme="majorHAnsi" w:hAnsiTheme="majorHAnsi" w:cstheme="majorHAnsi"/>
                <w:sz w:val="20"/>
                <w:szCs w:val="20"/>
              </w:rPr>
              <w:t xml:space="preserve">Grant/Fellowship </w:t>
            </w:r>
            <w:r w:rsidRPr="00AF5600">
              <w:rPr>
                <w:rFonts w:asciiTheme="majorHAnsi" w:hAnsiTheme="majorHAnsi" w:cstheme="majorHAnsi"/>
                <w:sz w:val="20"/>
                <w:szCs w:val="20"/>
              </w:rPr>
              <w:t>Proposal and Application</w:t>
            </w:r>
            <w:r w:rsidRPr="00740AE3">
              <w:rPr>
                <w:rFonts w:asciiTheme="majorHAnsi" w:hAnsiTheme="majorHAnsi" w:cstheme="majorHAnsi"/>
                <w:sz w:val="20"/>
                <w:szCs w:val="20"/>
              </w:rPr>
              <w:t xml:space="preserve">: </w:t>
            </w:r>
            <w:r w:rsidR="005D24F2" w:rsidRPr="00740AE3">
              <w:rPr>
                <w:rFonts w:asciiTheme="majorHAnsi" w:hAnsiTheme="majorHAnsi" w:cstheme="majorHAnsi"/>
                <w:sz w:val="20"/>
                <w:szCs w:val="20"/>
              </w:rPr>
              <w:t xml:space="preserve">Grant or fellowship </w:t>
            </w:r>
            <w:r w:rsidRPr="00740AE3">
              <w:rPr>
                <w:rFonts w:asciiTheme="majorHAnsi" w:hAnsiTheme="majorHAnsi" w:cstheme="majorHAnsi"/>
                <w:sz w:val="20"/>
                <w:szCs w:val="20"/>
              </w:rPr>
              <w:t xml:space="preserve">proposal and </w:t>
            </w:r>
            <w:r w:rsidR="005D24F2" w:rsidRPr="00740AE3">
              <w:rPr>
                <w:rFonts w:asciiTheme="majorHAnsi" w:hAnsiTheme="majorHAnsi" w:cstheme="majorHAnsi"/>
                <w:sz w:val="20"/>
                <w:szCs w:val="20"/>
              </w:rPr>
              <w:t>application developed in consultation with a community partner or community needs to address a social justice concern.</w:t>
            </w:r>
          </w:p>
        </w:tc>
      </w:tr>
      <w:tr w:rsidR="005D24F2" w:rsidRPr="00740AE3" w:rsidTr="00DE072A">
        <w:trPr>
          <w:cantSplit/>
          <w:trHeight w:val="300"/>
        </w:trPr>
        <w:tc>
          <w:tcPr>
            <w:tcW w:w="1188" w:type="pct"/>
            <w:shd w:val="clear" w:color="auto" w:fill="auto"/>
            <w:tcMar>
              <w:left w:w="29" w:type="dxa"/>
              <w:right w:w="29" w:type="dxa"/>
            </w:tcMar>
            <w:hideMark/>
          </w:tcPr>
          <w:p w:rsidR="005D24F2" w:rsidRPr="00740AE3" w:rsidRDefault="005D24F2" w:rsidP="00A37ED6">
            <w:pPr>
              <w:rPr>
                <w:rFonts w:asciiTheme="majorHAnsi" w:hAnsiTheme="majorHAnsi" w:cstheme="majorHAnsi"/>
                <w:color w:val="000000"/>
                <w:sz w:val="20"/>
                <w:szCs w:val="20"/>
              </w:rPr>
            </w:pPr>
            <w:r w:rsidRPr="00740AE3">
              <w:rPr>
                <w:rFonts w:asciiTheme="majorHAnsi" w:hAnsiTheme="majorHAnsi" w:cstheme="majorHAnsi"/>
                <w:color w:val="000000"/>
                <w:sz w:val="20"/>
                <w:szCs w:val="20"/>
              </w:rPr>
              <w:t>DrPH-C3. Investigate the role of justice and moral reasoning in the development and critique of health law and policy.</w:t>
            </w:r>
          </w:p>
        </w:tc>
        <w:tc>
          <w:tcPr>
            <w:tcW w:w="1393" w:type="pct"/>
            <w:shd w:val="clear" w:color="auto" w:fill="auto"/>
            <w:tcMar>
              <w:left w:w="29" w:type="dxa"/>
              <w:right w:w="29" w:type="dxa"/>
            </w:tcMar>
            <w:hideMark/>
          </w:tcPr>
          <w:p w:rsidR="005D24F2" w:rsidRPr="00740AE3" w:rsidRDefault="005D24F2" w:rsidP="00FC4AEF">
            <w:pPr>
              <w:rPr>
                <w:rFonts w:asciiTheme="majorHAnsi" w:hAnsiTheme="majorHAnsi" w:cstheme="majorHAnsi"/>
                <w:b/>
                <w:bCs/>
                <w:color w:val="000000"/>
                <w:sz w:val="20"/>
                <w:szCs w:val="20"/>
              </w:rPr>
            </w:pPr>
            <w:r w:rsidRPr="00740AE3">
              <w:rPr>
                <w:rFonts w:asciiTheme="majorHAnsi" w:hAnsiTheme="majorHAnsi" w:cstheme="majorHAnsi"/>
                <w:b/>
                <w:sz w:val="20"/>
                <w:szCs w:val="20"/>
              </w:rPr>
              <w:t>PHD 3830</w:t>
            </w:r>
            <w:r w:rsidRPr="00740AE3">
              <w:rPr>
                <w:rFonts w:asciiTheme="majorHAnsi" w:hAnsiTheme="majorHAnsi" w:cstheme="majorHAnsi"/>
                <w:sz w:val="20"/>
                <w:szCs w:val="20"/>
              </w:rPr>
              <w:t xml:space="preserve"> Ethics and Policy</w:t>
            </w:r>
            <w:r w:rsidR="002174DB" w:rsidRPr="00740AE3">
              <w:rPr>
                <w:rFonts w:asciiTheme="majorHAnsi" w:hAnsiTheme="majorHAnsi" w:cstheme="majorHAnsi"/>
                <w:sz w:val="20"/>
                <w:szCs w:val="20"/>
              </w:rPr>
              <w:t xml:space="preserve"> </w:t>
            </w:r>
          </w:p>
        </w:tc>
        <w:tc>
          <w:tcPr>
            <w:tcW w:w="2419" w:type="pct"/>
            <w:shd w:val="clear" w:color="auto" w:fill="auto"/>
            <w:tcMar>
              <w:left w:w="29" w:type="dxa"/>
              <w:right w:w="29" w:type="dxa"/>
            </w:tcMar>
            <w:hideMark/>
          </w:tcPr>
          <w:p w:rsidR="005D24F2" w:rsidRPr="00740AE3" w:rsidRDefault="002174DB" w:rsidP="00A37ED6">
            <w:pPr>
              <w:rPr>
                <w:rFonts w:asciiTheme="majorHAnsi" w:hAnsiTheme="majorHAnsi" w:cstheme="majorHAnsi"/>
                <w:color w:val="000000"/>
                <w:sz w:val="20"/>
                <w:szCs w:val="20"/>
              </w:rPr>
            </w:pPr>
            <w:r w:rsidRPr="00740AE3">
              <w:rPr>
                <w:rFonts w:asciiTheme="majorHAnsi" w:hAnsiTheme="majorHAnsi" w:cstheme="majorHAnsi"/>
                <w:sz w:val="20"/>
                <w:szCs w:val="20"/>
              </w:rPr>
              <w:t xml:space="preserve">Midterm </w:t>
            </w:r>
            <w:r w:rsidRPr="00450A9C">
              <w:rPr>
                <w:rFonts w:asciiTheme="majorHAnsi" w:hAnsiTheme="majorHAnsi" w:cstheme="majorHAnsi"/>
                <w:sz w:val="20"/>
                <w:szCs w:val="20"/>
              </w:rPr>
              <w:t xml:space="preserve">Exam </w:t>
            </w:r>
            <w:r w:rsidRPr="00AF5600">
              <w:rPr>
                <w:rFonts w:asciiTheme="majorHAnsi" w:hAnsiTheme="majorHAnsi" w:cstheme="majorHAnsi"/>
                <w:sz w:val="20"/>
                <w:szCs w:val="20"/>
              </w:rPr>
              <w:t>and Final</w:t>
            </w:r>
            <w:r w:rsidRPr="00740AE3">
              <w:rPr>
                <w:rFonts w:asciiTheme="majorHAnsi" w:hAnsiTheme="majorHAnsi" w:cstheme="majorHAnsi"/>
                <w:sz w:val="20"/>
                <w:szCs w:val="20"/>
              </w:rPr>
              <w:t xml:space="preserve"> Exam: </w:t>
            </w:r>
            <w:r w:rsidR="005D24F2" w:rsidRPr="00740AE3">
              <w:rPr>
                <w:rFonts w:asciiTheme="majorHAnsi" w:hAnsiTheme="majorHAnsi" w:cstheme="majorHAnsi"/>
                <w:sz w:val="20"/>
                <w:szCs w:val="20"/>
              </w:rPr>
              <w:t>Closed-book, in-class essay examinations test mastery of justice as a concept and practical norm, the moral reasoning process, including how justification is formed and what constitutes a compelling moral argument, the critical assessment of the justness of institutions and policies and how rights are normatively grounded. Exams each year are written based on progress in class and are intended to build on discussions that take place in this seminar format.</w:t>
            </w:r>
          </w:p>
        </w:tc>
      </w:tr>
      <w:tr w:rsidR="005D24F2" w:rsidRPr="00740AE3" w:rsidTr="00DE072A">
        <w:trPr>
          <w:cantSplit/>
          <w:trHeight w:val="300"/>
        </w:trPr>
        <w:tc>
          <w:tcPr>
            <w:tcW w:w="1188" w:type="pct"/>
            <w:shd w:val="clear" w:color="auto" w:fill="auto"/>
            <w:tcMar>
              <w:left w:w="29" w:type="dxa"/>
              <w:right w:w="29" w:type="dxa"/>
            </w:tcMar>
            <w:hideMark/>
          </w:tcPr>
          <w:p w:rsidR="005D24F2" w:rsidRPr="00740AE3" w:rsidRDefault="005D24F2" w:rsidP="00A37ED6">
            <w:pPr>
              <w:rPr>
                <w:rFonts w:asciiTheme="majorHAnsi" w:hAnsiTheme="majorHAnsi" w:cstheme="majorHAnsi"/>
                <w:color w:val="000000"/>
                <w:sz w:val="20"/>
                <w:szCs w:val="20"/>
              </w:rPr>
            </w:pPr>
            <w:r w:rsidRPr="00740AE3">
              <w:rPr>
                <w:rFonts w:asciiTheme="majorHAnsi" w:hAnsiTheme="majorHAnsi" w:cstheme="majorHAnsi"/>
                <w:color w:val="000000"/>
                <w:sz w:val="20"/>
                <w:szCs w:val="20"/>
              </w:rPr>
              <w:t>DrPH-C4.  Synthesize the concepts of the public health “system”, evaluate its components and analyze the interactions among the components as they relate to health of vulnerable populations.</w:t>
            </w:r>
          </w:p>
        </w:tc>
        <w:tc>
          <w:tcPr>
            <w:tcW w:w="1393" w:type="pct"/>
            <w:shd w:val="clear" w:color="auto" w:fill="auto"/>
            <w:tcMar>
              <w:left w:w="29" w:type="dxa"/>
              <w:right w:w="29" w:type="dxa"/>
            </w:tcMar>
            <w:hideMark/>
          </w:tcPr>
          <w:p w:rsidR="005D24F2" w:rsidRPr="00740AE3" w:rsidRDefault="005D24F2" w:rsidP="00FC4AEF">
            <w:pPr>
              <w:rPr>
                <w:rFonts w:asciiTheme="majorHAnsi" w:hAnsiTheme="majorHAnsi" w:cstheme="majorHAnsi"/>
                <w:b/>
                <w:bCs/>
                <w:color w:val="000000"/>
                <w:sz w:val="20"/>
                <w:szCs w:val="20"/>
              </w:rPr>
            </w:pPr>
            <w:r w:rsidRPr="00740AE3">
              <w:rPr>
                <w:rFonts w:asciiTheme="majorHAnsi" w:hAnsiTheme="majorHAnsi" w:cstheme="majorHAnsi"/>
                <w:b/>
                <w:sz w:val="20"/>
                <w:szCs w:val="20"/>
              </w:rPr>
              <w:t>PHD 3620</w:t>
            </w:r>
            <w:r w:rsidRPr="00740AE3">
              <w:rPr>
                <w:rFonts w:asciiTheme="majorHAnsi" w:hAnsiTheme="majorHAnsi" w:cstheme="majorHAnsi"/>
                <w:sz w:val="20"/>
                <w:szCs w:val="20"/>
              </w:rPr>
              <w:t xml:space="preserve"> Principles and Practice of Public Health</w:t>
            </w:r>
          </w:p>
        </w:tc>
        <w:tc>
          <w:tcPr>
            <w:tcW w:w="2419" w:type="pct"/>
            <w:shd w:val="clear" w:color="auto" w:fill="auto"/>
            <w:tcMar>
              <w:left w:w="29" w:type="dxa"/>
              <w:right w:w="29" w:type="dxa"/>
            </w:tcMar>
            <w:hideMark/>
          </w:tcPr>
          <w:p w:rsidR="005D24F2" w:rsidRPr="00740AE3" w:rsidRDefault="002174DB" w:rsidP="00A37ED6">
            <w:pPr>
              <w:rPr>
                <w:rFonts w:asciiTheme="majorHAnsi" w:hAnsiTheme="majorHAnsi" w:cstheme="majorHAnsi"/>
                <w:color w:val="000000"/>
                <w:sz w:val="20"/>
                <w:szCs w:val="20"/>
              </w:rPr>
            </w:pPr>
            <w:r w:rsidRPr="00740AE3">
              <w:rPr>
                <w:rFonts w:asciiTheme="majorHAnsi" w:hAnsiTheme="majorHAnsi" w:cstheme="majorHAnsi"/>
                <w:sz w:val="20"/>
                <w:szCs w:val="20"/>
              </w:rPr>
              <w:t>Final Project</w:t>
            </w:r>
            <w:r w:rsidRPr="00740AE3">
              <w:rPr>
                <w:rFonts w:asciiTheme="majorHAnsi" w:hAnsiTheme="majorHAnsi" w:cstheme="majorHAnsi"/>
                <w:color w:val="000000"/>
                <w:sz w:val="20"/>
                <w:szCs w:val="20"/>
              </w:rPr>
              <w:t xml:space="preserve">: </w:t>
            </w:r>
            <w:r w:rsidR="00507303" w:rsidRPr="00740AE3">
              <w:rPr>
                <w:rFonts w:asciiTheme="majorHAnsi" w:hAnsiTheme="majorHAnsi" w:cstheme="majorHAnsi"/>
                <w:color w:val="000000"/>
                <w:sz w:val="20"/>
                <w:szCs w:val="20"/>
              </w:rPr>
              <w:t xml:space="preserve">The final project for doctoral students involves investigating and comparing and contrasting components of the public health systems which are involved in a specific public health issue relating to vulnerable populations.  The report will include analysis of interactions among these agencies.    </w:t>
            </w:r>
          </w:p>
        </w:tc>
      </w:tr>
      <w:tr w:rsidR="005D24F2" w:rsidRPr="00740AE3" w:rsidTr="00DE072A">
        <w:trPr>
          <w:cantSplit/>
          <w:trHeight w:val="315"/>
        </w:trPr>
        <w:tc>
          <w:tcPr>
            <w:tcW w:w="1188" w:type="pct"/>
            <w:shd w:val="clear" w:color="auto" w:fill="auto"/>
            <w:tcMar>
              <w:left w:w="29" w:type="dxa"/>
              <w:right w:w="29" w:type="dxa"/>
            </w:tcMar>
            <w:hideMark/>
          </w:tcPr>
          <w:p w:rsidR="005D24F2" w:rsidRPr="00740AE3" w:rsidRDefault="005D24F2" w:rsidP="00A37ED6">
            <w:pPr>
              <w:rPr>
                <w:rFonts w:asciiTheme="majorHAnsi" w:hAnsiTheme="majorHAnsi" w:cstheme="majorHAnsi"/>
                <w:color w:val="000000"/>
                <w:sz w:val="20"/>
                <w:szCs w:val="20"/>
              </w:rPr>
            </w:pPr>
            <w:r w:rsidRPr="00740AE3">
              <w:rPr>
                <w:rFonts w:asciiTheme="majorHAnsi" w:hAnsiTheme="majorHAnsi" w:cstheme="majorHAnsi"/>
                <w:color w:val="000000"/>
                <w:sz w:val="20"/>
                <w:szCs w:val="20"/>
              </w:rPr>
              <w:t xml:space="preserve">DrPH-C5. </w:t>
            </w:r>
            <w:r w:rsidRPr="00740AE3">
              <w:rPr>
                <w:rFonts w:asciiTheme="majorHAnsi" w:hAnsiTheme="majorHAnsi" w:cstheme="majorHAnsi"/>
                <w:sz w:val="20"/>
                <w:szCs w:val="20"/>
              </w:rPr>
              <w:t>Utilize evidence-based decision tools and pragmatic strategies to develop a health improvement plan in collaboration with a community partner.</w:t>
            </w:r>
          </w:p>
        </w:tc>
        <w:tc>
          <w:tcPr>
            <w:tcW w:w="1393" w:type="pct"/>
            <w:shd w:val="clear" w:color="auto" w:fill="auto"/>
            <w:tcMar>
              <w:left w:w="29" w:type="dxa"/>
              <w:right w:w="29" w:type="dxa"/>
            </w:tcMar>
            <w:hideMark/>
          </w:tcPr>
          <w:p w:rsidR="005D24F2" w:rsidRPr="00740AE3" w:rsidRDefault="005D24F2" w:rsidP="00FC4AEF">
            <w:pPr>
              <w:rPr>
                <w:rFonts w:asciiTheme="majorHAnsi" w:hAnsiTheme="majorHAnsi" w:cstheme="majorHAnsi"/>
                <w:b/>
                <w:bCs/>
                <w:color w:val="000000"/>
                <w:sz w:val="20"/>
                <w:szCs w:val="20"/>
              </w:rPr>
            </w:pPr>
            <w:r w:rsidRPr="00450A9C">
              <w:rPr>
                <w:rFonts w:asciiTheme="majorHAnsi" w:hAnsiTheme="majorHAnsi" w:cstheme="majorHAnsi"/>
                <w:b/>
                <w:sz w:val="20"/>
                <w:szCs w:val="20"/>
              </w:rPr>
              <w:t>PH 3998</w:t>
            </w:r>
            <w:r w:rsidRPr="00740AE3">
              <w:rPr>
                <w:rFonts w:asciiTheme="majorHAnsi" w:hAnsiTheme="majorHAnsi" w:cstheme="majorHAnsi"/>
                <w:sz w:val="20"/>
                <w:szCs w:val="20"/>
              </w:rPr>
              <w:t xml:space="preserve"> Practice-Based Methods and Design</w:t>
            </w:r>
          </w:p>
        </w:tc>
        <w:tc>
          <w:tcPr>
            <w:tcW w:w="2419" w:type="pct"/>
            <w:shd w:val="clear" w:color="auto" w:fill="auto"/>
            <w:tcMar>
              <w:left w:w="29" w:type="dxa"/>
              <w:right w:w="29" w:type="dxa"/>
            </w:tcMar>
            <w:hideMark/>
          </w:tcPr>
          <w:p w:rsidR="005D24F2" w:rsidRPr="00740AE3" w:rsidRDefault="005D24F2" w:rsidP="00A37ED6">
            <w:pPr>
              <w:rPr>
                <w:rFonts w:asciiTheme="majorHAnsi" w:hAnsiTheme="majorHAnsi" w:cstheme="majorHAnsi"/>
                <w:sz w:val="20"/>
                <w:szCs w:val="20"/>
              </w:rPr>
            </w:pPr>
            <w:r w:rsidRPr="00740AE3">
              <w:rPr>
                <w:rFonts w:asciiTheme="majorHAnsi" w:hAnsiTheme="majorHAnsi" w:cstheme="majorHAnsi"/>
                <w:sz w:val="20"/>
                <w:szCs w:val="20"/>
              </w:rPr>
              <w:t>Decision Tree Homework Assignment</w:t>
            </w:r>
            <w:r w:rsidR="00CD2A25" w:rsidRPr="00740AE3">
              <w:rPr>
                <w:rFonts w:asciiTheme="majorHAnsi" w:hAnsiTheme="majorHAnsi" w:cstheme="majorHAnsi"/>
                <w:sz w:val="20"/>
                <w:szCs w:val="20"/>
                <w:u w:val="single"/>
              </w:rPr>
              <w:t xml:space="preserve"> (</w:t>
            </w:r>
            <w:r w:rsidR="00CD2A25" w:rsidRPr="00740AE3">
              <w:rPr>
                <w:rFonts w:asciiTheme="majorHAnsi" w:hAnsiTheme="majorHAnsi" w:cstheme="majorHAnsi"/>
                <w:sz w:val="20"/>
                <w:szCs w:val="20"/>
              </w:rPr>
              <w:t>Knowledge to Action Handout</w:t>
            </w:r>
            <w:r w:rsidR="00CD2A25" w:rsidRPr="00740AE3">
              <w:rPr>
                <w:rFonts w:asciiTheme="majorHAnsi" w:hAnsiTheme="majorHAnsi" w:cstheme="majorHAnsi"/>
                <w:sz w:val="20"/>
                <w:szCs w:val="20"/>
                <w:u w:val="single"/>
              </w:rPr>
              <w:t>)</w:t>
            </w:r>
            <w:r w:rsidRPr="00740AE3">
              <w:rPr>
                <w:rFonts w:asciiTheme="majorHAnsi" w:hAnsiTheme="majorHAnsi" w:cstheme="majorHAnsi"/>
                <w:sz w:val="20"/>
                <w:szCs w:val="20"/>
              </w:rPr>
              <w:t xml:space="preserve">: Review the complete community’s website and assigned community for the semester. Use the knowledge to action framework and decision tree handout to complete the assignment. </w:t>
            </w:r>
          </w:p>
          <w:p w:rsidR="005D24F2" w:rsidRPr="00740AE3" w:rsidRDefault="005D24F2" w:rsidP="00A37ED6">
            <w:pPr>
              <w:rPr>
                <w:rFonts w:asciiTheme="majorHAnsi" w:hAnsiTheme="majorHAnsi" w:cstheme="majorHAnsi"/>
                <w:sz w:val="20"/>
                <w:szCs w:val="20"/>
              </w:rPr>
            </w:pPr>
          </w:p>
          <w:p w:rsidR="005D24F2" w:rsidRPr="00740AE3" w:rsidRDefault="005D24F2" w:rsidP="00A37ED6">
            <w:pPr>
              <w:rPr>
                <w:rFonts w:asciiTheme="majorHAnsi" w:hAnsiTheme="majorHAnsi" w:cstheme="majorHAnsi"/>
                <w:sz w:val="20"/>
                <w:szCs w:val="20"/>
              </w:rPr>
            </w:pPr>
            <w:r w:rsidRPr="00740AE3">
              <w:rPr>
                <w:rFonts w:asciiTheme="majorHAnsi" w:hAnsiTheme="majorHAnsi" w:cstheme="majorHAnsi"/>
                <w:sz w:val="20"/>
                <w:szCs w:val="20"/>
              </w:rPr>
              <w:t>Final Paper</w:t>
            </w:r>
            <w:r w:rsidR="00165BD3" w:rsidRPr="00740AE3">
              <w:rPr>
                <w:rFonts w:asciiTheme="majorHAnsi" w:hAnsiTheme="majorHAnsi" w:cstheme="majorHAnsi"/>
                <w:sz w:val="20"/>
                <w:szCs w:val="20"/>
              </w:rPr>
              <w:t xml:space="preserve"> </w:t>
            </w:r>
            <w:r w:rsidR="00686383" w:rsidRPr="00740AE3">
              <w:rPr>
                <w:rFonts w:asciiTheme="majorHAnsi" w:hAnsiTheme="majorHAnsi" w:cstheme="majorHAnsi"/>
                <w:sz w:val="20"/>
                <w:szCs w:val="20"/>
              </w:rPr>
              <w:t>and Rubric</w:t>
            </w:r>
            <w:r w:rsidRPr="00740AE3">
              <w:rPr>
                <w:rFonts w:asciiTheme="majorHAnsi" w:hAnsiTheme="majorHAnsi" w:cstheme="majorHAnsi"/>
                <w:sz w:val="20"/>
                <w:szCs w:val="20"/>
              </w:rPr>
              <w:t>: Final study protocol developed using the knowledge to action framework and decision tree. Graded using rubric referencing the framework and decision tree.</w:t>
            </w:r>
          </w:p>
        </w:tc>
      </w:tr>
    </w:tbl>
    <w:p w:rsidR="005D24F2" w:rsidRPr="00740AE3" w:rsidRDefault="005D24F2" w:rsidP="00A37ED6">
      <w:pPr>
        <w:ind w:left="720"/>
        <w:jc w:val="both"/>
        <w:rPr>
          <w:rStyle w:val="Hyperlink"/>
          <w:rFonts w:asciiTheme="majorHAnsi" w:hAnsiTheme="majorHAnsi" w:cstheme="majorHAnsi"/>
          <w:sz w:val="20"/>
          <w:szCs w:val="20"/>
        </w:rPr>
      </w:pPr>
    </w:p>
    <w:p w:rsidR="00B928FE" w:rsidRPr="00740AE3" w:rsidRDefault="00B928FE" w:rsidP="00A37ED6">
      <w:pPr>
        <w:ind w:left="720"/>
        <w:jc w:val="both"/>
        <w:rPr>
          <w:rStyle w:val="Hyperlink"/>
          <w:rFonts w:asciiTheme="majorHAnsi" w:hAnsiTheme="majorHAnsi" w:cstheme="majorHAnsi"/>
          <w:sz w:val="20"/>
          <w:szCs w:val="20"/>
        </w:rPr>
      </w:pPr>
    </w:p>
    <w:p w:rsidR="00B928FE" w:rsidRPr="00740AE3" w:rsidRDefault="00B928FE" w:rsidP="00A37ED6">
      <w:pPr>
        <w:ind w:left="720"/>
        <w:jc w:val="both"/>
        <w:rPr>
          <w:rStyle w:val="Hyperlink"/>
          <w:rFonts w:asciiTheme="majorHAnsi" w:hAnsiTheme="majorHAnsi" w:cstheme="majorHAnsi"/>
          <w:sz w:val="20"/>
          <w:szCs w:val="20"/>
        </w:rPr>
      </w:pPr>
    </w:p>
    <w:p w:rsidR="00B928FE" w:rsidRPr="00740AE3" w:rsidRDefault="00B928FE" w:rsidP="00A37ED6">
      <w:pPr>
        <w:ind w:left="720"/>
        <w:jc w:val="both"/>
        <w:rPr>
          <w:rStyle w:val="Hyperlink"/>
          <w:rFonts w:asciiTheme="majorHAnsi" w:hAnsiTheme="majorHAnsi" w:cstheme="majorHAnsi"/>
          <w:sz w:val="20"/>
          <w:szCs w:val="20"/>
        </w:rPr>
      </w:pPr>
    </w:p>
    <w:p w:rsidR="00B928FE" w:rsidRPr="00740AE3" w:rsidRDefault="00B928FE" w:rsidP="00A37ED6">
      <w:pPr>
        <w:ind w:left="720"/>
        <w:jc w:val="both"/>
        <w:rPr>
          <w:rStyle w:val="Hyperlink"/>
          <w:rFonts w:asciiTheme="majorHAnsi" w:hAnsiTheme="majorHAnsi" w:cstheme="majorHAnsi"/>
          <w:sz w:val="20"/>
          <w:szCs w:val="20"/>
        </w:rPr>
      </w:pPr>
    </w:p>
    <w:p w:rsidR="00967796" w:rsidRPr="00740AE3" w:rsidRDefault="00967796" w:rsidP="00967796">
      <w:pPr>
        <w:ind w:left="720"/>
        <w:rPr>
          <w:rStyle w:val="Hyperlink"/>
          <w:rFonts w:asciiTheme="majorHAnsi" w:hAnsiTheme="majorHAnsi" w:cstheme="majorHAnsi"/>
          <w:color w:val="auto"/>
          <w:sz w:val="20"/>
          <w:szCs w:val="20"/>
        </w:rPr>
      </w:pPr>
      <w:r w:rsidRPr="00740AE3">
        <w:rPr>
          <w:rFonts w:asciiTheme="majorHAnsi" w:hAnsiTheme="majorHAnsi" w:cstheme="majorHAnsi"/>
          <w:sz w:val="20"/>
          <w:szCs w:val="20"/>
        </w:rPr>
        <w:t>Table D.4.1.</w:t>
      </w:r>
      <w:r w:rsidR="00B22AEB" w:rsidRPr="00740AE3">
        <w:rPr>
          <w:rFonts w:asciiTheme="majorHAnsi" w:hAnsiTheme="majorHAnsi" w:cstheme="majorHAnsi"/>
          <w:sz w:val="20"/>
          <w:szCs w:val="20"/>
        </w:rPr>
        <w:t>i</w:t>
      </w:r>
      <w:r w:rsidRPr="00740AE3">
        <w:rPr>
          <w:rFonts w:asciiTheme="majorHAnsi" w:hAnsiTheme="majorHAnsi" w:cstheme="majorHAnsi"/>
          <w:sz w:val="20"/>
          <w:szCs w:val="20"/>
        </w:rPr>
        <w:t>. Assessment of Competencies for DrPH in Health Promotion/Health Education (</w:t>
      </w:r>
      <w:r w:rsidRPr="00740AE3">
        <w:rPr>
          <w:rFonts w:asciiTheme="majorHAnsi" w:hAnsiTheme="majorHAnsi" w:cstheme="majorHAnsi"/>
          <w:i/>
          <w:sz w:val="20"/>
          <w:szCs w:val="20"/>
        </w:rPr>
        <w:t>ERF, D4.3. DrPH in Health Promotion and Health Education</w:t>
      </w:r>
      <w:r w:rsidRPr="00740AE3">
        <w:rPr>
          <w:rFonts w:asciiTheme="majorHAnsi" w:hAnsiTheme="majorHAnsi" w:cstheme="majorHAnsi"/>
          <w:sz w:val="20"/>
          <w:szCs w:val="20"/>
        </w:rPr>
        <w:t>)</w:t>
      </w:r>
    </w:p>
    <w:tbl>
      <w:tblPr>
        <w:tblW w:w="4652"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251"/>
        <w:gridCol w:w="3928"/>
      </w:tblGrid>
      <w:tr w:rsidR="00967796" w:rsidRPr="00740AE3" w:rsidTr="00B861A8">
        <w:trPr>
          <w:cantSplit/>
          <w:trHeight w:val="525"/>
          <w:tblHeader/>
        </w:trPr>
        <w:tc>
          <w:tcPr>
            <w:tcW w:w="1448" w:type="pct"/>
            <w:shd w:val="clear" w:color="000000" w:fill="D9D9D9"/>
            <w:tcMar>
              <w:left w:w="29" w:type="dxa"/>
              <w:right w:w="29" w:type="dxa"/>
            </w:tcMar>
            <w:hideMark/>
          </w:tcPr>
          <w:p w:rsidR="00967796" w:rsidRPr="00261A5A" w:rsidRDefault="00967796" w:rsidP="00B861A8">
            <w:pPr>
              <w:jc w:val="center"/>
              <w:rPr>
                <w:rFonts w:asciiTheme="majorHAnsi" w:eastAsia="Times New Roman" w:hAnsiTheme="majorHAnsi" w:cstheme="majorHAnsi"/>
                <w:b/>
                <w:bCs/>
                <w:color w:val="000000"/>
                <w:sz w:val="20"/>
                <w:szCs w:val="20"/>
              </w:rPr>
            </w:pPr>
            <w:r w:rsidRPr="00261A5A">
              <w:rPr>
                <w:rFonts w:asciiTheme="majorHAnsi" w:eastAsia="Times New Roman" w:hAnsiTheme="majorHAnsi" w:cstheme="majorHAnsi"/>
                <w:b/>
                <w:bCs/>
                <w:color w:val="000000"/>
                <w:sz w:val="20"/>
                <w:szCs w:val="20"/>
              </w:rPr>
              <w:t>Competency</w:t>
            </w:r>
          </w:p>
        </w:tc>
        <w:tc>
          <w:tcPr>
            <w:tcW w:w="1294" w:type="pct"/>
            <w:shd w:val="clear" w:color="000000" w:fill="D9D9D9"/>
            <w:tcMar>
              <w:left w:w="29" w:type="dxa"/>
              <w:right w:w="29" w:type="dxa"/>
            </w:tcMar>
            <w:hideMark/>
          </w:tcPr>
          <w:p w:rsidR="00967796" w:rsidRPr="00261A5A" w:rsidRDefault="00967796" w:rsidP="00B861A8">
            <w:pPr>
              <w:jc w:val="center"/>
              <w:rPr>
                <w:rFonts w:asciiTheme="majorHAnsi" w:eastAsia="Times New Roman" w:hAnsiTheme="majorHAnsi" w:cstheme="majorHAnsi"/>
                <w:b/>
                <w:bCs/>
                <w:color w:val="000000"/>
                <w:sz w:val="20"/>
                <w:szCs w:val="20"/>
              </w:rPr>
            </w:pPr>
            <w:r w:rsidRPr="00261A5A">
              <w:rPr>
                <w:rFonts w:asciiTheme="majorHAnsi" w:eastAsia="Times New Roman" w:hAnsiTheme="majorHAnsi" w:cstheme="majorHAnsi"/>
                <w:b/>
                <w:bCs/>
                <w:color w:val="000000"/>
                <w:sz w:val="20"/>
                <w:szCs w:val="20"/>
              </w:rPr>
              <w:t>Course number(s) and name(s)</w:t>
            </w:r>
          </w:p>
        </w:tc>
        <w:tc>
          <w:tcPr>
            <w:tcW w:w="2258" w:type="pct"/>
            <w:shd w:val="clear" w:color="000000" w:fill="D9D9D9"/>
            <w:tcMar>
              <w:left w:w="29" w:type="dxa"/>
              <w:right w:w="29" w:type="dxa"/>
            </w:tcMar>
            <w:hideMark/>
          </w:tcPr>
          <w:p w:rsidR="00967796" w:rsidRPr="00261A5A" w:rsidRDefault="00967796" w:rsidP="00B861A8">
            <w:pPr>
              <w:jc w:val="center"/>
              <w:rPr>
                <w:rFonts w:asciiTheme="majorHAnsi" w:eastAsia="Times New Roman" w:hAnsiTheme="majorHAnsi" w:cstheme="majorHAnsi"/>
                <w:b/>
                <w:bCs/>
                <w:color w:val="000000"/>
                <w:sz w:val="20"/>
                <w:szCs w:val="20"/>
              </w:rPr>
            </w:pPr>
            <w:r w:rsidRPr="00261A5A">
              <w:rPr>
                <w:rFonts w:asciiTheme="majorHAnsi" w:eastAsia="Times New Roman" w:hAnsiTheme="majorHAnsi" w:cstheme="majorHAnsi"/>
                <w:b/>
                <w:bCs/>
                <w:color w:val="000000"/>
                <w:sz w:val="20"/>
                <w:szCs w:val="20"/>
              </w:rPr>
              <w:t>Specific assignment(s) that allow assessment</w:t>
            </w:r>
          </w:p>
        </w:tc>
      </w:tr>
      <w:tr w:rsidR="00967796" w:rsidRPr="00740AE3" w:rsidTr="00B861A8">
        <w:trPr>
          <w:cantSplit/>
          <w:trHeight w:val="77"/>
        </w:trPr>
        <w:tc>
          <w:tcPr>
            <w:tcW w:w="1448" w:type="pct"/>
            <w:shd w:val="clear" w:color="auto" w:fill="auto"/>
            <w:tcMar>
              <w:left w:w="29" w:type="dxa"/>
              <w:right w:w="29" w:type="dxa"/>
            </w:tcMar>
            <w:hideMark/>
          </w:tcPr>
          <w:p w:rsidR="00967796" w:rsidRPr="00261A5A" w:rsidRDefault="00967796" w:rsidP="00B861A8">
            <w:pPr>
              <w:ind w:left="-30" w:firstLine="30"/>
              <w:rPr>
                <w:rFonts w:asciiTheme="majorHAnsi" w:hAnsiTheme="majorHAnsi" w:cstheme="majorHAnsi"/>
                <w:color w:val="000000"/>
                <w:sz w:val="20"/>
                <w:szCs w:val="20"/>
              </w:rPr>
            </w:pPr>
            <w:r w:rsidRPr="00261A5A">
              <w:rPr>
                <w:rFonts w:asciiTheme="majorHAnsi" w:hAnsiTheme="majorHAnsi" w:cstheme="majorHAnsi"/>
                <w:color w:val="000000"/>
                <w:sz w:val="20"/>
                <w:szCs w:val="20"/>
              </w:rPr>
              <w:t>DrPH-H1. Evaluate the appropriate use of social or behavioral sciences theory in developing and evaluating community-based interventions.</w:t>
            </w:r>
          </w:p>
        </w:tc>
        <w:tc>
          <w:tcPr>
            <w:tcW w:w="1294" w:type="pct"/>
            <w:shd w:val="clear" w:color="auto" w:fill="auto"/>
            <w:tcMar>
              <w:left w:w="29" w:type="dxa"/>
              <w:right w:w="29" w:type="dxa"/>
            </w:tcMar>
            <w:hideMark/>
          </w:tcPr>
          <w:p w:rsidR="00967796" w:rsidRPr="00261A5A" w:rsidRDefault="00967796" w:rsidP="00B861A8">
            <w:pPr>
              <w:rPr>
                <w:rFonts w:asciiTheme="majorHAnsi" w:hAnsiTheme="majorHAnsi" w:cstheme="majorHAnsi"/>
                <w:color w:val="000000"/>
                <w:sz w:val="20"/>
                <w:szCs w:val="20"/>
              </w:rPr>
            </w:pPr>
            <w:r w:rsidRPr="00261A5A">
              <w:rPr>
                <w:rFonts w:asciiTheme="majorHAnsi" w:hAnsiTheme="majorHAnsi" w:cstheme="majorHAnsi"/>
                <w:b/>
                <w:bCs/>
                <w:sz w:val="20"/>
                <w:szCs w:val="20"/>
              </w:rPr>
              <w:t>PHD 1122</w:t>
            </w:r>
            <w:r w:rsidRPr="00261A5A">
              <w:rPr>
                <w:rFonts w:asciiTheme="majorHAnsi" w:hAnsiTheme="majorHAnsi" w:cstheme="majorHAnsi"/>
                <w:sz w:val="20"/>
                <w:szCs w:val="20"/>
              </w:rPr>
              <w:t xml:space="preserve"> Health Promotion Theories for Individuals and Groups: Part I</w:t>
            </w:r>
          </w:p>
          <w:p w:rsidR="00967796" w:rsidRPr="00261A5A" w:rsidRDefault="00967796" w:rsidP="00B861A8">
            <w:pPr>
              <w:rPr>
                <w:rFonts w:asciiTheme="majorHAnsi" w:hAnsiTheme="majorHAnsi" w:cstheme="majorHAnsi"/>
                <w:color w:val="000000"/>
                <w:sz w:val="20"/>
                <w:szCs w:val="20"/>
              </w:rPr>
            </w:pPr>
            <w:r w:rsidRPr="00261A5A">
              <w:rPr>
                <w:rFonts w:asciiTheme="majorHAnsi" w:hAnsiTheme="majorHAnsi" w:cstheme="majorHAnsi"/>
                <w:color w:val="000000"/>
                <w:sz w:val="20"/>
                <w:szCs w:val="20"/>
              </w:rPr>
              <w:br/>
            </w:r>
          </w:p>
        </w:tc>
        <w:tc>
          <w:tcPr>
            <w:tcW w:w="2258" w:type="pct"/>
            <w:shd w:val="clear" w:color="auto" w:fill="auto"/>
            <w:tcMar>
              <w:left w:w="29" w:type="dxa"/>
              <w:right w:w="29" w:type="dxa"/>
            </w:tcMar>
            <w:hideMark/>
          </w:tcPr>
          <w:p w:rsidR="00967796" w:rsidRPr="00261A5A" w:rsidRDefault="00967796" w:rsidP="00B861A8">
            <w:pPr>
              <w:rPr>
                <w:rFonts w:asciiTheme="majorHAnsi" w:hAnsiTheme="majorHAnsi" w:cstheme="majorHAnsi"/>
                <w:sz w:val="20"/>
                <w:szCs w:val="20"/>
              </w:rPr>
            </w:pPr>
            <w:r w:rsidRPr="00261A5A">
              <w:rPr>
                <w:rFonts w:asciiTheme="majorHAnsi" w:hAnsiTheme="majorHAnsi" w:cstheme="majorHAnsi"/>
                <w:bCs/>
                <w:sz w:val="20"/>
                <w:szCs w:val="20"/>
              </w:rPr>
              <w:t>Theory Papers:</w:t>
            </w:r>
            <w:r w:rsidRPr="00261A5A">
              <w:rPr>
                <w:rFonts w:asciiTheme="majorHAnsi" w:hAnsiTheme="majorHAnsi" w:cstheme="majorHAnsi"/>
                <w:sz w:val="20"/>
                <w:szCs w:val="20"/>
              </w:rPr>
              <w:t xml:space="preserve"> To demonstrate their ability to select a population or health topic and evaluate the appropriate use of a social or behavioral sciences theory for research or the development, implementation, and evaluation of community-based interventions, students will write two theory papers. For an assigned theory, students select a health topic of importance to a public health or community partner with whom they might collaborate, use topic to explain theoretical constructs, identify survey items to measure each construct for the topic, and provide a rationale for which constructs might be most salient for the selected topic. </w:t>
            </w:r>
          </w:p>
          <w:p w:rsidR="00967796" w:rsidRPr="00261A5A" w:rsidRDefault="00967796" w:rsidP="00B861A8">
            <w:pPr>
              <w:rPr>
                <w:rFonts w:asciiTheme="majorHAnsi" w:hAnsiTheme="majorHAnsi" w:cstheme="majorHAnsi"/>
                <w:sz w:val="20"/>
                <w:szCs w:val="20"/>
              </w:rPr>
            </w:pPr>
          </w:p>
          <w:p w:rsidR="00967796" w:rsidRPr="00261A5A" w:rsidRDefault="00967796" w:rsidP="00B861A8">
            <w:pPr>
              <w:rPr>
                <w:rFonts w:asciiTheme="majorHAnsi" w:hAnsiTheme="majorHAnsi" w:cstheme="majorHAnsi"/>
                <w:color w:val="000000"/>
                <w:sz w:val="20"/>
                <w:szCs w:val="20"/>
              </w:rPr>
            </w:pPr>
            <w:r w:rsidRPr="00261A5A">
              <w:rPr>
                <w:rFonts w:asciiTheme="majorHAnsi" w:hAnsiTheme="majorHAnsi" w:cstheme="majorHAnsi"/>
                <w:bCs/>
                <w:sz w:val="20"/>
                <w:szCs w:val="20"/>
              </w:rPr>
              <w:t>Virtual Poster Presentation:</w:t>
            </w:r>
            <w:r w:rsidRPr="00261A5A">
              <w:rPr>
                <w:rFonts w:asciiTheme="majorHAnsi" w:hAnsiTheme="majorHAnsi" w:cstheme="majorHAnsi"/>
                <w:b/>
                <w:bCs/>
                <w:sz w:val="20"/>
                <w:szCs w:val="20"/>
              </w:rPr>
              <w:t xml:space="preserve"> </w:t>
            </w:r>
            <w:r w:rsidRPr="00261A5A">
              <w:rPr>
                <w:rFonts w:asciiTheme="majorHAnsi" w:hAnsiTheme="majorHAnsi" w:cstheme="majorHAnsi"/>
                <w:sz w:val="20"/>
                <w:szCs w:val="20"/>
              </w:rPr>
              <w:t xml:space="preserve">To demonstrate their knowledge </w:t>
            </w:r>
            <w:r w:rsidRPr="00261A5A">
              <w:rPr>
                <w:rFonts w:asciiTheme="majorHAnsi" w:hAnsiTheme="majorHAnsi" w:cstheme="majorHAnsi"/>
                <w:color w:val="000000"/>
                <w:sz w:val="20"/>
                <w:szCs w:val="20"/>
              </w:rPr>
              <w:t xml:space="preserve">of models, theories, and interventions used for behavior change in your priority population, and to evaluate the appropriate use of a social or behavioral sciences theory for research or the development, implementation, and evaluation of community-based interventions, students will create a poster and participate in a virtual poster session by creating a video that summarizes their poster and discusses implications for their future learning and practice. The poster must identify what models or theories are most used by governmental and non-governmental organizations for intervention planning, implementation, and evaluation; an assessment of how well these organizations are able to implement evidence-based interventions given policy and funding limitations; and an identification of unexplored questions about the use of models and theories by governmental and non-governmental organizations. </w:t>
            </w:r>
          </w:p>
        </w:tc>
      </w:tr>
      <w:tr w:rsidR="00967796" w:rsidRPr="00740AE3" w:rsidTr="00B861A8">
        <w:trPr>
          <w:cantSplit/>
          <w:trHeight w:val="1340"/>
        </w:trPr>
        <w:tc>
          <w:tcPr>
            <w:tcW w:w="1448" w:type="pct"/>
            <w:shd w:val="clear" w:color="auto" w:fill="auto"/>
            <w:tcMar>
              <w:left w:w="29" w:type="dxa"/>
              <w:right w:w="29" w:type="dxa"/>
            </w:tcMar>
            <w:hideMark/>
          </w:tcPr>
          <w:p w:rsidR="00967796" w:rsidRPr="00740AE3" w:rsidRDefault="00967796" w:rsidP="00B861A8">
            <w:pPr>
              <w:rPr>
                <w:rFonts w:asciiTheme="majorHAnsi" w:hAnsiTheme="majorHAnsi" w:cstheme="majorHAnsi"/>
                <w:color w:val="000000"/>
                <w:sz w:val="20"/>
                <w:szCs w:val="20"/>
              </w:rPr>
            </w:pPr>
            <w:r w:rsidRPr="00740AE3">
              <w:rPr>
                <w:rFonts w:asciiTheme="majorHAnsi" w:hAnsiTheme="majorHAnsi" w:cstheme="majorHAnsi"/>
                <w:color w:val="000000"/>
                <w:sz w:val="20"/>
                <w:szCs w:val="20"/>
              </w:rPr>
              <w:t xml:space="preserve">DrPH-H2. </w:t>
            </w:r>
            <w:r w:rsidRPr="00740AE3">
              <w:rPr>
                <w:rFonts w:asciiTheme="majorHAnsi" w:hAnsiTheme="majorHAnsi" w:cstheme="majorHAnsi"/>
                <w:sz w:val="20"/>
                <w:szCs w:val="20"/>
              </w:rPr>
              <w:t xml:space="preserve">Select and apply relevant theoretical change methods (e.g., coalition building; technical assistance) and community health practice-based processes (e.g., gallery walk; community-facilitated logic models) aimed at creating environmental level changes for community health promotion. </w:t>
            </w:r>
          </w:p>
        </w:tc>
        <w:tc>
          <w:tcPr>
            <w:tcW w:w="1294" w:type="pct"/>
            <w:shd w:val="clear" w:color="auto" w:fill="auto"/>
            <w:tcMar>
              <w:left w:w="29" w:type="dxa"/>
              <w:right w:w="29" w:type="dxa"/>
            </w:tcMar>
          </w:tcPr>
          <w:p w:rsidR="00967796" w:rsidRPr="00740AE3" w:rsidRDefault="00967796" w:rsidP="00B861A8">
            <w:pPr>
              <w:rPr>
                <w:rFonts w:asciiTheme="majorHAnsi" w:hAnsiTheme="majorHAnsi" w:cstheme="majorHAnsi"/>
                <w:color w:val="000000"/>
                <w:sz w:val="20"/>
                <w:szCs w:val="20"/>
              </w:rPr>
            </w:pPr>
            <w:r w:rsidRPr="00740AE3">
              <w:rPr>
                <w:rFonts w:asciiTheme="majorHAnsi" w:hAnsiTheme="majorHAnsi" w:cstheme="majorHAnsi"/>
                <w:b/>
                <w:bCs/>
                <w:sz w:val="20"/>
                <w:szCs w:val="20"/>
              </w:rPr>
              <w:t>PHD 1123</w:t>
            </w:r>
            <w:r w:rsidRPr="00740AE3">
              <w:rPr>
                <w:rFonts w:asciiTheme="majorHAnsi" w:hAnsiTheme="majorHAnsi" w:cstheme="majorHAnsi"/>
                <w:sz w:val="20"/>
                <w:szCs w:val="20"/>
              </w:rPr>
              <w:t xml:space="preserve"> Community Health Promotion Theory and Practice</w:t>
            </w:r>
          </w:p>
        </w:tc>
        <w:tc>
          <w:tcPr>
            <w:tcW w:w="2258" w:type="pct"/>
            <w:shd w:val="clear" w:color="auto" w:fill="auto"/>
            <w:tcMar>
              <w:left w:w="29" w:type="dxa"/>
              <w:right w:w="29" w:type="dxa"/>
            </w:tcMar>
          </w:tcPr>
          <w:p w:rsidR="00967796" w:rsidRPr="00740AE3" w:rsidRDefault="00967796" w:rsidP="00B861A8">
            <w:pPr>
              <w:rPr>
                <w:rFonts w:asciiTheme="majorHAnsi" w:hAnsiTheme="majorHAnsi" w:cstheme="majorHAnsi"/>
                <w:sz w:val="20"/>
                <w:szCs w:val="20"/>
              </w:rPr>
            </w:pPr>
            <w:r w:rsidRPr="00450A9C">
              <w:rPr>
                <w:rFonts w:asciiTheme="majorHAnsi" w:hAnsiTheme="majorHAnsi" w:cstheme="majorHAnsi"/>
                <w:sz w:val="20"/>
                <w:szCs w:val="20"/>
              </w:rPr>
              <w:t>Critical Reflection #2:</w:t>
            </w:r>
            <w:r w:rsidRPr="00740AE3">
              <w:rPr>
                <w:rFonts w:asciiTheme="majorHAnsi" w:hAnsiTheme="majorHAnsi" w:cstheme="majorHAnsi"/>
                <w:sz w:val="20"/>
                <w:szCs w:val="20"/>
              </w:rPr>
              <w:t xml:space="preserve"> Community health promotion theory-based change method and practice-based planning model, process or tool.  Students will build their knowledge and skills in selecting, applying and critiquing theory-based change methods and practice-based planning models, processes, and/or tools via the development of two critical written reflections.  </w:t>
            </w:r>
          </w:p>
        </w:tc>
      </w:tr>
      <w:tr w:rsidR="00967796" w:rsidRPr="00740AE3" w:rsidTr="00B861A8">
        <w:trPr>
          <w:cantSplit/>
          <w:trHeight w:val="1340"/>
        </w:trPr>
        <w:tc>
          <w:tcPr>
            <w:tcW w:w="1448" w:type="pct"/>
            <w:shd w:val="clear" w:color="auto" w:fill="auto"/>
            <w:tcMar>
              <w:left w:w="29" w:type="dxa"/>
              <w:right w:w="29" w:type="dxa"/>
            </w:tcMar>
            <w:hideMark/>
          </w:tcPr>
          <w:p w:rsidR="00967796" w:rsidRPr="00740AE3" w:rsidRDefault="00967796" w:rsidP="00B861A8">
            <w:pPr>
              <w:rPr>
                <w:rFonts w:asciiTheme="majorHAnsi" w:hAnsiTheme="majorHAnsi" w:cstheme="majorHAnsi"/>
                <w:sz w:val="20"/>
                <w:szCs w:val="20"/>
              </w:rPr>
            </w:pPr>
            <w:r w:rsidRPr="00740AE3">
              <w:rPr>
                <w:rFonts w:asciiTheme="majorHAnsi" w:hAnsiTheme="majorHAnsi" w:cstheme="majorHAnsi"/>
                <w:color w:val="000000"/>
                <w:sz w:val="20"/>
                <w:szCs w:val="20"/>
              </w:rPr>
              <w:t>DrPH-H</w:t>
            </w:r>
            <w:r w:rsidRPr="00740AE3">
              <w:rPr>
                <w:rFonts w:asciiTheme="majorHAnsi" w:hAnsiTheme="majorHAnsi" w:cstheme="majorHAnsi"/>
                <w:sz w:val="20"/>
                <w:szCs w:val="20"/>
              </w:rPr>
              <w:t>3. Develop a theory-guided research proposal for conducting a stakeholder-led community health improvement.</w:t>
            </w:r>
          </w:p>
        </w:tc>
        <w:tc>
          <w:tcPr>
            <w:tcW w:w="1294" w:type="pct"/>
            <w:shd w:val="clear" w:color="auto" w:fill="auto"/>
            <w:tcMar>
              <w:left w:w="29" w:type="dxa"/>
              <w:right w:w="29" w:type="dxa"/>
            </w:tcMar>
            <w:hideMark/>
          </w:tcPr>
          <w:p w:rsidR="00967796" w:rsidRPr="00740AE3" w:rsidRDefault="00967796" w:rsidP="00B861A8">
            <w:pPr>
              <w:rPr>
                <w:rFonts w:asciiTheme="majorHAnsi" w:hAnsiTheme="majorHAnsi" w:cstheme="majorHAnsi"/>
                <w:color w:val="000000"/>
                <w:sz w:val="20"/>
                <w:szCs w:val="20"/>
              </w:rPr>
            </w:pPr>
            <w:r w:rsidRPr="00740AE3">
              <w:rPr>
                <w:rFonts w:asciiTheme="majorHAnsi" w:hAnsiTheme="majorHAnsi" w:cstheme="majorHAnsi"/>
                <w:b/>
                <w:bCs/>
                <w:sz w:val="20"/>
                <w:szCs w:val="20"/>
              </w:rPr>
              <w:t>PHD 1123</w:t>
            </w:r>
            <w:r w:rsidRPr="00740AE3">
              <w:rPr>
                <w:rFonts w:asciiTheme="majorHAnsi" w:hAnsiTheme="majorHAnsi" w:cstheme="majorHAnsi"/>
                <w:sz w:val="20"/>
                <w:szCs w:val="20"/>
              </w:rPr>
              <w:t xml:space="preserve"> Community Health Promotion Theory and Practice</w:t>
            </w:r>
          </w:p>
        </w:tc>
        <w:tc>
          <w:tcPr>
            <w:tcW w:w="2258" w:type="pct"/>
            <w:shd w:val="clear" w:color="auto" w:fill="auto"/>
            <w:tcMar>
              <w:left w:w="29" w:type="dxa"/>
              <w:right w:w="29" w:type="dxa"/>
            </w:tcMar>
            <w:hideMark/>
          </w:tcPr>
          <w:p w:rsidR="00967796" w:rsidRPr="00740AE3" w:rsidRDefault="00967796" w:rsidP="00B861A8">
            <w:pPr>
              <w:rPr>
                <w:rFonts w:asciiTheme="majorHAnsi" w:hAnsiTheme="majorHAnsi" w:cstheme="majorHAnsi"/>
                <w:color w:val="000000"/>
                <w:sz w:val="20"/>
                <w:szCs w:val="20"/>
              </w:rPr>
            </w:pPr>
            <w:r w:rsidRPr="00450A9C">
              <w:rPr>
                <w:rFonts w:asciiTheme="majorHAnsi" w:hAnsiTheme="majorHAnsi" w:cstheme="majorHAnsi"/>
                <w:bCs/>
                <w:sz w:val="20"/>
                <w:szCs w:val="20"/>
              </w:rPr>
              <w:t>Community Health Promotion Research Proposal:</w:t>
            </w:r>
            <w:r w:rsidRPr="00450A9C">
              <w:rPr>
                <w:rFonts w:asciiTheme="majorHAnsi" w:hAnsiTheme="majorHAnsi" w:cstheme="majorHAnsi"/>
                <w:bCs/>
                <w:color w:val="000000"/>
                <w:sz w:val="20"/>
                <w:szCs w:val="20"/>
              </w:rPr>
              <w:t xml:space="preserve"> Students will gain experience developing</w:t>
            </w:r>
            <w:r w:rsidRPr="00740AE3">
              <w:rPr>
                <w:rFonts w:asciiTheme="majorHAnsi" w:hAnsiTheme="majorHAnsi" w:cstheme="majorHAnsi"/>
                <w:bCs/>
                <w:color w:val="000000"/>
                <w:sz w:val="20"/>
                <w:szCs w:val="20"/>
              </w:rPr>
              <w:t xml:space="preserve"> a community health promotion research proposal using an NIH R21 format (from NIMHHD CBPR proposal) to address a health topic via an environmental and community-level lens, which may include policy.  The proposal will provide a platform for students to grow their knowledge and skills in developing of a stakeholder-driven community health improvement plan, which will include the incorporation of best practice approaches for stakeholder involvement guided by CBPR principles, specification of ‘community’ and targeted environmental health outcomes, and selection and application of theory-based change methods and practice-based models, processes and/or tools.  </w:t>
            </w:r>
          </w:p>
        </w:tc>
      </w:tr>
      <w:tr w:rsidR="00967796" w:rsidRPr="00740AE3" w:rsidTr="00B861A8">
        <w:trPr>
          <w:cantSplit/>
          <w:trHeight w:val="809"/>
        </w:trPr>
        <w:tc>
          <w:tcPr>
            <w:tcW w:w="1448" w:type="pct"/>
            <w:shd w:val="clear" w:color="auto" w:fill="auto"/>
            <w:tcMar>
              <w:left w:w="29" w:type="dxa"/>
              <w:right w:w="29" w:type="dxa"/>
            </w:tcMar>
            <w:hideMark/>
          </w:tcPr>
          <w:p w:rsidR="00967796" w:rsidRPr="00740AE3" w:rsidRDefault="00967796" w:rsidP="00B861A8">
            <w:pPr>
              <w:rPr>
                <w:rFonts w:asciiTheme="majorHAnsi" w:hAnsiTheme="majorHAnsi" w:cstheme="majorHAnsi"/>
                <w:color w:val="000000"/>
                <w:sz w:val="20"/>
                <w:szCs w:val="20"/>
              </w:rPr>
            </w:pPr>
            <w:r w:rsidRPr="00740AE3">
              <w:rPr>
                <w:rFonts w:asciiTheme="majorHAnsi" w:hAnsiTheme="majorHAnsi" w:cstheme="majorHAnsi"/>
                <w:color w:val="000000"/>
                <w:sz w:val="20"/>
                <w:szCs w:val="20"/>
              </w:rPr>
              <w:t>DrPH-H4. Analyze data from non-randomized research designs using advanced statistical methods.</w:t>
            </w:r>
          </w:p>
        </w:tc>
        <w:tc>
          <w:tcPr>
            <w:tcW w:w="1294" w:type="pct"/>
            <w:shd w:val="clear" w:color="auto" w:fill="auto"/>
            <w:tcMar>
              <w:left w:w="29" w:type="dxa"/>
              <w:right w:w="29" w:type="dxa"/>
            </w:tcMar>
          </w:tcPr>
          <w:p w:rsidR="00967796" w:rsidRPr="00740AE3" w:rsidRDefault="00967796" w:rsidP="00B861A8">
            <w:pPr>
              <w:rPr>
                <w:rFonts w:asciiTheme="majorHAnsi" w:hAnsiTheme="majorHAnsi" w:cstheme="majorHAnsi"/>
                <w:color w:val="000000"/>
                <w:sz w:val="20"/>
                <w:szCs w:val="20"/>
              </w:rPr>
            </w:pPr>
            <w:r w:rsidRPr="00740AE3">
              <w:rPr>
                <w:rFonts w:asciiTheme="majorHAnsi" w:hAnsiTheme="majorHAnsi" w:cstheme="majorHAnsi"/>
                <w:b/>
                <w:sz w:val="20"/>
                <w:szCs w:val="20"/>
              </w:rPr>
              <w:t>PHD 1121</w:t>
            </w:r>
            <w:r w:rsidRPr="00740AE3">
              <w:rPr>
                <w:rFonts w:asciiTheme="majorHAnsi" w:hAnsiTheme="majorHAnsi" w:cstheme="majorHAnsi"/>
                <w:sz w:val="20"/>
                <w:szCs w:val="20"/>
              </w:rPr>
              <w:t xml:space="preserve"> Advanced Quantitative Analysis for Behavioral Sciences</w:t>
            </w:r>
          </w:p>
        </w:tc>
        <w:tc>
          <w:tcPr>
            <w:tcW w:w="2258" w:type="pct"/>
            <w:shd w:val="clear" w:color="auto" w:fill="auto"/>
            <w:tcMar>
              <w:left w:w="29" w:type="dxa"/>
              <w:right w:w="29" w:type="dxa"/>
            </w:tcMar>
          </w:tcPr>
          <w:p w:rsidR="00967796" w:rsidRPr="00740AE3" w:rsidRDefault="00967796" w:rsidP="00B861A8">
            <w:pPr>
              <w:rPr>
                <w:rFonts w:asciiTheme="majorHAnsi" w:hAnsiTheme="majorHAnsi" w:cstheme="majorHAnsi"/>
                <w:color w:val="000000"/>
                <w:sz w:val="20"/>
                <w:szCs w:val="20"/>
              </w:rPr>
            </w:pPr>
            <w:r w:rsidRPr="00450A9C">
              <w:rPr>
                <w:rFonts w:asciiTheme="majorHAnsi" w:hAnsiTheme="majorHAnsi" w:cstheme="majorHAnsi"/>
                <w:sz w:val="20"/>
                <w:szCs w:val="20"/>
              </w:rPr>
              <w:t>Final Exam</w:t>
            </w:r>
            <w:r w:rsidRPr="00450A9C">
              <w:rPr>
                <w:rFonts w:asciiTheme="majorHAnsi" w:hAnsiTheme="majorHAnsi" w:cstheme="majorHAnsi"/>
                <w:color w:val="000000"/>
                <w:sz w:val="20"/>
                <w:szCs w:val="20"/>
              </w:rPr>
              <w:t>: DrPH students will write a publishable</w:t>
            </w:r>
            <w:r w:rsidRPr="00740AE3">
              <w:rPr>
                <w:rFonts w:asciiTheme="majorHAnsi" w:hAnsiTheme="majorHAnsi" w:cstheme="majorHAnsi"/>
                <w:color w:val="000000"/>
                <w:sz w:val="20"/>
                <w:szCs w:val="20"/>
              </w:rPr>
              <w:t xml:space="preserve"> manuscript (using a real data set of their choosing) on a public health topic of interest to them, with a specific requirement that they incorporate statistical techniques to address selection bias that may arise in the context of non-randomized program assignment.</w:t>
            </w:r>
          </w:p>
        </w:tc>
      </w:tr>
      <w:tr w:rsidR="00967796" w:rsidRPr="00743A41" w:rsidTr="00B861A8">
        <w:trPr>
          <w:cantSplit/>
          <w:trHeight w:val="315"/>
        </w:trPr>
        <w:tc>
          <w:tcPr>
            <w:tcW w:w="1448" w:type="pct"/>
            <w:shd w:val="clear" w:color="auto" w:fill="auto"/>
            <w:tcMar>
              <w:left w:w="29" w:type="dxa"/>
              <w:right w:w="29" w:type="dxa"/>
            </w:tcMar>
          </w:tcPr>
          <w:p w:rsidR="00967796" w:rsidRPr="00743A41" w:rsidRDefault="00967796" w:rsidP="00B861A8">
            <w:pPr>
              <w:rPr>
                <w:rFonts w:asciiTheme="majorHAnsi" w:hAnsiTheme="majorHAnsi" w:cstheme="majorHAnsi"/>
                <w:color w:val="000000"/>
                <w:sz w:val="20"/>
                <w:szCs w:val="20"/>
              </w:rPr>
            </w:pPr>
            <w:r w:rsidRPr="00743A41">
              <w:rPr>
                <w:rFonts w:asciiTheme="majorHAnsi" w:hAnsiTheme="majorHAnsi" w:cstheme="majorHAnsi"/>
                <w:color w:val="000000"/>
                <w:sz w:val="20"/>
                <w:szCs w:val="20"/>
              </w:rPr>
              <w:t>DrPH-H</w:t>
            </w:r>
            <w:r w:rsidRPr="00743A41">
              <w:rPr>
                <w:rFonts w:asciiTheme="majorHAnsi" w:hAnsiTheme="majorHAnsi" w:cstheme="majorHAnsi"/>
                <w:sz w:val="20"/>
                <w:szCs w:val="20"/>
              </w:rPr>
              <w:t>5. Recognizing the role of stakeholder involvement, use at least one implementation science framework to develop an implementation and dissemination plan.</w:t>
            </w:r>
          </w:p>
        </w:tc>
        <w:tc>
          <w:tcPr>
            <w:tcW w:w="1294" w:type="pct"/>
            <w:shd w:val="clear" w:color="auto" w:fill="auto"/>
            <w:tcMar>
              <w:left w:w="29" w:type="dxa"/>
              <w:right w:w="29" w:type="dxa"/>
            </w:tcMar>
          </w:tcPr>
          <w:p w:rsidR="00967796" w:rsidRPr="00743A41" w:rsidRDefault="00967796" w:rsidP="00B861A8">
            <w:pPr>
              <w:rPr>
                <w:rFonts w:asciiTheme="majorHAnsi" w:hAnsiTheme="majorHAnsi" w:cstheme="majorHAnsi"/>
                <w:color w:val="000000"/>
                <w:sz w:val="20"/>
                <w:szCs w:val="20"/>
              </w:rPr>
            </w:pPr>
            <w:r w:rsidRPr="00743A41">
              <w:rPr>
                <w:rFonts w:asciiTheme="majorHAnsi" w:hAnsiTheme="majorHAnsi" w:cstheme="majorHAnsi"/>
                <w:b/>
                <w:bCs/>
                <w:sz w:val="20"/>
                <w:szCs w:val="20"/>
              </w:rPr>
              <w:t>PH 1498</w:t>
            </w:r>
            <w:r w:rsidRPr="00743A41">
              <w:rPr>
                <w:rFonts w:asciiTheme="majorHAnsi" w:hAnsiTheme="majorHAnsi" w:cstheme="majorHAnsi"/>
                <w:sz w:val="20"/>
                <w:szCs w:val="20"/>
              </w:rPr>
              <w:t xml:space="preserve"> Special Topics: Dissemination and Implementation Short Course</w:t>
            </w:r>
            <w:r w:rsidRPr="00743A41">
              <w:rPr>
                <w:rFonts w:asciiTheme="majorHAnsi" w:hAnsiTheme="majorHAnsi" w:cstheme="majorHAnsi"/>
                <w:color w:val="000000"/>
                <w:sz w:val="20"/>
                <w:szCs w:val="20"/>
              </w:rPr>
              <w:t xml:space="preserve"> </w:t>
            </w:r>
          </w:p>
        </w:tc>
        <w:tc>
          <w:tcPr>
            <w:tcW w:w="2258" w:type="pct"/>
            <w:shd w:val="clear" w:color="auto" w:fill="auto"/>
            <w:tcMar>
              <w:left w:w="29" w:type="dxa"/>
              <w:right w:w="29" w:type="dxa"/>
            </w:tcMar>
          </w:tcPr>
          <w:p w:rsidR="00967796" w:rsidRPr="00743A41" w:rsidRDefault="00967796" w:rsidP="00B861A8">
            <w:pPr>
              <w:rPr>
                <w:rFonts w:asciiTheme="majorHAnsi" w:hAnsiTheme="majorHAnsi" w:cstheme="majorHAnsi"/>
                <w:color w:val="000000"/>
                <w:sz w:val="20"/>
                <w:szCs w:val="20"/>
              </w:rPr>
            </w:pPr>
            <w:r w:rsidRPr="00450A9C">
              <w:rPr>
                <w:rFonts w:asciiTheme="majorHAnsi" w:hAnsiTheme="majorHAnsi" w:cstheme="majorHAnsi"/>
                <w:sz w:val="20"/>
                <w:szCs w:val="20"/>
              </w:rPr>
              <w:t>Dissemination and Implementation Plan:</w:t>
            </w:r>
            <w:r w:rsidRPr="00743A41">
              <w:rPr>
                <w:rFonts w:asciiTheme="majorHAnsi" w:hAnsiTheme="majorHAnsi" w:cstheme="majorHAnsi"/>
                <w:color w:val="000000"/>
                <w:sz w:val="20"/>
                <w:szCs w:val="20"/>
              </w:rPr>
              <w:t xml:space="preserve"> Using Intervention Mapping as a guide, students will develop a dissemination and implementation plan. The implementation plan should clearly describe the following: a public health problem; the target population; an innovation to be disseminated/implemented; adoption and implementation stakeholders; an appropriate implementation model/framework; implementation outcomes and performance objectives; theoretical methods and strategies to support implementation; implementation protocols and materials; and evaluation methods and measures.</w:t>
            </w:r>
          </w:p>
        </w:tc>
      </w:tr>
    </w:tbl>
    <w:p w:rsidR="00967796" w:rsidRPr="00743A41" w:rsidRDefault="00967796" w:rsidP="00967796">
      <w:pPr>
        <w:jc w:val="both"/>
        <w:rPr>
          <w:rFonts w:asciiTheme="majorHAnsi" w:hAnsiTheme="majorHAnsi" w:cstheme="majorHAnsi"/>
          <w:sz w:val="20"/>
          <w:szCs w:val="20"/>
        </w:rPr>
      </w:pPr>
    </w:p>
    <w:p w:rsidR="00933038" w:rsidRPr="00743A41" w:rsidRDefault="00933038" w:rsidP="00A37ED6">
      <w:pPr>
        <w:numPr>
          <w:ilvl w:val="0"/>
          <w:numId w:val="21"/>
        </w:numPr>
        <w:jc w:val="both"/>
        <w:rPr>
          <w:rFonts w:asciiTheme="majorHAnsi" w:eastAsia="Arial Unicode MS" w:hAnsiTheme="majorHAnsi" w:cstheme="majorHAnsi"/>
          <w:sz w:val="20"/>
          <w:szCs w:val="20"/>
        </w:rPr>
      </w:pPr>
      <w:bookmarkStart w:id="77" w:name="D42Customized"/>
      <w:bookmarkEnd w:id="77"/>
      <w:r w:rsidRPr="00743A41">
        <w:rPr>
          <w:rFonts w:asciiTheme="majorHAnsi" w:eastAsia="Arial Unicode MS" w:hAnsiTheme="majorHAnsi" w:cstheme="majorHAnsi"/>
          <w:sz w:val="20"/>
          <w:szCs w:val="20"/>
        </w:rPr>
        <w:t xml:space="preserve">For degrees that allow students to tailor competencies at an individual level in consultation with an advisor, the school must present evidence, including policies and sample documents, that demonstrate that each student and advisor create a matrix in the format of Template D4-1 for the plan of study. Include a description of policies in the self-study document and at least five sample matrices in the electronic resource file. </w:t>
      </w:r>
    </w:p>
    <w:p w:rsidR="00933038" w:rsidRPr="00743A41" w:rsidRDefault="00933038" w:rsidP="00A37ED6">
      <w:pPr>
        <w:rPr>
          <w:rFonts w:asciiTheme="majorHAnsi" w:eastAsia="Arial Unicode MS" w:hAnsiTheme="majorHAnsi" w:cstheme="majorHAnsi"/>
          <w:sz w:val="20"/>
          <w:szCs w:val="20"/>
        </w:rPr>
      </w:pPr>
    </w:p>
    <w:p w:rsidR="000614D8" w:rsidRPr="00743A41" w:rsidRDefault="00D61D9F" w:rsidP="00A37ED6">
      <w:pPr>
        <w:ind w:left="720"/>
        <w:rPr>
          <w:rFonts w:asciiTheme="majorHAnsi" w:hAnsiTheme="majorHAnsi" w:cstheme="majorHAnsi"/>
          <w:sz w:val="20"/>
          <w:szCs w:val="20"/>
        </w:rPr>
      </w:pPr>
      <w:r w:rsidRPr="00450A9C">
        <w:rPr>
          <w:rFonts w:asciiTheme="majorHAnsi" w:hAnsiTheme="majorHAnsi" w:cstheme="majorHAnsi"/>
          <w:sz w:val="20"/>
          <w:szCs w:val="20"/>
        </w:rPr>
        <w:t xml:space="preserve">The MPH </w:t>
      </w:r>
      <w:r w:rsidR="00EE3571" w:rsidRPr="00450A9C">
        <w:rPr>
          <w:rFonts w:asciiTheme="majorHAnsi" w:hAnsiTheme="majorHAnsi" w:cstheme="majorHAnsi"/>
          <w:sz w:val="20"/>
          <w:szCs w:val="20"/>
        </w:rPr>
        <w:t xml:space="preserve">Customized plan </w:t>
      </w:r>
      <w:r w:rsidRPr="00450A9C">
        <w:rPr>
          <w:rFonts w:asciiTheme="majorHAnsi" w:hAnsiTheme="majorHAnsi" w:cstheme="majorHAnsi"/>
          <w:sz w:val="20"/>
          <w:szCs w:val="20"/>
        </w:rPr>
        <w:t xml:space="preserve">grants students the flexibility to select </w:t>
      </w:r>
      <w:r w:rsidR="00E5161C" w:rsidRPr="00450A9C">
        <w:rPr>
          <w:rFonts w:asciiTheme="majorHAnsi" w:hAnsiTheme="majorHAnsi" w:cstheme="majorHAnsi"/>
          <w:sz w:val="20"/>
          <w:szCs w:val="20"/>
        </w:rPr>
        <w:t>interdisciplinary</w:t>
      </w:r>
      <w:r w:rsidRPr="00450A9C">
        <w:rPr>
          <w:rFonts w:asciiTheme="majorHAnsi" w:hAnsiTheme="majorHAnsi" w:cstheme="majorHAnsi"/>
          <w:sz w:val="20"/>
          <w:szCs w:val="20"/>
        </w:rPr>
        <w:t xml:space="preserve"> coursework relevant to their public health area(s) of interest. Students are required to fulfill </w:t>
      </w:r>
      <w:r w:rsidR="007D1A8F" w:rsidRPr="00450A9C">
        <w:rPr>
          <w:rFonts w:asciiTheme="majorHAnsi" w:hAnsiTheme="majorHAnsi" w:cstheme="majorHAnsi"/>
          <w:sz w:val="20"/>
          <w:szCs w:val="20"/>
        </w:rPr>
        <w:t>Advanced Public Health Coursework</w:t>
      </w:r>
      <w:r w:rsidRPr="00450A9C">
        <w:rPr>
          <w:rFonts w:asciiTheme="majorHAnsi" w:hAnsiTheme="majorHAnsi" w:cstheme="majorHAnsi"/>
          <w:sz w:val="20"/>
          <w:szCs w:val="20"/>
        </w:rPr>
        <w:t xml:space="preserve"> </w:t>
      </w:r>
      <w:r w:rsidR="00775673" w:rsidRPr="00450A9C">
        <w:rPr>
          <w:rFonts w:asciiTheme="majorHAnsi" w:hAnsiTheme="majorHAnsi" w:cstheme="majorHAnsi"/>
          <w:sz w:val="20"/>
          <w:szCs w:val="20"/>
        </w:rPr>
        <w:t>(</w:t>
      </w:r>
      <w:hyperlink w:anchor="D42a" w:history="1">
        <w:r w:rsidR="00775673" w:rsidRPr="00450A9C">
          <w:rPr>
            <w:rStyle w:val="Hyperlink"/>
            <w:rFonts w:asciiTheme="majorHAnsi" w:hAnsiTheme="majorHAnsi" w:cstheme="majorHAnsi"/>
            <w:sz w:val="20"/>
            <w:szCs w:val="20"/>
          </w:rPr>
          <w:t>Table D.4.2.a</w:t>
        </w:r>
      </w:hyperlink>
      <w:r w:rsidR="007D1A8F" w:rsidRPr="00450A9C">
        <w:rPr>
          <w:rStyle w:val="Hyperlink"/>
          <w:rFonts w:asciiTheme="majorHAnsi" w:hAnsiTheme="majorHAnsi" w:cstheme="majorHAnsi"/>
          <w:color w:val="auto"/>
          <w:sz w:val="20"/>
          <w:szCs w:val="20"/>
          <w:u w:val="none"/>
        </w:rPr>
        <w:t xml:space="preserve">; </w:t>
      </w:r>
      <w:r w:rsidR="007D1A8F" w:rsidRPr="00450A9C">
        <w:rPr>
          <w:rStyle w:val="Hyperlink"/>
          <w:rFonts w:asciiTheme="majorHAnsi" w:hAnsiTheme="majorHAnsi" w:cstheme="majorHAnsi"/>
          <w:i/>
          <w:color w:val="auto"/>
          <w:sz w:val="20"/>
          <w:szCs w:val="20"/>
          <w:u w:val="none"/>
        </w:rPr>
        <w:t>ERF, D4.2. MPH Customized Documentation</w:t>
      </w:r>
      <w:r w:rsidR="00B25905" w:rsidRPr="00450A9C">
        <w:rPr>
          <w:rStyle w:val="Hyperlink"/>
          <w:rFonts w:asciiTheme="majorHAnsi" w:hAnsiTheme="majorHAnsi" w:cstheme="majorHAnsi"/>
          <w:i/>
          <w:color w:val="auto"/>
          <w:sz w:val="20"/>
          <w:szCs w:val="20"/>
          <w:u w:val="none"/>
        </w:rPr>
        <w:t>, Approved Advanced Public Health Coursework</w:t>
      </w:r>
      <w:r w:rsidR="007D1A8F" w:rsidRPr="00450A9C">
        <w:rPr>
          <w:rStyle w:val="Hyperlink"/>
          <w:rFonts w:asciiTheme="majorHAnsi" w:hAnsiTheme="majorHAnsi" w:cstheme="majorHAnsi"/>
          <w:color w:val="auto"/>
          <w:sz w:val="20"/>
          <w:szCs w:val="20"/>
          <w:u w:val="none"/>
        </w:rPr>
        <w:t>)</w:t>
      </w:r>
      <w:r w:rsidR="00775673" w:rsidRPr="00450A9C">
        <w:rPr>
          <w:rFonts w:asciiTheme="majorHAnsi" w:hAnsiTheme="majorHAnsi" w:cstheme="majorHAnsi"/>
          <w:sz w:val="20"/>
          <w:szCs w:val="20"/>
        </w:rPr>
        <w:t xml:space="preserve"> </w:t>
      </w:r>
      <w:r w:rsidRPr="00450A9C">
        <w:rPr>
          <w:rFonts w:asciiTheme="majorHAnsi" w:hAnsiTheme="majorHAnsi" w:cstheme="majorHAnsi"/>
          <w:sz w:val="20"/>
          <w:szCs w:val="20"/>
        </w:rPr>
        <w:t xml:space="preserve">requirements, which include satisfying a </w:t>
      </w:r>
      <w:r w:rsidR="0099497D" w:rsidRPr="00450A9C">
        <w:rPr>
          <w:rFonts w:asciiTheme="majorHAnsi" w:hAnsiTheme="majorHAnsi" w:cstheme="majorHAnsi"/>
          <w:sz w:val="20"/>
          <w:szCs w:val="20"/>
        </w:rPr>
        <w:t xml:space="preserve">minimum of </w:t>
      </w:r>
      <w:r w:rsidRPr="00450A9C">
        <w:rPr>
          <w:rFonts w:asciiTheme="majorHAnsi" w:hAnsiTheme="majorHAnsi" w:cstheme="majorHAnsi"/>
          <w:sz w:val="20"/>
          <w:szCs w:val="20"/>
        </w:rPr>
        <w:t xml:space="preserve">five </w:t>
      </w:r>
      <w:r w:rsidRPr="00450A9C">
        <w:rPr>
          <w:rStyle w:val="Emphasis"/>
          <w:rFonts w:asciiTheme="majorHAnsi" w:hAnsiTheme="majorHAnsi" w:cstheme="majorHAnsi"/>
          <w:i w:val="0"/>
          <w:iCs w:val="0"/>
          <w:sz w:val="20"/>
          <w:szCs w:val="20"/>
        </w:rPr>
        <w:t xml:space="preserve">unique </w:t>
      </w:r>
      <w:r w:rsidRPr="00450A9C">
        <w:rPr>
          <w:rFonts w:asciiTheme="majorHAnsi" w:hAnsiTheme="majorHAnsi" w:cstheme="majorHAnsi"/>
          <w:sz w:val="20"/>
          <w:szCs w:val="20"/>
        </w:rPr>
        <w:t xml:space="preserve">competencies through nine credit hours (usually three courses) of approved coursework. A list of pre-approved courses with unique competencies defined </w:t>
      </w:r>
      <w:r w:rsidR="00FD4F82" w:rsidRPr="00450A9C">
        <w:rPr>
          <w:rFonts w:asciiTheme="majorHAnsi" w:hAnsiTheme="majorHAnsi" w:cstheme="majorHAnsi"/>
          <w:sz w:val="20"/>
          <w:szCs w:val="20"/>
        </w:rPr>
        <w:t>is</w:t>
      </w:r>
      <w:r w:rsidRPr="00450A9C">
        <w:rPr>
          <w:rFonts w:asciiTheme="majorHAnsi" w:hAnsiTheme="majorHAnsi" w:cstheme="majorHAnsi"/>
          <w:sz w:val="20"/>
          <w:szCs w:val="20"/>
        </w:rPr>
        <w:t xml:space="preserve"> provided to students and their advisors to select from; these courses are methods-based and </w:t>
      </w:r>
      <w:r w:rsidR="00FD4F82" w:rsidRPr="00450A9C">
        <w:rPr>
          <w:rFonts w:asciiTheme="majorHAnsi" w:hAnsiTheme="majorHAnsi" w:cstheme="majorHAnsi"/>
          <w:sz w:val="20"/>
          <w:szCs w:val="20"/>
        </w:rPr>
        <w:t xml:space="preserve">are </w:t>
      </w:r>
      <w:r w:rsidRPr="00450A9C">
        <w:rPr>
          <w:rFonts w:asciiTheme="majorHAnsi" w:hAnsiTheme="majorHAnsi" w:cstheme="majorHAnsi"/>
          <w:sz w:val="20"/>
          <w:szCs w:val="20"/>
        </w:rPr>
        <w:t xml:space="preserve">selected from the required major-specific coursework for each of the MPH programs </w:t>
      </w:r>
      <w:r w:rsidR="00FD4F82" w:rsidRPr="00450A9C">
        <w:rPr>
          <w:rFonts w:asciiTheme="majorHAnsi" w:hAnsiTheme="majorHAnsi" w:cstheme="majorHAnsi"/>
          <w:sz w:val="20"/>
          <w:szCs w:val="20"/>
        </w:rPr>
        <w:t xml:space="preserve">as detailed in </w:t>
      </w:r>
      <w:hyperlink w:anchor="_D4._MPH_&amp;" w:history="1">
        <w:r w:rsidR="00B45D11" w:rsidRPr="00450A9C">
          <w:rPr>
            <w:rStyle w:val="Hyperlink"/>
            <w:rFonts w:asciiTheme="majorHAnsi" w:hAnsiTheme="majorHAnsi" w:cstheme="majorHAnsi"/>
            <w:sz w:val="20"/>
            <w:szCs w:val="20"/>
          </w:rPr>
          <w:t>Tables D.4.1.a. – Table D.4.1.g.</w:t>
        </w:r>
      </w:hyperlink>
      <w:r w:rsidR="007147D8" w:rsidRPr="00450A9C">
        <w:rPr>
          <w:rFonts w:asciiTheme="majorHAnsi" w:hAnsiTheme="majorHAnsi" w:cstheme="majorHAnsi"/>
          <w:sz w:val="20"/>
          <w:szCs w:val="20"/>
        </w:rPr>
        <w:t xml:space="preserve">, </w:t>
      </w:r>
      <w:r w:rsidR="00E94C84" w:rsidRPr="00450A9C">
        <w:rPr>
          <w:rFonts w:asciiTheme="majorHAnsi" w:hAnsiTheme="majorHAnsi" w:cstheme="majorHAnsi"/>
          <w:sz w:val="20"/>
          <w:szCs w:val="20"/>
        </w:rPr>
        <w:t>the required major-specific courses for the MS in Biostatistic</w:t>
      </w:r>
      <w:r w:rsidR="00DB39B1" w:rsidRPr="00450A9C">
        <w:rPr>
          <w:rFonts w:asciiTheme="majorHAnsi" w:hAnsiTheme="majorHAnsi" w:cstheme="majorHAnsi"/>
          <w:sz w:val="20"/>
          <w:szCs w:val="20"/>
        </w:rPr>
        <w:t>s</w:t>
      </w:r>
      <w:r w:rsidR="00E94C84" w:rsidRPr="00450A9C">
        <w:rPr>
          <w:rFonts w:asciiTheme="majorHAnsi" w:hAnsiTheme="majorHAnsi" w:cstheme="majorHAnsi"/>
          <w:sz w:val="20"/>
          <w:szCs w:val="20"/>
        </w:rPr>
        <w:t xml:space="preserve"> as detailed in </w:t>
      </w:r>
      <w:hyperlink w:anchor="D173a" w:history="1">
        <w:r w:rsidR="00E94C84" w:rsidRPr="00450A9C">
          <w:rPr>
            <w:rStyle w:val="Hyperlink"/>
            <w:rFonts w:asciiTheme="majorHAnsi" w:hAnsiTheme="majorHAnsi" w:cstheme="majorHAnsi"/>
            <w:sz w:val="20"/>
            <w:szCs w:val="20"/>
          </w:rPr>
          <w:t>Table D.17.3.a</w:t>
        </w:r>
      </w:hyperlink>
      <w:r w:rsidR="00FD4F82" w:rsidRPr="00450A9C">
        <w:rPr>
          <w:rFonts w:asciiTheme="majorHAnsi" w:hAnsiTheme="majorHAnsi" w:cstheme="majorHAnsi"/>
          <w:sz w:val="20"/>
          <w:szCs w:val="20"/>
        </w:rPr>
        <w:t>.</w:t>
      </w:r>
      <w:r w:rsidR="00151152" w:rsidRPr="00450A9C">
        <w:rPr>
          <w:rFonts w:asciiTheme="majorHAnsi" w:hAnsiTheme="majorHAnsi" w:cstheme="majorHAnsi"/>
          <w:sz w:val="20"/>
          <w:szCs w:val="20"/>
        </w:rPr>
        <w:t xml:space="preserve">, and four additional methods-based epidemiology courses as indicated in </w:t>
      </w:r>
      <w:hyperlink w:anchor="tabled42b" w:history="1">
        <w:r w:rsidR="00151152" w:rsidRPr="00450A9C">
          <w:rPr>
            <w:rStyle w:val="Hyperlink"/>
            <w:rFonts w:asciiTheme="majorHAnsi" w:hAnsiTheme="majorHAnsi" w:cstheme="majorHAnsi"/>
            <w:sz w:val="20"/>
            <w:szCs w:val="20"/>
          </w:rPr>
          <w:t>Table D.4.2.b.</w:t>
        </w:r>
      </w:hyperlink>
      <w:r w:rsidRPr="00450A9C">
        <w:rPr>
          <w:rFonts w:asciiTheme="majorHAnsi" w:hAnsiTheme="majorHAnsi" w:cstheme="majorHAnsi"/>
          <w:sz w:val="20"/>
          <w:szCs w:val="20"/>
        </w:rPr>
        <w:t xml:space="preserve"> MPH Customized students complete a </w:t>
      </w:r>
      <w:r w:rsidR="00B25905" w:rsidRPr="00450A9C">
        <w:rPr>
          <w:rFonts w:asciiTheme="majorHAnsi" w:hAnsiTheme="majorHAnsi" w:cstheme="majorHAnsi"/>
          <w:sz w:val="20"/>
          <w:szCs w:val="20"/>
        </w:rPr>
        <w:t>comprehensive degree planner</w:t>
      </w:r>
      <w:r w:rsidR="00B13B68" w:rsidRPr="00450A9C">
        <w:rPr>
          <w:rFonts w:asciiTheme="majorHAnsi" w:hAnsiTheme="majorHAnsi" w:cstheme="majorHAnsi"/>
          <w:sz w:val="20"/>
          <w:szCs w:val="20"/>
        </w:rPr>
        <w:t xml:space="preserve"> (</w:t>
      </w:r>
      <w:r w:rsidR="00B13B68" w:rsidRPr="00450A9C">
        <w:rPr>
          <w:rStyle w:val="Hyperlink"/>
          <w:rFonts w:asciiTheme="majorHAnsi" w:hAnsiTheme="majorHAnsi" w:cstheme="majorHAnsi"/>
          <w:i/>
          <w:color w:val="auto"/>
          <w:sz w:val="20"/>
          <w:szCs w:val="20"/>
          <w:u w:val="none"/>
        </w:rPr>
        <w:t>ERF, D4.2. MPH Customized Documentation, MPH Customized Degree Planner)</w:t>
      </w:r>
      <w:r w:rsidR="00B13B68" w:rsidRPr="00450A9C">
        <w:rPr>
          <w:rFonts w:asciiTheme="majorHAnsi" w:hAnsiTheme="majorHAnsi" w:cstheme="majorHAnsi"/>
          <w:sz w:val="20"/>
          <w:szCs w:val="20"/>
        </w:rPr>
        <w:t xml:space="preserve">, </w:t>
      </w:r>
      <w:r w:rsidRPr="00450A9C">
        <w:rPr>
          <w:rFonts w:asciiTheme="majorHAnsi" w:hAnsiTheme="majorHAnsi" w:cstheme="majorHAnsi"/>
          <w:sz w:val="20"/>
          <w:szCs w:val="20"/>
        </w:rPr>
        <w:t xml:space="preserve">which allows them to, in collaboration with their faculty advisor, select approved coursework and to identify both applied practice and integrative learning experiences that </w:t>
      </w:r>
      <w:r w:rsidR="00A005D5" w:rsidRPr="00450A9C">
        <w:rPr>
          <w:rFonts w:asciiTheme="majorHAnsi" w:hAnsiTheme="majorHAnsi" w:cstheme="majorHAnsi"/>
          <w:sz w:val="20"/>
          <w:szCs w:val="20"/>
        </w:rPr>
        <w:t>synthesize the selected competencies</w:t>
      </w:r>
      <w:r w:rsidRPr="00743A41">
        <w:rPr>
          <w:rFonts w:asciiTheme="majorHAnsi" w:hAnsiTheme="majorHAnsi" w:cstheme="majorHAnsi"/>
          <w:sz w:val="20"/>
          <w:szCs w:val="20"/>
        </w:rPr>
        <w:t>.</w:t>
      </w:r>
    </w:p>
    <w:p w:rsidR="00D8676E" w:rsidRPr="00743A41" w:rsidRDefault="00D8676E" w:rsidP="00A37ED6">
      <w:pPr>
        <w:ind w:left="720"/>
        <w:rPr>
          <w:rFonts w:asciiTheme="majorHAnsi" w:hAnsiTheme="majorHAnsi" w:cstheme="majorHAnsi"/>
          <w:sz w:val="20"/>
          <w:szCs w:val="20"/>
        </w:rPr>
      </w:pPr>
    </w:p>
    <w:p w:rsidR="0098674B" w:rsidRPr="00450A9C" w:rsidRDefault="00931D78" w:rsidP="00A37ED6">
      <w:pPr>
        <w:ind w:left="720"/>
        <w:rPr>
          <w:rFonts w:asciiTheme="majorHAnsi" w:hAnsiTheme="majorHAnsi" w:cstheme="majorHAnsi"/>
          <w:sz w:val="20"/>
          <w:szCs w:val="20"/>
        </w:rPr>
      </w:pPr>
      <w:r w:rsidRPr="00450A9C">
        <w:rPr>
          <w:rFonts w:asciiTheme="majorHAnsi" w:hAnsiTheme="majorHAnsi" w:cstheme="majorHAnsi"/>
          <w:sz w:val="20"/>
          <w:szCs w:val="20"/>
        </w:rPr>
        <w:t>Table D.4.2.a. MPH Customized Approved Advanced Public Health Coursework</w:t>
      </w:r>
    </w:p>
    <w:tbl>
      <w:tblPr>
        <w:tblStyle w:val="TableGrid"/>
        <w:tblpPr w:leftFromText="180" w:rightFromText="180" w:vertAnchor="text" w:tblpX="715" w:tblpY="1"/>
        <w:tblOverlap w:val="never"/>
        <w:tblW w:w="8905" w:type="dxa"/>
        <w:tblLayout w:type="fixed"/>
        <w:tblLook w:val="04A0" w:firstRow="1" w:lastRow="0" w:firstColumn="1" w:lastColumn="0" w:noHBand="0" w:noVBand="1"/>
      </w:tblPr>
      <w:tblGrid>
        <w:gridCol w:w="985"/>
        <w:gridCol w:w="720"/>
        <w:gridCol w:w="4770"/>
        <w:gridCol w:w="2430"/>
      </w:tblGrid>
      <w:tr w:rsidR="001D378B" w:rsidRPr="00743A41" w:rsidTr="006E28EE">
        <w:trPr>
          <w:cantSplit/>
          <w:tblHeader/>
        </w:trPr>
        <w:tc>
          <w:tcPr>
            <w:tcW w:w="985" w:type="dxa"/>
            <w:shd w:val="clear" w:color="auto" w:fill="D9D9D9" w:themeFill="background1" w:themeFillShade="D9"/>
            <w:tcMar>
              <w:left w:w="0" w:type="dxa"/>
              <w:right w:w="0" w:type="dxa"/>
            </w:tcMar>
          </w:tcPr>
          <w:p w:rsidR="001D378B" w:rsidRPr="00743A41" w:rsidRDefault="001D378B" w:rsidP="00A37ED6">
            <w:pPr>
              <w:jc w:val="center"/>
              <w:rPr>
                <w:rFonts w:asciiTheme="majorHAnsi" w:hAnsiTheme="majorHAnsi" w:cstheme="majorHAnsi"/>
                <w:b/>
                <w:sz w:val="20"/>
                <w:szCs w:val="20"/>
              </w:rPr>
            </w:pPr>
            <w:r w:rsidRPr="00743A41">
              <w:rPr>
                <w:rFonts w:asciiTheme="majorHAnsi" w:hAnsiTheme="majorHAnsi" w:cstheme="majorHAnsi"/>
                <w:b/>
                <w:sz w:val="20"/>
                <w:szCs w:val="20"/>
              </w:rPr>
              <w:t>Course</w:t>
            </w:r>
          </w:p>
        </w:tc>
        <w:tc>
          <w:tcPr>
            <w:tcW w:w="720" w:type="dxa"/>
            <w:shd w:val="clear" w:color="auto" w:fill="D9D9D9" w:themeFill="background1" w:themeFillShade="D9"/>
            <w:tcMar>
              <w:left w:w="0" w:type="dxa"/>
              <w:right w:w="0" w:type="dxa"/>
            </w:tcMar>
          </w:tcPr>
          <w:p w:rsidR="001D378B" w:rsidRPr="00743A41" w:rsidRDefault="001D378B" w:rsidP="00A37ED6">
            <w:pPr>
              <w:jc w:val="center"/>
              <w:rPr>
                <w:rFonts w:asciiTheme="majorHAnsi" w:hAnsiTheme="majorHAnsi" w:cstheme="majorHAnsi"/>
                <w:b/>
                <w:sz w:val="20"/>
                <w:szCs w:val="20"/>
              </w:rPr>
            </w:pPr>
            <w:r w:rsidRPr="00743A41">
              <w:rPr>
                <w:rFonts w:asciiTheme="majorHAnsi" w:hAnsiTheme="majorHAnsi" w:cstheme="majorHAnsi"/>
                <w:b/>
                <w:sz w:val="20"/>
                <w:szCs w:val="20"/>
              </w:rPr>
              <w:t>Credits</w:t>
            </w:r>
          </w:p>
        </w:tc>
        <w:tc>
          <w:tcPr>
            <w:tcW w:w="4770" w:type="dxa"/>
            <w:shd w:val="clear" w:color="auto" w:fill="D9D9D9" w:themeFill="background1" w:themeFillShade="D9"/>
            <w:tcMar>
              <w:left w:w="0" w:type="dxa"/>
              <w:right w:w="0" w:type="dxa"/>
            </w:tcMar>
          </w:tcPr>
          <w:p w:rsidR="001D378B" w:rsidRPr="00743A41" w:rsidRDefault="001D378B" w:rsidP="00A37ED6">
            <w:pPr>
              <w:jc w:val="center"/>
              <w:rPr>
                <w:rFonts w:asciiTheme="majorHAnsi" w:hAnsiTheme="majorHAnsi" w:cstheme="majorHAnsi"/>
                <w:b/>
                <w:sz w:val="20"/>
                <w:szCs w:val="20"/>
              </w:rPr>
            </w:pPr>
            <w:r w:rsidRPr="00743A41">
              <w:rPr>
                <w:rFonts w:asciiTheme="majorHAnsi" w:hAnsiTheme="majorHAnsi" w:cstheme="majorHAnsi"/>
                <w:b/>
                <w:sz w:val="20"/>
                <w:szCs w:val="20"/>
              </w:rPr>
              <w:t>Title</w:t>
            </w:r>
          </w:p>
        </w:tc>
        <w:tc>
          <w:tcPr>
            <w:tcW w:w="2430" w:type="dxa"/>
            <w:shd w:val="clear" w:color="auto" w:fill="D9D9D9" w:themeFill="background1" w:themeFillShade="D9"/>
          </w:tcPr>
          <w:p w:rsidR="001D378B" w:rsidRPr="00743A41" w:rsidRDefault="001D378B" w:rsidP="00A37ED6">
            <w:pPr>
              <w:jc w:val="center"/>
              <w:rPr>
                <w:rFonts w:asciiTheme="majorHAnsi" w:hAnsiTheme="majorHAnsi" w:cstheme="majorHAnsi"/>
                <w:b/>
                <w:sz w:val="20"/>
                <w:szCs w:val="20"/>
              </w:rPr>
            </w:pPr>
            <w:r w:rsidRPr="00743A41">
              <w:rPr>
                <w:rFonts w:asciiTheme="majorHAnsi" w:hAnsiTheme="majorHAnsi" w:cstheme="majorHAnsi"/>
                <w:b/>
                <w:sz w:val="20"/>
                <w:szCs w:val="20"/>
              </w:rPr>
              <w:t>Competencies</w:t>
            </w:r>
          </w:p>
        </w:tc>
      </w:tr>
      <w:tr w:rsidR="001D378B" w:rsidRPr="00743A41" w:rsidTr="006E28EE">
        <w:tc>
          <w:tcPr>
            <w:tcW w:w="985" w:type="dxa"/>
            <w:shd w:val="clear" w:color="auto" w:fill="auto"/>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PHM 1111L</w:t>
            </w:r>
          </w:p>
        </w:tc>
        <w:tc>
          <w:tcPr>
            <w:tcW w:w="720" w:type="dxa"/>
            <w:shd w:val="clear" w:color="auto" w:fill="auto"/>
            <w:tcMar>
              <w:left w:w="0" w:type="dxa"/>
              <w:right w:w="0" w:type="dxa"/>
            </w:tcMar>
          </w:tcPr>
          <w:p w:rsidR="001D378B" w:rsidRPr="00743A41" w:rsidRDefault="001D378B" w:rsidP="00A37ED6">
            <w:pPr>
              <w:jc w:val="center"/>
              <w:rPr>
                <w:rFonts w:asciiTheme="majorHAnsi" w:hAnsiTheme="majorHAnsi" w:cstheme="majorHAnsi"/>
                <w:sz w:val="20"/>
                <w:szCs w:val="20"/>
              </w:rPr>
            </w:pPr>
            <w:r w:rsidRPr="00743A41">
              <w:rPr>
                <w:rFonts w:asciiTheme="majorHAnsi" w:hAnsiTheme="majorHAnsi" w:cstheme="majorHAnsi"/>
                <w:color w:val="000000"/>
                <w:w w:val="99"/>
                <w:sz w:val="20"/>
                <w:szCs w:val="20"/>
              </w:rPr>
              <w:t>4</w:t>
            </w:r>
          </w:p>
        </w:tc>
        <w:tc>
          <w:tcPr>
            <w:tcW w:w="4770" w:type="dxa"/>
            <w:shd w:val="clear" w:color="auto" w:fill="auto"/>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Health Promotion Theory and Methods</w:t>
            </w:r>
          </w:p>
        </w:tc>
        <w:tc>
          <w:tcPr>
            <w:tcW w:w="2430" w:type="dxa"/>
            <w:shd w:val="clear" w:color="auto" w:fill="auto"/>
          </w:tcPr>
          <w:p w:rsidR="001D378B" w:rsidRPr="00743A41" w:rsidRDefault="001D378B" w:rsidP="00A37ED6">
            <w:pPr>
              <w:ind w:hanging="105"/>
              <w:rPr>
                <w:rFonts w:asciiTheme="majorHAnsi" w:hAnsiTheme="majorHAnsi" w:cstheme="majorHAnsi"/>
                <w:color w:val="FF0000"/>
                <w:sz w:val="20"/>
                <w:szCs w:val="20"/>
              </w:rPr>
            </w:pPr>
            <w:r w:rsidRPr="00743A41">
              <w:rPr>
                <w:rFonts w:asciiTheme="majorHAnsi" w:hAnsiTheme="majorHAnsi" w:cstheme="majorHAnsi"/>
                <w:i/>
                <w:iCs/>
                <w:color w:val="000000"/>
                <w:sz w:val="20"/>
                <w:szCs w:val="20"/>
              </w:rPr>
              <w:t>MPH-H2</w:t>
            </w:r>
          </w:p>
        </w:tc>
      </w:tr>
      <w:tr w:rsidR="001D378B" w:rsidRPr="00743A41" w:rsidTr="006E28EE">
        <w:tc>
          <w:tcPr>
            <w:tcW w:w="985" w:type="dxa"/>
            <w:shd w:val="clear" w:color="auto" w:fill="auto"/>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PH 1112L</w:t>
            </w:r>
          </w:p>
        </w:tc>
        <w:tc>
          <w:tcPr>
            <w:tcW w:w="720" w:type="dxa"/>
            <w:shd w:val="clear" w:color="auto" w:fill="auto"/>
            <w:tcMar>
              <w:left w:w="0" w:type="dxa"/>
              <w:right w:w="0" w:type="dxa"/>
            </w:tcMar>
          </w:tcPr>
          <w:p w:rsidR="001D378B" w:rsidRPr="00743A41" w:rsidRDefault="001D378B" w:rsidP="00A37ED6">
            <w:pPr>
              <w:jc w:val="center"/>
              <w:rPr>
                <w:rFonts w:asciiTheme="majorHAnsi" w:hAnsiTheme="majorHAnsi" w:cstheme="majorHAnsi"/>
                <w:sz w:val="20"/>
                <w:szCs w:val="20"/>
              </w:rPr>
            </w:pPr>
            <w:r w:rsidRPr="00743A41">
              <w:rPr>
                <w:rFonts w:asciiTheme="majorHAnsi" w:hAnsiTheme="majorHAnsi" w:cstheme="majorHAnsi"/>
                <w:color w:val="000000"/>
                <w:w w:val="99"/>
                <w:sz w:val="20"/>
                <w:szCs w:val="20"/>
              </w:rPr>
              <w:t>3</w:t>
            </w:r>
          </w:p>
        </w:tc>
        <w:tc>
          <w:tcPr>
            <w:tcW w:w="4770" w:type="dxa"/>
            <w:shd w:val="clear" w:color="auto" w:fill="auto"/>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Community Assessment Methods in Public Health</w:t>
            </w:r>
          </w:p>
        </w:tc>
        <w:tc>
          <w:tcPr>
            <w:tcW w:w="2430" w:type="dxa"/>
            <w:shd w:val="clear" w:color="auto" w:fill="auto"/>
          </w:tcPr>
          <w:p w:rsidR="001D378B" w:rsidRPr="00743A41" w:rsidRDefault="001D378B" w:rsidP="00A37ED6">
            <w:pPr>
              <w:ind w:hanging="105"/>
              <w:rPr>
                <w:rFonts w:asciiTheme="majorHAnsi" w:hAnsiTheme="majorHAnsi" w:cstheme="majorHAnsi"/>
                <w:color w:val="FF0000"/>
                <w:sz w:val="20"/>
                <w:szCs w:val="20"/>
              </w:rPr>
            </w:pPr>
            <w:r w:rsidRPr="00743A41">
              <w:rPr>
                <w:rFonts w:asciiTheme="majorHAnsi" w:hAnsiTheme="majorHAnsi" w:cstheme="majorHAnsi"/>
                <w:i/>
                <w:iCs/>
                <w:color w:val="000000"/>
                <w:sz w:val="20"/>
                <w:szCs w:val="20"/>
              </w:rPr>
              <w:t>MPH-H1</w:t>
            </w:r>
          </w:p>
        </w:tc>
      </w:tr>
      <w:tr w:rsidR="001D378B" w:rsidRPr="00743A41" w:rsidTr="006E28EE">
        <w:tc>
          <w:tcPr>
            <w:tcW w:w="985" w:type="dxa"/>
            <w:shd w:val="clear" w:color="auto" w:fill="auto"/>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PHM 1113L</w:t>
            </w:r>
          </w:p>
        </w:tc>
        <w:tc>
          <w:tcPr>
            <w:tcW w:w="720" w:type="dxa"/>
            <w:shd w:val="clear" w:color="auto" w:fill="auto"/>
            <w:tcMar>
              <w:left w:w="0" w:type="dxa"/>
              <w:right w:w="0" w:type="dxa"/>
            </w:tcMar>
          </w:tcPr>
          <w:p w:rsidR="001D378B" w:rsidRPr="00743A41" w:rsidRDefault="001D378B" w:rsidP="00A37ED6">
            <w:pPr>
              <w:jc w:val="center"/>
              <w:rPr>
                <w:rFonts w:asciiTheme="majorHAnsi" w:hAnsiTheme="majorHAnsi" w:cstheme="majorHAnsi"/>
                <w:sz w:val="20"/>
                <w:szCs w:val="20"/>
              </w:rPr>
            </w:pPr>
            <w:r w:rsidRPr="00743A41">
              <w:rPr>
                <w:rFonts w:asciiTheme="majorHAnsi" w:hAnsiTheme="majorHAnsi" w:cstheme="majorHAnsi"/>
                <w:color w:val="000000"/>
                <w:w w:val="99"/>
                <w:sz w:val="20"/>
                <w:szCs w:val="20"/>
              </w:rPr>
              <w:t>3</w:t>
            </w:r>
          </w:p>
        </w:tc>
        <w:tc>
          <w:tcPr>
            <w:tcW w:w="4770" w:type="dxa"/>
            <w:shd w:val="clear" w:color="auto" w:fill="auto"/>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Advanced Methods for Planning and Implementing Health Promotion Programs (Intervention Mapping)</w:t>
            </w:r>
          </w:p>
        </w:tc>
        <w:tc>
          <w:tcPr>
            <w:tcW w:w="2430" w:type="dxa"/>
            <w:shd w:val="clear" w:color="auto" w:fill="auto"/>
          </w:tcPr>
          <w:p w:rsidR="001D378B" w:rsidRPr="00743A41" w:rsidRDefault="001D378B" w:rsidP="00A37ED6">
            <w:pPr>
              <w:ind w:hanging="105"/>
              <w:rPr>
                <w:rFonts w:asciiTheme="majorHAnsi" w:hAnsiTheme="majorHAnsi" w:cstheme="majorHAnsi"/>
                <w:color w:val="FF0000"/>
                <w:sz w:val="20"/>
                <w:szCs w:val="20"/>
              </w:rPr>
            </w:pPr>
            <w:r w:rsidRPr="00743A41">
              <w:rPr>
                <w:rFonts w:asciiTheme="majorHAnsi" w:hAnsiTheme="majorHAnsi" w:cstheme="majorHAnsi"/>
                <w:i/>
                <w:iCs/>
                <w:color w:val="000000"/>
                <w:sz w:val="20"/>
                <w:szCs w:val="20"/>
              </w:rPr>
              <w:t>MPH-H3; MPH-H4</w:t>
            </w:r>
          </w:p>
        </w:tc>
      </w:tr>
      <w:tr w:rsidR="001D378B" w:rsidRPr="00743A41" w:rsidTr="006E28EE">
        <w:tc>
          <w:tcPr>
            <w:tcW w:w="985" w:type="dxa"/>
            <w:shd w:val="clear" w:color="auto" w:fill="auto"/>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PHM 1120L</w:t>
            </w:r>
          </w:p>
        </w:tc>
        <w:tc>
          <w:tcPr>
            <w:tcW w:w="720" w:type="dxa"/>
            <w:shd w:val="clear" w:color="auto" w:fill="auto"/>
            <w:tcMar>
              <w:left w:w="0" w:type="dxa"/>
              <w:right w:w="0" w:type="dxa"/>
            </w:tcMar>
          </w:tcPr>
          <w:p w:rsidR="001D378B" w:rsidRPr="00743A41" w:rsidRDefault="001D378B" w:rsidP="00A37ED6">
            <w:pPr>
              <w:jc w:val="center"/>
              <w:rPr>
                <w:rFonts w:asciiTheme="majorHAnsi" w:hAnsiTheme="majorHAnsi" w:cstheme="majorHAnsi"/>
                <w:sz w:val="20"/>
                <w:szCs w:val="20"/>
              </w:rPr>
            </w:pPr>
            <w:r w:rsidRPr="00743A41">
              <w:rPr>
                <w:rFonts w:asciiTheme="majorHAnsi" w:hAnsiTheme="majorHAnsi" w:cstheme="majorHAnsi"/>
                <w:color w:val="000000"/>
                <w:w w:val="99"/>
                <w:sz w:val="20"/>
                <w:szCs w:val="20"/>
              </w:rPr>
              <w:t>3</w:t>
            </w:r>
          </w:p>
        </w:tc>
        <w:tc>
          <w:tcPr>
            <w:tcW w:w="4770" w:type="dxa"/>
            <w:shd w:val="clear" w:color="auto" w:fill="auto"/>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Program Evaluation</w:t>
            </w:r>
          </w:p>
        </w:tc>
        <w:tc>
          <w:tcPr>
            <w:tcW w:w="2430" w:type="dxa"/>
            <w:shd w:val="clear" w:color="auto" w:fill="auto"/>
          </w:tcPr>
          <w:p w:rsidR="001D378B" w:rsidRPr="00743A41" w:rsidRDefault="001D378B" w:rsidP="00A37ED6">
            <w:pPr>
              <w:ind w:hanging="105"/>
              <w:rPr>
                <w:rFonts w:asciiTheme="majorHAnsi" w:hAnsiTheme="majorHAnsi" w:cstheme="majorHAnsi"/>
                <w:color w:val="FF0000"/>
                <w:sz w:val="20"/>
                <w:szCs w:val="20"/>
              </w:rPr>
            </w:pPr>
            <w:r w:rsidRPr="00743A41">
              <w:rPr>
                <w:rFonts w:asciiTheme="majorHAnsi" w:hAnsiTheme="majorHAnsi" w:cstheme="majorHAnsi"/>
                <w:i/>
                <w:iCs/>
                <w:color w:val="000000"/>
                <w:sz w:val="20"/>
                <w:szCs w:val="20"/>
              </w:rPr>
              <w:t>MPH-H5</w:t>
            </w:r>
          </w:p>
        </w:tc>
      </w:tr>
      <w:tr w:rsidR="001D378B" w:rsidRPr="00743A41" w:rsidTr="006E28EE">
        <w:tc>
          <w:tcPr>
            <w:tcW w:w="985" w:type="dxa"/>
            <w:tcMar>
              <w:left w:w="0" w:type="dxa"/>
              <w:right w:w="0" w:type="dxa"/>
            </w:tcMar>
          </w:tcPr>
          <w:p w:rsidR="001D378B" w:rsidRPr="00743A41" w:rsidRDefault="001D378B" w:rsidP="00A37ED6">
            <w:pPr>
              <w:rPr>
                <w:rFonts w:asciiTheme="majorHAnsi" w:hAnsiTheme="majorHAnsi" w:cstheme="majorHAnsi"/>
                <w:sz w:val="20"/>
                <w:szCs w:val="20"/>
                <w:highlight w:val="yellow"/>
              </w:rPr>
            </w:pPr>
            <w:r w:rsidRPr="00743A41">
              <w:rPr>
                <w:rFonts w:asciiTheme="majorHAnsi" w:hAnsiTheme="majorHAnsi" w:cstheme="majorHAnsi"/>
                <w:color w:val="000000"/>
                <w:sz w:val="20"/>
                <w:szCs w:val="20"/>
              </w:rPr>
              <w:t>PH 1700L</w:t>
            </w:r>
          </w:p>
        </w:tc>
        <w:tc>
          <w:tcPr>
            <w:tcW w:w="720" w:type="dxa"/>
          </w:tcPr>
          <w:p w:rsidR="001D378B" w:rsidRPr="00743A41" w:rsidRDefault="001D378B" w:rsidP="00A37ED6">
            <w:pPr>
              <w:jc w:val="center"/>
              <w:rPr>
                <w:rFonts w:asciiTheme="majorHAnsi" w:hAnsiTheme="majorHAnsi" w:cstheme="majorHAnsi"/>
                <w:sz w:val="20"/>
                <w:szCs w:val="20"/>
                <w:highlight w:val="yellow"/>
              </w:rPr>
            </w:pPr>
            <w:r w:rsidRPr="00743A41">
              <w:rPr>
                <w:rFonts w:asciiTheme="majorHAnsi" w:hAnsiTheme="majorHAnsi" w:cstheme="majorHAnsi"/>
                <w:color w:val="000000"/>
                <w:w w:val="99"/>
                <w:sz w:val="20"/>
                <w:szCs w:val="20"/>
              </w:rPr>
              <w:t>3</w:t>
            </w:r>
          </w:p>
        </w:tc>
        <w:tc>
          <w:tcPr>
            <w:tcW w:w="4770" w:type="dxa"/>
            <w:tcMar>
              <w:left w:w="0" w:type="dxa"/>
              <w:right w:w="0" w:type="dxa"/>
            </w:tcMar>
          </w:tcPr>
          <w:p w:rsidR="001D378B" w:rsidRPr="00743A41" w:rsidRDefault="001D378B" w:rsidP="00A37ED6">
            <w:pPr>
              <w:rPr>
                <w:rFonts w:asciiTheme="majorHAnsi" w:hAnsiTheme="majorHAnsi" w:cstheme="majorHAnsi"/>
                <w:sz w:val="20"/>
                <w:szCs w:val="20"/>
                <w:highlight w:val="yellow"/>
              </w:rPr>
            </w:pPr>
            <w:r w:rsidRPr="00743A41">
              <w:rPr>
                <w:rFonts w:asciiTheme="majorHAnsi" w:hAnsiTheme="majorHAnsi" w:cstheme="majorHAnsi"/>
                <w:color w:val="000000"/>
                <w:sz w:val="20"/>
                <w:szCs w:val="20"/>
              </w:rPr>
              <w:t>Intermediate Biostatistics</w:t>
            </w:r>
          </w:p>
        </w:tc>
        <w:tc>
          <w:tcPr>
            <w:tcW w:w="2430" w:type="dxa"/>
            <w:tcMar>
              <w:left w:w="0" w:type="dxa"/>
              <w:right w:w="0" w:type="dxa"/>
            </w:tcMar>
          </w:tcPr>
          <w:p w:rsidR="001D378B" w:rsidRPr="00743A41" w:rsidRDefault="001D378B" w:rsidP="00A37ED6">
            <w:pPr>
              <w:pStyle w:val="Default"/>
              <w:rPr>
                <w:rFonts w:asciiTheme="majorHAnsi" w:hAnsiTheme="majorHAnsi" w:cstheme="majorHAnsi"/>
                <w:color w:val="FF0000"/>
                <w:szCs w:val="20"/>
                <w:highlight w:val="yellow"/>
              </w:rPr>
            </w:pPr>
            <w:r w:rsidRPr="00743A41">
              <w:rPr>
                <w:rFonts w:asciiTheme="majorHAnsi" w:hAnsiTheme="majorHAnsi" w:cstheme="majorHAnsi"/>
                <w:i/>
                <w:iCs/>
                <w:szCs w:val="20"/>
              </w:rPr>
              <w:t>MS-B1; MS-B3; MS-B4</w:t>
            </w:r>
          </w:p>
        </w:tc>
      </w:tr>
      <w:tr w:rsidR="001D378B" w:rsidRPr="00743A41" w:rsidTr="006E28EE">
        <w:tc>
          <w:tcPr>
            <w:tcW w:w="985" w:type="dxa"/>
            <w:tcMar>
              <w:left w:w="0" w:type="dxa"/>
              <w:right w:w="0" w:type="dxa"/>
            </w:tcMar>
          </w:tcPr>
          <w:p w:rsidR="001D378B" w:rsidRPr="00743A41" w:rsidRDefault="001D378B" w:rsidP="00A37ED6">
            <w:pPr>
              <w:rPr>
                <w:rFonts w:asciiTheme="majorHAnsi" w:hAnsiTheme="majorHAnsi" w:cstheme="majorHAnsi"/>
                <w:sz w:val="20"/>
                <w:szCs w:val="20"/>
                <w:highlight w:val="yellow"/>
              </w:rPr>
            </w:pPr>
            <w:r w:rsidRPr="00743A41">
              <w:rPr>
                <w:rFonts w:asciiTheme="majorHAnsi" w:hAnsiTheme="majorHAnsi" w:cstheme="majorHAnsi"/>
                <w:color w:val="000000"/>
                <w:sz w:val="20"/>
                <w:szCs w:val="20"/>
              </w:rPr>
              <w:t>PH 1820L</w:t>
            </w:r>
          </w:p>
        </w:tc>
        <w:tc>
          <w:tcPr>
            <w:tcW w:w="720" w:type="dxa"/>
          </w:tcPr>
          <w:p w:rsidR="001D378B" w:rsidRPr="00743A41" w:rsidRDefault="001D378B" w:rsidP="00A37ED6">
            <w:pPr>
              <w:jc w:val="center"/>
              <w:rPr>
                <w:rFonts w:asciiTheme="majorHAnsi" w:hAnsiTheme="majorHAnsi" w:cstheme="majorHAnsi"/>
                <w:sz w:val="20"/>
                <w:szCs w:val="20"/>
                <w:highlight w:val="yellow"/>
              </w:rPr>
            </w:pPr>
            <w:r w:rsidRPr="00743A41">
              <w:rPr>
                <w:rFonts w:asciiTheme="majorHAnsi" w:hAnsiTheme="majorHAnsi" w:cstheme="majorHAnsi"/>
                <w:color w:val="000000"/>
                <w:w w:val="99"/>
                <w:sz w:val="20"/>
                <w:szCs w:val="20"/>
              </w:rPr>
              <w:t>3</w:t>
            </w:r>
          </w:p>
        </w:tc>
        <w:tc>
          <w:tcPr>
            <w:tcW w:w="4770" w:type="dxa"/>
            <w:tcMar>
              <w:left w:w="0" w:type="dxa"/>
              <w:right w:w="0" w:type="dxa"/>
            </w:tcMar>
          </w:tcPr>
          <w:p w:rsidR="001D378B" w:rsidRPr="00743A41" w:rsidRDefault="001D378B" w:rsidP="00A37ED6">
            <w:pPr>
              <w:rPr>
                <w:rFonts w:asciiTheme="majorHAnsi" w:hAnsiTheme="majorHAnsi" w:cstheme="majorHAnsi"/>
                <w:sz w:val="20"/>
                <w:szCs w:val="20"/>
                <w:highlight w:val="yellow"/>
              </w:rPr>
            </w:pPr>
            <w:r w:rsidRPr="00743A41">
              <w:rPr>
                <w:rFonts w:asciiTheme="majorHAnsi" w:hAnsiTheme="majorHAnsi" w:cstheme="majorHAnsi"/>
                <w:color w:val="000000"/>
                <w:sz w:val="20"/>
                <w:szCs w:val="20"/>
              </w:rPr>
              <w:t>Applied Linear Regression</w:t>
            </w:r>
          </w:p>
        </w:tc>
        <w:tc>
          <w:tcPr>
            <w:tcW w:w="2430" w:type="dxa"/>
            <w:tcMar>
              <w:left w:w="0" w:type="dxa"/>
              <w:right w:w="0" w:type="dxa"/>
            </w:tcMar>
          </w:tcPr>
          <w:p w:rsidR="001D378B" w:rsidRPr="00743A41" w:rsidRDefault="001D378B" w:rsidP="00A37ED6">
            <w:pPr>
              <w:rPr>
                <w:rFonts w:asciiTheme="majorHAnsi" w:hAnsiTheme="majorHAnsi" w:cstheme="majorHAnsi"/>
                <w:color w:val="FF0000"/>
                <w:sz w:val="20"/>
                <w:szCs w:val="20"/>
                <w:highlight w:val="yellow"/>
              </w:rPr>
            </w:pPr>
            <w:r w:rsidRPr="00743A41">
              <w:rPr>
                <w:rFonts w:asciiTheme="majorHAnsi" w:hAnsiTheme="majorHAnsi" w:cstheme="majorHAnsi"/>
                <w:i/>
                <w:iCs/>
                <w:color w:val="000000"/>
                <w:sz w:val="20"/>
                <w:szCs w:val="20"/>
              </w:rPr>
              <w:t>MS-B1; MS-B3; MS-B4</w:t>
            </w:r>
          </w:p>
        </w:tc>
      </w:tr>
      <w:tr w:rsidR="001D378B" w:rsidRPr="00743A41" w:rsidTr="006E28EE">
        <w:tc>
          <w:tcPr>
            <w:tcW w:w="985" w:type="dxa"/>
            <w:tcMar>
              <w:left w:w="0" w:type="dxa"/>
              <w:right w:w="0" w:type="dxa"/>
            </w:tcMar>
          </w:tcPr>
          <w:p w:rsidR="001D378B" w:rsidRPr="00743A41" w:rsidRDefault="001D378B" w:rsidP="00A37ED6">
            <w:pPr>
              <w:rPr>
                <w:rFonts w:asciiTheme="majorHAnsi" w:hAnsiTheme="majorHAnsi" w:cstheme="majorHAnsi"/>
                <w:sz w:val="20"/>
                <w:szCs w:val="20"/>
                <w:highlight w:val="yellow"/>
              </w:rPr>
            </w:pPr>
            <w:r w:rsidRPr="00743A41">
              <w:rPr>
                <w:rFonts w:asciiTheme="majorHAnsi" w:hAnsiTheme="majorHAnsi" w:cstheme="majorHAnsi"/>
                <w:color w:val="000000"/>
                <w:sz w:val="20"/>
                <w:szCs w:val="20"/>
              </w:rPr>
              <w:t>PH 1821L</w:t>
            </w:r>
          </w:p>
        </w:tc>
        <w:tc>
          <w:tcPr>
            <w:tcW w:w="720" w:type="dxa"/>
          </w:tcPr>
          <w:p w:rsidR="001D378B" w:rsidRPr="00743A41" w:rsidRDefault="001D378B" w:rsidP="00A37ED6">
            <w:pPr>
              <w:jc w:val="center"/>
              <w:rPr>
                <w:rFonts w:asciiTheme="majorHAnsi" w:hAnsiTheme="majorHAnsi" w:cstheme="majorHAnsi"/>
                <w:sz w:val="20"/>
                <w:szCs w:val="20"/>
                <w:highlight w:val="yellow"/>
              </w:rPr>
            </w:pPr>
            <w:r w:rsidRPr="00743A41">
              <w:rPr>
                <w:rFonts w:asciiTheme="majorHAnsi" w:hAnsiTheme="majorHAnsi" w:cstheme="majorHAnsi"/>
                <w:color w:val="000000"/>
                <w:w w:val="99"/>
                <w:sz w:val="20"/>
                <w:szCs w:val="20"/>
              </w:rPr>
              <w:t>3</w:t>
            </w:r>
          </w:p>
        </w:tc>
        <w:tc>
          <w:tcPr>
            <w:tcW w:w="4770" w:type="dxa"/>
            <w:tcMar>
              <w:left w:w="0" w:type="dxa"/>
              <w:right w:w="0" w:type="dxa"/>
            </w:tcMar>
          </w:tcPr>
          <w:p w:rsidR="001D378B" w:rsidRPr="00743A41" w:rsidRDefault="001D378B" w:rsidP="00A37ED6">
            <w:pPr>
              <w:rPr>
                <w:rFonts w:asciiTheme="majorHAnsi" w:hAnsiTheme="majorHAnsi" w:cstheme="majorHAnsi"/>
                <w:sz w:val="20"/>
                <w:szCs w:val="20"/>
                <w:highlight w:val="yellow"/>
              </w:rPr>
            </w:pPr>
            <w:r w:rsidRPr="00743A41">
              <w:rPr>
                <w:rFonts w:asciiTheme="majorHAnsi" w:hAnsiTheme="majorHAnsi" w:cstheme="majorHAnsi"/>
                <w:color w:val="000000"/>
                <w:sz w:val="20"/>
                <w:szCs w:val="20"/>
              </w:rPr>
              <w:t>Applied Multivariate Analysis</w:t>
            </w:r>
          </w:p>
        </w:tc>
        <w:tc>
          <w:tcPr>
            <w:tcW w:w="2430" w:type="dxa"/>
            <w:tcMar>
              <w:left w:w="0" w:type="dxa"/>
              <w:right w:w="0" w:type="dxa"/>
            </w:tcMar>
          </w:tcPr>
          <w:p w:rsidR="001D378B" w:rsidRPr="00743A41" w:rsidRDefault="001D378B" w:rsidP="00A37ED6">
            <w:pPr>
              <w:rPr>
                <w:rFonts w:asciiTheme="majorHAnsi" w:hAnsiTheme="majorHAnsi" w:cstheme="majorHAnsi"/>
                <w:color w:val="FF0000"/>
                <w:sz w:val="20"/>
                <w:szCs w:val="20"/>
                <w:highlight w:val="yellow"/>
              </w:rPr>
            </w:pPr>
            <w:r w:rsidRPr="00743A41">
              <w:rPr>
                <w:rFonts w:asciiTheme="majorHAnsi" w:hAnsiTheme="majorHAnsi" w:cstheme="majorHAnsi"/>
                <w:i/>
                <w:iCs/>
                <w:color w:val="000000"/>
                <w:sz w:val="20"/>
                <w:szCs w:val="20"/>
              </w:rPr>
              <w:t>MS-B1; MS-B3; MS-B4</w:t>
            </w:r>
          </w:p>
        </w:tc>
      </w:tr>
      <w:tr w:rsidR="001D378B" w:rsidRPr="00743A41" w:rsidTr="006E28EE">
        <w:tc>
          <w:tcPr>
            <w:tcW w:w="985" w:type="dxa"/>
            <w:tcMar>
              <w:left w:w="0" w:type="dxa"/>
              <w:right w:w="0" w:type="dxa"/>
            </w:tcMar>
          </w:tcPr>
          <w:p w:rsidR="001D378B" w:rsidRPr="00743A41" w:rsidRDefault="001D378B" w:rsidP="00A37ED6">
            <w:pPr>
              <w:rPr>
                <w:rFonts w:asciiTheme="majorHAnsi" w:hAnsiTheme="majorHAnsi" w:cstheme="majorHAnsi"/>
                <w:sz w:val="20"/>
                <w:szCs w:val="20"/>
                <w:highlight w:val="yellow"/>
              </w:rPr>
            </w:pPr>
            <w:r w:rsidRPr="00743A41">
              <w:rPr>
                <w:rFonts w:asciiTheme="majorHAnsi" w:hAnsiTheme="majorHAnsi" w:cstheme="majorHAnsi"/>
                <w:color w:val="000000"/>
                <w:sz w:val="20"/>
                <w:szCs w:val="20"/>
              </w:rPr>
              <w:t>PH 1830L</w:t>
            </w:r>
          </w:p>
        </w:tc>
        <w:tc>
          <w:tcPr>
            <w:tcW w:w="720" w:type="dxa"/>
          </w:tcPr>
          <w:p w:rsidR="001D378B" w:rsidRPr="00743A41" w:rsidRDefault="001D378B" w:rsidP="00A37ED6">
            <w:pPr>
              <w:jc w:val="center"/>
              <w:rPr>
                <w:rFonts w:asciiTheme="majorHAnsi" w:hAnsiTheme="majorHAnsi" w:cstheme="majorHAnsi"/>
                <w:sz w:val="20"/>
                <w:szCs w:val="20"/>
                <w:highlight w:val="yellow"/>
              </w:rPr>
            </w:pPr>
            <w:r w:rsidRPr="00743A41">
              <w:rPr>
                <w:rFonts w:asciiTheme="majorHAnsi" w:hAnsiTheme="majorHAnsi" w:cstheme="majorHAnsi"/>
                <w:color w:val="000000"/>
                <w:w w:val="99"/>
                <w:sz w:val="20"/>
                <w:szCs w:val="20"/>
              </w:rPr>
              <w:t>3</w:t>
            </w:r>
          </w:p>
        </w:tc>
        <w:tc>
          <w:tcPr>
            <w:tcW w:w="4770" w:type="dxa"/>
            <w:tcMar>
              <w:left w:w="0" w:type="dxa"/>
              <w:right w:w="0" w:type="dxa"/>
            </w:tcMar>
          </w:tcPr>
          <w:p w:rsidR="001D378B" w:rsidRPr="00743A41" w:rsidRDefault="001D378B" w:rsidP="00A37ED6">
            <w:pPr>
              <w:rPr>
                <w:rFonts w:asciiTheme="majorHAnsi" w:hAnsiTheme="majorHAnsi" w:cstheme="majorHAnsi"/>
                <w:sz w:val="20"/>
                <w:szCs w:val="20"/>
                <w:highlight w:val="yellow"/>
              </w:rPr>
            </w:pPr>
            <w:r w:rsidRPr="00743A41">
              <w:rPr>
                <w:rFonts w:asciiTheme="majorHAnsi" w:hAnsiTheme="majorHAnsi" w:cstheme="majorHAnsi"/>
                <w:color w:val="000000"/>
                <w:sz w:val="20"/>
                <w:szCs w:val="20"/>
              </w:rPr>
              <w:t>Categorical Data Analysis</w:t>
            </w:r>
          </w:p>
        </w:tc>
        <w:tc>
          <w:tcPr>
            <w:tcW w:w="2430" w:type="dxa"/>
            <w:tcMar>
              <w:left w:w="0" w:type="dxa"/>
              <w:right w:w="0" w:type="dxa"/>
            </w:tcMar>
          </w:tcPr>
          <w:p w:rsidR="001D378B" w:rsidRPr="00743A41" w:rsidRDefault="001D378B" w:rsidP="00A37ED6">
            <w:pPr>
              <w:rPr>
                <w:rFonts w:asciiTheme="majorHAnsi" w:hAnsiTheme="majorHAnsi" w:cstheme="majorHAnsi"/>
                <w:color w:val="FF0000"/>
                <w:sz w:val="20"/>
                <w:szCs w:val="20"/>
                <w:highlight w:val="yellow"/>
              </w:rPr>
            </w:pPr>
            <w:r w:rsidRPr="00743A41">
              <w:rPr>
                <w:rFonts w:asciiTheme="majorHAnsi" w:hAnsiTheme="majorHAnsi" w:cstheme="majorHAnsi"/>
                <w:i/>
                <w:iCs/>
                <w:color w:val="000000"/>
                <w:sz w:val="20"/>
                <w:szCs w:val="20"/>
              </w:rPr>
              <w:t>MS-B1; MS-B3; MS-B4</w:t>
            </w:r>
          </w:p>
        </w:tc>
      </w:tr>
      <w:tr w:rsidR="001D378B" w:rsidRPr="00743A41" w:rsidTr="006E28EE">
        <w:tc>
          <w:tcPr>
            <w:tcW w:w="985" w:type="dxa"/>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PH 1910L</w:t>
            </w:r>
          </w:p>
        </w:tc>
        <w:tc>
          <w:tcPr>
            <w:tcW w:w="720" w:type="dxa"/>
          </w:tcPr>
          <w:p w:rsidR="001D378B" w:rsidRPr="00743A41" w:rsidRDefault="001D378B" w:rsidP="00A37ED6">
            <w:pPr>
              <w:jc w:val="center"/>
              <w:rPr>
                <w:rFonts w:asciiTheme="majorHAnsi" w:hAnsiTheme="majorHAnsi" w:cstheme="majorHAnsi"/>
                <w:sz w:val="20"/>
                <w:szCs w:val="20"/>
              </w:rPr>
            </w:pPr>
            <w:r w:rsidRPr="00743A41">
              <w:rPr>
                <w:rFonts w:asciiTheme="majorHAnsi" w:hAnsiTheme="majorHAnsi" w:cstheme="majorHAnsi"/>
                <w:color w:val="000000"/>
                <w:w w:val="99"/>
                <w:sz w:val="20"/>
                <w:szCs w:val="20"/>
              </w:rPr>
              <w:t>3</w:t>
            </w:r>
          </w:p>
        </w:tc>
        <w:tc>
          <w:tcPr>
            <w:tcW w:w="4770" w:type="dxa"/>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Probability and Distribution Theory</w:t>
            </w:r>
          </w:p>
        </w:tc>
        <w:tc>
          <w:tcPr>
            <w:tcW w:w="2430" w:type="dxa"/>
            <w:tcMar>
              <w:left w:w="0" w:type="dxa"/>
              <w:right w:w="0" w:type="dxa"/>
            </w:tcMar>
          </w:tcPr>
          <w:p w:rsidR="001D378B" w:rsidRPr="00743A41" w:rsidRDefault="001D378B" w:rsidP="00A37ED6">
            <w:pPr>
              <w:rPr>
                <w:rFonts w:asciiTheme="majorHAnsi" w:hAnsiTheme="majorHAnsi" w:cstheme="majorHAnsi"/>
                <w:color w:val="FF0000"/>
                <w:sz w:val="20"/>
                <w:szCs w:val="20"/>
              </w:rPr>
            </w:pPr>
            <w:r w:rsidRPr="00743A41">
              <w:rPr>
                <w:rFonts w:asciiTheme="majorHAnsi" w:hAnsiTheme="majorHAnsi" w:cstheme="majorHAnsi"/>
                <w:i/>
                <w:iCs/>
                <w:color w:val="000000"/>
                <w:sz w:val="20"/>
                <w:szCs w:val="20"/>
              </w:rPr>
              <w:t>MS-B2</w:t>
            </w:r>
          </w:p>
        </w:tc>
      </w:tr>
      <w:tr w:rsidR="001D378B" w:rsidRPr="00743A41" w:rsidTr="006E28EE">
        <w:tc>
          <w:tcPr>
            <w:tcW w:w="985" w:type="dxa"/>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PH 1911L</w:t>
            </w:r>
          </w:p>
        </w:tc>
        <w:tc>
          <w:tcPr>
            <w:tcW w:w="720" w:type="dxa"/>
          </w:tcPr>
          <w:p w:rsidR="001D378B" w:rsidRPr="00743A41" w:rsidRDefault="001D378B" w:rsidP="00A37ED6">
            <w:pPr>
              <w:jc w:val="center"/>
              <w:rPr>
                <w:rFonts w:asciiTheme="majorHAnsi" w:hAnsiTheme="majorHAnsi" w:cstheme="majorHAnsi"/>
                <w:sz w:val="20"/>
                <w:szCs w:val="20"/>
              </w:rPr>
            </w:pPr>
            <w:r w:rsidRPr="00743A41">
              <w:rPr>
                <w:rFonts w:asciiTheme="majorHAnsi" w:hAnsiTheme="majorHAnsi" w:cstheme="majorHAnsi"/>
                <w:color w:val="000000"/>
                <w:w w:val="99"/>
                <w:sz w:val="20"/>
                <w:szCs w:val="20"/>
              </w:rPr>
              <w:t>3</w:t>
            </w:r>
          </w:p>
        </w:tc>
        <w:tc>
          <w:tcPr>
            <w:tcW w:w="4770" w:type="dxa"/>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Statistical Inference</w:t>
            </w:r>
          </w:p>
        </w:tc>
        <w:tc>
          <w:tcPr>
            <w:tcW w:w="2430" w:type="dxa"/>
            <w:tcMar>
              <w:left w:w="0" w:type="dxa"/>
              <w:right w:w="0" w:type="dxa"/>
            </w:tcMar>
          </w:tcPr>
          <w:p w:rsidR="001D378B" w:rsidRPr="00743A41" w:rsidRDefault="001D378B" w:rsidP="00A37ED6">
            <w:pPr>
              <w:rPr>
                <w:rFonts w:asciiTheme="majorHAnsi" w:hAnsiTheme="majorHAnsi" w:cstheme="majorHAnsi"/>
                <w:color w:val="FF0000"/>
                <w:sz w:val="20"/>
                <w:szCs w:val="20"/>
              </w:rPr>
            </w:pPr>
            <w:r w:rsidRPr="00743A41">
              <w:rPr>
                <w:rFonts w:asciiTheme="majorHAnsi" w:hAnsiTheme="majorHAnsi" w:cstheme="majorHAnsi"/>
                <w:i/>
                <w:iCs/>
                <w:color w:val="000000"/>
                <w:sz w:val="20"/>
                <w:szCs w:val="20"/>
              </w:rPr>
              <w:t>MS-B3</w:t>
            </w:r>
          </w:p>
        </w:tc>
      </w:tr>
      <w:tr w:rsidR="001D378B" w:rsidRPr="00743A41" w:rsidTr="006E28EE">
        <w:trPr>
          <w:trHeight w:val="70"/>
        </w:trPr>
        <w:tc>
          <w:tcPr>
            <w:tcW w:w="985" w:type="dxa"/>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PHM 2135L</w:t>
            </w:r>
          </w:p>
        </w:tc>
        <w:tc>
          <w:tcPr>
            <w:tcW w:w="720" w:type="dxa"/>
          </w:tcPr>
          <w:p w:rsidR="001D378B" w:rsidRPr="00743A41" w:rsidRDefault="001D378B" w:rsidP="00A37ED6">
            <w:pPr>
              <w:jc w:val="center"/>
              <w:rPr>
                <w:rFonts w:asciiTheme="majorHAnsi" w:hAnsiTheme="majorHAnsi" w:cstheme="majorHAnsi"/>
                <w:sz w:val="20"/>
                <w:szCs w:val="20"/>
              </w:rPr>
            </w:pPr>
            <w:r w:rsidRPr="00743A41">
              <w:rPr>
                <w:rFonts w:asciiTheme="majorHAnsi" w:hAnsiTheme="majorHAnsi" w:cstheme="majorHAnsi"/>
                <w:color w:val="000000"/>
                <w:w w:val="99"/>
                <w:sz w:val="20"/>
                <w:szCs w:val="20"/>
              </w:rPr>
              <w:t>3</w:t>
            </w:r>
          </w:p>
        </w:tc>
        <w:tc>
          <w:tcPr>
            <w:tcW w:w="4770" w:type="dxa"/>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Risk Analysis: Principles and Practice</w:t>
            </w:r>
          </w:p>
        </w:tc>
        <w:tc>
          <w:tcPr>
            <w:tcW w:w="2430" w:type="dxa"/>
            <w:tcMar>
              <w:left w:w="0" w:type="dxa"/>
              <w:right w:w="0" w:type="dxa"/>
            </w:tcMar>
          </w:tcPr>
          <w:p w:rsidR="001D378B" w:rsidRPr="00743A41" w:rsidRDefault="001D378B" w:rsidP="00A37ED6">
            <w:pPr>
              <w:rPr>
                <w:rFonts w:asciiTheme="majorHAnsi" w:hAnsiTheme="majorHAnsi" w:cstheme="majorHAnsi"/>
                <w:color w:val="FF0000"/>
                <w:sz w:val="20"/>
                <w:szCs w:val="20"/>
              </w:rPr>
            </w:pPr>
            <w:r w:rsidRPr="00743A41">
              <w:rPr>
                <w:rFonts w:asciiTheme="majorHAnsi" w:hAnsiTheme="majorHAnsi" w:cstheme="majorHAnsi"/>
                <w:i/>
                <w:iCs/>
                <w:color w:val="000000"/>
                <w:sz w:val="20"/>
                <w:szCs w:val="20"/>
              </w:rPr>
              <w:t>MPH-O1; MPH-O5</w:t>
            </w:r>
          </w:p>
        </w:tc>
      </w:tr>
      <w:tr w:rsidR="001D378B" w:rsidRPr="00743A41" w:rsidTr="006E28EE">
        <w:tc>
          <w:tcPr>
            <w:tcW w:w="985" w:type="dxa"/>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PH 2175L</w:t>
            </w:r>
          </w:p>
        </w:tc>
        <w:tc>
          <w:tcPr>
            <w:tcW w:w="720" w:type="dxa"/>
          </w:tcPr>
          <w:p w:rsidR="001D378B" w:rsidRPr="00743A41" w:rsidRDefault="001D378B" w:rsidP="00A37ED6">
            <w:pPr>
              <w:jc w:val="center"/>
              <w:rPr>
                <w:rFonts w:asciiTheme="majorHAnsi" w:hAnsiTheme="majorHAnsi" w:cstheme="majorHAnsi"/>
                <w:sz w:val="20"/>
                <w:szCs w:val="20"/>
              </w:rPr>
            </w:pPr>
            <w:r w:rsidRPr="00743A41">
              <w:rPr>
                <w:rFonts w:asciiTheme="majorHAnsi" w:hAnsiTheme="majorHAnsi" w:cstheme="majorHAnsi"/>
                <w:color w:val="000000"/>
                <w:w w:val="99"/>
                <w:sz w:val="20"/>
                <w:szCs w:val="20"/>
              </w:rPr>
              <w:t>3</w:t>
            </w:r>
          </w:p>
        </w:tc>
        <w:tc>
          <w:tcPr>
            <w:tcW w:w="4770" w:type="dxa"/>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Toxicology I: Principles of Toxicology</w:t>
            </w:r>
          </w:p>
        </w:tc>
        <w:tc>
          <w:tcPr>
            <w:tcW w:w="2430" w:type="dxa"/>
            <w:tcMar>
              <w:left w:w="0" w:type="dxa"/>
              <w:right w:w="0" w:type="dxa"/>
            </w:tcMar>
          </w:tcPr>
          <w:p w:rsidR="001D378B" w:rsidRPr="00743A41" w:rsidRDefault="001D378B" w:rsidP="00A37ED6">
            <w:pPr>
              <w:rPr>
                <w:rFonts w:asciiTheme="majorHAnsi" w:hAnsiTheme="majorHAnsi" w:cstheme="majorHAnsi"/>
                <w:color w:val="FF0000"/>
                <w:sz w:val="20"/>
                <w:szCs w:val="20"/>
              </w:rPr>
            </w:pPr>
            <w:r w:rsidRPr="00743A41">
              <w:rPr>
                <w:rFonts w:asciiTheme="majorHAnsi" w:hAnsiTheme="majorHAnsi" w:cstheme="majorHAnsi"/>
                <w:i/>
                <w:iCs/>
                <w:color w:val="000000"/>
                <w:sz w:val="20"/>
                <w:szCs w:val="20"/>
              </w:rPr>
              <w:t>MPH-O2</w:t>
            </w:r>
          </w:p>
        </w:tc>
      </w:tr>
      <w:tr w:rsidR="001D378B" w:rsidRPr="00743A41" w:rsidTr="006E28EE">
        <w:tc>
          <w:tcPr>
            <w:tcW w:w="985" w:type="dxa"/>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PH 2205L</w:t>
            </w:r>
          </w:p>
        </w:tc>
        <w:tc>
          <w:tcPr>
            <w:tcW w:w="720" w:type="dxa"/>
          </w:tcPr>
          <w:p w:rsidR="001D378B" w:rsidRPr="00743A41" w:rsidRDefault="001D378B" w:rsidP="00A37ED6">
            <w:pPr>
              <w:jc w:val="center"/>
              <w:rPr>
                <w:rFonts w:asciiTheme="majorHAnsi" w:hAnsiTheme="majorHAnsi" w:cstheme="majorHAnsi"/>
                <w:sz w:val="20"/>
                <w:szCs w:val="20"/>
              </w:rPr>
            </w:pPr>
            <w:r w:rsidRPr="00743A41">
              <w:rPr>
                <w:rFonts w:asciiTheme="majorHAnsi" w:hAnsiTheme="majorHAnsi" w:cstheme="majorHAnsi"/>
                <w:color w:val="000000"/>
                <w:w w:val="99"/>
                <w:sz w:val="20"/>
                <w:szCs w:val="20"/>
              </w:rPr>
              <w:t>3</w:t>
            </w:r>
          </w:p>
        </w:tc>
        <w:tc>
          <w:tcPr>
            <w:tcW w:w="4770" w:type="dxa"/>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Health and Safety Program Management and Leadership</w:t>
            </w:r>
          </w:p>
        </w:tc>
        <w:tc>
          <w:tcPr>
            <w:tcW w:w="2430" w:type="dxa"/>
            <w:tcMar>
              <w:left w:w="0" w:type="dxa"/>
              <w:right w:w="0" w:type="dxa"/>
            </w:tcMar>
          </w:tcPr>
          <w:p w:rsidR="001D378B" w:rsidRPr="00743A41" w:rsidRDefault="001D378B" w:rsidP="00A37ED6">
            <w:pPr>
              <w:rPr>
                <w:rFonts w:asciiTheme="majorHAnsi" w:hAnsiTheme="majorHAnsi" w:cstheme="majorHAnsi"/>
                <w:color w:val="FF0000"/>
                <w:sz w:val="20"/>
                <w:szCs w:val="20"/>
              </w:rPr>
            </w:pPr>
            <w:r w:rsidRPr="00743A41">
              <w:rPr>
                <w:rFonts w:asciiTheme="majorHAnsi" w:hAnsiTheme="majorHAnsi" w:cstheme="majorHAnsi"/>
                <w:i/>
                <w:iCs/>
                <w:color w:val="000000"/>
                <w:sz w:val="20"/>
                <w:szCs w:val="20"/>
              </w:rPr>
              <w:t>MPH-O3; MPH-O4</w:t>
            </w:r>
          </w:p>
        </w:tc>
      </w:tr>
      <w:tr w:rsidR="001D378B" w:rsidRPr="00743A41" w:rsidTr="006E28EE">
        <w:tc>
          <w:tcPr>
            <w:tcW w:w="985" w:type="dxa"/>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PH 2615L</w:t>
            </w:r>
          </w:p>
        </w:tc>
        <w:tc>
          <w:tcPr>
            <w:tcW w:w="720" w:type="dxa"/>
          </w:tcPr>
          <w:p w:rsidR="001D378B" w:rsidRPr="00743A41" w:rsidRDefault="001D378B" w:rsidP="00A37ED6">
            <w:pPr>
              <w:jc w:val="center"/>
              <w:rPr>
                <w:rFonts w:asciiTheme="majorHAnsi" w:hAnsiTheme="majorHAnsi" w:cstheme="majorHAnsi"/>
                <w:sz w:val="20"/>
                <w:szCs w:val="20"/>
              </w:rPr>
            </w:pPr>
            <w:r w:rsidRPr="00743A41">
              <w:rPr>
                <w:rFonts w:asciiTheme="majorHAnsi" w:hAnsiTheme="majorHAnsi" w:cstheme="majorHAnsi"/>
                <w:color w:val="000000"/>
                <w:w w:val="99"/>
                <w:sz w:val="20"/>
                <w:szCs w:val="20"/>
              </w:rPr>
              <w:t>3</w:t>
            </w:r>
          </w:p>
        </w:tc>
        <w:tc>
          <w:tcPr>
            <w:tcW w:w="4770" w:type="dxa"/>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Epidemiology II</w:t>
            </w:r>
          </w:p>
        </w:tc>
        <w:tc>
          <w:tcPr>
            <w:tcW w:w="2430" w:type="dxa"/>
            <w:tcMar>
              <w:left w:w="0" w:type="dxa"/>
              <w:right w:w="0" w:type="dxa"/>
            </w:tcMar>
          </w:tcPr>
          <w:p w:rsidR="001D378B" w:rsidRPr="00743A41" w:rsidRDefault="001D378B" w:rsidP="00A37ED6">
            <w:pPr>
              <w:rPr>
                <w:rFonts w:asciiTheme="majorHAnsi" w:hAnsiTheme="majorHAnsi" w:cstheme="majorHAnsi"/>
                <w:color w:val="FF0000"/>
                <w:sz w:val="20"/>
                <w:szCs w:val="20"/>
              </w:rPr>
            </w:pPr>
            <w:r w:rsidRPr="00743A41">
              <w:rPr>
                <w:rFonts w:asciiTheme="majorHAnsi" w:hAnsiTheme="majorHAnsi" w:cstheme="majorHAnsi"/>
                <w:i/>
                <w:iCs/>
                <w:color w:val="000000"/>
                <w:sz w:val="20"/>
                <w:szCs w:val="20"/>
              </w:rPr>
              <w:t xml:space="preserve">MPH-E1; MPH-E2; MPH-E3; MPH-E4; MPH-E5 </w:t>
            </w:r>
          </w:p>
        </w:tc>
      </w:tr>
      <w:tr w:rsidR="001D378B" w:rsidRPr="00743A41" w:rsidTr="006E28EE">
        <w:tc>
          <w:tcPr>
            <w:tcW w:w="985" w:type="dxa"/>
            <w:tcBorders>
              <w:top w:val="single" w:sz="4" w:space="0" w:color="auto"/>
            </w:tcBorders>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PH 2710L</w:t>
            </w:r>
          </w:p>
        </w:tc>
        <w:tc>
          <w:tcPr>
            <w:tcW w:w="720" w:type="dxa"/>
            <w:tcBorders>
              <w:top w:val="single" w:sz="4" w:space="0" w:color="auto"/>
            </w:tcBorders>
          </w:tcPr>
          <w:p w:rsidR="001D378B" w:rsidRPr="00743A41" w:rsidRDefault="001D378B" w:rsidP="00A37ED6">
            <w:pPr>
              <w:jc w:val="center"/>
              <w:rPr>
                <w:rFonts w:asciiTheme="majorHAnsi" w:hAnsiTheme="majorHAnsi" w:cstheme="majorHAnsi"/>
                <w:sz w:val="20"/>
                <w:szCs w:val="20"/>
              </w:rPr>
            </w:pPr>
            <w:r w:rsidRPr="00743A41">
              <w:rPr>
                <w:rFonts w:asciiTheme="majorHAnsi" w:hAnsiTheme="majorHAnsi" w:cstheme="majorHAnsi"/>
                <w:color w:val="000000"/>
                <w:w w:val="99"/>
                <w:sz w:val="20"/>
                <w:szCs w:val="20"/>
              </w:rPr>
              <w:t>3</w:t>
            </w:r>
          </w:p>
        </w:tc>
        <w:tc>
          <w:tcPr>
            <w:tcW w:w="4770" w:type="dxa"/>
            <w:tcBorders>
              <w:top w:val="single" w:sz="4" w:space="0" w:color="auto"/>
            </w:tcBorders>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Epidemiology III</w:t>
            </w:r>
          </w:p>
        </w:tc>
        <w:tc>
          <w:tcPr>
            <w:tcW w:w="2430" w:type="dxa"/>
            <w:tcBorders>
              <w:top w:val="single" w:sz="4" w:space="0" w:color="auto"/>
            </w:tcBorders>
            <w:tcMar>
              <w:left w:w="0" w:type="dxa"/>
              <w:right w:w="0" w:type="dxa"/>
            </w:tcMar>
          </w:tcPr>
          <w:p w:rsidR="001D378B" w:rsidRPr="00743A41" w:rsidRDefault="001D378B" w:rsidP="00A37ED6">
            <w:pPr>
              <w:rPr>
                <w:rFonts w:asciiTheme="majorHAnsi" w:hAnsiTheme="majorHAnsi" w:cstheme="majorHAnsi"/>
                <w:color w:val="FF0000"/>
                <w:sz w:val="20"/>
                <w:szCs w:val="20"/>
              </w:rPr>
            </w:pPr>
            <w:r w:rsidRPr="00743A41">
              <w:rPr>
                <w:rFonts w:asciiTheme="majorHAnsi" w:hAnsiTheme="majorHAnsi" w:cstheme="majorHAnsi"/>
                <w:i/>
                <w:iCs/>
                <w:color w:val="000000"/>
                <w:sz w:val="20"/>
                <w:szCs w:val="20"/>
              </w:rPr>
              <w:t>MPH-E2; MPH-E3; MPH-E5</w:t>
            </w:r>
          </w:p>
        </w:tc>
      </w:tr>
      <w:tr w:rsidR="001D378B" w:rsidRPr="00743A41" w:rsidTr="006E28EE">
        <w:trPr>
          <w:trHeight w:val="70"/>
        </w:trPr>
        <w:tc>
          <w:tcPr>
            <w:tcW w:w="985"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PHW 2740L</w:t>
            </w:r>
          </w:p>
        </w:tc>
        <w:tc>
          <w:tcPr>
            <w:tcW w:w="720" w:type="dxa"/>
            <w:tcBorders>
              <w:bottom w:val="single" w:sz="4" w:space="0" w:color="auto"/>
            </w:tcBorders>
          </w:tcPr>
          <w:p w:rsidR="001D378B" w:rsidRPr="00743A41" w:rsidRDefault="001D378B" w:rsidP="00A37ED6">
            <w:pPr>
              <w:jc w:val="center"/>
              <w:rPr>
                <w:rFonts w:asciiTheme="majorHAnsi" w:hAnsiTheme="majorHAnsi" w:cstheme="majorHAnsi"/>
                <w:sz w:val="20"/>
                <w:szCs w:val="20"/>
              </w:rPr>
            </w:pPr>
            <w:r w:rsidRPr="00743A41">
              <w:rPr>
                <w:rFonts w:asciiTheme="majorHAnsi" w:hAnsiTheme="majorHAnsi" w:cstheme="majorHAnsi"/>
                <w:color w:val="000000"/>
                <w:w w:val="99"/>
                <w:sz w:val="20"/>
                <w:szCs w:val="20"/>
              </w:rPr>
              <w:t>3</w:t>
            </w:r>
          </w:p>
        </w:tc>
        <w:tc>
          <w:tcPr>
            <w:tcW w:w="4770"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Cardiovascular Disease Epidemiology and Prevention</w:t>
            </w:r>
          </w:p>
        </w:tc>
        <w:tc>
          <w:tcPr>
            <w:tcW w:w="2430"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color w:val="FF0000"/>
                <w:sz w:val="20"/>
                <w:szCs w:val="20"/>
              </w:rPr>
            </w:pPr>
            <w:r w:rsidRPr="00743A41">
              <w:rPr>
                <w:rFonts w:asciiTheme="majorHAnsi" w:hAnsiTheme="majorHAnsi" w:cstheme="majorHAnsi"/>
                <w:i/>
                <w:iCs/>
                <w:color w:val="000000"/>
                <w:sz w:val="20"/>
                <w:szCs w:val="20"/>
              </w:rPr>
              <w:t>MPH-E2; MPH-E3; MPH-E5</w:t>
            </w:r>
          </w:p>
        </w:tc>
      </w:tr>
      <w:tr w:rsidR="001D378B" w:rsidRPr="00743A41" w:rsidTr="006E28EE">
        <w:tc>
          <w:tcPr>
            <w:tcW w:w="985"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PHW 2765L</w:t>
            </w:r>
          </w:p>
        </w:tc>
        <w:tc>
          <w:tcPr>
            <w:tcW w:w="720" w:type="dxa"/>
            <w:tcBorders>
              <w:bottom w:val="single" w:sz="4" w:space="0" w:color="auto"/>
            </w:tcBorders>
          </w:tcPr>
          <w:p w:rsidR="001D378B" w:rsidRPr="00743A41" w:rsidRDefault="001D378B" w:rsidP="00A37ED6">
            <w:pPr>
              <w:jc w:val="center"/>
              <w:rPr>
                <w:rFonts w:asciiTheme="majorHAnsi" w:hAnsiTheme="majorHAnsi" w:cstheme="majorHAnsi"/>
                <w:sz w:val="20"/>
                <w:szCs w:val="20"/>
              </w:rPr>
            </w:pPr>
            <w:r w:rsidRPr="00743A41">
              <w:rPr>
                <w:rFonts w:asciiTheme="majorHAnsi" w:hAnsiTheme="majorHAnsi" w:cstheme="majorHAnsi"/>
                <w:color w:val="000000"/>
                <w:w w:val="99"/>
                <w:sz w:val="20"/>
                <w:szCs w:val="20"/>
              </w:rPr>
              <w:t>3</w:t>
            </w:r>
          </w:p>
        </w:tc>
        <w:tc>
          <w:tcPr>
            <w:tcW w:w="4770"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Pediatric Epidemiology</w:t>
            </w:r>
          </w:p>
        </w:tc>
        <w:tc>
          <w:tcPr>
            <w:tcW w:w="2430"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color w:val="FF0000"/>
                <w:sz w:val="20"/>
                <w:szCs w:val="20"/>
              </w:rPr>
            </w:pPr>
            <w:r w:rsidRPr="00743A41">
              <w:rPr>
                <w:rFonts w:asciiTheme="majorHAnsi" w:hAnsiTheme="majorHAnsi" w:cstheme="majorHAnsi"/>
                <w:i/>
                <w:iCs/>
                <w:color w:val="000000"/>
                <w:sz w:val="20"/>
                <w:szCs w:val="20"/>
              </w:rPr>
              <w:t>MPH-E2; MPH-E3; MPH-</w:t>
            </w:r>
            <w:r w:rsidR="00003EDB" w:rsidRPr="00743A41">
              <w:rPr>
                <w:rFonts w:asciiTheme="majorHAnsi" w:hAnsiTheme="majorHAnsi" w:cstheme="majorHAnsi"/>
                <w:i/>
                <w:iCs/>
                <w:color w:val="000000"/>
                <w:sz w:val="20"/>
                <w:szCs w:val="20"/>
              </w:rPr>
              <w:t>E5</w:t>
            </w:r>
          </w:p>
        </w:tc>
      </w:tr>
      <w:tr w:rsidR="001D378B" w:rsidRPr="00743A41" w:rsidTr="006E28EE">
        <w:tc>
          <w:tcPr>
            <w:tcW w:w="985" w:type="dxa"/>
            <w:tcBorders>
              <w:bottom w:val="single" w:sz="4" w:space="0" w:color="auto"/>
            </w:tcBorders>
            <w:shd w:val="clear" w:color="auto" w:fill="auto"/>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PHW 2795L</w:t>
            </w:r>
          </w:p>
        </w:tc>
        <w:tc>
          <w:tcPr>
            <w:tcW w:w="720" w:type="dxa"/>
            <w:tcBorders>
              <w:bottom w:val="single" w:sz="4" w:space="0" w:color="auto"/>
            </w:tcBorders>
            <w:shd w:val="clear" w:color="auto" w:fill="auto"/>
          </w:tcPr>
          <w:p w:rsidR="001D378B" w:rsidRPr="00743A41" w:rsidRDefault="001D378B" w:rsidP="00A37ED6">
            <w:pPr>
              <w:jc w:val="center"/>
              <w:rPr>
                <w:rFonts w:asciiTheme="majorHAnsi" w:hAnsiTheme="majorHAnsi" w:cstheme="majorHAnsi"/>
                <w:sz w:val="20"/>
                <w:szCs w:val="20"/>
              </w:rPr>
            </w:pPr>
            <w:r w:rsidRPr="00743A41">
              <w:rPr>
                <w:rFonts w:asciiTheme="majorHAnsi" w:hAnsiTheme="majorHAnsi" w:cstheme="majorHAnsi"/>
                <w:color w:val="000000"/>
                <w:w w:val="99"/>
                <w:sz w:val="20"/>
                <w:szCs w:val="20"/>
              </w:rPr>
              <w:t>3</w:t>
            </w:r>
          </w:p>
        </w:tc>
        <w:tc>
          <w:tcPr>
            <w:tcW w:w="4770" w:type="dxa"/>
            <w:tcBorders>
              <w:bottom w:val="single" w:sz="4" w:space="0" w:color="auto"/>
            </w:tcBorders>
            <w:shd w:val="clear" w:color="auto" w:fill="auto"/>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Disease Detectives</w:t>
            </w:r>
          </w:p>
        </w:tc>
        <w:tc>
          <w:tcPr>
            <w:tcW w:w="2430" w:type="dxa"/>
            <w:tcBorders>
              <w:bottom w:val="single" w:sz="4" w:space="0" w:color="auto"/>
            </w:tcBorders>
            <w:shd w:val="clear" w:color="auto" w:fill="auto"/>
            <w:tcMar>
              <w:left w:w="0" w:type="dxa"/>
              <w:right w:w="0" w:type="dxa"/>
            </w:tcMar>
          </w:tcPr>
          <w:p w:rsidR="001D378B" w:rsidRPr="00743A41" w:rsidRDefault="001D378B" w:rsidP="00A37ED6">
            <w:pPr>
              <w:rPr>
                <w:rFonts w:asciiTheme="majorHAnsi" w:hAnsiTheme="majorHAnsi" w:cstheme="majorHAnsi"/>
                <w:color w:val="FF0000"/>
                <w:sz w:val="20"/>
                <w:szCs w:val="20"/>
              </w:rPr>
            </w:pPr>
            <w:r w:rsidRPr="00743A41">
              <w:rPr>
                <w:rFonts w:asciiTheme="majorHAnsi" w:hAnsiTheme="majorHAnsi" w:cstheme="majorHAnsi"/>
                <w:i/>
                <w:iCs/>
                <w:color w:val="000000"/>
                <w:sz w:val="20"/>
                <w:szCs w:val="20"/>
              </w:rPr>
              <w:t>MPH-E1; MPH-E2; MPH-E3; MPH-E4; MPH-E5</w:t>
            </w:r>
          </w:p>
        </w:tc>
      </w:tr>
      <w:tr w:rsidR="001D378B" w:rsidRPr="00743A41" w:rsidTr="006E28EE">
        <w:tc>
          <w:tcPr>
            <w:tcW w:w="985"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PH 2858L</w:t>
            </w:r>
          </w:p>
        </w:tc>
        <w:tc>
          <w:tcPr>
            <w:tcW w:w="720" w:type="dxa"/>
            <w:tcBorders>
              <w:bottom w:val="single" w:sz="4" w:space="0" w:color="auto"/>
            </w:tcBorders>
          </w:tcPr>
          <w:p w:rsidR="001D378B" w:rsidRPr="00743A41" w:rsidRDefault="001D378B" w:rsidP="00A37ED6">
            <w:pPr>
              <w:jc w:val="center"/>
              <w:rPr>
                <w:rFonts w:asciiTheme="majorHAnsi" w:hAnsiTheme="majorHAnsi" w:cstheme="majorHAnsi"/>
                <w:sz w:val="20"/>
                <w:szCs w:val="20"/>
              </w:rPr>
            </w:pPr>
            <w:r w:rsidRPr="00743A41">
              <w:rPr>
                <w:rFonts w:asciiTheme="majorHAnsi" w:hAnsiTheme="majorHAnsi" w:cstheme="majorHAnsi"/>
                <w:color w:val="000000"/>
                <w:w w:val="99"/>
                <w:sz w:val="20"/>
                <w:szCs w:val="20"/>
              </w:rPr>
              <w:t>3</w:t>
            </w:r>
          </w:p>
        </w:tc>
        <w:tc>
          <w:tcPr>
            <w:tcW w:w="4770"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Quantitative Analysis for Public Health Research and Practice</w:t>
            </w:r>
          </w:p>
        </w:tc>
        <w:tc>
          <w:tcPr>
            <w:tcW w:w="2430"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color w:val="FF0000"/>
                <w:sz w:val="20"/>
                <w:szCs w:val="20"/>
              </w:rPr>
            </w:pPr>
            <w:r w:rsidRPr="00743A41">
              <w:rPr>
                <w:rFonts w:asciiTheme="majorHAnsi" w:hAnsiTheme="majorHAnsi" w:cstheme="majorHAnsi"/>
                <w:i/>
                <w:iCs/>
                <w:color w:val="000000"/>
                <w:sz w:val="20"/>
                <w:szCs w:val="20"/>
              </w:rPr>
              <w:t>MPH-E1</w:t>
            </w:r>
          </w:p>
        </w:tc>
      </w:tr>
      <w:tr w:rsidR="001D378B" w:rsidRPr="00743A41" w:rsidTr="006E28EE">
        <w:tc>
          <w:tcPr>
            <w:tcW w:w="985"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PHM 3620L</w:t>
            </w:r>
          </w:p>
        </w:tc>
        <w:tc>
          <w:tcPr>
            <w:tcW w:w="720" w:type="dxa"/>
            <w:tcBorders>
              <w:bottom w:val="single" w:sz="4" w:space="0" w:color="auto"/>
            </w:tcBorders>
          </w:tcPr>
          <w:p w:rsidR="001D378B" w:rsidRPr="00743A41" w:rsidRDefault="001D378B" w:rsidP="00A37ED6">
            <w:pPr>
              <w:jc w:val="center"/>
              <w:rPr>
                <w:rFonts w:asciiTheme="majorHAnsi" w:hAnsiTheme="majorHAnsi" w:cstheme="majorHAnsi"/>
                <w:sz w:val="20"/>
                <w:szCs w:val="20"/>
              </w:rPr>
            </w:pPr>
            <w:r w:rsidRPr="00743A41">
              <w:rPr>
                <w:rFonts w:asciiTheme="majorHAnsi" w:hAnsiTheme="majorHAnsi" w:cstheme="majorHAnsi"/>
                <w:color w:val="000000"/>
                <w:w w:val="99"/>
                <w:sz w:val="20"/>
                <w:szCs w:val="20"/>
              </w:rPr>
              <w:t>4</w:t>
            </w:r>
          </w:p>
        </w:tc>
        <w:tc>
          <w:tcPr>
            <w:tcW w:w="4770"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Principles and Practice of Public Health</w:t>
            </w:r>
          </w:p>
        </w:tc>
        <w:tc>
          <w:tcPr>
            <w:tcW w:w="2430"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color w:val="FF0000"/>
                <w:sz w:val="20"/>
                <w:szCs w:val="20"/>
              </w:rPr>
            </w:pPr>
            <w:r w:rsidRPr="00743A41">
              <w:rPr>
                <w:rFonts w:asciiTheme="majorHAnsi" w:hAnsiTheme="majorHAnsi" w:cstheme="majorHAnsi"/>
                <w:i/>
                <w:iCs/>
                <w:color w:val="000000"/>
                <w:sz w:val="20"/>
                <w:szCs w:val="20"/>
              </w:rPr>
              <w:t>MPH-C2; MPH-C4</w:t>
            </w:r>
          </w:p>
        </w:tc>
      </w:tr>
      <w:tr w:rsidR="001D378B" w:rsidRPr="00743A41" w:rsidTr="006E28EE">
        <w:tc>
          <w:tcPr>
            <w:tcW w:w="985" w:type="dxa"/>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PHM 3630</w:t>
            </w:r>
          </w:p>
        </w:tc>
        <w:tc>
          <w:tcPr>
            <w:tcW w:w="720" w:type="dxa"/>
          </w:tcPr>
          <w:p w:rsidR="001D378B" w:rsidRPr="00743A41" w:rsidRDefault="001D378B" w:rsidP="00A37ED6">
            <w:pPr>
              <w:jc w:val="center"/>
              <w:rPr>
                <w:rFonts w:asciiTheme="majorHAnsi" w:hAnsiTheme="majorHAnsi" w:cstheme="majorHAnsi"/>
                <w:sz w:val="20"/>
                <w:szCs w:val="20"/>
              </w:rPr>
            </w:pPr>
            <w:r w:rsidRPr="00743A41">
              <w:rPr>
                <w:rFonts w:asciiTheme="majorHAnsi" w:hAnsiTheme="majorHAnsi" w:cstheme="majorHAnsi"/>
                <w:color w:val="000000"/>
                <w:w w:val="99"/>
                <w:sz w:val="20"/>
                <w:szCs w:val="20"/>
              </w:rPr>
              <w:t>3</w:t>
            </w:r>
          </w:p>
        </w:tc>
        <w:tc>
          <w:tcPr>
            <w:tcW w:w="4770" w:type="dxa"/>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Health Program Planning, Implementation and Evaluation</w:t>
            </w:r>
          </w:p>
        </w:tc>
        <w:tc>
          <w:tcPr>
            <w:tcW w:w="2430" w:type="dxa"/>
            <w:tcMar>
              <w:left w:w="0" w:type="dxa"/>
              <w:right w:w="0" w:type="dxa"/>
            </w:tcMar>
          </w:tcPr>
          <w:p w:rsidR="001D378B" w:rsidRPr="00743A41" w:rsidRDefault="001D378B" w:rsidP="00A37ED6">
            <w:pPr>
              <w:rPr>
                <w:rFonts w:asciiTheme="majorHAnsi" w:hAnsiTheme="majorHAnsi" w:cstheme="majorHAnsi"/>
                <w:color w:val="FF0000"/>
                <w:sz w:val="20"/>
                <w:szCs w:val="20"/>
              </w:rPr>
            </w:pPr>
            <w:r w:rsidRPr="00743A41">
              <w:rPr>
                <w:rFonts w:asciiTheme="majorHAnsi" w:hAnsiTheme="majorHAnsi" w:cstheme="majorHAnsi"/>
                <w:i/>
                <w:iCs/>
                <w:color w:val="000000"/>
                <w:sz w:val="20"/>
                <w:szCs w:val="20"/>
              </w:rPr>
              <w:t>MPH-C1</w:t>
            </w:r>
          </w:p>
        </w:tc>
      </w:tr>
      <w:tr w:rsidR="001D378B" w:rsidRPr="00743A41" w:rsidTr="006E28EE">
        <w:tc>
          <w:tcPr>
            <w:tcW w:w="985"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PHM 3718L</w:t>
            </w:r>
          </w:p>
        </w:tc>
        <w:tc>
          <w:tcPr>
            <w:tcW w:w="720" w:type="dxa"/>
            <w:tcBorders>
              <w:bottom w:val="single" w:sz="4" w:space="0" w:color="auto"/>
            </w:tcBorders>
          </w:tcPr>
          <w:p w:rsidR="001D378B" w:rsidRPr="00743A41" w:rsidRDefault="001D378B" w:rsidP="00A37ED6">
            <w:pPr>
              <w:jc w:val="center"/>
              <w:rPr>
                <w:rFonts w:asciiTheme="majorHAnsi" w:hAnsiTheme="majorHAnsi" w:cstheme="majorHAnsi"/>
                <w:sz w:val="20"/>
                <w:szCs w:val="20"/>
              </w:rPr>
            </w:pPr>
            <w:r w:rsidRPr="00743A41">
              <w:rPr>
                <w:rFonts w:asciiTheme="majorHAnsi" w:hAnsiTheme="majorHAnsi" w:cstheme="majorHAnsi"/>
                <w:color w:val="000000"/>
                <w:w w:val="99"/>
                <w:sz w:val="20"/>
                <w:szCs w:val="20"/>
              </w:rPr>
              <w:t>2</w:t>
            </w:r>
          </w:p>
        </w:tc>
        <w:tc>
          <w:tcPr>
            <w:tcW w:w="4770"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Accounting for Healthcare Management</w:t>
            </w:r>
          </w:p>
        </w:tc>
        <w:tc>
          <w:tcPr>
            <w:tcW w:w="2430"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color w:val="FF0000"/>
                <w:sz w:val="20"/>
                <w:szCs w:val="20"/>
              </w:rPr>
            </w:pPr>
            <w:r w:rsidRPr="00743A41">
              <w:rPr>
                <w:rFonts w:asciiTheme="majorHAnsi" w:hAnsiTheme="majorHAnsi" w:cstheme="majorHAnsi"/>
                <w:i/>
                <w:iCs/>
                <w:color w:val="000000"/>
                <w:sz w:val="20"/>
                <w:szCs w:val="20"/>
              </w:rPr>
              <w:t>MPH-M3</w:t>
            </w:r>
          </w:p>
        </w:tc>
      </w:tr>
      <w:tr w:rsidR="001D378B" w:rsidRPr="00743A41" w:rsidTr="006E28EE">
        <w:tc>
          <w:tcPr>
            <w:tcW w:w="985"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PHM 3720L</w:t>
            </w:r>
          </w:p>
        </w:tc>
        <w:tc>
          <w:tcPr>
            <w:tcW w:w="720" w:type="dxa"/>
            <w:tcBorders>
              <w:bottom w:val="single" w:sz="4" w:space="0" w:color="auto"/>
            </w:tcBorders>
          </w:tcPr>
          <w:p w:rsidR="001D378B" w:rsidRPr="00743A41" w:rsidRDefault="001D378B" w:rsidP="00A37ED6">
            <w:pPr>
              <w:jc w:val="center"/>
              <w:rPr>
                <w:rFonts w:asciiTheme="majorHAnsi" w:hAnsiTheme="majorHAnsi" w:cstheme="majorHAnsi"/>
                <w:sz w:val="20"/>
                <w:szCs w:val="20"/>
              </w:rPr>
            </w:pPr>
            <w:r w:rsidRPr="00743A41">
              <w:rPr>
                <w:rFonts w:asciiTheme="majorHAnsi" w:hAnsiTheme="majorHAnsi" w:cstheme="majorHAnsi"/>
                <w:color w:val="000000"/>
                <w:w w:val="99"/>
                <w:sz w:val="20"/>
                <w:szCs w:val="20"/>
              </w:rPr>
              <w:t>2</w:t>
            </w:r>
          </w:p>
        </w:tc>
        <w:tc>
          <w:tcPr>
            <w:tcW w:w="4770"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Healthcare Finance</w:t>
            </w:r>
          </w:p>
        </w:tc>
        <w:tc>
          <w:tcPr>
            <w:tcW w:w="2430"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color w:val="FF0000"/>
                <w:sz w:val="20"/>
                <w:szCs w:val="20"/>
              </w:rPr>
            </w:pPr>
            <w:r w:rsidRPr="00743A41">
              <w:rPr>
                <w:rFonts w:asciiTheme="majorHAnsi" w:hAnsiTheme="majorHAnsi" w:cstheme="majorHAnsi"/>
                <w:i/>
                <w:iCs/>
                <w:color w:val="000000"/>
                <w:sz w:val="20"/>
                <w:szCs w:val="20"/>
              </w:rPr>
              <w:t>MPH-M3</w:t>
            </w:r>
          </w:p>
        </w:tc>
      </w:tr>
      <w:tr w:rsidR="001D378B" w:rsidRPr="00743A41" w:rsidTr="006E28EE">
        <w:tc>
          <w:tcPr>
            <w:tcW w:w="985"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PH 3735L</w:t>
            </w:r>
          </w:p>
        </w:tc>
        <w:tc>
          <w:tcPr>
            <w:tcW w:w="720" w:type="dxa"/>
            <w:tcBorders>
              <w:bottom w:val="single" w:sz="4" w:space="0" w:color="auto"/>
            </w:tcBorders>
          </w:tcPr>
          <w:p w:rsidR="001D378B" w:rsidRPr="00743A41" w:rsidRDefault="001D378B" w:rsidP="00A37ED6">
            <w:pPr>
              <w:jc w:val="center"/>
              <w:rPr>
                <w:rFonts w:asciiTheme="majorHAnsi" w:hAnsiTheme="majorHAnsi" w:cstheme="majorHAnsi"/>
                <w:sz w:val="20"/>
                <w:szCs w:val="20"/>
              </w:rPr>
            </w:pPr>
            <w:r w:rsidRPr="00743A41">
              <w:rPr>
                <w:rFonts w:asciiTheme="majorHAnsi" w:hAnsiTheme="majorHAnsi" w:cstheme="majorHAnsi"/>
                <w:color w:val="000000"/>
                <w:w w:val="99"/>
                <w:sz w:val="20"/>
                <w:szCs w:val="20"/>
              </w:rPr>
              <w:t>3</w:t>
            </w:r>
          </w:p>
        </w:tc>
        <w:tc>
          <w:tcPr>
            <w:tcW w:w="4770"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Healthcare Strategic Management</w:t>
            </w:r>
          </w:p>
        </w:tc>
        <w:tc>
          <w:tcPr>
            <w:tcW w:w="2430"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color w:val="FF0000"/>
                <w:sz w:val="20"/>
                <w:szCs w:val="20"/>
              </w:rPr>
            </w:pPr>
            <w:r w:rsidRPr="00743A41">
              <w:rPr>
                <w:rFonts w:asciiTheme="majorHAnsi" w:hAnsiTheme="majorHAnsi" w:cstheme="majorHAnsi"/>
                <w:i/>
                <w:iCs/>
                <w:color w:val="000000"/>
                <w:sz w:val="20"/>
                <w:szCs w:val="20"/>
              </w:rPr>
              <w:t>MPH-M1; MPH-M2</w:t>
            </w:r>
          </w:p>
        </w:tc>
      </w:tr>
      <w:tr w:rsidR="001D378B" w:rsidRPr="00743A41" w:rsidTr="006E28EE">
        <w:tc>
          <w:tcPr>
            <w:tcW w:w="985" w:type="dxa"/>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PH 3738L</w:t>
            </w:r>
          </w:p>
        </w:tc>
        <w:tc>
          <w:tcPr>
            <w:tcW w:w="720" w:type="dxa"/>
          </w:tcPr>
          <w:p w:rsidR="001D378B" w:rsidRPr="00743A41" w:rsidRDefault="001D378B" w:rsidP="00A37ED6">
            <w:pPr>
              <w:jc w:val="center"/>
              <w:rPr>
                <w:rFonts w:asciiTheme="majorHAnsi" w:hAnsiTheme="majorHAnsi" w:cstheme="majorHAnsi"/>
                <w:sz w:val="20"/>
                <w:szCs w:val="20"/>
              </w:rPr>
            </w:pPr>
            <w:r w:rsidRPr="00743A41">
              <w:rPr>
                <w:rFonts w:asciiTheme="majorHAnsi" w:hAnsiTheme="majorHAnsi" w:cstheme="majorHAnsi"/>
                <w:color w:val="000000"/>
                <w:w w:val="99"/>
                <w:sz w:val="20"/>
                <w:szCs w:val="20"/>
              </w:rPr>
              <w:t>3</w:t>
            </w:r>
          </w:p>
        </w:tc>
        <w:tc>
          <w:tcPr>
            <w:tcW w:w="4770" w:type="dxa"/>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Legal Issues in Healthcare</w:t>
            </w:r>
          </w:p>
        </w:tc>
        <w:tc>
          <w:tcPr>
            <w:tcW w:w="2430" w:type="dxa"/>
            <w:tcMar>
              <w:left w:w="0" w:type="dxa"/>
              <w:right w:w="0" w:type="dxa"/>
            </w:tcMar>
          </w:tcPr>
          <w:p w:rsidR="001D378B" w:rsidRPr="00743A41" w:rsidRDefault="001D378B" w:rsidP="00A37ED6">
            <w:pPr>
              <w:rPr>
                <w:rFonts w:asciiTheme="majorHAnsi" w:hAnsiTheme="majorHAnsi" w:cstheme="majorHAnsi"/>
                <w:color w:val="FF0000"/>
                <w:sz w:val="20"/>
                <w:szCs w:val="20"/>
              </w:rPr>
            </w:pPr>
            <w:r w:rsidRPr="00743A41">
              <w:rPr>
                <w:rFonts w:asciiTheme="majorHAnsi" w:hAnsiTheme="majorHAnsi" w:cstheme="majorHAnsi"/>
                <w:i/>
                <w:iCs/>
                <w:color w:val="000000"/>
                <w:sz w:val="20"/>
                <w:szCs w:val="20"/>
              </w:rPr>
              <w:t>MPH-M4</w:t>
            </w:r>
          </w:p>
        </w:tc>
      </w:tr>
      <w:tr w:rsidR="001D378B" w:rsidRPr="00743A41" w:rsidTr="006E28EE">
        <w:tc>
          <w:tcPr>
            <w:tcW w:w="985" w:type="dxa"/>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PHM 3744</w:t>
            </w:r>
          </w:p>
        </w:tc>
        <w:tc>
          <w:tcPr>
            <w:tcW w:w="720" w:type="dxa"/>
          </w:tcPr>
          <w:p w:rsidR="001D378B" w:rsidRPr="00743A41" w:rsidRDefault="001D378B" w:rsidP="00A37ED6">
            <w:pPr>
              <w:jc w:val="center"/>
              <w:rPr>
                <w:rFonts w:asciiTheme="majorHAnsi" w:hAnsiTheme="majorHAnsi" w:cstheme="majorHAnsi"/>
                <w:sz w:val="20"/>
                <w:szCs w:val="20"/>
              </w:rPr>
            </w:pPr>
            <w:r w:rsidRPr="00743A41">
              <w:rPr>
                <w:rFonts w:asciiTheme="majorHAnsi" w:hAnsiTheme="majorHAnsi" w:cstheme="majorHAnsi"/>
                <w:color w:val="000000"/>
                <w:w w:val="99"/>
                <w:sz w:val="20"/>
                <w:szCs w:val="20"/>
              </w:rPr>
              <w:t>3</w:t>
            </w:r>
          </w:p>
        </w:tc>
        <w:tc>
          <w:tcPr>
            <w:tcW w:w="4770" w:type="dxa"/>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Organizational Behavior and Human Resource Management in Health Services Organizations</w:t>
            </w:r>
          </w:p>
        </w:tc>
        <w:tc>
          <w:tcPr>
            <w:tcW w:w="2430" w:type="dxa"/>
            <w:tcMar>
              <w:left w:w="0" w:type="dxa"/>
              <w:right w:w="0" w:type="dxa"/>
            </w:tcMar>
          </w:tcPr>
          <w:p w:rsidR="001D378B" w:rsidRPr="00743A41" w:rsidRDefault="001D378B" w:rsidP="00A37ED6">
            <w:pPr>
              <w:rPr>
                <w:rFonts w:asciiTheme="majorHAnsi" w:hAnsiTheme="majorHAnsi" w:cstheme="majorHAnsi"/>
                <w:color w:val="FF0000"/>
                <w:sz w:val="20"/>
                <w:szCs w:val="20"/>
              </w:rPr>
            </w:pPr>
            <w:r w:rsidRPr="00743A41">
              <w:rPr>
                <w:rFonts w:asciiTheme="majorHAnsi" w:hAnsiTheme="majorHAnsi" w:cstheme="majorHAnsi"/>
                <w:i/>
                <w:iCs/>
                <w:color w:val="000000"/>
                <w:sz w:val="20"/>
                <w:szCs w:val="20"/>
              </w:rPr>
              <w:t>MPH-M5</w:t>
            </w:r>
          </w:p>
        </w:tc>
      </w:tr>
      <w:tr w:rsidR="001D378B" w:rsidRPr="00743A41" w:rsidTr="006E28EE">
        <w:tc>
          <w:tcPr>
            <w:tcW w:w="985"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PHM 3746L</w:t>
            </w:r>
          </w:p>
        </w:tc>
        <w:tc>
          <w:tcPr>
            <w:tcW w:w="720" w:type="dxa"/>
            <w:tcBorders>
              <w:bottom w:val="single" w:sz="4" w:space="0" w:color="auto"/>
            </w:tcBorders>
          </w:tcPr>
          <w:p w:rsidR="001D378B" w:rsidRPr="00743A41" w:rsidRDefault="001D378B" w:rsidP="00A37ED6">
            <w:pPr>
              <w:jc w:val="center"/>
              <w:rPr>
                <w:rFonts w:asciiTheme="majorHAnsi" w:hAnsiTheme="majorHAnsi" w:cstheme="majorHAnsi"/>
                <w:sz w:val="20"/>
                <w:szCs w:val="20"/>
              </w:rPr>
            </w:pPr>
            <w:r w:rsidRPr="00743A41">
              <w:rPr>
                <w:rFonts w:asciiTheme="majorHAnsi" w:hAnsiTheme="majorHAnsi" w:cstheme="majorHAnsi"/>
                <w:color w:val="000000"/>
                <w:w w:val="99"/>
                <w:sz w:val="20"/>
                <w:szCs w:val="20"/>
              </w:rPr>
              <w:t>3</w:t>
            </w:r>
          </w:p>
        </w:tc>
        <w:tc>
          <w:tcPr>
            <w:tcW w:w="4770"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Evaluation and Improvement of Healthcare Quality</w:t>
            </w:r>
          </w:p>
        </w:tc>
        <w:tc>
          <w:tcPr>
            <w:tcW w:w="2430"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color w:val="FF0000"/>
                <w:sz w:val="20"/>
                <w:szCs w:val="20"/>
              </w:rPr>
            </w:pPr>
            <w:r w:rsidRPr="00743A41">
              <w:rPr>
                <w:rFonts w:asciiTheme="majorHAnsi" w:hAnsiTheme="majorHAnsi" w:cstheme="majorHAnsi"/>
                <w:i/>
                <w:iCs/>
                <w:color w:val="000000"/>
                <w:sz w:val="20"/>
                <w:szCs w:val="20"/>
              </w:rPr>
              <w:t>MPH-M1; MPH-M3; MPH-M4</w:t>
            </w:r>
          </w:p>
        </w:tc>
      </w:tr>
      <w:tr w:rsidR="001D378B" w:rsidRPr="00743A41" w:rsidTr="006E28EE">
        <w:tc>
          <w:tcPr>
            <w:tcW w:w="985"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PH 3747L</w:t>
            </w:r>
          </w:p>
        </w:tc>
        <w:tc>
          <w:tcPr>
            <w:tcW w:w="720" w:type="dxa"/>
            <w:tcBorders>
              <w:bottom w:val="single" w:sz="4" w:space="0" w:color="auto"/>
            </w:tcBorders>
          </w:tcPr>
          <w:p w:rsidR="001D378B" w:rsidRPr="00743A41" w:rsidRDefault="001D378B" w:rsidP="00A37ED6">
            <w:pPr>
              <w:jc w:val="center"/>
              <w:rPr>
                <w:rFonts w:asciiTheme="majorHAnsi" w:hAnsiTheme="majorHAnsi" w:cstheme="majorHAnsi"/>
                <w:sz w:val="20"/>
                <w:szCs w:val="20"/>
              </w:rPr>
            </w:pPr>
            <w:r w:rsidRPr="00743A41">
              <w:rPr>
                <w:rFonts w:asciiTheme="majorHAnsi" w:hAnsiTheme="majorHAnsi" w:cstheme="majorHAnsi"/>
                <w:color w:val="000000"/>
                <w:w w:val="99"/>
                <w:sz w:val="20"/>
                <w:szCs w:val="20"/>
              </w:rPr>
              <w:t>2</w:t>
            </w:r>
          </w:p>
        </w:tc>
        <w:tc>
          <w:tcPr>
            <w:tcW w:w="4770"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Healthcare Operations Management</w:t>
            </w:r>
          </w:p>
        </w:tc>
        <w:tc>
          <w:tcPr>
            <w:tcW w:w="2430"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color w:val="FF0000"/>
                <w:sz w:val="20"/>
                <w:szCs w:val="20"/>
              </w:rPr>
            </w:pPr>
            <w:r w:rsidRPr="00743A41">
              <w:rPr>
                <w:rFonts w:asciiTheme="majorHAnsi" w:hAnsiTheme="majorHAnsi" w:cstheme="majorHAnsi"/>
                <w:i/>
                <w:iCs/>
                <w:color w:val="000000"/>
                <w:sz w:val="20"/>
                <w:szCs w:val="20"/>
              </w:rPr>
              <w:t>MPH-M5</w:t>
            </w:r>
          </w:p>
        </w:tc>
      </w:tr>
      <w:tr w:rsidR="001D378B" w:rsidRPr="00743A41" w:rsidTr="006E28EE">
        <w:tc>
          <w:tcPr>
            <w:tcW w:w="985"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PHM 3800L</w:t>
            </w:r>
          </w:p>
        </w:tc>
        <w:tc>
          <w:tcPr>
            <w:tcW w:w="720" w:type="dxa"/>
            <w:tcBorders>
              <w:bottom w:val="single" w:sz="4" w:space="0" w:color="auto"/>
            </w:tcBorders>
          </w:tcPr>
          <w:p w:rsidR="001D378B" w:rsidRPr="00743A41" w:rsidRDefault="001D378B" w:rsidP="00A37ED6">
            <w:pPr>
              <w:jc w:val="center"/>
              <w:rPr>
                <w:rFonts w:asciiTheme="majorHAnsi" w:hAnsiTheme="majorHAnsi" w:cstheme="majorHAnsi"/>
                <w:sz w:val="20"/>
                <w:szCs w:val="20"/>
              </w:rPr>
            </w:pPr>
            <w:r w:rsidRPr="00743A41">
              <w:rPr>
                <w:rFonts w:asciiTheme="majorHAnsi" w:hAnsiTheme="majorHAnsi" w:cstheme="majorHAnsi"/>
                <w:color w:val="000000"/>
                <w:w w:val="99"/>
                <w:sz w:val="20"/>
                <w:szCs w:val="20"/>
              </w:rPr>
              <w:t>3</w:t>
            </w:r>
          </w:p>
        </w:tc>
        <w:tc>
          <w:tcPr>
            <w:tcW w:w="4770"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Working with Diverse Communities</w:t>
            </w:r>
          </w:p>
        </w:tc>
        <w:tc>
          <w:tcPr>
            <w:tcW w:w="2430"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color w:val="FF0000"/>
                <w:sz w:val="20"/>
                <w:szCs w:val="20"/>
              </w:rPr>
            </w:pPr>
            <w:r w:rsidRPr="00743A41">
              <w:rPr>
                <w:rFonts w:asciiTheme="majorHAnsi" w:hAnsiTheme="majorHAnsi" w:cstheme="majorHAnsi"/>
                <w:i/>
                <w:iCs/>
                <w:color w:val="000000"/>
                <w:sz w:val="20"/>
                <w:szCs w:val="20"/>
              </w:rPr>
              <w:t>MPH-C3</w:t>
            </w:r>
          </w:p>
        </w:tc>
      </w:tr>
      <w:tr w:rsidR="001D378B" w:rsidRPr="00743A41" w:rsidTr="006E28EE">
        <w:tc>
          <w:tcPr>
            <w:tcW w:w="985"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PHM 3810</w:t>
            </w:r>
          </w:p>
        </w:tc>
        <w:tc>
          <w:tcPr>
            <w:tcW w:w="720" w:type="dxa"/>
            <w:tcBorders>
              <w:bottom w:val="single" w:sz="4" w:space="0" w:color="auto"/>
            </w:tcBorders>
          </w:tcPr>
          <w:p w:rsidR="001D378B" w:rsidRPr="00743A41" w:rsidRDefault="001D378B" w:rsidP="00A37ED6">
            <w:pPr>
              <w:jc w:val="center"/>
              <w:rPr>
                <w:rFonts w:asciiTheme="majorHAnsi" w:hAnsiTheme="majorHAnsi" w:cstheme="majorHAnsi"/>
                <w:sz w:val="20"/>
                <w:szCs w:val="20"/>
              </w:rPr>
            </w:pPr>
            <w:r w:rsidRPr="00743A41">
              <w:rPr>
                <w:rFonts w:asciiTheme="majorHAnsi" w:hAnsiTheme="majorHAnsi" w:cstheme="majorHAnsi"/>
                <w:color w:val="000000"/>
                <w:w w:val="99"/>
                <w:sz w:val="20"/>
                <w:szCs w:val="20"/>
              </w:rPr>
              <w:t>3</w:t>
            </w:r>
          </w:p>
        </w:tc>
        <w:tc>
          <w:tcPr>
            <w:tcW w:w="4770"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Health Policy in the United States</w:t>
            </w:r>
          </w:p>
        </w:tc>
        <w:tc>
          <w:tcPr>
            <w:tcW w:w="2430" w:type="dxa"/>
            <w:tcBorders>
              <w:bottom w:val="single" w:sz="4" w:space="0" w:color="auto"/>
            </w:tcBorders>
            <w:tcMar>
              <w:left w:w="0" w:type="dxa"/>
              <w:right w:w="0" w:type="dxa"/>
            </w:tcMar>
          </w:tcPr>
          <w:p w:rsidR="001D378B" w:rsidRPr="00743A41" w:rsidRDefault="001D378B" w:rsidP="00A37ED6">
            <w:pPr>
              <w:rPr>
                <w:rFonts w:asciiTheme="majorHAnsi" w:hAnsiTheme="majorHAnsi" w:cstheme="majorHAnsi"/>
                <w:color w:val="FF0000"/>
                <w:sz w:val="20"/>
                <w:szCs w:val="20"/>
              </w:rPr>
            </w:pPr>
            <w:r w:rsidRPr="00743A41">
              <w:rPr>
                <w:rFonts w:asciiTheme="majorHAnsi" w:hAnsiTheme="majorHAnsi" w:cstheme="majorHAnsi"/>
                <w:i/>
                <w:iCs/>
                <w:color w:val="000000"/>
                <w:sz w:val="20"/>
                <w:szCs w:val="20"/>
              </w:rPr>
              <w:t>MPH-S4</w:t>
            </w:r>
          </w:p>
        </w:tc>
      </w:tr>
      <w:tr w:rsidR="001D378B" w:rsidRPr="00743A41" w:rsidTr="006E28EE">
        <w:tc>
          <w:tcPr>
            <w:tcW w:w="985" w:type="dxa"/>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PH 3818</w:t>
            </w:r>
          </w:p>
        </w:tc>
        <w:tc>
          <w:tcPr>
            <w:tcW w:w="720" w:type="dxa"/>
          </w:tcPr>
          <w:p w:rsidR="001D378B" w:rsidRPr="00743A41" w:rsidRDefault="001D378B" w:rsidP="00A37ED6">
            <w:pPr>
              <w:jc w:val="center"/>
              <w:rPr>
                <w:rFonts w:asciiTheme="majorHAnsi" w:hAnsiTheme="majorHAnsi" w:cstheme="majorHAnsi"/>
                <w:sz w:val="20"/>
                <w:szCs w:val="20"/>
              </w:rPr>
            </w:pPr>
            <w:r w:rsidRPr="00743A41">
              <w:rPr>
                <w:rFonts w:asciiTheme="majorHAnsi" w:hAnsiTheme="majorHAnsi" w:cstheme="majorHAnsi"/>
                <w:color w:val="000000"/>
                <w:w w:val="99"/>
                <w:sz w:val="20"/>
                <w:szCs w:val="20"/>
              </w:rPr>
              <w:t>3</w:t>
            </w:r>
          </w:p>
        </w:tc>
        <w:tc>
          <w:tcPr>
            <w:tcW w:w="4770" w:type="dxa"/>
            <w:tcMar>
              <w:left w:w="0" w:type="dxa"/>
              <w:right w:w="0" w:type="dxa"/>
            </w:tcMar>
          </w:tcPr>
          <w:p w:rsidR="001D378B" w:rsidRPr="00743A41" w:rsidRDefault="001D378B" w:rsidP="00A37ED6">
            <w:pPr>
              <w:rPr>
                <w:rFonts w:asciiTheme="majorHAnsi" w:hAnsiTheme="majorHAnsi" w:cstheme="majorHAnsi"/>
                <w:sz w:val="20"/>
                <w:szCs w:val="20"/>
              </w:rPr>
            </w:pPr>
            <w:r w:rsidRPr="00743A41">
              <w:rPr>
                <w:rFonts w:asciiTheme="majorHAnsi" w:hAnsiTheme="majorHAnsi" w:cstheme="majorHAnsi"/>
                <w:color w:val="000000"/>
                <w:sz w:val="20"/>
                <w:szCs w:val="20"/>
              </w:rPr>
              <w:t>Texas Health Policy: Emerging Issues and New Approaches</w:t>
            </w:r>
          </w:p>
        </w:tc>
        <w:tc>
          <w:tcPr>
            <w:tcW w:w="2430" w:type="dxa"/>
            <w:tcMar>
              <w:left w:w="0" w:type="dxa"/>
              <w:right w:w="0" w:type="dxa"/>
            </w:tcMar>
          </w:tcPr>
          <w:p w:rsidR="001D378B" w:rsidRPr="00743A41" w:rsidRDefault="001D378B" w:rsidP="00A37ED6">
            <w:pPr>
              <w:rPr>
                <w:rFonts w:asciiTheme="majorHAnsi" w:hAnsiTheme="majorHAnsi" w:cstheme="majorHAnsi"/>
                <w:color w:val="FF0000"/>
                <w:sz w:val="20"/>
                <w:szCs w:val="20"/>
              </w:rPr>
            </w:pPr>
            <w:r w:rsidRPr="00743A41">
              <w:rPr>
                <w:rFonts w:asciiTheme="majorHAnsi" w:hAnsiTheme="majorHAnsi" w:cstheme="majorHAnsi"/>
                <w:i/>
                <w:iCs/>
                <w:color w:val="000000"/>
                <w:sz w:val="20"/>
                <w:szCs w:val="20"/>
              </w:rPr>
              <w:t>MPH-S4</w:t>
            </w:r>
          </w:p>
        </w:tc>
      </w:tr>
      <w:tr w:rsidR="001D378B" w:rsidRPr="00743A41" w:rsidTr="006E28EE">
        <w:tc>
          <w:tcPr>
            <w:tcW w:w="985" w:type="dxa"/>
            <w:tcMar>
              <w:left w:w="0" w:type="dxa"/>
              <w:right w:w="0" w:type="dxa"/>
            </w:tcMar>
          </w:tcPr>
          <w:p w:rsidR="001D378B" w:rsidRPr="00743A41" w:rsidRDefault="001D378B" w:rsidP="00A37ED6">
            <w:pPr>
              <w:rPr>
                <w:rFonts w:asciiTheme="majorHAnsi" w:hAnsiTheme="majorHAnsi" w:cstheme="majorHAnsi"/>
                <w:color w:val="000000"/>
                <w:sz w:val="20"/>
                <w:szCs w:val="20"/>
              </w:rPr>
            </w:pPr>
            <w:r w:rsidRPr="00743A41">
              <w:rPr>
                <w:rFonts w:asciiTheme="majorHAnsi" w:hAnsiTheme="majorHAnsi" w:cstheme="majorHAnsi"/>
                <w:color w:val="000000"/>
                <w:sz w:val="20"/>
                <w:szCs w:val="20"/>
              </w:rPr>
              <w:t>PHM 3910</w:t>
            </w:r>
          </w:p>
        </w:tc>
        <w:tc>
          <w:tcPr>
            <w:tcW w:w="720" w:type="dxa"/>
          </w:tcPr>
          <w:p w:rsidR="001D378B" w:rsidRPr="00743A41" w:rsidRDefault="001D378B" w:rsidP="00A37ED6">
            <w:pPr>
              <w:jc w:val="center"/>
              <w:rPr>
                <w:rFonts w:asciiTheme="majorHAnsi" w:hAnsiTheme="majorHAnsi" w:cstheme="majorHAnsi"/>
                <w:color w:val="000000"/>
                <w:w w:val="99"/>
                <w:sz w:val="20"/>
                <w:szCs w:val="20"/>
              </w:rPr>
            </w:pPr>
            <w:r w:rsidRPr="00743A41">
              <w:rPr>
                <w:rFonts w:asciiTheme="majorHAnsi" w:hAnsiTheme="majorHAnsi" w:cstheme="majorHAnsi"/>
                <w:color w:val="000000"/>
                <w:w w:val="99"/>
                <w:sz w:val="20"/>
                <w:szCs w:val="20"/>
              </w:rPr>
              <w:t>3</w:t>
            </w:r>
          </w:p>
        </w:tc>
        <w:tc>
          <w:tcPr>
            <w:tcW w:w="4770" w:type="dxa"/>
            <w:tcMar>
              <w:left w:w="0" w:type="dxa"/>
              <w:right w:w="0" w:type="dxa"/>
            </w:tcMar>
          </w:tcPr>
          <w:p w:rsidR="001D378B" w:rsidRPr="00743A41" w:rsidRDefault="001D378B" w:rsidP="00A37ED6">
            <w:pPr>
              <w:rPr>
                <w:rFonts w:asciiTheme="majorHAnsi" w:hAnsiTheme="majorHAnsi" w:cstheme="majorHAnsi"/>
                <w:color w:val="000000"/>
                <w:sz w:val="20"/>
                <w:szCs w:val="20"/>
              </w:rPr>
            </w:pPr>
            <w:r w:rsidRPr="00743A41">
              <w:rPr>
                <w:rFonts w:asciiTheme="majorHAnsi" w:hAnsiTheme="majorHAnsi" w:cstheme="majorHAnsi"/>
                <w:color w:val="000000"/>
                <w:sz w:val="20"/>
                <w:szCs w:val="20"/>
              </w:rPr>
              <w:t>Health Economics</w:t>
            </w:r>
          </w:p>
        </w:tc>
        <w:tc>
          <w:tcPr>
            <w:tcW w:w="2430" w:type="dxa"/>
            <w:tcMar>
              <w:left w:w="0" w:type="dxa"/>
              <w:right w:w="0" w:type="dxa"/>
            </w:tcMar>
          </w:tcPr>
          <w:p w:rsidR="001D378B" w:rsidRPr="00743A41" w:rsidRDefault="001D378B" w:rsidP="00A37ED6">
            <w:pPr>
              <w:rPr>
                <w:rFonts w:asciiTheme="majorHAnsi" w:hAnsiTheme="majorHAnsi" w:cstheme="majorHAnsi"/>
                <w:i/>
                <w:iCs/>
                <w:color w:val="000000"/>
                <w:sz w:val="20"/>
                <w:szCs w:val="20"/>
              </w:rPr>
            </w:pPr>
            <w:r w:rsidRPr="00743A41">
              <w:rPr>
                <w:rFonts w:asciiTheme="majorHAnsi" w:hAnsiTheme="majorHAnsi" w:cstheme="majorHAnsi"/>
                <w:i/>
                <w:iCs/>
                <w:color w:val="000000"/>
                <w:sz w:val="20"/>
                <w:szCs w:val="20"/>
              </w:rPr>
              <w:t>MPH-S1</w:t>
            </w:r>
          </w:p>
        </w:tc>
      </w:tr>
      <w:tr w:rsidR="001D378B" w:rsidRPr="00743A41" w:rsidTr="006E28EE">
        <w:tc>
          <w:tcPr>
            <w:tcW w:w="985" w:type="dxa"/>
            <w:tcMar>
              <w:left w:w="0" w:type="dxa"/>
              <w:right w:w="0" w:type="dxa"/>
            </w:tcMar>
          </w:tcPr>
          <w:p w:rsidR="001D378B" w:rsidRPr="00743A41" w:rsidRDefault="001D378B" w:rsidP="00A37ED6">
            <w:pPr>
              <w:rPr>
                <w:rFonts w:asciiTheme="majorHAnsi" w:hAnsiTheme="majorHAnsi" w:cstheme="majorHAnsi"/>
                <w:color w:val="000000"/>
                <w:sz w:val="20"/>
                <w:szCs w:val="20"/>
              </w:rPr>
            </w:pPr>
            <w:r w:rsidRPr="00743A41">
              <w:rPr>
                <w:rFonts w:asciiTheme="majorHAnsi" w:hAnsiTheme="majorHAnsi" w:cstheme="majorHAnsi"/>
                <w:color w:val="000000"/>
                <w:sz w:val="20"/>
                <w:szCs w:val="20"/>
              </w:rPr>
              <w:t>PH 3915</w:t>
            </w:r>
          </w:p>
        </w:tc>
        <w:tc>
          <w:tcPr>
            <w:tcW w:w="720" w:type="dxa"/>
          </w:tcPr>
          <w:p w:rsidR="001D378B" w:rsidRPr="00743A41" w:rsidRDefault="001D378B" w:rsidP="00A37ED6">
            <w:pPr>
              <w:jc w:val="center"/>
              <w:rPr>
                <w:rFonts w:asciiTheme="majorHAnsi" w:hAnsiTheme="majorHAnsi" w:cstheme="majorHAnsi"/>
                <w:color w:val="000000"/>
                <w:w w:val="99"/>
                <w:sz w:val="20"/>
                <w:szCs w:val="20"/>
              </w:rPr>
            </w:pPr>
            <w:r w:rsidRPr="00743A41">
              <w:rPr>
                <w:rFonts w:asciiTheme="majorHAnsi" w:hAnsiTheme="majorHAnsi" w:cstheme="majorHAnsi"/>
                <w:color w:val="000000"/>
                <w:w w:val="99"/>
                <w:sz w:val="20"/>
                <w:szCs w:val="20"/>
              </w:rPr>
              <w:t>3</w:t>
            </w:r>
          </w:p>
        </w:tc>
        <w:tc>
          <w:tcPr>
            <w:tcW w:w="4770" w:type="dxa"/>
            <w:tcMar>
              <w:left w:w="0" w:type="dxa"/>
              <w:right w:w="0" w:type="dxa"/>
            </w:tcMar>
          </w:tcPr>
          <w:p w:rsidR="001D378B" w:rsidRPr="00743A41" w:rsidRDefault="001D378B" w:rsidP="00A37ED6">
            <w:pPr>
              <w:rPr>
                <w:rFonts w:asciiTheme="majorHAnsi" w:hAnsiTheme="majorHAnsi" w:cstheme="majorHAnsi"/>
                <w:color w:val="000000"/>
                <w:sz w:val="20"/>
                <w:szCs w:val="20"/>
              </w:rPr>
            </w:pPr>
            <w:r w:rsidRPr="00743A41">
              <w:rPr>
                <w:rFonts w:asciiTheme="majorHAnsi" w:hAnsiTheme="majorHAnsi" w:cstheme="majorHAnsi"/>
                <w:color w:val="000000"/>
                <w:sz w:val="20"/>
                <w:szCs w:val="20"/>
              </w:rPr>
              <w:t>Methods for Economic Evaluation of Health Programs</w:t>
            </w:r>
          </w:p>
        </w:tc>
        <w:tc>
          <w:tcPr>
            <w:tcW w:w="2430" w:type="dxa"/>
            <w:tcMar>
              <w:left w:w="0" w:type="dxa"/>
              <w:right w:w="0" w:type="dxa"/>
            </w:tcMar>
          </w:tcPr>
          <w:p w:rsidR="001D378B" w:rsidRPr="00743A41" w:rsidRDefault="001D378B" w:rsidP="00A37ED6">
            <w:pPr>
              <w:rPr>
                <w:rFonts w:asciiTheme="majorHAnsi" w:hAnsiTheme="majorHAnsi" w:cstheme="majorHAnsi"/>
                <w:i/>
                <w:iCs/>
                <w:color w:val="000000"/>
                <w:sz w:val="20"/>
                <w:szCs w:val="20"/>
              </w:rPr>
            </w:pPr>
            <w:r w:rsidRPr="00743A41">
              <w:rPr>
                <w:rFonts w:asciiTheme="majorHAnsi" w:hAnsiTheme="majorHAnsi" w:cstheme="majorHAnsi"/>
                <w:i/>
                <w:iCs/>
                <w:color w:val="000000"/>
                <w:sz w:val="20"/>
                <w:szCs w:val="20"/>
              </w:rPr>
              <w:t>MPH-S5</w:t>
            </w:r>
          </w:p>
        </w:tc>
      </w:tr>
      <w:tr w:rsidR="001D378B" w:rsidRPr="00743A41" w:rsidTr="006E28EE">
        <w:tc>
          <w:tcPr>
            <w:tcW w:w="985" w:type="dxa"/>
            <w:tcMar>
              <w:left w:w="0" w:type="dxa"/>
              <w:right w:w="0" w:type="dxa"/>
            </w:tcMar>
          </w:tcPr>
          <w:p w:rsidR="001D378B" w:rsidRPr="00743A41" w:rsidRDefault="001D378B" w:rsidP="00A37ED6">
            <w:pPr>
              <w:rPr>
                <w:rFonts w:asciiTheme="majorHAnsi" w:hAnsiTheme="majorHAnsi" w:cstheme="majorHAnsi"/>
                <w:color w:val="000000"/>
                <w:sz w:val="20"/>
                <w:szCs w:val="20"/>
              </w:rPr>
            </w:pPr>
            <w:r w:rsidRPr="00743A41">
              <w:rPr>
                <w:rFonts w:asciiTheme="majorHAnsi" w:hAnsiTheme="majorHAnsi" w:cstheme="majorHAnsi"/>
                <w:color w:val="000000"/>
                <w:sz w:val="20"/>
                <w:szCs w:val="20"/>
              </w:rPr>
              <w:t>PH 3920</w:t>
            </w:r>
          </w:p>
        </w:tc>
        <w:tc>
          <w:tcPr>
            <w:tcW w:w="720" w:type="dxa"/>
          </w:tcPr>
          <w:p w:rsidR="001D378B" w:rsidRPr="00743A41" w:rsidRDefault="001D378B" w:rsidP="00A37ED6">
            <w:pPr>
              <w:jc w:val="center"/>
              <w:rPr>
                <w:rFonts w:asciiTheme="majorHAnsi" w:hAnsiTheme="majorHAnsi" w:cstheme="majorHAnsi"/>
                <w:color w:val="000000"/>
                <w:w w:val="99"/>
                <w:sz w:val="20"/>
                <w:szCs w:val="20"/>
              </w:rPr>
            </w:pPr>
            <w:r w:rsidRPr="00743A41">
              <w:rPr>
                <w:rFonts w:asciiTheme="majorHAnsi" w:hAnsiTheme="majorHAnsi" w:cstheme="majorHAnsi"/>
                <w:color w:val="000000"/>
                <w:w w:val="99"/>
                <w:sz w:val="20"/>
                <w:szCs w:val="20"/>
              </w:rPr>
              <w:t>3</w:t>
            </w:r>
          </w:p>
        </w:tc>
        <w:tc>
          <w:tcPr>
            <w:tcW w:w="4770" w:type="dxa"/>
            <w:tcMar>
              <w:left w:w="0" w:type="dxa"/>
              <w:right w:w="0" w:type="dxa"/>
            </w:tcMar>
          </w:tcPr>
          <w:p w:rsidR="001D378B" w:rsidRPr="00743A41" w:rsidRDefault="001D378B" w:rsidP="00A37ED6">
            <w:pPr>
              <w:rPr>
                <w:rFonts w:asciiTheme="majorHAnsi" w:hAnsiTheme="majorHAnsi" w:cstheme="majorHAnsi"/>
                <w:color w:val="000000"/>
                <w:sz w:val="20"/>
                <w:szCs w:val="20"/>
              </w:rPr>
            </w:pPr>
            <w:r w:rsidRPr="00743A41">
              <w:rPr>
                <w:rFonts w:asciiTheme="majorHAnsi" w:hAnsiTheme="majorHAnsi" w:cstheme="majorHAnsi"/>
                <w:color w:val="000000"/>
                <w:sz w:val="20"/>
                <w:szCs w:val="20"/>
              </w:rPr>
              <w:t>Health Services Delivery and Performance</w:t>
            </w:r>
          </w:p>
        </w:tc>
        <w:tc>
          <w:tcPr>
            <w:tcW w:w="2430" w:type="dxa"/>
            <w:tcMar>
              <w:left w:w="0" w:type="dxa"/>
              <w:right w:w="0" w:type="dxa"/>
            </w:tcMar>
          </w:tcPr>
          <w:p w:rsidR="001D378B" w:rsidRPr="00743A41" w:rsidRDefault="001D378B" w:rsidP="00A37ED6">
            <w:pPr>
              <w:rPr>
                <w:rFonts w:asciiTheme="majorHAnsi" w:hAnsiTheme="majorHAnsi" w:cstheme="majorHAnsi"/>
                <w:i/>
                <w:iCs/>
                <w:color w:val="000000"/>
                <w:sz w:val="20"/>
                <w:szCs w:val="20"/>
              </w:rPr>
            </w:pPr>
            <w:r w:rsidRPr="00743A41">
              <w:rPr>
                <w:rFonts w:asciiTheme="majorHAnsi" w:hAnsiTheme="majorHAnsi" w:cstheme="majorHAnsi"/>
                <w:i/>
                <w:iCs/>
                <w:color w:val="000000"/>
                <w:sz w:val="20"/>
                <w:szCs w:val="20"/>
              </w:rPr>
              <w:t>MPH-S2; MPH-S3</w:t>
            </w:r>
          </w:p>
        </w:tc>
      </w:tr>
      <w:tr w:rsidR="001D378B" w:rsidRPr="00743A41" w:rsidTr="006E28EE">
        <w:tc>
          <w:tcPr>
            <w:tcW w:w="985" w:type="dxa"/>
            <w:tcMar>
              <w:left w:w="0" w:type="dxa"/>
              <w:right w:w="0" w:type="dxa"/>
            </w:tcMar>
          </w:tcPr>
          <w:p w:rsidR="001D378B" w:rsidRPr="00743A41" w:rsidRDefault="001D378B" w:rsidP="00A37ED6">
            <w:pPr>
              <w:rPr>
                <w:rFonts w:asciiTheme="majorHAnsi" w:hAnsiTheme="majorHAnsi" w:cstheme="majorHAnsi"/>
                <w:color w:val="000000"/>
                <w:sz w:val="20"/>
                <w:szCs w:val="20"/>
              </w:rPr>
            </w:pPr>
            <w:r w:rsidRPr="00743A41">
              <w:rPr>
                <w:rFonts w:asciiTheme="majorHAnsi" w:hAnsiTheme="majorHAnsi" w:cstheme="majorHAnsi"/>
                <w:color w:val="000000"/>
                <w:sz w:val="20"/>
                <w:szCs w:val="20"/>
              </w:rPr>
              <w:t>PH 3922</w:t>
            </w:r>
          </w:p>
        </w:tc>
        <w:tc>
          <w:tcPr>
            <w:tcW w:w="720" w:type="dxa"/>
          </w:tcPr>
          <w:p w:rsidR="001D378B" w:rsidRPr="00743A41" w:rsidRDefault="001D378B" w:rsidP="00A37ED6">
            <w:pPr>
              <w:jc w:val="center"/>
              <w:rPr>
                <w:rFonts w:asciiTheme="majorHAnsi" w:hAnsiTheme="majorHAnsi" w:cstheme="majorHAnsi"/>
                <w:color w:val="000000"/>
                <w:w w:val="99"/>
                <w:sz w:val="20"/>
                <w:szCs w:val="20"/>
              </w:rPr>
            </w:pPr>
            <w:r w:rsidRPr="00743A41">
              <w:rPr>
                <w:rFonts w:asciiTheme="majorHAnsi" w:hAnsiTheme="majorHAnsi" w:cstheme="majorHAnsi"/>
                <w:color w:val="000000"/>
                <w:w w:val="99"/>
                <w:sz w:val="20"/>
                <w:szCs w:val="20"/>
              </w:rPr>
              <w:t>3</w:t>
            </w:r>
          </w:p>
        </w:tc>
        <w:tc>
          <w:tcPr>
            <w:tcW w:w="4770" w:type="dxa"/>
            <w:tcMar>
              <w:left w:w="0" w:type="dxa"/>
              <w:right w:w="0" w:type="dxa"/>
            </w:tcMar>
          </w:tcPr>
          <w:p w:rsidR="001D378B" w:rsidRPr="00743A41" w:rsidRDefault="001D378B" w:rsidP="00A37ED6">
            <w:pPr>
              <w:rPr>
                <w:rFonts w:asciiTheme="majorHAnsi" w:hAnsiTheme="majorHAnsi" w:cstheme="majorHAnsi"/>
                <w:color w:val="000000"/>
                <w:sz w:val="20"/>
                <w:szCs w:val="20"/>
              </w:rPr>
            </w:pPr>
            <w:r w:rsidRPr="00743A41">
              <w:rPr>
                <w:rFonts w:asciiTheme="majorHAnsi" w:hAnsiTheme="majorHAnsi" w:cstheme="majorHAnsi"/>
                <w:color w:val="000000"/>
                <w:sz w:val="20"/>
                <w:szCs w:val="20"/>
              </w:rPr>
              <w:t>Economic and Social Determinants of Health</w:t>
            </w:r>
          </w:p>
        </w:tc>
        <w:tc>
          <w:tcPr>
            <w:tcW w:w="2430" w:type="dxa"/>
            <w:tcMar>
              <w:left w:w="0" w:type="dxa"/>
              <w:right w:w="0" w:type="dxa"/>
            </w:tcMar>
          </w:tcPr>
          <w:p w:rsidR="001D378B" w:rsidRPr="00743A41" w:rsidRDefault="001D378B" w:rsidP="00A37ED6">
            <w:pPr>
              <w:rPr>
                <w:rFonts w:asciiTheme="majorHAnsi" w:hAnsiTheme="majorHAnsi" w:cstheme="majorHAnsi"/>
                <w:i/>
                <w:iCs/>
                <w:color w:val="000000"/>
                <w:sz w:val="20"/>
                <w:szCs w:val="20"/>
              </w:rPr>
            </w:pPr>
            <w:r w:rsidRPr="00743A41">
              <w:rPr>
                <w:rFonts w:asciiTheme="majorHAnsi" w:hAnsiTheme="majorHAnsi" w:cstheme="majorHAnsi"/>
                <w:i/>
                <w:iCs/>
                <w:color w:val="000000"/>
                <w:sz w:val="20"/>
                <w:szCs w:val="20"/>
              </w:rPr>
              <w:t>MPH-C5</w:t>
            </w:r>
          </w:p>
        </w:tc>
      </w:tr>
    </w:tbl>
    <w:p w:rsidR="001D378B" w:rsidRPr="00743A41" w:rsidRDefault="001D378B" w:rsidP="00A37ED6">
      <w:pPr>
        <w:ind w:left="720"/>
        <w:rPr>
          <w:rFonts w:asciiTheme="majorHAnsi" w:hAnsiTheme="majorHAnsi" w:cstheme="majorHAnsi"/>
          <w:sz w:val="20"/>
          <w:szCs w:val="20"/>
        </w:rPr>
      </w:pPr>
    </w:p>
    <w:p w:rsidR="001D378B" w:rsidRPr="00736723" w:rsidRDefault="008667F1" w:rsidP="00A37ED6">
      <w:pPr>
        <w:ind w:left="720"/>
        <w:rPr>
          <w:rFonts w:asciiTheme="majorHAnsi" w:hAnsiTheme="majorHAnsi" w:cstheme="majorHAnsi"/>
          <w:sz w:val="20"/>
          <w:szCs w:val="20"/>
        </w:rPr>
      </w:pPr>
      <w:r w:rsidRPr="00736723">
        <w:rPr>
          <w:rFonts w:asciiTheme="majorHAnsi" w:hAnsiTheme="majorHAnsi" w:cstheme="majorHAnsi"/>
          <w:sz w:val="20"/>
          <w:szCs w:val="20"/>
        </w:rPr>
        <w:t>Table D.4.2.b. Assessment of Competencies for MPH Customized Additional Coursework</w:t>
      </w:r>
      <w:r w:rsidR="008703B9" w:rsidRPr="00736723">
        <w:rPr>
          <w:rFonts w:asciiTheme="majorHAnsi" w:hAnsiTheme="majorHAnsi" w:cstheme="majorHAnsi"/>
          <w:sz w:val="20"/>
          <w:szCs w:val="20"/>
        </w:rPr>
        <w:t xml:space="preserve"> </w:t>
      </w:r>
      <w:r w:rsidRPr="00736723">
        <w:rPr>
          <w:rFonts w:asciiTheme="majorHAnsi" w:hAnsiTheme="majorHAnsi" w:cstheme="majorHAnsi"/>
          <w:sz w:val="20"/>
          <w:szCs w:val="20"/>
        </w:rPr>
        <w:t>(</w:t>
      </w:r>
      <w:r w:rsidRPr="00736723">
        <w:rPr>
          <w:rFonts w:asciiTheme="majorHAnsi" w:hAnsiTheme="majorHAnsi" w:cstheme="majorHAnsi"/>
          <w:i/>
          <w:sz w:val="20"/>
          <w:szCs w:val="20"/>
        </w:rPr>
        <w:t>ERF, D4.2. Additional Coursework for MPH Customized</w:t>
      </w:r>
      <w:r w:rsidRPr="00736723">
        <w:rPr>
          <w:rFonts w:asciiTheme="majorHAnsi" w:hAnsiTheme="majorHAnsi" w:cstheme="majorHAnsi"/>
          <w:sz w:val="20"/>
          <w:szCs w:val="20"/>
        </w:rPr>
        <w:t>)</w:t>
      </w: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431"/>
        <w:gridCol w:w="4138"/>
      </w:tblGrid>
      <w:tr w:rsidR="00724890" w:rsidRPr="00736723" w:rsidTr="00474A9A">
        <w:trPr>
          <w:cantSplit/>
          <w:trHeight w:val="525"/>
          <w:tblHeader/>
        </w:trPr>
        <w:tc>
          <w:tcPr>
            <w:tcW w:w="1198" w:type="pct"/>
            <w:shd w:val="clear" w:color="000000" w:fill="D9D9D9"/>
            <w:tcMar>
              <w:left w:w="29" w:type="dxa"/>
              <w:right w:w="29" w:type="dxa"/>
            </w:tcMar>
            <w:hideMark/>
          </w:tcPr>
          <w:p w:rsidR="00724890" w:rsidRPr="00736723" w:rsidRDefault="00724890" w:rsidP="00A37ED6">
            <w:pPr>
              <w:jc w:val="center"/>
              <w:rPr>
                <w:rFonts w:asciiTheme="majorHAnsi" w:eastAsia="Times New Roman" w:hAnsiTheme="majorHAnsi" w:cstheme="majorHAnsi"/>
                <w:b/>
                <w:bCs/>
                <w:color w:val="000000"/>
                <w:sz w:val="20"/>
                <w:szCs w:val="20"/>
              </w:rPr>
            </w:pPr>
            <w:r w:rsidRPr="00736723">
              <w:rPr>
                <w:rFonts w:asciiTheme="majorHAnsi" w:eastAsia="Times New Roman" w:hAnsiTheme="majorHAnsi" w:cstheme="majorHAnsi"/>
                <w:b/>
                <w:bCs/>
                <w:color w:val="000000"/>
                <w:sz w:val="20"/>
                <w:szCs w:val="20"/>
              </w:rPr>
              <w:t>Competency</w:t>
            </w:r>
          </w:p>
        </w:tc>
        <w:tc>
          <w:tcPr>
            <w:tcW w:w="1407" w:type="pct"/>
            <w:shd w:val="clear" w:color="000000" w:fill="D9D9D9"/>
            <w:tcMar>
              <w:left w:w="29" w:type="dxa"/>
              <w:right w:w="29" w:type="dxa"/>
            </w:tcMar>
            <w:hideMark/>
          </w:tcPr>
          <w:p w:rsidR="00724890" w:rsidRPr="00736723" w:rsidRDefault="00724890" w:rsidP="00A37ED6">
            <w:pPr>
              <w:jc w:val="center"/>
              <w:rPr>
                <w:rFonts w:asciiTheme="majorHAnsi" w:eastAsia="Times New Roman" w:hAnsiTheme="majorHAnsi" w:cstheme="majorHAnsi"/>
                <w:b/>
                <w:bCs/>
                <w:color w:val="000000"/>
                <w:sz w:val="20"/>
                <w:szCs w:val="20"/>
              </w:rPr>
            </w:pPr>
            <w:r w:rsidRPr="00736723">
              <w:rPr>
                <w:rFonts w:asciiTheme="majorHAnsi" w:eastAsia="Times New Roman" w:hAnsiTheme="majorHAnsi" w:cstheme="majorHAnsi"/>
                <w:b/>
                <w:bCs/>
                <w:color w:val="000000"/>
                <w:sz w:val="20"/>
                <w:szCs w:val="20"/>
              </w:rPr>
              <w:t>Course number(s) and name(s)</w:t>
            </w:r>
          </w:p>
        </w:tc>
        <w:tc>
          <w:tcPr>
            <w:tcW w:w="2395" w:type="pct"/>
            <w:shd w:val="clear" w:color="000000" w:fill="D9D9D9"/>
            <w:tcMar>
              <w:left w:w="29" w:type="dxa"/>
              <w:right w:w="29" w:type="dxa"/>
            </w:tcMar>
            <w:hideMark/>
          </w:tcPr>
          <w:p w:rsidR="00724890" w:rsidRPr="00736723" w:rsidRDefault="00724890" w:rsidP="00A37ED6">
            <w:pPr>
              <w:jc w:val="center"/>
              <w:rPr>
                <w:rFonts w:asciiTheme="majorHAnsi" w:eastAsia="Times New Roman" w:hAnsiTheme="majorHAnsi" w:cstheme="majorHAnsi"/>
                <w:b/>
                <w:bCs/>
                <w:color w:val="000000"/>
                <w:sz w:val="20"/>
                <w:szCs w:val="20"/>
              </w:rPr>
            </w:pPr>
            <w:r w:rsidRPr="00736723">
              <w:rPr>
                <w:rFonts w:asciiTheme="majorHAnsi" w:eastAsia="Times New Roman" w:hAnsiTheme="majorHAnsi" w:cstheme="majorHAnsi"/>
                <w:b/>
                <w:bCs/>
                <w:color w:val="000000"/>
                <w:sz w:val="20"/>
                <w:szCs w:val="20"/>
              </w:rPr>
              <w:t>Specific assignment(s) that allow assessment</w:t>
            </w:r>
          </w:p>
        </w:tc>
      </w:tr>
      <w:tr w:rsidR="00724890" w:rsidRPr="00736723" w:rsidTr="00474A9A">
        <w:trPr>
          <w:cantSplit/>
          <w:trHeight w:val="315"/>
        </w:trPr>
        <w:tc>
          <w:tcPr>
            <w:tcW w:w="1198" w:type="pct"/>
            <w:vMerge w:val="restart"/>
            <w:shd w:val="clear" w:color="auto" w:fill="auto"/>
            <w:tcMar>
              <w:left w:w="29" w:type="dxa"/>
              <w:right w:w="29" w:type="dxa"/>
            </w:tcMar>
          </w:tcPr>
          <w:p w:rsidR="00724890" w:rsidRPr="00736723" w:rsidRDefault="00724890" w:rsidP="00A37ED6">
            <w:pPr>
              <w:rPr>
                <w:rFonts w:asciiTheme="majorHAnsi" w:hAnsiTheme="majorHAnsi" w:cstheme="majorHAnsi"/>
                <w:color w:val="000000"/>
                <w:sz w:val="20"/>
                <w:szCs w:val="20"/>
              </w:rPr>
            </w:pPr>
            <w:r w:rsidRPr="00736723">
              <w:rPr>
                <w:rFonts w:asciiTheme="majorHAnsi" w:hAnsiTheme="majorHAnsi" w:cstheme="majorHAnsi"/>
                <w:color w:val="000000"/>
                <w:sz w:val="20"/>
                <w:szCs w:val="20"/>
              </w:rPr>
              <w:t>MPH-E1. Apply data collection and data management skills for an epidemiologic study</w:t>
            </w:r>
          </w:p>
        </w:tc>
        <w:tc>
          <w:tcPr>
            <w:tcW w:w="1407" w:type="pct"/>
            <w:shd w:val="clear" w:color="auto" w:fill="auto"/>
            <w:tcMar>
              <w:left w:w="29" w:type="dxa"/>
              <w:right w:w="29" w:type="dxa"/>
            </w:tcMar>
          </w:tcPr>
          <w:p w:rsidR="00724890" w:rsidRPr="00736723" w:rsidRDefault="00724890" w:rsidP="00FC4AEF">
            <w:pPr>
              <w:rPr>
                <w:rFonts w:asciiTheme="majorHAnsi" w:eastAsia="Times New Roman" w:hAnsiTheme="majorHAnsi" w:cstheme="majorHAnsi"/>
                <w:sz w:val="20"/>
                <w:szCs w:val="20"/>
              </w:rPr>
            </w:pPr>
            <w:r w:rsidRPr="00736723">
              <w:rPr>
                <w:rFonts w:asciiTheme="majorHAnsi" w:hAnsiTheme="majorHAnsi" w:cstheme="majorHAnsi"/>
                <w:b/>
                <w:sz w:val="20"/>
                <w:szCs w:val="20"/>
              </w:rPr>
              <w:t>PHW 2795</w:t>
            </w:r>
            <w:r w:rsidRPr="00736723">
              <w:rPr>
                <w:rFonts w:asciiTheme="majorHAnsi" w:hAnsiTheme="majorHAnsi" w:cstheme="majorHAnsi"/>
                <w:sz w:val="20"/>
                <w:szCs w:val="20"/>
              </w:rPr>
              <w:t xml:space="preserve"> Disease Detectives: International Epidemic Investigations</w:t>
            </w:r>
          </w:p>
        </w:tc>
        <w:tc>
          <w:tcPr>
            <w:tcW w:w="2395" w:type="pct"/>
            <w:shd w:val="clear" w:color="auto" w:fill="auto"/>
            <w:tcMar>
              <w:left w:w="29" w:type="dxa"/>
              <w:right w:w="29" w:type="dxa"/>
            </w:tcMar>
          </w:tcPr>
          <w:p w:rsidR="00724890" w:rsidRPr="00736723" w:rsidRDefault="00EF5736" w:rsidP="00A37ED6">
            <w:pPr>
              <w:rPr>
                <w:rFonts w:asciiTheme="majorHAnsi" w:eastAsia="Times New Roman" w:hAnsiTheme="majorHAnsi" w:cstheme="majorHAnsi"/>
                <w:sz w:val="20"/>
                <w:szCs w:val="20"/>
              </w:rPr>
            </w:pPr>
            <w:r w:rsidRPr="00736723">
              <w:rPr>
                <w:rFonts w:asciiTheme="majorHAnsi" w:hAnsiTheme="majorHAnsi" w:cstheme="majorHAnsi"/>
                <w:sz w:val="20"/>
                <w:szCs w:val="20"/>
              </w:rPr>
              <w:t>Disease Outbreak Investigations</w:t>
            </w:r>
            <w:r w:rsidRPr="00736723">
              <w:rPr>
                <w:rFonts w:asciiTheme="majorHAnsi" w:eastAsia="Times New Roman" w:hAnsiTheme="majorHAnsi" w:cstheme="majorHAnsi"/>
                <w:sz w:val="20"/>
                <w:szCs w:val="20"/>
              </w:rPr>
              <w:t xml:space="preserve">: </w:t>
            </w:r>
            <w:r w:rsidR="00724890" w:rsidRPr="00736723">
              <w:rPr>
                <w:rFonts w:asciiTheme="majorHAnsi" w:eastAsia="Times New Roman" w:hAnsiTheme="majorHAnsi" w:cstheme="majorHAnsi"/>
                <w:sz w:val="20"/>
                <w:szCs w:val="20"/>
              </w:rPr>
              <w:t xml:space="preserve">Students work through a series of disease outbreaks. determine data collection strategies (Ebola, part 4), enter data (Ebola, part 5), and use data management skills (HIV, part 2)(Ebola, part 8) to describe and the Ebola outbreak </w:t>
            </w:r>
          </w:p>
        </w:tc>
      </w:tr>
      <w:tr w:rsidR="00724890" w:rsidRPr="00736723" w:rsidTr="00474A9A">
        <w:trPr>
          <w:cantSplit/>
          <w:trHeight w:val="315"/>
        </w:trPr>
        <w:tc>
          <w:tcPr>
            <w:tcW w:w="1198" w:type="pct"/>
            <w:vMerge/>
            <w:shd w:val="clear" w:color="auto" w:fill="auto"/>
            <w:tcMar>
              <w:left w:w="29" w:type="dxa"/>
              <w:right w:w="29" w:type="dxa"/>
            </w:tcMar>
          </w:tcPr>
          <w:p w:rsidR="00724890" w:rsidRPr="00736723" w:rsidRDefault="00724890" w:rsidP="00A37ED6">
            <w:pPr>
              <w:rPr>
                <w:rFonts w:asciiTheme="majorHAnsi" w:hAnsiTheme="majorHAnsi" w:cstheme="majorHAnsi"/>
                <w:color w:val="000000"/>
                <w:sz w:val="20"/>
                <w:szCs w:val="20"/>
              </w:rPr>
            </w:pPr>
          </w:p>
        </w:tc>
        <w:tc>
          <w:tcPr>
            <w:tcW w:w="1407" w:type="pct"/>
            <w:shd w:val="clear" w:color="auto" w:fill="auto"/>
            <w:tcMar>
              <w:left w:w="29" w:type="dxa"/>
              <w:right w:w="29" w:type="dxa"/>
            </w:tcMar>
          </w:tcPr>
          <w:p w:rsidR="00724890" w:rsidRPr="00736723" w:rsidRDefault="00724890" w:rsidP="00FC4AEF">
            <w:pPr>
              <w:rPr>
                <w:rFonts w:asciiTheme="majorHAnsi" w:eastAsia="Times New Roman" w:hAnsiTheme="majorHAnsi" w:cstheme="majorHAnsi"/>
                <w:sz w:val="20"/>
                <w:szCs w:val="20"/>
              </w:rPr>
            </w:pPr>
            <w:r w:rsidRPr="00736723">
              <w:rPr>
                <w:rFonts w:asciiTheme="majorHAnsi" w:hAnsiTheme="majorHAnsi" w:cstheme="majorHAnsi"/>
                <w:b/>
                <w:sz w:val="20"/>
                <w:szCs w:val="20"/>
              </w:rPr>
              <w:t>PH 2858</w:t>
            </w:r>
            <w:r w:rsidRPr="00736723">
              <w:rPr>
                <w:rFonts w:asciiTheme="majorHAnsi" w:hAnsiTheme="majorHAnsi" w:cstheme="majorHAnsi"/>
                <w:sz w:val="20"/>
                <w:szCs w:val="20"/>
              </w:rPr>
              <w:t xml:space="preserve"> Quantitative Analysis for Public Health Research and Practice</w:t>
            </w:r>
          </w:p>
        </w:tc>
        <w:tc>
          <w:tcPr>
            <w:tcW w:w="2395" w:type="pct"/>
            <w:shd w:val="clear" w:color="auto" w:fill="auto"/>
            <w:tcMar>
              <w:left w:w="29" w:type="dxa"/>
              <w:right w:w="29" w:type="dxa"/>
            </w:tcMar>
          </w:tcPr>
          <w:p w:rsidR="00724890" w:rsidRPr="00736723" w:rsidRDefault="00B10F66" w:rsidP="00A37ED6">
            <w:pPr>
              <w:contextualSpacing/>
              <w:rPr>
                <w:rFonts w:asciiTheme="majorHAnsi" w:eastAsia="Times New Roman" w:hAnsiTheme="majorHAnsi" w:cstheme="majorHAnsi"/>
                <w:sz w:val="20"/>
                <w:szCs w:val="20"/>
              </w:rPr>
            </w:pPr>
            <w:r w:rsidRPr="00736723">
              <w:rPr>
                <w:rFonts w:asciiTheme="majorHAnsi" w:hAnsiTheme="majorHAnsi" w:cstheme="majorHAnsi"/>
                <w:sz w:val="20"/>
                <w:szCs w:val="20"/>
              </w:rPr>
              <w:t>Developing Analytic Plans</w:t>
            </w:r>
            <w:r w:rsidRPr="00736723">
              <w:rPr>
                <w:rFonts w:asciiTheme="majorHAnsi" w:hAnsiTheme="majorHAnsi" w:cstheme="majorHAnsi"/>
                <w:sz w:val="20"/>
                <w:szCs w:val="20"/>
                <w:u w:val="single"/>
              </w:rPr>
              <w:t xml:space="preserve"> </w:t>
            </w:r>
            <w:r w:rsidRPr="00736723">
              <w:rPr>
                <w:rFonts w:asciiTheme="majorHAnsi" w:hAnsiTheme="majorHAnsi" w:cstheme="majorHAnsi"/>
                <w:sz w:val="20"/>
                <w:szCs w:val="20"/>
              </w:rPr>
              <w:t>and Preparing a Dataset (Homework Assignments)</w:t>
            </w:r>
            <w:r w:rsidR="001F5006" w:rsidRPr="00736723">
              <w:rPr>
                <w:rFonts w:asciiTheme="majorHAnsi" w:hAnsiTheme="majorHAnsi" w:cstheme="majorHAnsi"/>
                <w:sz w:val="20"/>
                <w:szCs w:val="20"/>
              </w:rPr>
              <w:t>:</w:t>
            </w:r>
            <w:r w:rsidRPr="00736723">
              <w:rPr>
                <w:rFonts w:asciiTheme="majorHAnsi" w:hAnsiTheme="majorHAnsi" w:cstheme="majorHAnsi"/>
                <w:sz w:val="20"/>
                <w:szCs w:val="20"/>
              </w:rPr>
              <w:t xml:space="preserve"> </w:t>
            </w:r>
            <w:r w:rsidR="00724890" w:rsidRPr="00736723">
              <w:rPr>
                <w:rFonts w:asciiTheme="majorHAnsi" w:hAnsiTheme="majorHAnsi" w:cstheme="majorHAnsi"/>
                <w:sz w:val="20"/>
                <w:szCs w:val="20"/>
              </w:rPr>
              <w:t xml:space="preserve">Students apply data management skills by cleaning and preparing a dataset for analysis. Students develop a codebook, decide on coding, perform recoding, clean data, describe outliers and missing data (Week 2 Homework) </w:t>
            </w:r>
          </w:p>
        </w:tc>
      </w:tr>
      <w:tr w:rsidR="00724890" w:rsidRPr="00736723" w:rsidTr="00474A9A">
        <w:trPr>
          <w:cantSplit/>
          <w:trHeight w:val="315"/>
        </w:trPr>
        <w:tc>
          <w:tcPr>
            <w:tcW w:w="1198" w:type="pct"/>
            <w:vMerge w:val="restart"/>
            <w:shd w:val="clear" w:color="auto" w:fill="auto"/>
            <w:tcMar>
              <w:left w:w="29" w:type="dxa"/>
              <w:right w:w="29" w:type="dxa"/>
            </w:tcMar>
          </w:tcPr>
          <w:p w:rsidR="00724890" w:rsidRPr="00736723" w:rsidRDefault="00724890" w:rsidP="00A37ED6">
            <w:pPr>
              <w:rPr>
                <w:rFonts w:asciiTheme="majorHAnsi" w:hAnsiTheme="majorHAnsi" w:cstheme="majorHAnsi"/>
                <w:color w:val="000000"/>
                <w:sz w:val="20"/>
                <w:szCs w:val="20"/>
              </w:rPr>
            </w:pPr>
            <w:r w:rsidRPr="00736723">
              <w:rPr>
                <w:rFonts w:asciiTheme="majorHAnsi" w:hAnsiTheme="majorHAnsi" w:cstheme="majorHAnsi"/>
                <w:color w:val="000000"/>
                <w:sz w:val="20"/>
                <w:szCs w:val="20"/>
              </w:rPr>
              <w:t>MPH-E2. Demonstrate the application of epidemiology for informing etiologic research, public health surveillance, or screening programs.</w:t>
            </w:r>
          </w:p>
        </w:tc>
        <w:tc>
          <w:tcPr>
            <w:tcW w:w="1407" w:type="pct"/>
            <w:shd w:val="clear" w:color="auto" w:fill="auto"/>
            <w:tcMar>
              <w:left w:w="29" w:type="dxa"/>
              <w:right w:w="29" w:type="dxa"/>
            </w:tcMar>
          </w:tcPr>
          <w:p w:rsidR="00724890" w:rsidRPr="00736723" w:rsidRDefault="00724890" w:rsidP="00FC4AEF">
            <w:pPr>
              <w:rPr>
                <w:rFonts w:asciiTheme="majorHAnsi" w:eastAsia="Times New Roman" w:hAnsiTheme="majorHAnsi" w:cstheme="majorHAnsi"/>
                <w:sz w:val="20"/>
                <w:szCs w:val="20"/>
              </w:rPr>
            </w:pPr>
            <w:r w:rsidRPr="00736723">
              <w:rPr>
                <w:rFonts w:asciiTheme="majorHAnsi" w:hAnsiTheme="majorHAnsi" w:cstheme="majorHAnsi"/>
                <w:b/>
                <w:sz w:val="20"/>
                <w:szCs w:val="20"/>
              </w:rPr>
              <w:t>PHW 2740</w:t>
            </w:r>
            <w:r w:rsidRPr="00736723">
              <w:rPr>
                <w:rFonts w:asciiTheme="majorHAnsi" w:hAnsiTheme="majorHAnsi" w:cstheme="majorHAnsi"/>
                <w:sz w:val="20"/>
                <w:szCs w:val="20"/>
              </w:rPr>
              <w:t xml:space="preserve"> Cardiovascular Disease Epidemiology and Prevention</w:t>
            </w:r>
          </w:p>
        </w:tc>
        <w:tc>
          <w:tcPr>
            <w:tcW w:w="2395" w:type="pct"/>
            <w:shd w:val="clear" w:color="auto" w:fill="auto"/>
            <w:tcMar>
              <w:left w:w="29" w:type="dxa"/>
              <w:right w:w="29" w:type="dxa"/>
            </w:tcMar>
          </w:tcPr>
          <w:p w:rsidR="00724890" w:rsidRPr="00736723" w:rsidRDefault="00FC68A8" w:rsidP="00A37ED6">
            <w:pPr>
              <w:rPr>
                <w:rFonts w:asciiTheme="majorHAnsi" w:eastAsia="Times New Roman" w:hAnsiTheme="majorHAnsi" w:cstheme="majorHAnsi"/>
                <w:sz w:val="20"/>
                <w:szCs w:val="20"/>
              </w:rPr>
            </w:pPr>
            <w:r w:rsidRPr="00736723">
              <w:rPr>
                <w:rFonts w:asciiTheme="majorHAnsi" w:hAnsiTheme="majorHAnsi" w:cstheme="majorHAnsi"/>
                <w:sz w:val="20"/>
                <w:szCs w:val="20"/>
              </w:rPr>
              <w:t>Integrated Assignment #5 and Rubric</w:t>
            </w:r>
            <w:r w:rsidRPr="00736723">
              <w:rPr>
                <w:rFonts w:asciiTheme="majorHAnsi" w:eastAsia="Times New Roman" w:hAnsiTheme="majorHAnsi" w:cstheme="majorHAnsi"/>
                <w:sz w:val="20"/>
                <w:szCs w:val="20"/>
              </w:rPr>
              <w:t>:</w:t>
            </w:r>
            <w:r w:rsidR="00724890" w:rsidRPr="00736723">
              <w:rPr>
                <w:rFonts w:asciiTheme="majorHAnsi" w:eastAsia="Times New Roman" w:hAnsiTheme="majorHAnsi" w:cstheme="majorHAnsi"/>
                <w:sz w:val="20"/>
                <w:szCs w:val="20"/>
              </w:rPr>
              <w:t xml:space="preserve"> </w:t>
            </w:r>
            <w:r w:rsidRPr="00736723">
              <w:rPr>
                <w:rFonts w:asciiTheme="majorHAnsi" w:eastAsia="Times New Roman" w:hAnsiTheme="majorHAnsi" w:cstheme="majorHAnsi"/>
                <w:sz w:val="20"/>
                <w:szCs w:val="20"/>
              </w:rPr>
              <w:t xml:space="preserve">This assignment </w:t>
            </w:r>
            <w:r w:rsidR="00724890" w:rsidRPr="00736723">
              <w:rPr>
                <w:rFonts w:asciiTheme="majorHAnsi" w:eastAsia="Times New Roman" w:hAnsiTheme="majorHAnsi" w:cstheme="majorHAnsi"/>
                <w:sz w:val="20"/>
                <w:szCs w:val="20"/>
              </w:rPr>
              <w:t>encourages students to ponder epidemiologic concepts, principles and methods to critically evaluate cardiovascular disease (CVD) surveillance data and programs. Students will compare and contrast primary and secondary prevention strategies and their influence on CVD burden.</w:t>
            </w:r>
          </w:p>
        </w:tc>
      </w:tr>
      <w:tr w:rsidR="00724890" w:rsidRPr="00736723" w:rsidTr="00474A9A">
        <w:trPr>
          <w:cantSplit/>
          <w:trHeight w:val="315"/>
        </w:trPr>
        <w:tc>
          <w:tcPr>
            <w:tcW w:w="1198" w:type="pct"/>
            <w:vMerge/>
            <w:shd w:val="clear" w:color="auto" w:fill="auto"/>
            <w:tcMar>
              <w:left w:w="29" w:type="dxa"/>
              <w:right w:w="29" w:type="dxa"/>
            </w:tcMar>
          </w:tcPr>
          <w:p w:rsidR="00724890" w:rsidRPr="00736723" w:rsidRDefault="00724890" w:rsidP="00A37ED6">
            <w:pPr>
              <w:rPr>
                <w:rFonts w:asciiTheme="majorHAnsi" w:hAnsiTheme="majorHAnsi" w:cstheme="majorHAnsi"/>
                <w:color w:val="000000"/>
                <w:sz w:val="20"/>
                <w:szCs w:val="20"/>
              </w:rPr>
            </w:pPr>
          </w:p>
        </w:tc>
        <w:tc>
          <w:tcPr>
            <w:tcW w:w="1407" w:type="pct"/>
            <w:shd w:val="clear" w:color="auto" w:fill="auto"/>
            <w:tcMar>
              <w:left w:w="29" w:type="dxa"/>
              <w:right w:w="29" w:type="dxa"/>
            </w:tcMar>
          </w:tcPr>
          <w:p w:rsidR="00724890" w:rsidRPr="00736723" w:rsidRDefault="00724890" w:rsidP="00FC4AEF">
            <w:pPr>
              <w:rPr>
                <w:rFonts w:asciiTheme="majorHAnsi" w:eastAsia="Times New Roman" w:hAnsiTheme="majorHAnsi" w:cstheme="majorHAnsi"/>
                <w:sz w:val="20"/>
                <w:szCs w:val="20"/>
              </w:rPr>
            </w:pPr>
            <w:r w:rsidRPr="00736723">
              <w:rPr>
                <w:rFonts w:asciiTheme="majorHAnsi" w:hAnsiTheme="majorHAnsi" w:cstheme="majorHAnsi"/>
                <w:b/>
                <w:sz w:val="20"/>
                <w:szCs w:val="20"/>
              </w:rPr>
              <w:t>PHW 2765</w:t>
            </w:r>
            <w:r w:rsidRPr="00736723">
              <w:rPr>
                <w:rFonts w:asciiTheme="majorHAnsi" w:hAnsiTheme="majorHAnsi" w:cstheme="majorHAnsi"/>
                <w:sz w:val="20"/>
                <w:szCs w:val="20"/>
              </w:rPr>
              <w:t xml:space="preserve"> Pediatric Epidemiology</w:t>
            </w:r>
          </w:p>
        </w:tc>
        <w:tc>
          <w:tcPr>
            <w:tcW w:w="2395" w:type="pct"/>
            <w:shd w:val="clear" w:color="auto" w:fill="auto"/>
            <w:tcMar>
              <w:left w:w="29" w:type="dxa"/>
              <w:right w:w="29" w:type="dxa"/>
            </w:tcMar>
          </w:tcPr>
          <w:p w:rsidR="00724890" w:rsidRPr="00736723" w:rsidRDefault="00734653" w:rsidP="00A37ED6">
            <w:pPr>
              <w:rPr>
                <w:rFonts w:asciiTheme="majorHAnsi" w:hAnsiTheme="majorHAnsi" w:cstheme="majorHAnsi"/>
                <w:sz w:val="20"/>
                <w:szCs w:val="20"/>
              </w:rPr>
            </w:pPr>
            <w:r w:rsidRPr="00736723">
              <w:rPr>
                <w:rFonts w:asciiTheme="majorHAnsi" w:hAnsiTheme="majorHAnsi" w:cstheme="majorHAnsi"/>
                <w:sz w:val="20"/>
                <w:szCs w:val="20"/>
              </w:rPr>
              <w:t>Academic Review Paper</w:t>
            </w:r>
            <w:r w:rsidR="0030079D" w:rsidRPr="00736723">
              <w:rPr>
                <w:rFonts w:asciiTheme="majorHAnsi" w:hAnsiTheme="majorHAnsi" w:cstheme="majorHAnsi"/>
                <w:sz w:val="20"/>
                <w:szCs w:val="20"/>
              </w:rPr>
              <w:t xml:space="preserve"> (and Rubric)</w:t>
            </w:r>
            <w:r w:rsidRPr="00736723">
              <w:rPr>
                <w:rFonts w:asciiTheme="majorHAnsi" w:hAnsiTheme="majorHAnsi" w:cstheme="majorHAnsi"/>
                <w:sz w:val="20"/>
                <w:szCs w:val="20"/>
              </w:rPr>
              <w:t xml:space="preserve">: </w:t>
            </w:r>
            <w:r w:rsidR="00724890" w:rsidRPr="00736723">
              <w:rPr>
                <w:rFonts w:asciiTheme="majorHAnsi" w:hAnsiTheme="majorHAnsi" w:cstheme="majorHAnsi"/>
                <w:sz w:val="20"/>
                <w:szCs w:val="20"/>
              </w:rPr>
              <w:t>Students are required to write an Academic Review Paper (10 to 15 pages in length, double spaced) on a topic relevant to the course material.  The research paper can draw from any material covered in class or suggested reading material.  The paper can take many forms.  The goal for the paper is to either examine: 1) A particular topic “in an in depth manner”; 2) A particular topic “from a different perspective”; or 3) “A controversial topic”.  The topic could also be an issue related to the course material that was not directly covered in class.  Students are free to draw on their own experiences, as well, when identifying a paper topic.</w:t>
            </w:r>
          </w:p>
          <w:p w:rsidR="00724890" w:rsidRPr="00736723" w:rsidRDefault="00724890" w:rsidP="00A37ED6">
            <w:pPr>
              <w:rPr>
                <w:rFonts w:asciiTheme="majorHAnsi" w:hAnsiTheme="majorHAnsi" w:cstheme="majorHAnsi"/>
                <w:sz w:val="20"/>
                <w:szCs w:val="20"/>
              </w:rPr>
            </w:pPr>
          </w:p>
          <w:p w:rsidR="00724890" w:rsidRPr="00736723" w:rsidRDefault="00734653" w:rsidP="00A37ED6">
            <w:pPr>
              <w:rPr>
                <w:rFonts w:asciiTheme="majorHAnsi" w:eastAsia="Times New Roman" w:hAnsiTheme="majorHAnsi" w:cstheme="majorHAnsi"/>
                <w:sz w:val="20"/>
                <w:szCs w:val="20"/>
              </w:rPr>
            </w:pPr>
            <w:r w:rsidRPr="00736723">
              <w:rPr>
                <w:rFonts w:asciiTheme="majorHAnsi" w:hAnsiTheme="majorHAnsi" w:cstheme="majorHAnsi"/>
                <w:sz w:val="20"/>
                <w:szCs w:val="20"/>
              </w:rPr>
              <w:t xml:space="preserve">Article Critiques: </w:t>
            </w:r>
            <w:r w:rsidR="00724890" w:rsidRPr="00736723">
              <w:rPr>
                <w:rFonts w:asciiTheme="majorHAnsi" w:hAnsiTheme="majorHAnsi" w:cstheme="majorHAnsi"/>
                <w:sz w:val="20"/>
                <w:szCs w:val="20"/>
              </w:rPr>
              <w:t>Students are responsible for handing in 3 article critiques over the course of the semester.  These papers are 2-3 double-spaced pages and evaluate/critique a journal article of the student’s choosing from among the assigned list of required readings or among the additional supplemental readings.</w:t>
            </w:r>
          </w:p>
        </w:tc>
      </w:tr>
      <w:tr w:rsidR="00724890" w:rsidRPr="00736723" w:rsidTr="00474A9A">
        <w:trPr>
          <w:cantSplit/>
          <w:trHeight w:val="300"/>
        </w:trPr>
        <w:tc>
          <w:tcPr>
            <w:tcW w:w="1198" w:type="pct"/>
            <w:vMerge/>
            <w:shd w:val="clear" w:color="auto" w:fill="auto"/>
            <w:tcMar>
              <w:left w:w="29" w:type="dxa"/>
              <w:right w:w="29" w:type="dxa"/>
            </w:tcMar>
          </w:tcPr>
          <w:p w:rsidR="00724890" w:rsidRPr="00736723" w:rsidRDefault="00724890" w:rsidP="00A37ED6">
            <w:pPr>
              <w:rPr>
                <w:rFonts w:asciiTheme="majorHAnsi" w:hAnsiTheme="majorHAnsi" w:cstheme="majorHAnsi"/>
                <w:color w:val="000000"/>
                <w:sz w:val="20"/>
                <w:szCs w:val="20"/>
              </w:rPr>
            </w:pPr>
          </w:p>
        </w:tc>
        <w:tc>
          <w:tcPr>
            <w:tcW w:w="1407" w:type="pct"/>
            <w:shd w:val="clear" w:color="auto" w:fill="auto"/>
            <w:tcMar>
              <w:left w:w="29" w:type="dxa"/>
              <w:right w:w="29" w:type="dxa"/>
            </w:tcMar>
          </w:tcPr>
          <w:p w:rsidR="00724890" w:rsidRPr="00736723" w:rsidRDefault="00EF5736" w:rsidP="00FC4AEF">
            <w:pPr>
              <w:rPr>
                <w:rFonts w:asciiTheme="majorHAnsi" w:eastAsia="Times New Roman" w:hAnsiTheme="majorHAnsi" w:cstheme="majorHAnsi"/>
                <w:sz w:val="20"/>
                <w:szCs w:val="20"/>
              </w:rPr>
            </w:pPr>
            <w:r w:rsidRPr="00736723">
              <w:rPr>
                <w:rFonts w:asciiTheme="majorHAnsi" w:hAnsiTheme="majorHAnsi" w:cstheme="majorHAnsi"/>
                <w:b/>
                <w:sz w:val="20"/>
                <w:szCs w:val="20"/>
              </w:rPr>
              <w:t>PHW 2795</w:t>
            </w:r>
            <w:r w:rsidRPr="00736723">
              <w:rPr>
                <w:rFonts w:asciiTheme="majorHAnsi" w:hAnsiTheme="majorHAnsi" w:cstheme="majorHAnsi"/>
                <w:sz w:val="20"/>
                <w:szCs w:val="20"/>
              </w:rPr>
              <w:t xml:space="preserve"> Disease Detectives: International Epidemic Investigations</w:t>
            </w:r>
          </w:p>
        </w:tc>
        <w:tc>
          <w:tcPr>
            <w:tcW w:w="2395" w:type="pct"/>
            <w:shd w:val="clear" w:color="auto" w:fill="auto"/>
            <w:tcMar>
              <w:left w:w="29" w:type="dxa"/>
              <w:right w:w="29" w:type="dxa"/>
            </w:tcMar>
          </w:tcPr>
          <w:p w:rsidR="00724890" w:rsidRPr="00736723" w:rsidRDefault="00EF5736" w:rsidP="00A37ED6">
            <w:pPr>
              <w:rPr>
                <w:rFonts w:asciiTheme="majorHAnsi" w:hAnsiTheme="majorHAnsi" w:cstheme="majorHAnsi"/>
                <w:sz w:val="20"/>
                <w:szCs w:val="20"/>
              </w:rPr>
            </w:pPr>
            <w:r w:rsidRPr="00736723">
              <w:rPr>
                <w:rFonts w:asciiTheme="majorHAnsi" w:hAnsiTheme="majorHAnsi" w:cstheme="majorHAnsi"/>
                <w:sz w:val="20"/>
                <w:szCs w:val="20"/>
              </w:rPr>
              <w:t>Disease Outbreak Investigations</w:t>
            </w:r>
            <w:r w:rsidRPr="00736723">
              <w:rPr>
                <w:rFonts w:asciiTheme="majorHAnsi" w:eastAsia="Times New Roman" w:hAnsiTheme="majorHAnsi" w:cstheme="majorHAnsi"/>
                <w:sz w:val="20"/>
                <w:szCs w:val="20"/>
              </w:rPr>
              <w:t xml:space="preserve">: </w:t>
            </w:r>
            <w:r w:rsidR="00724890" w:rsidRPr="00736723">
              <w:rPr>
                <w:rFonts w:asciiTheme="majorHAnsi" w:eastAsia="Times New Roman" w:hAnsiTheme="majorHAnsi" w:cstheme="majorHAnsi"/>
                <w:sz w:val="20"/>
                <w:szCs w:val="20"/>
              </w:rPr>
              <w:t xml:space="preserve">Each week, students work through a series of disease outbreaks. For each case, students examine to determine the etiology of the outbreak. The also determine surveillance and screening methods needed to advance the investigation. (Asthma, parts 3, 6, 7; Ebola, part 2, Ebola, part 7)  </w:t>
            </w:r>
          </w:p>
        </w:tc>
      </w:tr>
      <w:tr w:rsidR="00724890" w:rsidRPr="00736723" w:rsidTr="00474A9A">
        <w:trPr>
          <w:cantSplit/>
          <w:trHeight w:val="300"/>
        </w:trPr>
        <w:tc>
          <w:tcPr>
            <w:tcW w:w="1198" w:type="pct"/>
            <w:vMerge w:val="restart"/>
            <w:shd w:val="clear" w:color="auto" w:fill="auto"/>
            <w:tcMar>
              <w:left w:w="29" w:type="dxa"/>
              <w:right w:w="29" w:type="dxa"/>
            </w:tcMar>
          </w:tcPr>
          <w:p w:rsidR="00724890" w:rsidRPr="00736723" w:rsidRDefault="00724890" w:rsidP="00A37ED6">
            <w:pPr>
              <w:rPr>
                <w:rFonts w:asciiTheme="majorHAnsi" w:hAnsiTheme="majorHAnsi" w:cstheme="majorHAnsi"/>
                <w:color w:val="000000"/>
                <w:sz w:val="20"/>
                <w:szCs w:val="20"/>
              </w:rPr>
            </w:pPr>
            <w:r w:rsidRPr="00736723">
              <w:rPr>
                <w:rFonts w:asciiTheme="majorHAnsi" w:hAnsiTheme="majorHAnsi" w:cstheme="majorHAnsi"/>
                <w:color w:val="000000"/>
                <w:sz w:val="20"/>
                <w:szCs w:val="20"/>
              </w:rPr>
              <w:t>MPH-E3. Evaluate a public health problem in terms of magnitude, person, place and time, and exposure-outcome relationships</w:t>
            </w:r>
          </w:p>
        </w:tc>
        <w:tc>
          <w:tcPr>
            <w:tcW w:w="1407" w:type="pct"/>
            <w:shd w:val="clear" w:color="auto" w:fill="auto"/>
            <w:tcMar>
              <w:left w:w="29" w:type="dxa"/>
              <w:right w:w="29" w:type="dxa"/>
            </w:tcMar>
          </w:tcPr>
          <w:p w:rsidR="00724890" w:rsidRPr="00736723" w:rsidRDefault="00FC68A8" w:rsidP="00FC4AEF">
            <w:pPr>
              <w:rPr>
                <w:rFonts w:asciiTheme="majorHAnsi" w:eastAsia="Times New Roman" w:hAnsiTheme="majorHAnsi" w:cstheme="majorHAnsi"/>
                <w:sz w:val="20"/>
                <w:szCs w:val="20"/>
              </w:rPr>
            </w:pPr>
            <w:r w:rsidRPr="00736723">
              <w:rPr>
                <w:rFonts w:asciiTheme="majorHAnsi" w:hAnsiTheme="majorHAnsi" w:cstheme="majorHAnsi"/>
                <w:b/>
                <w:sz w:val="20"/>
                <w:szCs w:val="20"/>
              </w:rPr>
              <w:t>PHW 2740</w:t>
            </w:r>
            <w:r w:rsidRPr="00736723">
              <w:rPr>
                <w:rFonts w:asciiTheme="majorHAnsi" w:hAnsiTheme="majorHAnsi" w:cstheme="majorHAnsi"/>
                <w:sz w:val="20"/>
                <w:szCs w:val="20"/>
              </w:rPr>
              <w:t xml:space="preserve"> Cardiovascular Disease Epidemiology and Prevention</w:t>
            </w:r>
          </w:p>
        </w:tc>
        <w:tc>
          <w:tcPr>
            <w:tcW w:w="2395" w:type="pct"/>
            <w:shd w:val="clear" w:color="auto" w:fill="auto"/>
            <w:tcMar>
              <w:left w:w="29" w:type="dxa"/>
              <w:right w:w="29" w:type="dxa"/>
            </w:tcMar>
          </w:tcPr>
          <w:p w:rsidR="00724890" w:rsidRPr="00736723" w:rsidRDefault="003261DB" w:rsidP="00A37ED6">
            <w:pPr>
              <w:rPr>
                <w:rFonts w:asciiTheme="majorHAnsi" w:hAnsiTheme="majorHAnsi" w:cstheme="majorHAnsi"/>
                <w:sz w:val="20"/>
                <w:szCs w:val="20"/>
              </w:rPr>
            </w:pPr>
            <w:r w:rsidRPr="00736723">
              <w:rPr>
                <w:rFonts w:asciiTheme="majorHAnsi" w:hAnsiTheme="majorHAnsi" w:cstheme="majorHAnsi"/>
                <w:sz w:val="20"/>
                <w:szCs w:val="20"/>
              </w:rPr>
              <w:t>Integrated Assignment #1 and Rubric:</w:t>
            </w:r>
            <w:r w:rsidR="00724890" w:rsidRPr="00736723">
              <w:rPr>
                <w:rFonts w:asciiTheme="majorHAnsi" w:hAnsiTheme="majorHAnsi" w:cstheme="majorHAnsi"/>
                <w:sz w:val="20"/>
                <w:szCs w:val="20"/>
              </w:rPr>
              <w:t xml:space="preserve"> </w:t>
            </w:r>
            <w:r w:rsidRPr="00736723">
              <w:rPr>
                <w:rFonts w:asciiTheme="majorHAnsi" w:hAnsiTheme="majorHAnsi" w:cstheme="majorHAnsi"/>
                <w:sz w:val="20"/>
                <w:szCs w:val="20"/>
              </w:rPr>
              <w:t xml:space="preserve">This assignment </w:t>
            </w:r>
            <w:r w:rsidR="00724890" w:rsidRPr="00736723">
              <w:rPr>
                <w:rFonts w:asciiTheme="majorHAnsi" w:hAnsiTheme="majorHAnsi" w:cstheme="majorHAnsi"/>
                <w:sz w:val="20"/>
                <w:szCs w:val="20"/>
              </w:rPr>
              <w:t>inspires students to critically evaluate CVD or condition in terms of person, place, time and magnitude across cohorts. Students will summarize CVD and its risk factors’ prevalence or incidence across cohorts and discuss any similarities or differences between those.</w:t>
            </w:r>
          </w:p>
        </w:tc>
      </w:tr>
      <w:tr w:rsidR="00724890" w:rsidRPr="00736723" w:rsidTr="00474A9A">
        <w:trPr>
          <w:cantSplit/>
          <w:trHeight w:val="300"/>
        </w:trPr>
        <w:tc>
          <w:tcPr>
            <w:tcW w:w="1198" w:type="pct"/>
            <w:vMerge/>
            <w:shd w:val="clear" w:color="auto" w:fill="auto"/>
            <w:tcMar>
              <w:left w:w="29" w:type="dxa"/>
              <w:right w:w="29" w:type="dxa"/>
            </w:tcMar>
          </w:tcPr>
          <w:p w:rsidR="00724890" w:rsidRPr="00736723" w:rsidRDefault="00724890" w:rsidP="00A37ED6">
            <w:pPr>
              <w:rPr>
                <w:rFonts w:asciiTheme="majorHAnsi" w:hAnsiTheme="majorHAnsi" w:cstheme="majorHAnsi"/>
                <w:color w:val="000000"/>
                <w:sz w:val="20"/>
                <w:szCs w:val="20"/>
              </w:rPr>
            </w:pPr>
          </w:p>
        </w:tc>
        <w:tc>
          <w:tcPr>
            <w:tcW w:w="1407" w:type="pct"/>
            <w:shd w:val="clear" w:color="auto" w:fill="auto"/>
            <w:tcMar>
              <w:left w:w="29" w:type="dxa"/>
              <w:right w:w="29" w:type="dxa"/>
            </w:tcMar>
          </w:tcPr>
          <w:p w:rsidR="00724890" w:rsidRPr="00736723" w:rsidRDefault="00913424" w:rsidP="00FC4AEF">
            <w:pPr>
              <w:rPr>
                <w:rFonts w:asciiTheme="majorHAnsi" w:eastAsia="Times New Roman" w:hAnsiTheme="majorHAnsi" w:cstheme="majorHAnsi"/>
                <w:sz w:val="20"/>
                <w:szCs w:val="20"/>
              </w:rPr>
            </w:pPr>
            <w:r w:rsidRPr="00736723">
              <w:rPr>
                <w:rFonts w:asciiTheme="majorHAnsi" w:hAnsiTheme="majorHAnsi" w:cstheme="majorHAnsi"/>
                <w:b/>
                <w:sz w:val="20"/>
                <w:szCs w:val="20"/>
              </w:rPr>
              <w:t>PHW 2765</w:t>
            </w:r>
            <w:r w:rsidRPr="00736723">
              <w:rPr>
                <w:rFonts w:asciiTheme="majorHAnsi" w:hAnsiTheme="majorHAnsi" w:cstheme="majorHAnsi"/>
                <w:sz w:val="20"/>
                <w:szCs w:val="20"/>
              </w:rPr>
              <w:t xml:space="preserve"> Pediatric Epidemiology</w:t>
            </w:r>
          </w:p>
        </w:tc>
        <w:tc>
          <w:tcPr>
            <w:tcW w:w="2395" w:type="pct"/>
            <w:shd w:val="clear" w:color="auto" w:fill="auto"/>
            <w:tcMar>
              <w:left w:w="29" w:type="dxa"/>
              <w:right w:w="29" w:type="dxa"/>
            </w:tcMar>
          </w:tcPr>
          <w:p w:rsidR="00724890" w:rsidRPr="00736723" w:rsidRDefault="0030079D" w:rsidP="00AF5600">
            <w:pPr>
              <w:rPr>
                <w:rFonts w:asciiTheme="majorHAnsi" w:hAnsiTheme="majorHAnsi" w:cstheme="majorHAnsi"/>
                <w:sz w:val="20"/>
                <w:szCs w:val="20"/>
              </w:rPr>
            </w:pPr>
            <w:r w:rsidRPr="00736723">
              <w:rPr>
                <w:rFonts w:asciiTheme="majorHAnsi" w:hAnsiTheme="majorHAnsi" w:cstheme="majorHAnsi"/>
                <w:sz w:val="20"/>
                <w:szCs w:val="20"/>
              </w:rPr>
              <w:t>Academic Review Paper</w:t>
            </w:r>
            <w:r w:rsidR="00AF5600">
              <w:rPr>
                <w:rFonts w:asciiTheme="majorHAnsi" w:hAnsiTheme="majorHAnsi" w:cstheme="majorHAnsi"/>
                <w:sz w:val="20"/>
                <w:szCs w:val="20"/>
              </w:rPr>
              <w:t xml:space="preserve"> </w:t>
            </w:r>
            <w:r w:rsidRPr="00736723">
              <w:rPr>
                <w:rFonts w:asciiTheme="majorHAnsi" w:hAnsiTheme="majorHAnsi" w:cstheme="majorHAnsi"/>
                <w:sz w:val="20"/>
                <w:szCs w:val="20"/>
              </w:rPr>
              <w:t xml:space="preserve">and Rubric: </w:t>
            </w:r>
            <w:r w:rsidR="00724890" w:rsidRPr="00736723">
              <w:rPr>
                <w:rFonts w:asciiTheme="majorHAnsi" w:hAnsiTheme="majorHAnsi" w:cstheme="majorHAnsi"/>
                <w:sz w:val="20"/>
                <w:szCs w:val="20"/>
              </w:rPr>
              <w:t>Students are required to write an Academic Review Paper on a topic relevant to the course material.  The research paper can draw from any material covered in class or suggested reading material.  The paper can take many forms.  The goal for the paper is to either examine: 1) A particular topic “in an in depth manner”; 2) A particular topic “from a different perspective”; or 3) “A controversial topic”.  The topic could also be an issue related to the course material that was not directly covered in class.  Students are free to draw on their own experiences, as well, when identifying a paper topic.</w:t>
            </w:r>
          </w:p>
        </w:tc>
      </w:tr>
      <w:tr w:rsidR="00724890" w:rsidRPr="00736723" w:rsidTr="00474A9A">
        <w:trPr>
          <w:cantSplit/>
          <w:trHeight w:val="300"/>
        </w:trPr>
        <w:tc>
          <w:tcPr>
            <w:tcW w:w="1198" w:type="pct"/>
            <w:vMerge/>
            <w:shd w:val="clear" w:color="auto" w:fill="auto"/>
            <w:tcMar>
              <w:left w:w="29" w:type="dxa"/>
              <w:right w:w="29" w:type="dxa"/>
            </w:tcMar>
          </w:tcPr>
          <w:p w:rsidR="00724890" w:rsidRPr="00736723" w:rsidRDefault="00724890" w:rsidP="00A37ED6">
            <w:pPr>
              <w:rPr>
                <w:rFonts w:asciiTheme="majorHAnsi" w:hAnsiTheme="majorHAnsi" w:cstheme="majorHAnsi"/>
                <w:color w:val="000000"/>
                <w:sz w:val="20"/>
                <w:szCs w:val="20"/>
              </w:rPr>
            </w:pPr>
          </w:p>
        </w:tc>
        <w:tc>
          <w:tcPr>
            <w:tcW w:w="1407" w:type="pct"/>
            <w:shd w:val="clear" w:color="auto" w:fill="auto"/>
            <w:tcMar>
              <w:left w:w="29" w:type="dxa"/>
              <w:right w:w="29" w:type="dxa"/>
            </w:tcMar>
          </w:tcPr>
          <w:p w:rsidR="00724890" w:rsidRPr="00736723" w:rsidRDefault="00EF5736" w:rsidP="00FC4AEF">
            <w:pPr>
              <w:rPr>
                <w:rFonts w:asciiTheme="majorHAnsi" w:eastAsia="Times New Roman" w:hAnsiTheme="majorHAnsi" w:cstheme="majorHAnsi"/>
                <w:sz w:val="20"/>
                <w:szCs w:val="20"/>
              </w:rPr>
            </w:pPr>
            <w:r w:rsidRPr="00736723">
              <w:rPr>
                <w:rFonts w:asciiTheme="majorHAnsi" w:hAnsiTheme="majorHAnsi" w:cstheme="majorHAnsi"/>
                <w:b/>
                <w:sz w:val="20"/>
                <w:szCs w:val="20"/>
              </w:rPr>
              <w:t>PHW 2795</w:t>
            </w:r>
            <w:r w:rsidRPr="00736723">
              <w:rPr>
                <w:rFonts w:asciiTheme="majorHAnsi" w:hAnsiTheme="majorHAnsi" w:cstheme="majorHAnsi"/>
                <w:sz w:val="20"/>
                <w:szCs w:val="20"/>
              </w:rPr>
              <w:t xml:space="preserve"> Disease Detectives: International Epidemic Investigations</w:t>
            </w:r>
          </w:p>
        </w:tc>
        <w:tc>
          <w:tcPr>
            <w:tcW w:w="2395" w:type="pct"/>
            <w:shd w:val="clear" w:color="auto" w:fill="auto"/>
            <w:tcMar>
              <w:left w:w="29" w:type="dxa"/>
              <w:right w:w="29" w:type="dxa"/>
            </w:tcMar>
          </w:tcPr>
          <w:p w:rsidR="00724890" w:rsidRPr="00736723" w:rsidRDefault="00EF5736" w:rsidP="00A37ED6">
            <w:pPr>
              <w:rPr>
                <w:rFonts w:asciiTheme="majorHAnsi" w:hAnsiTheme="majorHAnsi" w:cstheme="majorHAnsi"/>
                <w:sz w:val="20"/>
                <w:szCs w:val="20"/>
              </w:rPr>
            </w:pPr>
            <w:r w:rsidRPr="00736723">
              <w:rPr>
                <w:rFonts w:asciiTheme="majorHAnsi" w:hAnsiTheme="majorHAnsi" w:cstheme="majorHAnsi"/>
                <w:sz w:val="20"/>
                <w:szCs w:val="20"/>
              </w:rPr>
              <w:t>Disease Outbreak Investigations</w:t>
            </w:r>
            <w:r w:rsidRPr="00736723">
              <w:rPr>
                <w:rFonts w:asciiTheme="majorHAnsi" w:eastAsia="Times New Roman" w:hAnsiTheme="majorHAnsi" w:cstheme="majorHAnsi"/>
                <w:sz w:val="20"/>
                <w:szCs w:val="20"/>
              </w:rPr>
              <w:t xml:space="preserve">: </w:t>
            </w:r>
            <w:r w:rsidR="00724890" w:rsidRPr="00736723">
              <w:rPr>
                <w:rFonts w:asciiTheme="majorHAnsi" w:eastAsia="Times New Roman" w:hAnsiTheme="majorHAnsi" w:cstheme="majorHAnsi"/>
                <w:sz w:val="20"/>
                <w:szCs w:val="20"/>
              </w:rPr>
              <w:t>Each week, students work through a series of disease outbreaks. Students describe each outbreak in terms of magnitude, person, place, time, and exposure-outcome relationships.  (Asthma, parts 3, 4, 5, 7; Ebola, part 5; Lassa fever, part 6)</w:t>
            </w:r>
          </w:p>
        </w:tc>
      </w:tr>
      <w:tr w:rsidR="00724890" w:rsidRPr="00736723" w:rsidTr="00474A9A">
        <w:trPr>
          <w:cantSplit/>
          <w:trHeight w:val="300"/>
        </w:trPr>
        <w:tc>
          <w:tcPr>
            <w:tcW w:w="1198" w:type="pct"/>
            <w:shd w:val="clear" w:color="auto" w:fill="auto"/>
            <w:tcMar>
              <w:left w:w="29" w:type="dxa"/>
              <w:right w:w="29" w:type="dxa"/>
            </w:tcMar>
          </w:tcPr>
          <w:p w:rsidR="00724890" w:rsidRPr="00736723" w:rsidRDefault="00724890" w:rsidP="00A37ED6">
            <w:pPr>
              <w:rPr>
                <w:rFonts w:asciiTheme="majorHAnsi" w:hAnsiTheme="majorHAnsi" w:cstheme="majorHAnsi"/>
                <w:color w:val="000000"/>
                <w:sz w:val="20"/>
                <w:szCs w:val="20"/>
              </w:rPr>
            </w:pPr>
            <w:r w:rsidRPr="00736723">
              <w:rPr>
                <w:rFonts w:asciiTheme="majorHAnsi" w:hAnsiTheme="majorHAnsi" w:cstheme="majorHAnsi"/>
                <w:color w:val="000000"/>
                <w:sz w:val="20"/>
                <w:szCs w:val="20"/>
              </w:rPr>
              <w:t>MPH-E4. Apply basic ethical principles pertaining to the collection and management of epidemiologic information.</w:t>
            </w:r>
          </w:p>
        </w:tc>
        <w:tc>
          <w:tcPr>
            <w:tcW w:w="1407" w:type="pct"/>
            <w:shd w:val="clear" w:color="auto" w:fill="auto"/>
            <w:tcMar>
              <w:left w:w="29" w:type="dxa"/>
              <w:right w:w="29" w:type="dxa"/>
            </w:tcMar>
          </w:tcPr>
          <w:p w:rsidR="00724890" w:rsidRPr="00736723" w:rsidRDefault="00EF5736" w:rsidP="00FC4AEF">
            <w:pPr>
              <w:rPr>
                <w:rFonts w:asciiTheme="majorHAnsi" w:eastAsia="Times New Roman" w:hAnsiTheme="majorHAnsi" w:cstheme="majorHAnsi"/>
                <w:sz w:val="20"/>
                <w:szCs w:val="20"/>
              </w:rPr>
            </w:pPr>
            <w:r w:rsidRPr="00736723">
              <w:rPr>
                <w:rFonts w:asciiTheme="majorHAnsi" w:hAnsiTheme="majorHAnsi" w:cstheme="majorHAnsi"/>
                <w:b/>
                <w:sz w:val="20"/>
                <w:szCs w:val="20"/>
              </w:rPr>
              <w:t>PHW 2795</w:t>
            </w:r>
            <w:r w:rsidRPr="00736723">
              <w:rPr>
                <w:rFonts w:asciiTheme="majorHAnsi" w:hAnsiTheme="majorHAnsi" w:cstheme="majorHAnsi"/>
                <w:sz w:val="20"/>
                <w:szCs w:val="20"/>
              </w:rPr>
              <w:t xml:space="preserve"> Disease Detectives: International Epidemic Investigations</w:t>
            </w:r>
          </w:p>
        </w:tc>
        <w:tc>
          <w:tcPr>
            <w:tcW w:w="2395" w:type="pct"/>
            <w:shd w:val="clear" w:color="auto" w:fill="auto"/>
            <w:tcMar>
              <w:left w:w="29" w:type="dxa"/>
              <w:right w:w="29" w:type="dxa"/>
            </w:tcMar>
          </w:tcPr>
          <w:p w:rsidR="00724890" w:rsidRPr="00736723" w:rsidRDefault="00266160" w:rsidP="00A37ED6">
            <w:pPr>
              <w:rPr>
                <w:rFonts w:asciiTheme="majorHAnsi" w:hAnsiTheme="majorHAnsi" w:cstheme="majorHAnsi"/>
                <w:sz w:val="20"/>
                <w:szCs w:val="20"/>
              </w:rPr>
            </w:pPr>
            <w:r w:rsidRPr="00736723">
              <w:rPr>
                <w:rFonts w:asciiTheme="majorHAnsi" w:hAnsiTheme="majorHAnsi" w:cstheme="majorHAnsi"/>
                <w:sz w:val="20"/>
                <w:szCs w:val="20"/>
              </w:rPr>
              <w:t>Disease Outbreak Investigations</w:t>
            </w:r>
            <w:r w:rsidRPr="00736723">
              <w:rPr>
                <w:rFonts w:asciiTheme="majorHAnsi" w:eastAsia="Times New Roman" w:hAnsiTheme="majorHAnsi" w:cstheme="majorHAnsi"/>
                <w:sz w:val="20"/>
                <w:szCs w:val="20"/>
              </w:rPr>
              <w:t xml:space="preserve">: </w:t>
            </w:r>
            <w:r w:rsidR="00724890" w:rsidRPr="00736723">
              <w:rPr>
                <w:rFonts w:asciiTheme="majorHAnsi" w:eastAsia="Times New Roman" w:hAnsiTheme="majorHAnsi" w:cstheme="majorHAnsi"/>
                <w:sz w:val="20"/>
                <w:szCs w:val="20"/>
              </w:rPr>
              <w:t>Each week, students work through a series of disease outbreaks. Students describe how they would ethically collect data, maintain data, and disseminate epidemiologic information (Ebola part 4; Ebola part 9; HIV, part 1, Lassa fever, part 3)</w:t>
            </w:r>
          </w:p>
        </w:tc>
      </w:tr>
      <w:tr w:rsidR="00724890" w:rsidRPr="00736723" w:rsidTr="00474A9A">
        <w:trPr>
          <w:cantSplit/>
          <w:trHeight w:val="315"/>
        </w:trPr>
        <w:tc>
          <w:tcPr>
            <w:tcW w:w="1198" w:type="pct"/>
            <w:vMerge w:val="restart"/>
            <w:shd w:val="clear" w:color="auto" w:fill="auto"/>
            <w:tcMar>
              <w:left w:w="29" w:type="dxa"/>
              <w:right w:w="29" w:type="dxa"/>
            </w:tcMar>
          </w:tcPr>
          <w:p w:rsidR="00724890" w:rsidRPr="00736723" w:rsidRDefault="00724890" w:rsidP="00A37ED6">
            <w:pPr>
              <w:rPr>
                <w:rFonts w:asciiTheme="majorHAnsi" w:hAnsiTheme="majorHAnsi" w:cstheme="majorHAnsi"/>
                <w:color w:val="000000"/>
                <w:sz w:val="20"/>
                <w:szCs w:val="20"/>
              </w:rPr>
            </w:pPr>
            <w:r w:rsidRPr="00736723">
              <w:rPr>
                <w:rFonts w:asciiTheme="majorHAnsi" w:hAnsiTheme="majorHAnsi" w:cstheme="majorHAnsi"/>
                <w:color w:val="000000"/>
                <w:sz w:val="20"/>
                <w:szCs w:val="20"/>
              </w:rPr>
              <w:t>MPH-E5. Appropriately interpret measures of disease frequency and association, taking into account the impact of bias and error on results and conclusions.</w:t>
            </w:r>
          </w:p>
        </w:tc>
        <w:tc>
          <w:tcPr>
            <w:tcW w:w="1407" w:type="pct"/>
            <w:shd w:val="clear" w:color="auto" w:fill="auto"/>
            <w:tcMar>
              <w:left w:w="29" w:type="dxa"/>
              <w:right w:w="29" w:type="dxa"/>
            </w:tcMar>
          </w:tcPr>
          <w:p w:rsidR="00724890" w:rsidRPr="00736723" w:rsidRDefault="00FC68A8" w:rsidP="00FC4AEF">
            <w:pPr>
              <w:rPr>
                <w:rFonts w:asciiTheme="majorHAnsi" w:eastAsia="Times New Roman" w:hAnsiTheme="majorHAnsi" w:cstheme="majorHAnsi"/>
                <w:sz w:val="20"/>
                <w:szCs w:val="20"/>
              </w:rPr>
            </w:pPr>
            <w:r w:rsidRPr="00736723">
              <w:rPr>
                <w:rFonts w:asciiTheme="majorHAnsi" w:hAnsiTheme="majorHAnsi" w:cstheme="majorHAnsi"/>
                <w:b/>
                <w:sz w:val="20"/>
                <w:szCs w:val="20"/>
              </w:rPr>
              <w:t>PHW 2740</w:t>
            </w:r>
            <w:r w:rsidRPr="00736723">
              <w:rPr>
                <w:rFonts w:asciiTheme="majorHAnsi" w:hAnsiTheme="majorHAnsi" w:cstheme="majorHAnsi"/>
                <w:sz w:val="20"/>
                <w:szCs w:val="20"/>
              </w:rPr>
              <w:t xml:space="preserve"> Cardiovascular Disease Epidemiology and Prevention</w:t>
            </w:r>
          </w:p>
        </w:tc>
        <w:tc>
          <w:tcPr>
            <w:tcW w:w="2395" w:type="pct"/>
            <w:tcBorders>
              <w:top w:val="single" w:sz="8" w:space="0" w:color="auto"/>
              <w:left w:val="single" w:sz="8" w:space="0" w:color="auto"/>
              <w:bottom w:val="single" w:sz="8" w:space="0" w:color="000000"/>
              <w:right w:val="single" w:sz="8" w:space="0" w:color="auto"/>
            </w:tcBorders>
            <w:shd w:val="clear" w:color="auto" w:fill="auto"/>
            <w:tcMar>
              <w:left w:w="29" w:type="dxa"/>
              <w:right w:w="29" w:type="dxa"/>
            </w:tcMar>
          </w:tcPr>
          <w:p w:rsidR="00724890" w:rsidRPr="00736723" w:rsidRDefault="003261DB" w:rsidP="00A37ED6">
            <w:pPr>
              <w:rPr>
                <w:rFonts w:asciiTheme="majorHAnsi" w:eastAsia="Times New Roman" w:hAnsiTheme="majorHAnsi" w:cstheme="majorHAnsi"/>
                <w:sz w:val="20"/>
                <w:szCs w:val="20"/>
              </w:rPr>
            </w:pPr>
            <w:r w:rsidRPr="00736723">
              <w:rPr>
                <w:rFonts w:asciiTheme="majorHAnsi" w:hAnsiTheme="majorHAnsi" w:cstheme="majorHAnsi"/>
                <w:sz w:val="20"/>
                <w:szCs w:val="20"/>
              </w:rPr>
              <w:t>Final Project and Rubric</w:t>
            </w:r>
            <w:r w:rsidRPr="00736723">
              <w:rPr>
                <w:rFonts w:asciiTheme="majorHAnsi" w:eastAsia="Times New Roman" w:hAnsiTheme="majorHAnsi" w:cstheme="majorHAnsi"/>
                <w:sz w:val="20"/>
                <w:szCs w:val="20"/>
              </w:rPr>
              <w:t>: The f</w:t>
            </w:r>
            <w:r w:rsidR="00724890" w:rsidRPr="00736723">
              <w:rPr>
                <w:rFonts w:asciiTheme="majorHAnsi" w:eastAsia="Times New Roman" w:hAnsiTheme="majorHAnsi" w:cstheme="majorHAnsi"/>
                <w:sz w:val="20"/>
                <w:szCs w:val="20"/>
              </w:rPr>
              <w:t>inal project allows students to apply epidemiologic concepts, definitions, principles, and methods for critiquing peer-reviewed journal articles on CVD epidemiology. Students will describe and/or interpret CVD study design (i.e. population selection, potential bias and confounding), outcome measure, major findings (i.e. frequency, association, effect size and confidence interval) and present their perspective for future interventions.</w:t>
            </w:r>
          </w:p>
        </w:tc>
      </w:tr>
      <w:tr w:rsidR="00A50C97" w:rsidRPr="00736723" w:rsidTr="00474A9A">
        <w:trPr>
          <w:cantSplit/>
          <w:trHeight w:val="315"/>
        </w:trPr>
        <w:tc>
          <w:tcPr>
            <w:tcW w:w="1198" w:type="pct"/>
            <w:vMerge/>
            <w:shd w:val="clear" w:color="auto" w:fill="auto"/>
            <w:tcMar>
              <w:left w:w="29" w:type="dxa"/>
              <w:right w:w="29" w:type="dxa"/>
            </w:tcMar>
          </w:tcPr>
          <w:p w:rsidR="00A50C97" w:rsidRPr="00736723" w:rsidRDefault="00A50C97" w:rsidP="00A37ED6">
            <w:pPr>
              <w:rPr>
                <w:rFonts w:asciiTheme="majorHAnsi" w:hAnsiTheme="majorHAnsi" w:cstheme="majorHAnsi"/>
                <w:color w:val="000000"/>
                <w:sz w:val="20"/>
                <w:szCs w:val="20"/>
              </w:rPr>
            </w:pPr>
          </w:p>
        </w:tc>
        <w:tc>
          <w:tcPr>
            <w:tcW w:w="1407" w:type="pct"/>
            <w:shd w:val="clear" w:color="auto" w:fill="auto"/>
            <w:tcMar>
              <w:left w:w="29" w:type="dxa"/>
              <w:right w:w="29" w:type="dxa"/>
            </w:tcMar>
          </w:tcPr>
          <w:p w:rsidR="00A50C97" w:rsidRPr="00736723" w:rsidRDefault="00A50C97" w:rsidP="00FC4AEF">
            <w:pPr>
              <w:rPr>
                <w:rFonts w:asciiTheme="majorHAnsi" w:eastAsia="Times New Roman" w:hAnsiTheme="majorHAnsi" w:cstheme="majorHAnsi"/>
                <w:b/>
                <w:sz w:val="20"/>
                <w:szCs w:val="20"/>
              </w:rPr>
            </w:pPr>
            <w:r w:rsidRPr="00736723">
              <w:rPr>
                <w:rFonts w:asciiTheme="majorHAnsi" w:hAnsiTheme="majorHAnsi" w:cstheme="majorHAnsi"/>
                <w:b/>
                <w:sz w:val="20"/>
                <w:szCs w:val="20"/>
              </w:rPr>
              <w:t>PHW 2765</w:t>
            </w:r>
            <w:r w:rsidRPr="00736723">
              <w:rPr>
                <w:rFonts w:asciiTheme="majorHAnsi" w:hAnsiTheme="majorHAnsi" w:cstheme="majorHAnsi"/>
                <w:sz w:val="20"/>
                <w:szCs w:val="20"/>
              </w:rPr>
              <w:t xml:space="preserve"> Pediatric Epidemiology</w:t>
            </w:r>
          </w:p>
        </w:tc>
        <w:tc>
          <w:tcPr>
            <w:tcW w:w="2395" w:type="pct"/>
            <w:tcBorders>
              <w:top w:val="single" w:sz="8" w:space="0" w:color="auto"/>
              <w:left w:val="single" w:sz="8" w:space="0" w:color="auto"/>
              <w:bottom w:val="single" w:sz="8" w:space="0" w:color="000000"/>
              <w:right w:val="single" w:sz="8" w:space="0" w:color="auto"/>
            </w:tcBorders>
            <w:shd w:val="clear" w:color="auto" w:fill="auto"/>
            <w:tcMar>
              <w:left w:w="29" w:type="dxa"/>
              <w:right w:w="29" w:type="dxa"/>
            </w:tcMar>
          </w:tcPr>
          <w:p w:rsidR="00A50C97" w:rsidRPr="00736723" w:rsidRDefault="0030079D" w:rsidP="00A37ED6">
            <w:pPr>
              <w:rPr>
                <w:rFonts w:asciiTheme="majorHAnsi" w:hAnsiTheme="majorHAnsi" w:cstheme="majorHAnsi"/>
                <w:sz w:val="20"/>
                <w:szCs w:val="20"/>
              </w:rPr>
            </w:pPr>
            <w:r w:rsidRPr="00736723">
              <w:rPr>
                <w:rFonts w:asciiTheme="majorHAnsi" w:hAnsiTheme="majorHAnsi" w:cstheme="majorHAnsi"/>
                <w:sz w:val="20"/>
                <w:szCs w:val="20"/>
              </w:rPr>
              <w:t>Academic Review Paper</w:t>
            </w:r>
            <w:r w:rsidR="00AF5600">
              <w:rPr>
                <w:rFonts w:asciiTheme="majorHAnsi" w:hAnsiTheme="majorHAnsi" w:cstheme="majorHAnsi"/>
                <w:sz w:val="20"/>
                <w:szCs w:val="20"/>
              </w:rPr>
              <w:t xml:space="preserve"> </w:t>
            </w:r>
            <w:r w:rsidRPr="00736723">
              <w:rPr>
                <w:rFonts w:asciiTheme="majorHAnsi" w:hAnsiTheme="majorHAnsi" w:cstheme="majorHAnsi"/>
                <w:sz w:val="20"/>
                <w:szCs w:val="20"/>
              </w:rPr>
              <w:t xml:space="preserve">and Rubric: </w:t>
            </w:r>
            <w:r w:rsidR="00A50C97" w:rsidRPr="00736723">
              <w:rPr>
                <w:rFonts w:asciiTheme="majorHAnsi" w:hAnsiTheme="majorHAnsi" w:cstheme="majorHAnsi"/>
                <w:sz w:val="20"/>
                <w:szCs w:val="20"/>
              </w:rPr>
              <w:t>Students are required to write an Academic Review Paper on a topic relevant to the course material.  The research paper can draw from any material covered in class or suggested reading material.  The paper can take many forms.  The goal for the paper is to either examine: 1) A particular topic “in an in depth manner”; 2) A particular topic “from a different perspective”; or 3) “A controversial topic”.  The topic could also be an issue related to the course material that was not directly covered in class.  Students are free to draw on their own experiences, as well, when identifying a paper topic.</w:t>
            </w:r>
          </w:p>
          <w:p w:rsidR="00A50C97" w:rsidRPr="00736723" w:rsidRDefault="00A50C97" w:rsidP="00A37ED6">
            <w:pPr>
              <w:rPr>
                <w:rFonts w:asciiTheme="majorHAnsi" w:hAnsiTheme="majorHAnsi" w:cstheme="majorHAnsi"/>
                <w:sz w:val="20"/>
                <w:szCs w:val="20"/>
              </w:rPr>
            </w:pPr>
          </w:p>
          <w:p w:rsidR="00A50C97" w:rsidRPr="00736723" w:rsidRDefault="005D0075" w:rsidP="00A37ED6">
            <w:pPr>
              <w:rPr>
                <w:rFonts w:asciiTheme="majorHAnsi" w:eastAsia="Times New Roman" w:hAnsiTheme="majorHAnsi" w:cstheme="majorHAnsi"/>
                <w:sz w:val="20"/>
                <w:szCs w:val="20"/>
              </w:rPr>
            </w:pPr>
            <w:r w:rsidRPr="00736723">
              <w:rPr>
                <w:rFonts w:asciiTheme="majorHAnsi" w:hAnsiTheme="majorHAnsi" w:cstheme="majorHAnsi"/>
                <w:sz w:val="20"/>
                <w:szCs w:val="20"/>
              </w:rPr>
              <w:t>Article Critiques</w:t>
            </w:r>
            <w:r w:rsidR="00A50C97" w:rsidRPr="00736723">
              <w:rPr>
                <w:rFonts w:asciiTheme="majorHAnsi" w:hAnsiTheme="majorHAnsi" w:cstheme="majorHAnsi"/>
                <w:sz w:val="20"/>
                <w:szCs w:val="20"/>
              </w:rPr>
              <w:t>: Students are responsible for handing in 3 article critiques over the course of the semester.  These papers are 2-3 double-spaced pages and evaluate/critique a journal article of the student’s choosing from among the assigned list of required readings or among the additional supplemental readings.</w:t>
            </w:r>
          </w:p>
        </w:tc>
      </w:tr>
      <w:tr w:rsidR="00724890" w:rsidRPr="00736723" w:rsidTr="00474A9A">
        <w:trPr>
          <w:cantSplit/>
          <w:trHeight w:val="315"/>
        </w:trPr>
        <w:tc>
          <w:tcPr>
            <w:tcW w:w="1198" w:type="pct"/>
            <w:vMerge/>
            <w:shd w:val="clear" w:color="auto" w:fill="auto"/>
            <w:tcMar>
              <w:left w:w="29" w:type="dxa"/>
              <w:right w:w="29" w:type="dxa"/>
            </w:tcMar>
          </w:tcPr>
          <w:p w:rsidR="00724890" w:rsidRPr="00736723" w:rsidRDefault="00724890" w:rsidP="00A37ED6">
            <w:pPr>
              <w:rPr>
                <w:rFonts w:asciiTheme="majorHAnsi" w:hAnsiTheme="majorHAnsi" w:cstheme="majorHAnsi"/>
                <w:color w:val="000000"/>
                <w:sz w:val="20"/>
                <w:szCs w:val="20"/>
              </w:rPr>
            </w:pPr>
          </w:p>
        </w:tc>
        <w:tc>
          <w:tcPr>
            <w:tcW w:w="1407" w:type="pct"/>
            <w:shd w:val="clear" w:color="auto" w:fill="auto"/>
            <w:tcMar>
              <w:left w:w="29" w:type="dxa"/>
              <w:right w:w="29" w:type="dxa"/>
            </w:tcMar>
          </w:tcPr>
          <w:p w:rsidR="00724890" w:rsidRPr="00736723" w:rsidRDefault="00FD4498" w:rsidP="00FC4AEF">
            <w:pPr>
              <w:rPr>
                <w:rFonts w:asciiTheme="majorHAnsi" w:eastAsia="Times New Roman" w:hAnsiTheme="majorHAnsi" w:cstheme="majorHAnsi"/>
                <w:sz w:val="20"/>
                <w:szCs w:val="20"/>
              </w:rPr>
            </w:pPr>
            <w:r w:rsidRPr="005717A4">
              <w:rPr>
                <w:rFonts w:asciiTheme="majorHAnsi" w:hAnsiTheme="majorHAnsi" w:cstheme="majorHAnsi"/>
                <w:b/>
                <w:sz w:val="20"/>
                <w:szCs w:val="20"/>
              </w:rPr>
              <w:t>PHW 2795</w:t>
            </w:r>
            <w:r w:rsidRPr="00736723">
              <w:rPr>
                <w:rFonts w:asciiTheme="majorHAnsi" w:hAnsiTheme="majorHAnsi" w:cstheme="majorHAnsi"/>
                <w:sz w:val="20"/>
                <w:szCs w:val="20"/>
              </w:rPr>
              <w:t xml:space="preserve"> Disease Detectives: International Epidemic Investigations</w:t>
            </w:r>
          </w:p>
        </w:tc>
        <w:tc>
          <w:tcPr>
            <w:tcW w:w="2395" w:type="pct"/>
            <w:tcBorders>
              <w:top w:val="single" w:sz="8" w:space="0" w:color="auto"/>
              <w:left w:val="single" w:sz="8" w:space="0" w:color="auto"/>
              <w:bottom w:val="single" w:sz="8" w:space="0" w:color="000000"/>
              <w:right w:val="single" w:sz="8" w:space="0" w:color="auto"/>
            </w:tcBorders>
            <w:shd w:val="clear" w:color="auto" w:fill="auto"/>
            <w:tcMar>
              <w:left w:w="29" w:type="dxa"/>
              <w:right w:w="29" w:type="dxa"/>
            </w:tcMar>
          </w:tcPr>
          <w:p w:rsidR="00724890" w:rsidRPr="00736723" w:rsidRDefault="000B318F" w:rsidP="00A37ED6">
            <w:pPr>
              <w:rPr>
                <w:rFonts w:asciiTheme="majorHAnsi" w:hAnsiTheme="majorHAnsi" w:cstheme="majorHAnsi"/>
                <w:sz w:val="20"/>
                <w:szCs w:val="20"/>
              </w:rPr>
            </w:pPr>
            <w:r w:rsidRPr="00736723">
              <w:rPr>
                <w:rFonts w:asciiTheme="majorHAnsi" w:hAnsiTheme="majorHAnsi" w:cstheme="majorHAnsi"/>
                <w:sz w:val="20"/>
                <w:szCs w:val="20"/>
              </w:rPr>
              <w:t>Disease Outbreak Investigations</w:t>
            </w:r>
            <w:r w:rsidRPr="00736723">
              <w:rPr>
                <w:rFonts w:asciiTheme="majorHAnsi" w:eastAsia="Times New Roman" w:hAnsiTheme="majorHAnsi" w:cstheme="majorHAnsi"/>
                <w:sz w:val="20"/>
                <w:szCs w:val="20"/>
              </w:rPr>
              <w:t xml:space="preserve">: </w:t>
            </w:r>
            <w:r w:rsidR="00A50C97" w:rsidRPr="00736723">
              <w:rPr>
                <w:rFonts w:asciiTheme="majorHAnsi" w:eastAsia="Times New Roman" w:hAnsiTheme="majorHAnsi" w:cstheme="majorHAnsi"/>
                <w:sz w:val="20"/>
                <w:szCs w:val="20"/>
              </w:rPr>
              <w:t>Each week, students work through a series of disease outbreaks. Interpret measures of disease frequency while taking into account measurement error and bias for various outbreaks. of the outbreak and associated symptoms and the association of risk factors to the outcome of interest (all outbreak investigations)</w:t>
            </w:r>
          </w:p>
        </w:tc>
      </w:tr>
    </w:tbl>
    <w:p w:rsidR="00371887" w:rsidRPr="00736723" w:rsidRDefault="00371887" w:rsidP="00A37ED6">
      <w:pPr>
        <w:ind w:left="720"/>
        <w:rPr>
          <w:rFonts w:asciiTheme="majorHAnsi" w:eastAsia="Arial Unicode MS" w:hAnsiTheme="majorHAnsi" w:cstheme="majorHAnsi"/>
          <w:sz w:val="20"/>
          <w:szCs w:val="20"/>
        </w:rPr>
      </w:pPr>
    </w:p>
    <w:p w:rsidR="008C6849" w:rsidRPr="00736723" w:rsidRDefault="00371887" w:rsidP="006E28EE">
      <w:pPr>
        <w:ind w:left="720"/>
        <w:rPr>
          <w:rFonts w:asciiTheme="majorHAnsi" w:eastAsia="Arial Unicode MS" w:hAnsiTheme="majorHAnsi" w:cstheme="majorHAnsi"/>
          <w:sz w:val="20"/>
          <w:szCs w:val="20"/>
        </w:rPr>
      </w:pPr>
      <w:r w:rsidRPr="00736723">
        <w:rPr>
          <w:rFonts w:asciiTheme="majorHAnsi" w:eastAsia="Arial Unicode MS" w:hAnsiTheme="majorHAnsi" w:cstheme="majorHAnsi"/>
          <w:sz w:val="20"/>
          <w:szCs w:val="20"/>
        </w:rPr>
        <w:t xml:space="preserve">Sample matrices </w:t>
      </w:r>
      <w:r w:rsidR="005752F3" w:rsidRPr="00736723">
        <w:rPr>
          <w:rFonts w:asciiTheme="majorHAnsi" w:eastAsia="Arial Unicode MS" w:hAnsiTheme="majorHAnsi" w:cstheme="majorHAnsi"/>
          <w:sz w:val="20"/>
          <w:szCs w:val="20"/>
        </w:rPr>
        <w:t xml:space="preserve">that demonstrate competency attainment </w:t>
      </w:r>
      <w:r w:rsidRPr="00736723">
        <w:rPr>
          <w:rFonts w:asciiTheme="majorHAnsi" w:eastAsia="Arial Unicode MS" w:hAnsiTheme="majorHAnsi" w:cstheme="majorHAnsi"/>
          <w:sz w:val="20"/>
          <w:szCs w:val="20"/>
        </w:rPr>
        <w:t xml:space="preserve">for MPH Customized students in the format of Template D4-1 </w:t>
      </w:r>
      <w:r w:rsidR="0000125A">
        <w:rPr>
          <w:rFonts w:asciiTheme="majorHAnsi" w:eastAsia="Arial Unicode MS" w:hAnsiTheme="majorHAnsi" w:cstheme="majorHAnsi"/>
          <w:sz w:val="20"/>
          <w:szCs w:val="20"/>
        </w:rPr>
        <w:t>are available in the electronic resource file</w:t>
      </w:r>
      <w:r w:rsidRPr="00736723">
        <w:rPr>
          <w:rFonts w:asciiTheme="majorHAnsi" w:eastAsia="Arial Unicode MS" w:hAnsiTheme="majorHAnsi" w:cstheme="majorHAnsi"/>
          <w:sz w:val="20"/>
          <w:szCs w:val="20"/>
        </w:rPr>
        <w:t xml:space="preserve"> (</w:t>
      </w:r>
      <w:r w:rsidR="002D5C97" w:rsidRPr="00736723">
        <w:rPr>
          <w:rFonts w:asciiTheme="majorHAnsi" w:eastAsia="Arial Unicode MS" w:hAnsiTheme="majorHAnsi" w:cstheme="majorHAnsi"/>
          <w:i/>
          <w:sz w:val="20"/>
          <w:szCs w:val="20"/>
        </w:rPr>
        <w:t xml:space="preserve">ERF, </w:t>
      </w:r>
      <w:r w:rsidR="002D5C97" w:rsidRPr="00736723">
        <w:rPr>
          <w:rFonts w:asciiTheme="majorHAnsi" w:hAnsiTheme="majorHAnsi" w:cstheme="majorHAnsi"/>
          <w:i/>
          <w:sz w:val="20"/>
          <w:szCs w:val="20"/>
        </w:rPr>
        <w:t>D4.2. MPH Customized Documentation</w:t>
      </w:r>
      <w:r w:rsidR="002D5C97" w:rsidRPr="00736723">
        <w:rPr>
          <w:rFonts w:asciiTheme="majorHAnsi" w:eastAsia="Arial Unicode MS" w:hAnsiTheme="majorHAnsi" w:cstheme="majorHAnsi"/>
          <w:i/>
          <w:sz w:val="20"/>
          <w:szCs w:val="20"/>
        </w:rPr>
        <w:t>, MPH Customized Sample Matrices</w:t>
      </w:r>
      <w:r w:rsidR="008C6849" w:rsidRPr="00736723">
        <w:rPr>
          <w:rFonts w:asciiTheme="majorHAnsi" w:eastAsia="Arial Unicode MS" w:hAnsiTheme="majorHAnsi" w:cstheme="majorHAnsi"/>
          <w:sz w:val="20"/>
          <w:szCs w:val="20"/>
        </w:rPr>
        <w:t xml:space="preserve">). </w:t>
      </w:r>
    </w:p>
    <w:p w:rsidR="000614D8" w:rsidRPr="00736723" w:rsidRDefault="000614D8" w:rsidP="00A37ED6">
      <w:pPr>
        <w:rPr>
          <w:rFonts w:asciiTheme="majorHAnsi" w:eastAsia="Arial Unicode MS" w:hAnsiTheme="majorHAnsi" w:cstheme="majorHAnsi"/>
          <w:sz w:val="20"/>
          <w:szCs w:val="20"/>
        </w:rPr>
      </w:pPr>
    </w:p>
    <w:p w:rsidR="00933038" w:rsidRPr="00736723" w:rsidRDefault="00E1744F" w:rsidP="00A37ED6">
      <w:pPr>
        <w:ind w:left="720"/>
        <w:jc w:val="both"/>
        <w:rPr>
          <w:rFonts w:asciiTheme="majorHAnsi" w:eastAsia="Arial Unicode MS" w:hAnsiTheme="majorHAnsi" w:cstheme="majorHAnsi"/>
          <w:sz w:val="20"/>
          <w:szCs w:val="20"/>
        </w:rPr>
      </w:pPr>
      <w:r w:rsidRPr="00736723">
        <w:rPr>
          <w:rFonts w:asciiTheme="majorHAnsi" w:eastAsia="Arial Unicode MS" w:hAnsiTheme="majorHAnsi" w:cstheme="majorHAnsi"/>
          <w:sz w:val="20"/>
          <w:szCs w:val="20"/>
        </w:rPr>
        <w:t>Associated documents in the electronic resource file:</w:t>
      </w:r>
    </w:p>
    <w:p w:rsidR="00DA1FE6" w:rsidRPr="00736723" w:rsidRDefault="00396DAB" w:rsidP="00A37ED6">
      <w:pPr>
        <w:pStyle w:val="ListParagraph"/>
        <w:numPr>
          <w:ilvl w:val="0"/>
          <w:numId w:val="130"/>
        </w:numPr>
        <w:jc w:val="both"/>
        <w:rPr>
          <w:rFonts w:asciiTheme="majorHAnsi" w:eastAsia="Arial Unicode MS" w:hAnsiTheme="majorHAnsi" w:cstheme="majorHAnsi"/>
          <w:i/>
          <w:szCs w:val="20"/>
        </w:rPr>
      </w:pPr>
      <w:r w:rsidRPr="00736723">
        <w:rPr>
          <w:rFonts w:asciiTheme="majorHAnsi" w:eastAsia="Arial Unicode MS" w:hAnsiTheme="majorHAnsi" w:cstheme="majorHAnsi"/>
          <w:i/>
          <w:szCs w:val="20"/>
        </w:rPr>
        <w:t>D4.2. MPH Customized Documentation</w:t>
      </w:r>
    </w:p>
    <w:p w:rsidR="00BC773C" w:rsidRPr="00736723" w:rsidRDefault="00BC773C" w:rsidP="00A37ED6">
      <w:pPr>
        <w:pStyle w:val="ListParagraph"/>
        <w:numPr>
          <w:ilvl w:val="1"/>
          <w:numId w:val="130"/>
        </w:numPr>
        <w:jc w:val="both"/>
        <w:rPr>
          <w:rFonts w:asciiTheme="majorHAnsi" w:eastAsia="Arial Unicode MS" w:hAnsiTheme="majorHAnsi" w:cstheme="majorHAnsi"/>
          <w:i/>
          <w:szCs w:val="20"/>
        </w:rPr>
      </w:pPr>
      <w:r w:rsidRPr="00736723">
        <w:rPr>
          <w:rFonts w:asciiTheme="majorHAnsi" w:eastAsia="Arial Unicode MS" w:hAnsiTheme="majorHAnsi" w:cstheme="majorHAnsi"/>
          <w:i/>
          <w:szCs w:val="20"/>
        </w:rPr>
        <w:t>MPH Customized, Degree Planner</w:t>
      </w:r>
    </w:p>
    <w:p w:rsidR="00707D9D" w:rsidRPr="00736723" w:rsidRDefault="00707D9D" w:rsidP="00A37ED6">
      <w:pPr>
        <w:pStyle w:val="ListParagraph"/>
        <w:numPr>
          <w:ilvl w:val="1"/>
          <w:numId w:val="130"/>
        </w:numPr>
        <w:jc w:val="both"/>
        <w:rPr>
          <w:rFonts w:asciiTheme="majorHAnsi" w:eastAsia="Arial Unicode MS" w:hAnsiTheme="majorHAnsi" w:cstheme="majorHAnsi"/>
          <w:i/>
          <w:szCs w:val="20"/>
        </w:rPr>
      </w:pPr>
      <w:r w:rsidRPr="00736723">
        <w:rPr>
          <w:rFonts w:asciiTheme="majorHAnsi" w:hAnsiTheme="majorHAnsi" w:cstheme="majorHAnsi"/>
          <w:i/>
          <w:szCs w:val="20"/>
        </w:rPr>
        <w:t>Approved Advanced Public Health Coursework and Competencies</w:t>
      </w:r>
    </w:p>
    <w:p w:rsidR="009F4CA6" w:rsidRPr="00736723" w:rsidRDefault="009F4CA6" w:rsidP="009F4CA6">
      <w:pPr>
        <w:pStyle w:val="ListParagraph"/>
        <w:numPr>
          <w:ilvl w:val="1"/>
          <w:numId w:val="130"/>
        </w:numPr>
        <w:jc w:val="both"/>
        <w:rPr>
          <w:rFonts w:asciiTheme="majorHAnsi" w:eastAsia="Arial Unicode MS" w:hAnsiTheme="majorHAnsi" w:cstheme="majorHAnsi"/>
          <w:i/>
          <w:szCs w:val="20"/>
        </w:rPr>
      </w:pPr>
      <w:r w:rsidRPr="00736723">
        <w:rPr>
          <w:rFonts w:asciiTheme="majorHAnsi" w:eastAsia="Arial Unicode MS" w:hAnsiTheme="majorHAnsi" w:cstheme="majorHAnsi"/>
          <w:i/>
          <w:szCs w:val="20"/>
        </w:rPr>
        <w:t>Additional Coursework for MPH Customized Students</w:t>
      </w:r>
    </w:p>
    <w:p w:rsidR="00707D9D" w:rsidRPr="00AE4584" w:rsidRDefault="00707D9D" w:rsidP="00A37ED6">
      <w:pPr>
        <w:pStyle w:val="ListParagraph"/>
        <w:numPr>
          <w:ilvl w:val="1"/>
          <w:numId w:val="130"/>
        </w:numPr>
        <w:jc w:val="both"/>
        <w:rPr>
          <w:rFonts w:asciiTheme="majorHAnsi" w:eastAsia="Arial Unicode MS" w:hAnsiTheme="majorHAnsi" w:cstheme="majorHAnsi"/>
          <w:i/>
          <w:szCs w:val="20"/>
        </w:rPr>
      </w:pPr>
      <w:r w:rsidRPr="00736723">
        <w:rPr>
          <w:rFonts w:asciiTheme="majorHAnsi" w:hAnsiTheme="majorHAnsi" w:cstheme="majorHAnsi"/>
          <w:i/>
          <w:szCs w:val="20"/>
        </w:rPr>
        <w:t>MPH Customized Sample Matrices</w:t>
      </w:r>
    </w:p>
    <w:p w:rsidR="00AE4584" w:rsidRPr="00736723" w:rsidRDefault="00AE4584" w:rsidP="00AE4584">
      <w:pPr>
        <w:pStyle w:val="ListParagraph"/>
        <w:numPr>
          <w:ilvl w:val="0"/>
          <w:numId w:val="130"/>
        </w:numPr>
        <w:jc w:val="both"/>
        <w:rPr>
          <w:rFonts w:asciiTheme="majorHAnsi" w:eastAsia="Arial Unicode MS" w:hAnsiTheme="majorHAnsi" w:cstheme="majorHAnsi"/>
          <w:i/>
          <w:szCs w:val="20"/>
        </w:rPr>
      </w:pPr>
      <w:r>
        <w:rPr>
          <w:rFonts w:asciiTheme="majorHAnsi" w:hAnsiTheme="majorHAnsi" w:cstheme="majorHAnsi"/>
          <w:i/>
          <w:szCs w:val="20"/>
        </w:rPr>
        <w:t>D4.2. Additional Coursework for MPH Customized</w:t>
      </w:r>
    </w:p>
    <w:p w:rsidR="00933038" w:rsidRPr="00736723" w:rsidRDefault="00933038" w:rsidP="00A37ED6">
      <w:pPr>
        <w:ind w:left="720"/>
        <w:jc w:val="both"/>
        <w:rPr>
          <w:rFonts w:asciiTheme="majorHAnsi" w:eastAsia="Arial Unicode MS" w:hAnsiTheme="majorHAnsi" w:cstheme="majorHAnsi"/>
          <w:sz w:val="20"/>
          <w:szCs w:val="20"/>
        </w:rPr>
      </w:pPr>
    </w:p>
    <w:p w:rsidR="00933038" w:rsidRPr="00736723" w:rsidRDefault="00933038" w:rsidP="00A37ED6">
      <w:pPr>
        <w:numPr>
          <w:ilvl w:val="0"/>
          <w:numId w:val="21"/>
        </w:numPr>
        <w:jc w:val="both"/>
        <w:rPr>
          <w:rFonts w:asciiTheme="majorHAnsi" w:eastAsia="Arial Unicode MS" w:hAnsiTheme="majorHAnsi" w:cstheme="majorHAnsi"/>
          <w:sz w:val="20"/>
          <w:szCs w:val="20"/>
        </w:rPr>
      </w:pPr>
      <w:r w:rsidRPr="00736723">
        <w:rPr>
          <w:rFonts w:asciiTheme="majorHAnsi" w:eastAsia="Arial Unicode MS" w:hAnsiTheme="majorHAnsi" w:cstheme="majorHAnsi"/>
          <w:sz w:val="20"/>
          <w:szCs w:val="20"/>
        </w:rPr>
        <w:t xml:space="preserve">Include the most recent syllabus for each course listed in Template D4-1, or written guidelines for any required elements listed in Template D4-1 that do not have a syllabus. </w:t>
      </w:r>
    </w:p>
    <w:p w:rsidR="00933038" w:rsidRPr="00736723" w:rsidRDefault="00933038" w:rsidP="00A37ED6">
      <w:pPr>
        <w:jc w:val="both"/>
        <w:rPr>
          <w:rFonts w:asciiTheme="majorHAnsi" w:eastAsia="Arial Unicode MS" w:hAnsiTheme="majorHAnsi" w:cstheme="majorHAnsi"/>
          <w:sz w:val="20"/>
          <w:szCs w:val="20"/>
        </w:rPr>
      </w:pPr>
    </w:p>
    <w:p w:rsidR="000614D8" w:rsidRPr="00736723" w:rsidRDefault="000614D8" w:rsidP="00A37ED6">
      <w:pPr>
        <w:ind w:left="720"/>
        <w:jc w:val="both"/>
        <w:rPr>
          <w:rFonts w:asciiTheme="majorHAnsi" w:eastAsia="Arial Unicode MS" w:hAnsiTheme="majorHAnsi" w:cstheme="majorHAnsi"/>
          <w:sz w:val="20"/>
          <w:szCs w:val="20"/>
        </w:rPr>
      </w:pPr>
      <w:r w:rsidRPr="00736723">
        <w:rPr>
          <w:rFonts w:asciiTheme="majorHAnsi" w:eastAsia="Arial Unicode MS" w:hAnsiTheme="majorHAnsi" w:cstheme="majorHAnsi"/>
          <w:sz w:val="20"/>
          <w:szCs w:val="20"/>
        </w:rPr>
        <w:t>Associated documents in the electronic resource file:</w:t>
      </w:r>
    </w:p>
    <w:p w:rsidR="001F6577" w:rsidRPr="00736723" w:rsidRDefault="00D61D9F" w:rsidP="00A37ED6">
      <w:pPr>
        <w:pStyle w:val="ListParagraph"/>
        <w:numPr>
          <w:ilvl w:val="0"/>
          <w:numId w:val="130"/>
        </w:numPr>
        <w:rPr>
          <w:rFonts w:asciiTheme="majorHAnsi" w:eastAsia="Arial Unicode MS" w:hAnsiTheme="majorHAnsi" w:cstheme="majorHAnsi"/>
          <w:i/>
          <w:szCs w:val="20"/>
        </w:rPr>
      </w:pPr>
      <w:r w:rsidRPr="00736723">
        <w:rPr>
          <w:rFonts w:asciiTheme="majorHAnsi" w:eastAsia="Arial Unicode MS" w:hAnsiTheme="majorHAnsi" w:cstheme="majorHAnsi"/>
          <w:i/>
          <w:szCs w:val="20"/>
        </w:rPr>
        <w:t>D4. MPH &amp; DrPH Concentration Competencies</w:t>
      </w:r>
    </w:p>
    <w:p w:rsidR="000614D8" w:rsidRPr="00736723" w:rsidRDefault="008F1680" w:rsidP="00A37ED6">
      <w:pPr>
        <w:pStyle w:val="ListParagraph"/>
        <w:numPr>
          <w:ilvl w:val="1"/>
          <w:numId w:val="130"/>
        </w:numPr>
        <w:rPr>
          <w:rFonts w:asciiTheme="majorHAnsi" w:eastAsia="Arial Unicode MS" w:hAnsiTheme="majorHAnsi" w:cstheme="majorHAnsi"/>
          <w:i/>
          <w:szCs w:val="20"/>
        </w:rPr>
      </w:pPr>
      <w:r w:rsidRPr="00736723">
        <w:rPr>
          <w:rFonts w:asciiTheme="majorHAnsi" w:eastAsia="Arial Unicode MS" w:hAnsiTheme="majorHAnsi" w:cstheme="majorHAnsi"/>
          <w:i/>
          <w:szCs w:val="20"/>
        </w:rPr>
        <w:t xml:space="preserve">D4.3. </w:t>
      </w:r>
      <w:r w:rsidR="000614D8" w:rsidRPr="00736723">
        <w:rPr>
          <w:rFonts w:asciiTheme="majorHAnsi" w:eastAsia="Arial Unicode MS" w:hAnsiTheme="majorHAnsi" w:cstheme="majorHAnsi"/>
          <w:i/>
          <w:szCs w:val="20"/>
        </w:rPr>
        <w:t>MPH in Community Health Practice, Syllabi and Assessment</w:t>
      </w:r>
    </w:p>
    <w:p w:rsidR="000614D8" w:rsidRPr="00736723" w:rsidRDefault="008F1680" w:rsidP="00A37ED6">
      <w:pPr>
        <w:pStyle w:val="ListParagraph"/>
        <w:numPr>
          <w:ilvl w:val="1"/>
          <w:numId w:val="130"/>
        </w:numPr>
        <w:rPr>
          <w:rFonts w:asciiTheme="majorHAnsi" w:eastAsia="Arial Unicode MS" w:hAnsiTheme="majorHAnsi" w:cstheme="majorHAnsi"/>
          <w:i/>
          <w:szCs w:val="20"/>
        </w:rPr>
      </w:pPr>
      <w:r w:rsidRPr="00736723">
        <w:rPr>
          <w:rFonts w:asciiTheme="majorHAnsi" w:eastAsia="Arial Unicode MS" w:hAnsiTheme="majorHAnsi" w:cstheme="majorHAnsi"/>
          <w:i/>
          <w:szCs w:val="20"/>
        </w:rPr>
        <w:t xml:space="preserve">D4.3. </w:t>
      </w:r>
      <w:r w:rsidR="000614D8" w:rsidRPr="00736723">
        <w:rPr>
          <w:rFonts w:asciiTheme="majorHAnsi" w:eastAsia="Arial Unicode MS" w:hAnsiTheme="majorHAnsi" w:cstheme="majorHAnsi"/>
          <w:i/>
          <w:szCs w:val="20"/>
        </w:rPr>
        <w:t>MPH in Environmental Health, Syllabi and Assessments</w:t>
      </w:r>
    </w:p>
    <w:p w:rsidR="000614D8" w:rsidRPr="00736723" w:rsidRDefault="008F1680" w:rsidP="00A37ED6">
      <w:pPr>
        <w:pStyle w:val="ListParagraph"/>
        <w:numPr>
          <w:ilvl w:val="1"/>
          <w:numId w:val="130"/>
        </w:numPr>
        <w:rPr>
          <w:rFonts w:asciiTheme="majorHAnsi" w:eastAsia="Arial Unicode MS" w:hAnsiTheme="majorHAnsi" w:cstheme="majorHAnsi"/>
          <w:i/>
          <w:szCs w:val="20"/>
        </w:rPr>
      </w:pPr>
      <w:r w:rsidRPr="00736723">
        <w:rPr>
          <w:rFonts w:asciiTheme="majorHAnsi" w:eastAsia="Arial Unicode MS" w:hAnsiTheme="majorHAnsi" w:cstheme="majorHAnsi"/>
          <w:i/>
          <w:szCs w:val="20"/>
        </w:rPr>
        <w:t xml:space="preserve">D4.3. </w:t>
      </w:r>
      <w:r w:rsidR="000614D8" w:rsidRPr="00736723">
        <w:rPr>
          <w:rFonts w:asciiTheme="majorHAnsi" w:eastAsia="Arial Unicode MS" w:hAnsiTheme="majorHAnsi" w:cstheme="majorHAnsi"/>
          <w:i/>
          <w:szCs w:val="20"/>
        </w:rPr>
        <w:t>MPH in Epidemiology, Syllabi and Assessments</w:t>
      </w:r>
    </w:p>
    <w:p w:rsidR="000614D8" w:rsidRPr="00736723" w:rsidRDefault="008F1680" w:rsidP="00A37ED6">
      <w:pPr>
        <w:pStyle w:val="ListParagraph"/>
        <w:numPr>
          <w:ilvl w:val="1"/>
          <w:numId w:val="130"/>
        </w:numPr>
        <w:rPr>
          <w:rFonts w:asciiTheme="majorHAnsi" w:eastAsia="Arial Unicode MS" w:hAnsiTheme="majorHAnsi" w:cstheme="majorHAnsi"/>
          <w:i/>
          <w:szCs w:val="20"/>
        </w:rPr>
      </w:pPr>
      <w:r w:rsidRPr="00736723">
        <w:rPr>
          <w:rFonts w:asciiTheme="majorHAnsi" w:eastAsia="Arial Unicode MS" w:hAnsiTheme="majorHAnsi" w:cstheme="majorHAnsi"/>
          <w:i/>
          <w:szCs w:val="20"/>
        </w:rPr>
        <w:t xml:space="preserve">D4.3. </w:t>
      </w:r>
      <w:r w:rsidR="000614D8" w:rsidRPr="00736723">
        <w:rPr>
          <w:rFonts w:asciiTheme="majorHAnsi" w:eastAsia="Arial Unicode MS" w:hAnsiTheme="majorHAnsi" w:cstheme="majorHAnsi"/>
          <w:i/>
          <w:szCs w:val="20"/>
        </w:rPr>
        <w:t>MPH in Health Promotion and Health Education, Syllabi and Assessments</w:t>
      </w:r>
    </w:p>
    <w:p w:rsidR="000614D8" w:rsidRPr="00736723" w:rsidRDefault="008F1680" w:rsidP="00A37ED6">
      <w:pPr>
        <w:pStyle w:val="ListParagraph"/>
        <w:numPr>
          <w:ilvl w:val="1"/>
          <w:numId w:val="130"/>
        </w:numPr>
        <w:rPr>
          <w:rFonts w:asciiTheme="majorHAnsi" w:eastAsia="Arial Unicode MS" w:hAnsiTheme="majorHAnsi" w:cstheme="majorHAnsi"/>
          <w:i/>
          <w:szCs w:val="20"/>
        </w:rPr>
      </w:pPr>
      <w:r w:rsidRPr="00736723">
        <w:rPr>
          <w:rFonts w:asciiTheme="majorHAnsi" w:eastAsia="Arial Unicode MS" w:hAnsiTheme="majorHAnsi" w:cstheme="majorHAnsi"/>
          <w:i/>
          <w:szCs w:val="20"/>
        </w:rPr>
        <w:t xml:space="preserve">D4.3. </w:t>
      </w:r>
      <w:r w:rsidR="000614D8" w:rsidRPr="00736723">
        <w:rPr>
          <w:rFonts w:asciiTheme="majorHAnsi" w:eastAsia="Arial Unicode MS" w:hAnsiTheme="majorHAnsi" w:cstheme="majorHAnsi"/>
          <w:i/>
          <w:szCs w:val="20"/>
        </w:rPr>
        <w:t>MPH in Health Promotion and Health Education, Dietetic Internship, Syllabi and Assessments</w:t>
      </w:r>
    </w:p>
    <w:p w:rsidR="000614D8" w:rsidRPr="00736723" w:rsidRDefault="008F1680" w:rsidP="00A37ED6">
      <w:pPr>
        <w:pStyle w:val="ListParagraph"/>
        <w:numPr>
          <w:ilvl w:val="1"/>
          <w:numId w:val="130"/>
        </w:numPr>
        <w:rPr>
          <w:rFonts w:asciiTheme="majorHAnsi" w:eastAsia="Arial Unicode MS" w:hAnsiTheme="majorHAnsi" w:cstheme="majorHAnsi"/>
          <w:i/>
          <w:szCs w:val="20"/>
        </w:rPr>
      </w:pPr>
      <w:r w:rsidRPr="00736723">
        <w:rPr>
          <w:rFonts w:asciiTheme="majorHAnsi" w:eastAsia="Arial Unicode MS" w:hAnsiTheme="majorHAnsi" w:cstheme="majorHAnsi"/>
          <w:i/>
          <w:szCs w:val="20"/>
        </w:rPr>
        <w:t xml:space="preserve">D4.3. </w:t>
      </w:r>
      <w:r w:rsidR="000614D8" w:rsidRPr="00736723">
        <w:rPr>
          <w:rFonts w:asciiTheme="majorHAnsi" w:eastAsia="Arial Unicode MS" w:hAnsiTheme="majorHAnsi" w:cstheme="majorHAnsi"/>
          <w:i/>
          <w:szCs w:val="20"/>
        </w:rPr>
        <w:t>MPH in Health Services Organization, Syllabi and Assessments</w:t>
      </w:r>
    </w:p>
    <w:p w:rsidR="000614D8" w:rsidRPr="00736723" w:rsidRDefault="008F1680" w:rsidP="00A37ED6">
      <w:pPr>
        <w:pStyle w:val="ListParagraph"/>
        <w:numPr>
          <w:ilvl w:val="1"/>
          <w:numId w:val="130"/>
        </w:numPr>
        <w:rPr>
          <w:rFonts w:asciiTheme="majorHAnsi" w:eastAsia="Arial Unicode MS" w:hAnsiTheme="majorHAnsi" w:cstheme="majorHAnsi"/>
          <w:i/>
          <w:szCs w:val="20"/>
        </w:rPr>
      </w:pPr>
      <w:r w:rsidRPr="00736723">
        <w:rPr>
          <w:rFonts w:asciiTheme="majorHAnsi" w:eastAsia="Arial Unicode MS" w:hAnsiTheme="majorHAnsi" w:cstheme="majorHAnsi"/>
          <w:i/>
          <w:szCs w:val="20"/>
        </w:rPr>
        <w:t xml:space="preserve">D4.3. </w:t>
      </w:r>
      <w:r w:rsidR="000614D8" w:rsidRPr="00736723">
        <w:rPr>
          <w:rFonts w:asciiTheme="majorHAnsi" w:eastAsia="Arial Unicode MS" w:hAnsiTheme="majorHAnsi" w:cstheme="majorHAnsi"/>
          <w:i/>
          <w:szCs w:val="20"/>
        </w:rPr>
        <w:t>MPH in Healthcare Management, Syllabi and Assessments</w:t>
      </w:r>
    </w:p>
    <w:p w:rsidR="000614D8" w:rsidRPr="00736723" w:rsidRDefault="008F1680" w:rsidP="00A37ED6">
      <w:pPr>
        <w:pStyle w:val="ListParagraph"/>
        <w:numPr>
          <w:ilvl w:val="1"/>
          <w:numId w:val="130"/>
        </w:numPr>
        <w:rPr>
          <w:rFonts w:asciiTheme="majorHAnsi" w:eastAsia="Arial Unicode MS" w:hAnsiTheme="majorHAnsi" w:cstheme="majorHAnsi"/>
          <w:i/>
          <w:szCs w:val="20"/>
        </w:rPr>
      </w:pPr>
      <w:r w:rsidRPr="00736723">
        <w:rPr>
          <w:rFonts w:asciiTheme="majorHAnsi" w:eastAsia="Arial Unicode MS" w:hAnsiTheme="majorHAnsi" w:cstheme="majorHAnsi"/>
          <w:i/>
          <w:szCs w:val="20"/>
        </w:rPr>
        <w:t xml:space="preserve">D4.3. </w:t>
      </w:r>
      <w:r w:rsidR="000614D8" w:rsidRPr="00736723">
        <w:rPr>
          <w:rFonts w:asciiTheme="majorHAnsi" w:eastAsia="Arial Unicode MS" w:hAnsiTheme="majorHAnsi" w:cstheme="majorHAnsi"/>
          <w:i/>
          <w:szCs w:val="20"/>
        </w:rPr>
        <w:t>DrPH in Community Health Practice, Syllabi and Assessments</w:t>
      </w:r>
    </w:p>
    <w:p w:rsidR="000614D8" w:rsidRPr="00736723" w:rsidRDefault="008F1680" w:rsidP="00A37ED6">
      <w:pPr>
        <w:pStyle w:val="ListParagraph"/>
        <w:numPr>
          <w:ilvl w:val="1"/>
          <w:numId w:val="130"/>
        </w:numPr>
        <w:rPr>
          <w:rFonts w:asciiTheme="majorHAnsi" w:eastAsia="Arial Unicode MS" w:hAnsiTheme="majorHAnsi" w:cstheme="majorHAnsi"/>
          <w:i/>
          <w:szCs w:val="20"/>
        </w:rPr>
      </w:pPr>
      <w:r w:rsidRPr="00736723">
        <w:rPr>
          <w:rFonts w:asciiTheme="majorHAnsi" w:eastAsia="Arial Unicode MS" w:hAnsiTheme="majorHAnsi" w:cstheme="majorHAnsi"/>
          <w:i/>
          <w:szCs w:val="20"/>
        </w:rPr>
        <w:t xml:space="preserve">D4.3. </w:t>
      </w:r>
      <w:r w:rsidR="000614D8" w:rsidRPr="00736723">
        <w:rPr>
          <w:rFonts w:asciiTheme="majorHAnsi" w:eastAsia="Arial Unicode MS" w:hAnsiTheme="majorHAnsi" w:cstheme="majorHAnsi"/>
          <w:i/>
          <w:szCs w:val="20"/>
        </w:rPr>
        <w:t>DrPH in Health Promotion and Health Education, Syllabi and Assessments</w:t>
      </w:r>
    </w:p>
    <w:p w:rsidR="000614D8" w:rsidRPr="00736723" w:rsidRDefault="000614D8" w:rsidP="00A37ED6">
      <w:pPr>
        <w:pStyle w:val="ListParagraph"/>
        <w:rPr>
          <w:rFonts w:asciiTheme="majorHAnsi" w:eastAsia="Arial Unicode MS" w:hAnsiTheme="majorHAnsi" w:cstheme="majorHAnsi"/>
          <w:szCs w:val="20"/>
        </w:rPr>
      </w:pPr>
    </w:p>
    <w:p w:rsidR="00933038" w:rsidRPr="00736723" w:rsidRDefault="00933038" w:rsidP="00A37ED6">
      <w:pPr>
        <w:numPr>
          <w:ilvl w:val="0"/>
          <w:numId w:val="21"/>
        </w:numPr>
        <w:jc w:val="both"/>
        <w:rPr>
          <w:rFonts w:asciiTheme="majorHAnsi" w:eastAsia="Arial Unicode MS" w:hAnsiTheme="majorHAnsi" w:cstheme="majorHAnsi"/>
          <w:sz w:val="20"/>
          <w:szCs w:val="20"/>
        </w:rPr>
      </w:pPr>
      <w:r w:rsidRPr="00736723">
        <w:rPr>
          <w:rFonts w:asciiTheme="majorHAnsi" w:eastAsia="Arial Unicode MS" w:hAnsiTheme="majorHAnsi" w:cstheme="majorHAnsi"/>
          <w:sz w:val="20"/>
          <w:szCs w:val="20"/>
        </w:rPr>
        <w:t xml:space="preserve">If applicable, assess strengths and weaknesses related to this criterion and plans for improvement in this area. </w:t>
      </w:r>
    </w:p>
    <w:p w:rsidR="00933038" w:rsidRPr="00736723" w:rsidRDefault="00933038" w:rsidP="00A37ED6">
      <w:pPr>
        <w:jc w:val="both"/>
        <w:rPr>
          <w:rFonts w:asciiTheme="majorHAnsi" w:eastAsia="Arial Unicode MS" w:hAnsiTheme="majorHAnsi" w:cstheme="majorHAnsi"/>
          <w:sz w:val="20"/>
          <w:szCs w:val="20"/>
        </w:rPr>
      </w:pPr>
    </w:p>
    <w:p w:rsidR="000614D8" w:rsidRPr="00736723" w:rsidRDefault="00C1250B" w:rsidP="00A37ED6">
      <w:pPr>
        <w:keepNext/>
        <w:ind w:left="720"/>
        <w:jc w:val="both"/>
        <w:rPr>
          <w:rFonts w:asciiTheme="majorHAnsi" w:eastAsia="Calibri" w:hAnsiTheme="majorHAnsi" w:cstheme="majorHAnsi"/>
          <w:i/>
          <w:sz w:val="20"/>
          <w:szCs w:val="20"/>
        </w:rPr>
      </w:pPr>
      <w:bookmarkStart w:id="78" w:name="_Toc464487871"/>
      <w:bookmarkStart w:id="79" w:name="_Toc7118204"/>
      <w:r w:rsidRPr="00736723">
        <w:rPr>
          <w:rFonts w:asciiTheme="majorHAnsi" w:hAnsiTheme="majorHAnsi" w:cstheme="majorHAnsi"/>
          <w:i/>
          <w:sz w:val="20"/>
          <w:szCs w:val="20"/>
        </w:rPr>
        <w:t xml:space="preserve">Not applicable. </w:t>
      </w:r>
    </w:p>
    <w:p w:rsidR="000614D8" w:rsidRPr="00736723" w:rsidRDefault="000614D8" w:rsidP="00A37ED6">
      <w:pPr>
        <w:rPr>
          <w:rStyle w:val="Heading1Char"/>
          <w:bCs w:val="0"/>
        </w:rPr>
      </w:pPr>
      <w:r w:rsidRPr="00736723">
        <w:rPr>
          <w:rStyle w:val="Heading1Char"/>
          <w:b w:val="0"/>
        </w:rPr>
        <w:br w:type="page"/>
      </w:r>
    </w:p>
    <w:p w:rsidR="00933038" w:rsidRPr="00743A41" w:rsidRDefault="00933038" w:rsidP="007A68BE">
      <w:pPr>
        <w:pStyle w:val="Heading1"/>
      </w:pPr>
      <w:bookmarkStart w:id="80" w:name="_D5._MPH_Applied"/>
      <w:bookmarkEnd w:id="80"/>
      <w:r w:rsidRPr="00743A41">
        <w:rPr>
          <w:rStyle w:val="Heading1Char"/>
          <w:b/>
        </w:rPr>
        <w:t>D5. MPH Applied Practice Experiences</w:t>
      </w:r>
      <w:bookmarkEnd w:id="78"/>
      <w:bookmarkEnd w:id="79"/>
    </w:p>
    <w:p w:rsidR="00933038" w:rsidRPr="00743A41" w:rsidRDefault="00933038" w:rsidP="00A37ED6">
      <w:pPr>
        <w:pStyle w:val="ListParagraph"/>
        <w:ind w:left="360"/>
        <w:jc w:val="both"/>
        <w:rPr>
          <w:rFonts w:asciiTheme="majorHAnsi" w:eastAsia="Arial Unicode MS" w:hAnsiTheme="majorHAnsi" w:cstheme="majorHAnsi"/>
          <w:b/>
          <w:szCs w:val="20"/>
        </w:rPr>
      </w:pPr>
    </w:p>
    <w:p w:rsidR="00933038" w:rsidRPr="00743A41" w:rsidRDefault="00933038" w:rsidP="00A37ED6">
      <w:pPr>
        <w:pStyle w:val="ListParagraph"/>
        <w:ind w:left="0"/>
        <w:jc w:val="both"/>
        <w:rPr>
          <w:rFonts w:asciiTheme="majorHAnsi" w:eastAsia="Arial Unicode MS" w:hAnsiTheme="majorHAnsi" w:cstheme="majorHAnsi"/>
          <w:b/>
          <w:szCs w:val="20"/>
        </w:rPr>
      </w:pPr>
      <w:r w:rsidRPr="00743A41">
        <w:rPr>
          <w:rFonts w:asciiTheme="majorHAnsi" w:eastAsia="Arial Unicode MS" w:hAnsiTheme="majorHAnsi" w:cstheme="majorHAnsi"/>
          <w:b/>
          <w:szCs w:val="20"/>
        </w:rPr>
        <w:t>MPH students demonstrate competency attainment through applied practice experiences.</w:t>
      </w:r>
    </w:p>
    <w:p w:rsidR="00933038" w:rsidRPr="00743A41" w:rsidRDefault="00933038" w:rsidP="00A37ED6">
      <w:pPr>
        <w:pStyle w:val="ListParagraph"/>
        <w:ind w:left="0"/>
        <w:jc w:val="both"/>
        <w:rPr>
          <w:rFonts w:asciiTheme="majorHAnsi" w:eastAsia="Arial Unicode MS" w:hAnsiTheme="majorHAnsi" w:cstheme="majorHAnsi"/>
          <w:b/>
          <w:szCs w:val="20"/>
        </w:rPr>
      </w:pPr>
    </w:p>
    <w:p w:rsidR="00933038" w:rsidRPr="00743A41" w:rsidRDefault="00933038" w:rsidP="00A37ED6">
      <w:pPr>
        <w:pStyle w:val="ListParagraph"/>
        <w:ind w:left="0"/>
        <w:jc w:val="both"/>
        <w:rPr>
          <w:rFonts w:asciiTheme="majorHAnsi" w:eastAsia="Arial Unicode MS" w:hAnsiTheme="majorHAnsi" w:cstheme="majorHAnsi"/>
          <w:b/>
          <w:szCs w:val="20"/>
        </w:rPr>
      </w:pPr>
      <w:r w:rsidRPr="00743A41">
        <w:rPr>
          <w:rFonts w:asciiTheme="majorHAnsi" w:eastAsia="Arial Unicode MS" w:hAnsiTheme="majorHAnsi" w:cstheme="majorHAnsi"/>
          <w:b/>
          <w:szCs w:val="20"/>
        </w:rPr>
        <w:t>The applied practice experiences allow each student to demonstrate attainment of at least five competencies, of which at least three must be foundational competencies (as defined in Criterion D2). The competencies need not be identical from student to student, but the applied experiences must be structured to ensure that all students complete experiences addressing at least five competencies, as specified above. The applied experiences may also address additional foundational or concentration-specific competencies, if appropriate.</w:t>
      </w:r>
    </w:p>
    <w:p w:rsidR="00933038" w:rsidRPr="00743A41" w:rsidRDefault="00933038" w:rsidP="00A37ED6">
      <w:pPr>
        <w:pStyle w:val="ListParagraph"/>
        <w:ind w:left="0"/>
        <w:jc w:val="both"/>
        <w:rPr>
          <w:rFonts w:asciiTheme="majorHAnsi" w:eastAsia="Arial Unicode MS" w:hAnsiTheme="majorHAnsi" w:cstheme="majorHAnsi"/>
          <w:b/>
          <w:szCs w:val="20"/>
        </w:rPr>
      </w:pPr>
    </w:p>
    <w:p w:rsidR="00933038" w:rsidRPr="00743A41" w:rsidRDefault="00933038" w:rsidP="00A37ED6">
      <w:pPr>
        <w:pStyle w:val="ListParagraph"/>
        <w:ind w:left="0"/>
        <w:jc w:val="both"/>
        <w:rPr>
          <w:rFonts w:asciiTheme="majorHAnsi" w:eastAsia="Arial Unicode MS" w:hAnsiTheme="majorHAnsi" w:cstheme="majorHAnsi"/>
          <w:b/>
          <w:szCs w:val="20"/>
        </w:rPr>
      </w:pPr>
      <w:r w:rsidRPr="00743A41">
        <w:rPr>
          <w:rFonts w:asciiTheme="majorHAnsi" w:eastAsia="Arial Unicode MS" w:hAnsiTheme="majorHAnsi" w:cstheme="majorHAnsi"/>
          <w:b/>
          <w:szCs w:val="20"/>
        </w:rPr>
        <w:t>The school assesses each student’s competency attainment in practical and applied settings through a portfolio approach, which demonstrates and allows assessment of competency attainment. It must include at least two products. Examples include written assignments, projects, videos, multi-media presentations, spreadsheets, websites, posters, photos or other digital artifacts of learning. Materials may be produced and maintained (either by the school or by individual students) in any physical or electronic form chosen by the school.</w:t>
      </w:r>
    </w:p>
    <w:p w:rsidR="00933038" w:rsidRPr="00743A41" w:rsidRDefault="00933038" w:rsidP="00A37ED6">
      <w:pPr>
        <w:shd w:val="clear" w:color="auto" w:fill="FFFFFF"/>
        <w:jc w:val="both"/>
        <w:rPr>
          <w:rFonts w:asciiTheme="majorHAnsi" w:eastAsia="Arial Unicode MS" w:hAnsiTheme="majorHAnsi" w:cstheme="majorHAnsi"/>
          <w:sz w:val="20"/>
          <w:szCs w:val="20"/>
        </w:rPr>
      </w:pPr>
    </w:p>
    <w:p w:rsidR="00933038" w:rsidRPr="00743A41" w:rsidRDefault="00933038" w:rsidP="00A37ED6">
      <w:pPr>
        <w:pStyle w:val="ListParagraph"/>
        <w:numPr>
          <w:ilvl w:val="0"/>
          <w:numId w:val="22"/>
        </w:numPr>
        <w:ind w:left="720"/>
        <w:jc w:val="both"/>
        <w:rPr>
          <w:rFonts w:asciiTheme="majorHAnsi" w:eastAsia="Arial Unicode MS" w:hAnsiTheme="majorHAnsi" w:cstheme="majorHAnsi"/>
          <w:szCs w:val="20"/>
        </w:rPr>
      </w:pPr>
      <w:r w:rsidRPr="00743A41">
        <w:rPr>
          <w:rFonts w:asciiTheme="majorHAnsi" w:eastAsia="Arial Unicode MS" w:hAnsiTheme="majorHAnsi" w:cstheme="majorHAnsi"/>
          <w:szCs w:val="20"/>
        </w:rPr>
        <w:t xml:space="preserve">Briefly describe how the school identifies competencies attained in applied practice experiences for each MPH student, including a description of any relevant policies. </w:t>
      </w:r>
    </w:p>
    <w:p w:rsidR="00933038" w:rsidRPr="00743A41" w:rsidRDefault="00933038" w:rsidP="00A37ED6">
      <w:pPr>
        <w:ind w:left="720"/>
        <w:rPr>
          <w:rFonts w:asciiTheme="majorHAnsi" w:eastAsia="Arial Unicode MS" w:hAnsiTheme="majorHAnsi" w:cstheme="majorHAnsi"/>
          <w:i/>
          <w:sz w:val="20"/>
          <w:szCs w:val="20"/>
        </w:rPr>
      </w:pPr>
    </w:p>
    <w:p w:rsidR="00997F53" w:rsidRPr="00743A41" w:rsidRDefault="00997F53" w:rsidP="00A37ED6">
      <w:pPr>
        <w:ind w:left="720"/>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At </w:t>
      </w:r>
      <w:r w:rsidR="007C6AAF" w:rsidRPr="00743A41">
        <w:rPr>
          <w:rFonts w:asciiTheme="majorHAnsi" w:eastAsia="Arial" w:hAnsiTheme="majorHAnsi" w:cstheme="majorHAnsi"/>
          <w:sz w:val="20"/>
          <w:szCs w:val="20"/>
        </w:rPr>
        <w:t xml:space="preserve">the </w:t>
      </w:r>
      <w:r w:rsidRPr="00743A41">
        <w:rPr>
          <w:rFonts w:asciiTheme="majorHAnsi" w:eastAsia="Arial" w:hAnsiTheme="majorHAnsi" w:cstheme="majorHAnsi"/>
          <w:sz w:val="20"/>
          <w:szCs w:val="20"/>
        </w:rPr>
        <w:t>UTHealth School of Public Health, students are introduced to the practicum requirements during orientation, and are prompted to discuss the practicum during each evaluation meeting with their faculty advisor. Students work with their faculty advisor or other faculty mentor to identify an appropriate practicum site. After a practicum site is identified, students communicate with their practicum preceptor and faculty mentor to identify at least two potential final products and five MPH competencies that they will demonstrate during their practicum experience</w:t>
      </w:r>
      <w:r w:rsidR="00BD1D0B" w:rsidRPr="00743A41">
        <w:rPr>
          <w:rFonts w:asciiTheme="majorHAnsi" w:eastAsia="Arial" w:hAnsiTheme="majorHAnsi" w:cstheme="majorHAnsi"/>
          <w:sz w:val="20"/>
          <w:szCs w:val="20"/>
        </w:rPr>
        <w:t xml:space="preserve">. Students must identify and synthesize </w:t>
      </w:r>
      <w:r w:rsidRPr="00743A41">
        <w:rPr>
          <w:rFonts w:asciiTheme="majorHAnsi" w:eastAsia="Arial" w:hAnsiTheme="majorHAnsi" w:cstheme="majorHAnsi"/>
          <w:sz w:val="20"/>
          <w:szCs w:val="20"/>
        </w:rPr>
        <w:t xml:space="preserve">a minimum of three </w:t>
      </w:r>
      <w:r w:rsidR="00BD1D0B" w:rsidRPr="005B7109">
        <w:rPr>
          <w:rFonts w:asciiTheme="majorHAnsi" w:hAnsiTheme="majorHAnsi" w:cstheme="majorHAnsi"/>
          <w:sz w:val="20"/>
          <w:szCs w:val="20"/>
        </w:rPr>
        <w:t>MPH Foundational Competencies</w:t>
      </w:r>
      <w:r w:rsidRPr="00743A41">
        <w:rPr>
          <w:rFonts w:asciiTheme="majorHAnsi" w:eastAsia="Arial" w:hAnsiTheme="majorHAnsi" w:cstheme="majorHAnsi"/>
          <w:sz w:val="20"/>
          <w:szCs w:val="20"/>
        </w:rPr>
        <w:t xml:space="preserve"> </w:t>
      </w:r>
      <w:r w:rsidR="00BD1D0B" w:rsidRPr="00743A41">
        <w:rPr>
          <w:rFonts w:asciiTheme="majorHAnsi" w:eastAsia="Arial" w:hAnsiTheme="majorHAnsi" w:cstheme="majorHAnsi"/>
          <w:sz w:val="20"/>
          <w:szCs w:val="20"/>
        </w:rPr>
        <w:t xml:space="preserve">as defined in </w:t>
      </w:r>
      <w:hyperlink w:anchor="_D2._MPH_Foundational_1" w:history="1">
        <w:r w:rsidR="00BD1D0B" w:rsidRPr="00701E08">
          <w:rPr>
            <w:rStyle w:val="Hyperlink"/>
            <w:rFonts w:asciiTheme="majorHAnsi" w:eastAsia="Arial" w:hAnsiTheme="majorHAnsi" w:cstheme="majorHAnsi"/>
            <w:i/>
            <w:sz w:val="20"/>
            <w:szCs w:val="20"/>
          </w:rPr>
          <w:t>Criterion D2. MPH Foundational Competencies</w:t>
        </w:r>
      </w:hyperlink>
      <w:r w:rsidRPr="00743A41">
        <w:rPr>
          <w:rFonts w:asciiTheme="majorHAnsi" w:eastAsia="Arial" w:hAnsiTheme="majorHAnsi" w:cstheme="majorHAnsi"/>
          <w:sz w:val="20"/>
          <w:szCs w:val="20"/>
        </w:rPr>
        <w:t xml:space="preserve">; students may also choose to integrate MPH major-specific competencies as defined in </w:t>
      </w:r>
      <w:hyperlink w:anchor="_D4._MPH_&amp;_1" w:history="1">
        <w:r w:rsidR="00A304B6" w:rsidRPr="00701E08">
          <w:rPr>
            <w:rStyle w:val="Hyperlink"/>
            <w:rFonts w:asciiTheme="majorHAnsi" w:eastAsia="Arial" w:hAnsiTheme="majorHAnsi" w:cstheme="majorHAnsi"/>
            <w:i/>
            <w:sz w:val="20"/>
            <w:szCs w:val="20"/>
          </w:rPr>
          <w:t>Criterion D4. MPH Concentration Competencies</w:t>
        </w:r>
      </w:hyperlink>
      <w:r w:rsidR="00A304B6" w:rsidRPr="00743A41">
        <w:rPr>
          <w:rFonts w:asciiTheme="majorHAnsi" w:eastAsia="Arial" w:hAnsiTheme="majorHAnsi" w:cstheme="majorHAnsi"/>
          <w:sz w:val="20"/>
          <w:szCs w:val="20"/>
        </w:rPr>
        <w:t xml:space="preserve">. </w:t>
      </w:r>
    </w:p>
    <w:p w:rsidR="00997F53" w:rsidRPr="00743A41" w:rsidRDefault="00997F53" w:rsidP="00A37ED6">
      <w:pPr>
        <w:ind w:left="720"/>
        <w:rPr>
          <w:rFonts w:asciiTheme="majorHAnsi" w:eastAsia="Arial" w:hAnsiTheme="majorHAnsi" w:cstheme="majorHAnsi"/>
          <w:sz w:val="20"/>
          <w:szCs w:val="20"/>
        </w:rPr>
      </w:pPr>
    </w:p>
    <w:p w:rsidR="00997F53" w:rsidRPr="00743A41" w:rsidRDefault="00997F53" w:rsidP="00A37ED6">
      <w:pPr>
        <w:ind w:left="720"/>
        <w:rPr>
          <w:rFonts w:asciiTheme="majorHAnsi" w:eastAsia="Arial" w:hAnsiTheme="majorHAnsi" w:cstheme="majorHAnsi"/>
          <w:sz w:val="20"/>
          <w:szCs w:val="20"/>
        </w:rPr>
      </w:pPr>
      <w:r w:rsidRPr="00743A41">
        <w:rPr>
          <w:rFonts w:asciiTheme="majorHAnsi" w:eastAsia="Arial" w:hAnsiTheme="majorHAnsi" w:cstheme="majorHAnsi"/>
          <w:sz w:val="20"/>
          <w:szCs w:val="20"/>
        </w:rPr>
        <w:t>Students complete an online learning contract that specifies the practicum site details, the practicum preceptor, the proposed products, and the five competencies that they will demonstrate through the experience. The learning contract must be approved by the faculty mentor</w:t>
      </w:r>
      <w:r w:rsidR="00D35346" w:rsidRPr="00743A41">
        <w:rPr>
          <w:rFonts w:asciiTheme="majorHAnsi" w:eastAsia="Arial" w:hAnsiTheme="majorHAnsi" w:cstheme="majorHAnsi"/>
          <w:sz w:val="20"/>
          <w:szCs w:val="20"/>
        </w:rPr>
        <w:t>,</w:t>
      </w:r>
      <w:r w:rsidR="00295491" w:rsidRPr="00743A41">
        <w:rPr>
          <w:rFonts w:asciiTheme="majorHAnsi" w:eastAsia="Arial" w:hAnsiTheme="majorHAnsi" w:cstheme="majorHAnsi"/>
          <w:sz w:val="20"/>
          <w:szCs w:val="20"/>
        </w:rPr>
        <w:t xml:space="preserve"> </w:t>
      </w:r>
      <w:r w:rsidRPr="00743A41">
        <w:rPr>
          <w:rFonts w:asciiTheme="majorHAnsi" w:eastAsia="Arial" w:hAnsiTheme="majorHAnsi" w:cstheme="majorHAnsi"/>
          <w:sz w:val="20"/>
          <w:szCs w:val="20"/>
        </w:rPr>
        <w:t>the Office of Public Health Practice (OPHP)</w:t>
      </w:r>
      <w:r w:rsidR="00D35346" w:rsidRPr="00743A41">
        <w:rPr>
          <w:rFonts w:asciiTheme="majorHAnsi" w:eastAsia="Arial" w:hAnsiTheme="majorHAnsi" w:cstheme="majorHAnsi"/>
          <w:sz w:val="20"/>
          <w:szCs w:val="20"/>
        </w:rPr>
        <w:t>, and the preceptor</w:t>
      </w:r>
      <w:r w:rsidR="005B73F4" w:rsidRPr="00743A41">
        <w:rPr>
          <w:rFonts w:asciiTheme="majorHAnsi" w:eastAsia="Arial" w:hAnsiTheme="majorHAnsi" w:cstheme="majorHAnsi"/>
          <w:sz w:val="20"/>
          <w:szCs w:val="20"/>
        </w:rPr>
        <w:t>,</w:t>
      </w:r>
      <w:r w:rsidRPr="00743A41">
        <w:rPr>
          <w:rFonts w:asciiTheme="majorHAnsi" w:eastAsia="Arial" w:hAnsiTheme="majorHAnsi" w:cstheme="majorHAnsi"/>
          <w:sz w:val="20"/>
          <w:szCs w:val="20"/>
        </w:rPr>
        <w:t xml:space="preserve"> prior to students enrolling for three (3) hours of practicum credits and beginning the practicum experience. Dual</w:t>
      </w:r>
      <w:r w:rsidR="00195E9F" w:rsidRPr="00743A41">
        <w:rPr>
          <w:rFonts w:asciiTheme="majorHAnsi" w:eastAsia="Arial" w:hAnsiTheme="majorHAnsi" w:cstheme="majorHAnsi"/>
          <w:sz w:val="20"/>
          <w:szCs w:val="20"/>
        </w:rPr>
        <w:t>-</w:t>
      </w:r>
      <w:r w:rsidRPr="00743A41">
        <w:rPr>
          <w:rFonts w:asciiTheme="majorHAnsi" w:eastAsia="Arial" w:hAnsiTheme="majorHAnsi" w:cstheme="majorHAnsi"/>
          <w:sz w:val="20"/>
          <w:szCs w:val="20"/>
        </w:rPr>
        <w:t xml:space="preserve">degree students work with their faculty mentors and advisors from both degree programs so that they can incorporate their learning from both degree programs </w:t>
      </w:r>
      <w:r w:rsidR="00091071" w:rsidRPr="00743A41">
        <w:rPr>
          <w:rFonts w:asciiTheme="majorHAnsi" w:eastAsia="Arial" w:hAnsiTheme="majorHAnsi" w:cstheme="majorHAnsi"/>
          <w:sz w:val="20"/>
          <w:szCs w:val="20"/>
        </w:rPr>
        <w:t>to create a meaningful</w:t>
      </w:r>
      <w:r w:rsidRPr="00743A41">
        <w:rPr>
          <w:rFonts w:asciiTheme="majorHAnsi" w:eastAsia="Arial" w:hAnsiTheme="majorHAnsi" w:cstheme="majorHAnsi"/>
          <w:sz w:val="20"/>
          <w:szCs w:val="20"/>
        </w:rPr>
        <w:t xml:space="preserve"> experience. </w:t>
      </w:r>
    </w:p>
    <w:p w:rsidR="00997F53" w:rsidRPr="00743A41" w:rsidRDefault="00997F53" w:rsidP="00A37ED6">
      <w:pPr>
        <w:ind w:left="720"/>
        <w:rPr>
          <w:rFonts w:asciiTheme="majorHAnsi" w:eastAsia="Arial" w:hAnsiTheme="majorHAnsi" w:cstheme="majorHAnsi"/>
          <w:sz w:val="20"/>
          <w:szCs w:val="20"/>
        </w:rPr>
      </w:pPr>
    </w:p>
    <w:p w:rsidR="00997F53" w:rsidRPr="00743A41" w:rsidRDefault="00997F53" w:rsidP="00A37ED6">
      <w:pPr>
        <w:ind w:left="720"/>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During the practicum, students continue to meet with their faculty mentor to ensure that their products and experience allows them to </w:t>
      </w:r>
      <w:r w:rsidR="00195E9F" w:rsidRPr="00743A41">
        <w:rPr>
          <w:rFonts w:asciiTheme="majorHAnsi" w:eastAsia="Arial" w:hAnsiTheme="majorHAnsi" w:cstheme="majorHAnsi"/>
          <w:sz w:val="20"/>
          <w:szCs w:val="20"/>
        </w:rPr>
        <w:t xml:space="preserve">sufficiently </w:t>
      </w:r>
      <w:r w:rsidRPr="00743A41">
        <w:rPr>
          <w:rFonts w:asciiTheme="majorHAnsi" w:eastAsia="Arial" w:hAnsiTheme="majorHAnsi" w:cstheme="majorHAnsi"/>
          <w:sz w:val="20"/>
          <w:szCs w:val="20"/>
        </w:rPr>
        <w:t xml:space="preserve">demonstrate five MPH competencies.  At the end of the practicum experience, students update the learning contract with any changes in the proposed products, changes in the competencies demonstrated, and upload </w:t>
      </w:r>
      <w:r w:rsidR="00384F86" w:rsidRPr="00743A41">
        <w:rPr>
          <w:rFonts w:asciiTheme="majorHAnsi" w:eastAsia="Arial" w:hAnsiTheme="majorHAnsi" w:cstheme="majorHAnsi"/>
          <w:sz w:val="20"/>
          <w:szCs w:val="20"/>
        </w:rPr>
        <w:t>the two (minimum)</w:t>
      </w:r>
      <w:r w:rsidRPr="00743A41">
        <w:rPr>
          <w:rFonts w:asciiTheme="majorHAnsi" w:eastAsia="Arial" w:hAnsiTheme="majorHAnsi" w:cstheme="majorHAnsi"/>
          <w:sz w:val="20"/>
          <w:szCs w:val="20"/>
        </w:rPr>
        <w:t xml:space="preserve"> final product</w:t>
      </w:r>
      <w:r w:rsidR="00384F86" w:rsidRPr="00743A41">
        <w:rPr>
          <w:rFonts w:asciiTheme="majorHAnsi" w:eastAsia="Arial" w:hAnsiTheme="majorHAnsi" w:cstheme="majorHAnsi"/>
          <w:sz w:val="20"/>
          <w:szCs w:val="20"/>
        </w:rPr>
        <w:t>s</w:t>
      </w:r>
      <w:r w:rsidRPr="00743A41">
        <w:rPr>
          <w:rFonts w:asciiTheme="majorHAnsi" w:eastAsia="Arial" w:hAnsiTheme="majorHAnsi" w:cstheme="majorHAnsi"/>
          <w:sz w:val="20"/>
          <w:szCs w:val="20"/>
        </w:rPr>
        <w:t xml:space="preserve">. The faculty mentor grades the final product and verifies that </w:t>
      </w:r>
      <w:r w:rsidR="00F72F10" w:rsidRPr="00743A41">
        <w:rPr>
          <w:rFonts w:asciiTheme="majorHAnsi" w:eastAsia="Arial" w:hAnsiTheme="majorHAnsi" w:cstheme="majorHAnsi"/>
          <w:sz w:val="20"/>
          <w:szCs w:val="20"/>
        </w:rPr>
        <w:t xml:space="preserve">at least five </w:t>
      </w:r>
      <w:r w:rsidRPr="00743A41">
        <w:rPr>
          <w:rFonts w:asciiTheme="majorHAnsi" w:eastAsia="Arial" w:hAnsiTheme="majorHAnsi" w:cstheme="majorHAnsi"/>
          <w:sz w:val="20"/>
          <w:szCs w:val="20"/>
        </w:rPr>
        <w:t>competencies were demonstrated through the online learning contract portal</w:t>
      </w:r>
      <w:r w:rsidR="00ED6508" w:rsidRPr="00743A41">
        <w:rPr>
          <w:rFonts w:asciiTheme="majorHAnsi" w:eastAsia="Arial" w:hAnsiTheme="majorHAnsi" w:cstheme="majorHAnsi"/>
          <w:sz w:val="20"/>
          <w:szCs w:val="20"/>
        </w:rPr>
        <w:t>.</w:t>
      </w:r>
    </w:p>
    <w:p w:rsidR="00384F86" w:rsidRPr="00743A41" w:rsidRDefault="00384F86" w:rsidP="00A37ED6">
      <w:pPr>
        <w:ind w:left="720"/>
        <w:rPr>
          <w:rFonts w:asciiTheme="majorHAnsi" w:eastAsia="Arial" w:hAnsiTheme="majorHAnsi" w:cstheme="majorHAnsi"/>
          <w:sz w:val="20"/>
          <w:szCs w:val="20"/>
        </w:rPr>
      </w:pPr>
    </w:p>
    <w:p w:rsidR="001B0AE1" w:rsidRPr="00743A41" w:rsidRDefault="00997F53" w:rsidP="00A37ED6">
      <w:pPr>
        <w:ind w:left="720"/>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Policies regarding the practicum include: </w:t>
      </w:r>
    </w:p>
    <w:p w:rsidR="001B0AE1" w:rsidRPr="00743A41" w:rsidRDefault="001B0AE1" w:rsidP="00A37ED6">
      <w:pPr>
        <w:pStyle w:val="ListParagraph"/>
        <w:numPr>
          <w:ilvl w:val="1"/>
          <w:numId w:val="195"/>
        </w:numPr>
        <w:ind w:left="1800"/>
        <w:rPr>
          <w:rFonts w:asciiTheme="majorHAnsi" w:eastAsia="Arial" w:hAnsiTheme="majorHAnsi" w:cstheme="majorHAnsi"/>
          <w:szCs w:val="20"/>
        </w:rPr>
      </w:pPr>
      <w:r w:rsidRPr="00743A41">
        <w:rPr>
          <w:rFonts w:asciiTheme="majorHAnsi" w:eastAsia="Arial" w:hAnsiTheme="majorHAnsi" w:cstheme="majorHAnsi"/>
          <w:szCs w:val="20"/>
        </w:rPr>
        <w:t>S</w:t>
      </w:r>
      <w:r w:rsidR="00997F53" w:rsidRPr="00743A41">
        <w:rPr>
          <w:rFonts w:asciiTheme="majorHAnsi" w:eastAsia="Arial" w:hAnsiTheme="majorHAnsi" w:cstheme="majorHAnsi"/>
          <w:szCs w:val="20"/>
        </w:rPr>
        <w:t xml:space="preserve">tudents must complete at least 180 hours at one or more practicum sites; </w:t>
      </w:r>
    </w:p>
    <w:p w:rsidR="001B0AE1" w:rsidRPr="00743A41" w:rsidRDefault="001B0AE1" w:rsidP="00A37ED6">
      <w:pPr>
        <w:pStyle w:val="ListParagraph"/>
        <w:numPr>
          <w:ilvl w:val="1"/>
          <w:numId w:val="195"/>
        </w:numPr>
        <w:ind w:left="1800"/>
        <w:rPr>
          <w:rFonts w:asciiTheme="majorHAnsi" w:eastAsia="Arial" w:hAnsiTheme="majorHAnsi" w:cstheme="majorHAnsi"/>
          <w:szCs w:val="20"/>
        </w:rPr>
      </w:pPr>
      <w:r w:rsidRPr="00743A41">
        <w:rPr>
          <w:rFonts w:asciiTheme="majorHAnsi" w:eastAsia="Arial" w:hAnsiTheme="majorHAnsi" w:cstheme="majorHAnsi"/>
          <w:szCs w:val="20"/>
        </w:rPr>
        <w:t>S</w:t>
      </w:r>
      <w:r w:rsidR="00997F53" w:rsidRPr="00743A41">
        <w:rPr>
          <w:rFonts w:asciiTheme="majorHAnsi" w:eastAsia="Arial" w:hAnsiTheme="majorHAnsi" w:cstheme="majorHAnsi"/>
          <w:szCs w:val="20"/>
        </w:rPr>
        <w:t xml:space="preserve">tudents must select a practicum site that is in a non-academic setting, unless the setting is externally facing, engaged in the community, and prior approval is obtained; </w:t>
      </w:r>
      <w:r w:rsidRPr="00743A41">
        <w:rPr>
          <w:rFonts w:asciiTheme="majorHAnsi" w:eastAsia="Arial" w:hAnsiTheme="majorHAnsi" w:cstheme="majorHAnsi"/>
          <w:szCs w:val="20"/>
        </w:rPr>
        <w:t>and</w:t>
      </w:r>
    </w:p>
    <w:p w:rsidR="00997F53" w:rsidRPr="00743A41" w:rsidRDefault="001B0AE1" w:rsidP="00A37ED6">
      <w:pPr>
        <w:pStyle w:val="ListParagraph"/>
        <w:numPr>
          <w:ilvl w:val="1"/>
          <w:numId w:val="195"/>
        </w:numPr>
        <w:ind w:left="1800"/>
        <w:rPr>
          <w:rFonts w:asciiTheme="majorHAnsi" w:eastAsia="Arial" w:hAnsiTheme="majorHAnsi" w:cstheme="majorHAnsi"/>
          <w:szCs w:val="20"/>
        </w:rPr>
      </w:pPr>
      <w:r w:rsidRPr="00743A41">
        <w:rPr>
          <w:rFonts w:asciiTheme="majorHAnsi" w:eastAsia="Arial" w:hAnsiTheme="majorHAnsi" w:cstheme="majorHAnsi"/>
          <w:szCs w:val="20"/>
        </w:rPr>
        <w:t>S</w:t>
      </w:r>
      <w:r w:rsidR="00997F53" w:rsidRPr="00743A41">
        <w:rPr>
          <w:rFonts w:asciiTheme="majorHAnsi" w:eastAsia="Arial" w:hAnsiTheme="majorHAnsi" w:cstheme="majorHAnsi"/>
          <w:szCs w:val="20"/>
        </w:rPr>
        <w:t xml:space="preserve">tudents must pick at least three foundational competencies </w:t>
      </w:r>
      <w:r w:rsidRPr="00743A41">
        <w:rPr>
          <w:rFonts w:asciiTheme="majorHAnsi" w:eastAsia="Arial" w:hAnsiTheme="majorHAnsi" w:cstheme="majorHAnsi"/>
          <w:szCs w:val="20"/>
        </w:rPr>
        <w:t xml:space="preserve">(defined in </w:t>
      </w:r>
      <w:hyperlink w:anchor="_D2._MPH_Foundational_1" w:history="1">
        <w:r w:rsidR="00741E8E" w:rsidRPr="0064411D">
          <w:rPr>
            <w:rStyle w:val="Hyperlink"/>
            <w:rFonts w:asciiTheme="majorHAnsi" w:eastAsia="Arial" w:hAnsiTheme="majorHAnsi" w:cstheme="majorHAnsi"/>
            <w:i/>
            <w:szCs w:val="20"/>
          </w:rPr>
          <w:t>Criterion D2. MPH Foundational Competencies</w:t>
        </w:r>
      </w:hyperlink>
      <w:r w:rsidRPr="00743A41">
        <w:rPr>
          <w:rFonts w:asciiTheme="majorHAnsi" w:eastAsia="Arial" w:hAnsiTheme="majorHAnsi" w:cstheme="majorHAnsi"/>
          <w:szCs w:val="20"/>
        </w:rPr>
        <w:t xml:space="preserve">) </w:t>
      </w:r>
      <w:r w:rsidR="00997F53" w:rsidRPr="00743A41">
        <w:rPr>
          <w:rFonts w:asciiTheme="majorHAnsi" w:eastAsia="Arial" w:hAnsiTheme="majorHAnsi" w:cstheme="majorHAnsi"/>
          <w:szCs w:val="20"/>
        </w:rPr>
        <w:t xml:space="preserve">and two other competencies from </w:t>
      </w:r>
      <w:r w:rsidRPr="00743A41">
        <w:rPr>
          <w:rFonts w:asciiTheme="majorHAnsi" w:eastAsia="Arial" w:hAnsiTheme="majorHAnsi" w:cstheme="majorHAnsi"/>
          <w:szCs w:val="20"/>
        </w:rPr>
        <w:t xml:space="preserve">either the MPH Foundational Competencies or their major-specific competencies which are primarily taught and assessed in the required coursework for the given major (defined in </w:t>
      </w:r>
      <w:hyperlink w:anchor="_D4._MPH_&amp;_1" w:history="1">
        <w:r w:rsidR="00741E8E" w:rsidRPr="0064411D">
          <w:rPr>
            <w:rStyle w:val="Hyperlink"/>
            <w:rFonts w:asciiTheme="majorHAnsi" w:eastAsia="Arial" w:hAnsiTheme="majorHAnsi" w:cstheme="majorHAnsi"/>
            <w:i/>
            <w:szCs w:val="20"/>
          </w:rPr>
          <w:t>Criterion D4. MPH Concentration Competencies</w:t>
        </w:r>
      </w:hyperlink>
      <w:r w:rsidRPr="00743A41">
        <w:rPr>
          <w:rFonts w:asciiTheme="majorHAnsi" w:eastAsia="Arial" w:hAnsiTheme="majorHAnsi" w:cstheme="majorHAnsi"/>
          <w:szCs w:val="20"/>
        </w:rPr>
        <w:t>)</w:t>
      </w:r>
      <w:r w:rsidR="00354F80" w:rsidRPr="00743A41">
        <w:rPr>
          <w:rFonts w:asciiTheme="majorHAnsi" w:eastAsia="Arial" w:hAnsiTheme="majorHAnsi" w:cstheme="majorHAnsi"/>
          <w:szCs w:val="20"/>
        </w:rPr>
        <w:t>.</w:t>
      </w:r>
    </w:p>
    <w:p w:rsidR="00933038" w:rsidRPr="00743A41" w:rsidRDefault="00933038" w:rsidP="00A37ED6">
      <w:pPr>
        <w:pStyle w:val="ListParagraph"/>
        <w:numPr>
          <w:ilvl w:val="0"/>
          <w:numId w:val="22"/>
        </w:numPr>
        <w:ind w:left="720"/>
        <w:jc w:val="both"/>
        <w:rPr>
          <w:rFonts w:asciiTheme="majorHAnsi" w:eastAsia="Arial Unicode MS" w:hAnsiTheme="majorHAnsi" w:cstheme="majorHAnsi"/>
          <w:szCs w:val="20"/>
        </w:rPr>
      </w:pPr>
      <w:r w:rsidRPr="00743A41">
        <w:rPr>
          <w:rFonts w:asciiTheme="majorHAnsi" w:eastAsia="Arial Unicode MS" w:hAnsiTheme="majorHAnsi" w:cstheme="majorHAnsi"/>
          <w:szCs w:val="20"/>
        </w:rPr>
        <w:t xml:space="preserve">Provide documentation, including syllabi and handbooks, of the official requirements through which students complete the applied practice experience. </w:t>
      </w:r>
    </w:p>
    <w:p w:rsidR="00933038" w:rsidRPr="00743A41" w:rsidRDefault="00933038" w:rsidP="00A37ED6">
      <w:pPr>
        <w:jc w:val="both"/>
        <w:rPr>
          <w:rFonts w:asciiTheme="majorHAnsi" w:eastAsia="Arial Unicode MS" w:hAnsiTheme="majorHAnsi" w:cstheme="majorHAnsi"/>
          <w:sz w:val="20"/>
          <w:szCs w:val="20"/>
        </w:rPr>
      </w:pPr>
    </w:p>
    <w:p w:rsidR="006853F1" w:rsidRPr="00743A41" w:rsidRDefault="006853F1" w:rsidP="00A37ED6">
      <w:pPr>
        <w:ind w:left="720"/>
        <w:rPr>
          <w:rFonts w:asciiTheme="majorHAnsi" w:eastAsia="Arial Unicode MS" w:hAnsiTheme="majorHAnsi" w:cstheme="majorHAnsi"/>
          <w:sz w:val="20"/>
          <w:szCs w:val="20"/>
        </w:rPr>
      </w:pPr>
      <w:r w:rsidRPr="00743A41">
        <w:rPr>
          <w:rFonts w:asciiTheme="majorHAnsi" w:eastAsia="Arial" w:hAnsiTheme="majorHAnsi" w:cstheme="majorHAnsi"/>
          <w:sz w:val="20"/>
          <w:szCs w:val="20"/>
        </w:rPr>
        <w:t>UTHealth School of Public Health provides an online step-by-step instructional guide that details all requirements for successful completion of the APE (</w:t>
      </w:r>
      <w:r w:rsidRPr="006E28EE">
        <w:rPr>
          <w:rFonts w:asciiTheme="majorHAnsi" w:eastAsia="Arial" w:hAnsiTheme="majorHAnsi" w:cstheme="majorHAnsi"/>
          <w:i/>
          <w:sz w:val="20"/>
          <w:szCs w:val="20"/>
        </w:rPr>
        <w:t>ERF</w:t>
      </w:r>
      <w:r w:rsidR="00AA7F71" w:rsidRPr="006E28EE">
        <w:rPr>
          <w:rFonts w:asciiTheme="majorHAnsi" w:eastAsia="Arial" w:hAnsiTheme="majorHAnsi" w:cstheme="majorHAnsi"/>
          <w:i/>
          <w:sz w:val="20"/>
          <w:szCs w:val="20"/>
        </w:rPr>
        <w:t>,</w:t>
      </w:r>
      <w:r w:rsidRPr="006E28EE">
        <w:rPr>
          <w:rFonts w:asciiTheme="majorHAnsi" w:eastAsia="Arial" w:hAnsiTheme="majorHAnsi" w:cstheme="majorHAnsi"/>
          <w:i/>
          <w:sz w:val="20"/>
          <w:szCs w:val="20"/>
        </w:rPr>
        <w:t xml:space="preserve"> </w:t>
      </w:r>
      <w:r w:rsidR="00AA7F71" w:rsidRPr="006E28EE">
        <w:rPr>
          <w:rFonts w:asciiTheme="majorHAnsi" w:eastAsia="Arial" w:hAnsiTheme="majorHAnsi" w:cstheme="majorHAnsi"/>
          <w:i/>
          <w:sz w:val="20"/>
          <w:szCs w:val="20"/>
        </w:rPr>
        <w:t>D5.2. MPH Applied Practice Experience Documentation and Requirements</w:t>
      </w:r>
      <w:r w:rsidRPr="00743A41">
        <w:rPr>
          <w:rFonts w:asciiTheme="majorHAnsi" w:eastAsia="Arial" w:hAnsiTheme="majorHAnsi" w:cstheme="majorHAnsi"/>
          <w:sz w:val="20"/>
          <w:szCs w:val="20"/>
        </w:rPr>
        <w:t>). The requirements for the practicum are further promoted through a mandatory practicum orientation, through the School of Public Health newsletter and website, and through periodic information sess</w:t>
      </w:r>
      <w:r w:rsidR="00667554">
        <w:rPr>
          <w:rFonts w:asciiTheme="majorHAnsi" w:eastAsia="Arial" w:hAnsiTheme="majorHAnsi" w:cstheme="majorHAnsi"/>
          <w:sz w:val="20"/>
          <w:szCs w:val="20"/>
        </w:rPr>
        <w:t xml:space="preserve">ions for students and faculty. </w:t>
      </w:r>
      <w:r w:rsidRPr="00743A41">
        <w:rPr>
          <w:rFonts w:asciiTheme="majorHAnsi" w:eastAsia="Arial" w:hAnsiTheme="majorHAnsi" w:cstheme="majorHAnsi"/>
          <w:sz w:val="20"/>
          <w:szCs w:val="20"/>
        </w:rPr>
        <w:t>The Office of Public Health Practice meets one-on-one with students and faculty, as needed, to ensure that all students are able to successfully fulfill the requirement.</w:t>
      </w:r>
    </w:p>
    <w:p w:rsidR="006853F1" w:rsidRPr="00743A41" w:rsidRDefault="006853F1" w:rsidP="00A37ED6">
      <w:pPr>
        <w:jc w:val="both"/>
        <w:rPr>
          <w:rFonts w:asciiTheme="majorHAnsi" w:eastAsia="Arial Unicode MS" w:hAnsiTheme="majorHAnsi" w:cstheme="majorHAnsi"/>
          <w:sz w:val="20"/>
          <w:szCs w:val="20"/>
        </w:rPr>
      </w:pPr>
    </w:p>
    <w:p w:rsidR="00933038" w:rsidRPr="00743A41" w:rsidRDefault="001C22AD" w:rsidP="00A37ED6">
      <w:pPr>
        <w:ind w:left="720"/>
        <w:jc w:val="both"/>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rPr>
        <w:t>Associated documents in the electronic resource file:</w:t>
      </w:r>
    </w:p>
    <w:p w:rsidR="0089512D" w:rsidRPr="005B7109" w:rsidRDefault="005622A9" w:rsidP="00A37ED6">
      <w:pPr>
        <w:pStyle w:val="ListParagraph"/>
        <w:numPr>
          <w:ilvl w:val="0"/>
          <w:numId w:val="130"/>
        </w:numPr>
        <w:rPr>
          <w:rStyle w:val="Hyperlink"/>
          <w:rFonts w:asciiTheme="majorHAnsi" w:eastAsia="Arial Unicode MS" w:hAnsiTheme="majorHAnsi" w:cstheme="majorHAnsi"/>
          <w:i/>
          <w:color w:val="auto"/>
          <w:szCs w:val="20"/>
          <w:u w:val="none"/>
        </w:rPr>
      </w:pPr>
      <w:r w:rsidRPr="005B7109">
        <w:rPr>
          <w:rFonts w:asciiTheme="majorHAnsi" w:eastAsia="Arial Unicode MS" w:hAnsiTheme="majorHAnsi" w:cstheme="majorHAnsi"/>
          <w:i/>
        </w:rPr>
        <w:t>D5.2. MPH Applied Practice Experience, Documentation and Requirements</w:t>
      </w:r>
    </w:p>
    <w:p w:rsidR="001C22AD" w:rsidRPr="005B7109" w:rsidRDefault="0089512D" w:rsidP="006E28EE">
      <w:pPr>
        <w:pStyle w:val="ListParagraph"/>
        <w:numPr>
          <w:ilvl w:val="0"/>
          <w:numId w:val="193"/>
        </w:numPr>
        <w:ind w:left="2160"/>
        <w:rPr>
          <w:rFonts w:asciiTheme="majorHAnsi" w:eastAsia="Arial Unicode MS" w:hAnsiTheme="majorHAnsi" w:cstheme="majorHAnsi"/>
          <w:i/>
          <w:szCs w:val="20"/>
        </w:rPr>
      </w:pPr>
      <w:r w:rsidRPr="005B7109">
        <w:rPr>
          <w:rStyle w:val="Hyperlink"/>
          <w:rFonts w:asciiTheme="majorHAnsi" w:eastAsia="Arial Unicode MS" w:hAnsiTheme="majorHAnsi" w:cstheme="majorHAnsi"/>
          <w:i/>
          <w:color w:val="auto"/>
          <w:szCs w:val="20"/>
          <w:u w:val="none"/>
        </w:rPr>
        <w:t>Content Overview</w:t>
      </w:r>
    </w:p>
    <w:p w:rsidR="00B0347F" w:rsidRPr="005B7109" w:rsidRDefault="00B0347F" w:rsidP="00A37ED6">
      <w:pPr>
        <w:pStyle w:val="ListParagraph"/>
        <w:numPr>
          <w:ilvl w:val="0"/>
          <w:numId w:val="193"/>
        </w:numPr>
        <w:ind w:left="2160"/>
        <w:jc w:val="both"/>
        <w:rPr>
          <w:rFonts w:asciiTheme="majorHAnsi" w:eastAsia="Arial Unicode MS" w:hAnsiTheme="majorHAnsi" w:cstheme="majorHAnsi"/>
          <w:i/>
          <w:szCs w:val="20"/>
        </w:rPr>
      </w:pPr>
      <w:r w:rsidRPr="005B7109">
        <w:rPr>
          <w:rFonts w:asciiTheme="majorHAnsi" w:hAnsiTheme="majorHAnsi" w:cstheme="majorHAnsi"/>
          <w:i/>
        </w:rPr>
        <w:t>Practicum Overview</w:t>
      </w:r>
    </w:p>
    <w:p w:rsidR="00B0347F" w:rsidRPr="005B7109" w:rsidRDefault="006633DC" w:rsidP="00A37ED6">
      <w:pPr>
        <w:pStyle w:val="ListParagraph"/>
        <w:numPr>
          <w:ilvl w:val="0"/>
          <w:numId w:val="193"/>
        </w:numPr>
        <w:ind w:left="2160"/>
        <w:jc w:val="both"/>
        <w:rPr>
          <w:rFonts w:asciiTheme="majorHAnsi" w:eastAsia="Arial Unicode MS" w:hAnsiTheme="majorHAnsi" w:cstheme="majorHAnsi"/>
          <w:i/>
          <w:szCs w:val="20"/>
        </w:rPr>
      </w:pPr>
      <w:r w:rsidRPr="005B7109">
        <w:rPr>
          <w:rFonts w:asciiTheme="majorHAnsi" w:hAnsiTheme="majorHAnsi" w:cstheme="majorHAnsi"/>
          <w:i/>
        </w:rPr>
        <w:t>MPH Step-by-Step</w:t>
      </w:r>
    </w:p>
    <w:p w:rsidR="00B0347F" w:rsidRPr="005B7109" w:rsidRDefault="00B0347F" w:rsidP="00A37ED6">
      <w:pPr>
        <w:pStyle w:val="ListParagraph"/>
        <w:numPr>
          <w:ilvl w:val="0"/>
          <w:numId w:val="193"/>
        </w:numPr>
        <w:ind w:left="2160"/>
        <w:jc w:val="both"/>
        <w:rPr>
          <w:rFonts w:asciiTheme="majorHAnsi" w:eastAsia="Arial Unicode MS" w:hAnsiTheme="majorHAnsi" w:cstheme="majorHAnsi"/>
          <w:i/>
          <w:szCs w:val="20"/>
        </w:rPr>
      </w:pPr>
      <w:r w:rsidRPr="005B7109">
        <w:rPr>
          <w:rFonts w:asciiTheme="majorHAnsi" w:hAnsiTheme="majorHAnsi" w:cstheme="majorHAnsi"/>
          <w:i/>
          <w:szCs w:val="20"/>
        </w:rPr>
        <w:t>DrPH Step-by-Step</w:t>
      </w:r>
      <w:r w:rsidR="00E7538D" w:rsidRPr="005B7109">
        <w:rPr>
          <w:rFonts w:asciiTheme="majorHAnsi" w:hAnsiTheme="majorHAnsi" w:cstheme="majorHAnsi"/>
          <w:i/>
          <w:szCs w:val="20"/>
        </w:rPr>
        <w:t xml:space="preserve"> (not applicable)</w:t>
      </w:r>
    </w:p>
    <w:p w:rsidR="00B0347F" w:rsidRPr="005B7109" w:rsidRDefault="006633DC" w:rsidP="00A37ED6">
      <w:pPr>
        <w:pStyle w:val="ListParagraph"/>
        <w:numPr>
          <w:ilvl w:val="0"/>
          <w:numId w:val="193"/>
        </w:numPr>
        <w:ind w:left="2160"/>
        <w:jc w:val="both"/>
        <w:rPr>
          <w:rFonts w:asciiTheme="majorHAnsi" w:eastAsia="Arial Unicode MS" w:hAnsiTheme="majorHAnsi" w:cstheme="majorHAnsi"/>
          <w:i/>
          <w:szCs w:val="20"/>
        </w:rPr>
      </w:pPr>
      <w:r w:rsidRPr="005B7109">
        <w:rPr>
          <w:rFonts w:asciiTheme="majorHAnsi" w:hAnsiTheme="majorHAnsi" w:cstheme="majorHAnsi"/>
          <w:i/>
        </w:rPr>
        <w:t>Practicum Process Overview Diagram</w:t>
      </w:r>
    </w:p>
    <w:p w:rsidR="00B0347F" w:rsidRPr="005B7109" w:rsidRDefault="006633DC" w:rsidP="00A37ED6">
      <w:pPr>
        <w:pStyle w:val="ListParagraph"/>
        <w:numPr>
          <w:ilvl w:val="0"/>
          <w:numId w:val="193"/>
        </w:numPr>
        <w:ind w:left="2160"/>
        <w:jc w:val="both"/>
        <w:rPr>
          <w:rFonts w:asciiTheme="majorHAnsi" w:eastAsia="Arial Unicode MS" w:hAnsiTheme="majorHAnsi" w:cstheme="majorHAnsi"/>
          <w:i/>
          <w:szCs w:val="20"/>
        </w:rPr>
      </w:pPr>
      <w:r w:rsidRPr="005B7109">
        <w:rPr>
          <w:rFonts w:asciiTheme="majorHAnsi" w:hAnsiTheme="majorHAnsi" w:cstheme="majorHAnsi"/>
          <w:i/>
        </w:rPr>
        <w:t>Preceptor Step-by-Step</w:t>
      </w:r>
    </w:p>
    <w:p w:rsidR="00B0347F" w:rsidRPr="005B7109" w:rsidRDefault="006633DC" w:rsidP="00A37ED6">
      <w:pPr>
        <w:pStyle w:val="ListParagraph"/>
        <w:numPr>
          <w:ilvl w:val="0"/>
          <w:numId w:val="193"/>
        </w:numPr>
        <w:ind w:left="2160"/>
        <w:jc w:val="both"/>
        <w:rPr>
          <w:rFonts w:asciiTheme="majorHAnsi" w:eastAsia="Arial Unicode MS" w:hAnsiTheme="majorHAnsi" w:cstheme="majorHAnsi"/>
          <w:i/>
          <w:szCs w:val="20"/>
        </w:rPr>
      </w:pPr>
      <w:r w:rsidRPr="005B7109">
        <w:rPr>
          <w:rFonts w:asciiTheme="majorHAnsi" w:hAnsiTheme="majorHAnsi" w:cstheme="majorHAnsi"/>
          <w:i/>
        </w:rPr>
        <w:t>Preceptor Printable Short Guide</w:t>
      </w:r>
    </w:p>
    <w:p w:rsidR="00B0347F" w:rsidRPr="005B7109" w:rsidRDefault="006633DC" w:rsidP="00A37ED6">
      <w:pPr>
        <w:pStyle w:val="ListParagraph"/>
        <w:numPr>
          <w:ilvl w:val="0"/>
          <w:numId w:val="193"/>
        </w:numPr>
        <w:ind w:left="2160"/>
        <w:jc w:val="both"/>
        <w:rPr>
          <w:rFonts w:asciiTheme="majorHAnsi" w:eastAsia="Arial Unicode MS" w:hAnsiTheme="majorHAnsi" w:cstheme="majorHAnsi"/>
          <w:i/>
          <w:szCs w:val="20"/>
        </w:rPr>
      </w:pPr>
      <w:r w:rsidRPr="005B7109">
        <w:rPr>
          <w:rFonts w:asciiTheme="majorHAnsi" w:hAnsiTheme="majorHAnsi" w:cstheme="majorHAnsi"/>
          <w:i/>
        </w:rPr>
        <w:t>Faculty Mentors Step-by-Step</w:t>
      </w:r>
    </w:p>
    <w:p w:rsidR="00B0347F" w:rsidRPr="005B7109" w:rsidRDefault="006633DC" w:rsidP="00A37ED6">
      <w:pPr>
        <w:pStyle w:val="ListParagraph"/>
        <w:numPr>
          <w:ilvl w:val="0"/>
          <w:numId w:val="193"/>
        </w:numPr>
        <w:ind w:left="2160"/>
        <w:jc w:val="both"/>
        <w:rPr>
          <w:rFonts w:asciiTheme="majorHAnsi" w:eastAsia="Arial Unicode MS" w:hAnsiTheme="majorHAnsi" w:cstheme="majorHAnsi"/>
          <w:i/>
          <w:szCs w:val="20"/>
        </w:rPr>
      </w:pPr>
      <w:r w:rsidRPr="005B7109">
        <w:rPr>
          <w:rFonts w:asciiTheme="majorHAnsi" w:hAnsiTheme="majorHAnsi" w:cstheme="majorHAnsi"/>
          <w:i/>
        </w:rPr>
        <w:t>Introduction to Practicum – Presentation</w:t>
      </w:r>
    </w:p>
    <w:p w:rsidR="00B0347F" w:rsidRPr="005B7109" w:rsidRDefault="006633DC" w:rsidP="00A37ED6">
      <w:pPr>
        <w:pStyle w:val="ListParagraph"/>
        <w:numPr>
          <w:ilvl w:val="0"/>
          <w:numId w:val="193"/>
        </w:numPr>
        <w:ind w:left="2160"/>
        <w:jc w:val="both"/>
        <w:rPr>
          <w:rFonts w:asciiTheme="majorHAnsi" w:eastAsia="Arial Unicode MS" w:hAnsiTheme="majorHAnsi" w:cstheme="majorHAnsi"/>
          <w:i/>
          <w:szCs w:val="20"/>
        </w:rPr>
      </w:pPr>
      <w:r w:rsidRPr="005B7109">
        <w:rPr>
          <w:rFonts w:asciiTheme="majorHAnsi" w:hAnsiTheme="majorHAnsi" w:cstheme="majorHAnsi"/>
          <w:i/>
        </w:rPr>
        <w:t>Final Products List</w:t>
      </w:r>
    </w:p>
    <w:p w:rsidR="00B0347F" w:rsidRPr="005B7109" w:rsidRDefault="006633DC" w:rsidP="003F41D4">
      <w:pPr>
        <w:pStyle w:val="ListParagraph"/>
        <w:numPr>
          <w:ilvl w:val="0"/>
          <w:numId w:val="193"/>
        </w:numPr>
        <w:ind w:left="2160" w:hanging="450"/>
        <w:jc w:val="both"/>
        <w:rPr>
          <w:rFonts w:asciiTheme="majorHAnsi" w:eastAsia="Arial Unicode MS" w:hAnsiTheme="majorHAnsi" w:cstheme="majorHAnsi"/>
          <w:i/>
          <w:szCs w:val="20"/>
        </w:rPr>
      </w:pPr>
      <w:r w:rsidRPr="005B7109">
        <w:rPr>
          <w:rFonts w:asciiTheme="majorHAnsi" w:hAnsiTheme="majorHAnsi" w:cstheme="majorHAnsi"/>
          <w:i/>
        </w:rPr>
        <w:t>Learning Contract Instructions</w:t>
      </w:r>
    </w:p>
    <w:p w:rsidR="00B0347F" w:rsidRPr="005B7109" w:rsidRDefault="006633DC" w:rsidP="003F41D4">
      <w:pPr>
        <w:pStyle w:val="ListParagraph"/>
        <w:numPr>
          <w:ilvl w:val="0"/>
          <w:numId w:val="193"/>
        </w:numPr>
        <w:ind w:left="2160" w:hanging="450"/>
        <w:jc w:val="both"/>
        <w:rPr>
          <w:rFonts w:asciiTheme="majorHAnsi" w:eastAsia="Arial Unicode MS" w:hAnsiTheme="majorHAnsi" w:cstheme="majorHAnsi"/>
          <w:i/>
          <w:szCs w:val="20"/>
        </w:rPr>
      </w:pPr>
      <w:r w:rsidRPr="005B7109">
        <w:rPr>
          <w:rFonts w:asciiTheme="majorHAnsi" w:hAnsiTheme="majorHAnsi" w:cstheme="majorHAnsi"/>
          <w:i/>
        </w:rPr>
        <w:t>Writing Practicum Learning Objectives</w:t>
      </w:r>
    </w:p>
    <w:p w:rsidR="00B0347F" w:rsidRPr="005B7109" w:rsidRDefault="006633DC" w:rsidP="003F41D4">
      <w:pPr>
        <w:pStyle w:val="ListParagraph"/>
        <w:numPr>
          <w:ilvl w:val="0"/>
          <w:numId w:val="193"/>
        </w:numPr>
        <w:ind w:left="2160" w:hanging="450"/>
        <w:jc w:val="both"/>
        <w:rPr>
          <w:rFonts w:asciiTheme="majorHAnsi" w:eastAsia="Arial Unicode MS" w:hAnsiTheme="majorHAnsi" w:cstheme="majorHAnsi"/>
          <w:i/>
          <w:szCs w:val="20"/>
        </w:rPr>
      </w:pPr>
      <w:r w:rsidRPr="005B7109">
        <w:rPr>
          <w:rFonts w:asciiTheme="majorHAnsi" w:hAnsiTheme="majorHAnsi" w:cstheme="majorHAnsi"/>
          <w:i/>
        </w:rPr>
        <w:t>Student Communication Emails</w:t>
      </w:r>
    </w:p>
    <w:p w:rsidR="00933038" w:rsidRPr="00743A41" w:rsidRDefault="00933038" w:rsidP="00A37ED6">
      <w:pPr>
        <w:pStyle w:val="ListParagraph"/>
        <w:jc w:val="both"/>
        <w:rPr>
          <w:rFonts w:asciiTheme="majorHAnsi" w:eastAsia="Arial Unicode MS" w:hAnsiTheme="majorHAnsi" w:cstheme="majorHAnsi"/>
          <w:szCs w:val="20"/>
        </w:rPr>
      </w:pPr>
    </w:p>
    <w:p w:rsidR="00933038" w:rsidRPr="00743A41" w:rsidRDefault="00933038" w:rsidP="00A37ED6">
      <w:pPr>
        <w:pStyle w:val="ListParagraph"/>
        <w:numPr>
          <w:ilvl w:val="0"/>
          <w:numId w:val="22"/>
        </w:numPr>
        <w:ind w:left="720"/>
        <w:jc w:val="both"/>
        <w:rPr>
          <w:rFonts w:asciiTheme="majorHAnsi" w:eastAsia="Arial Unicode MS" w:hAnsiTheme="majorHAnsi" w:cstheme="majorHAnsi"/>
          <w:szCs w:val="20"/>
        </w:rPr>
      </w:pPr>
      <w:r w:rsidRPr="00743A41">
        <w:rPr>
          <w:rFonts w:asciiTheme="majorHAnsi" w:eastAsia="Arial Unicode MS" w:hAnsiTheme="majorHAnsi" w:cstheme="majorHAnsi"/>
          <w:szCs w:val="20"/>
        </w:rPr>
        <w:t xml:space="preserve">Provide samples of practice-related materials for individual students from each concentration or generalist degree. The samples must also include materials from students completing combined degree schools, if applicable. The school must provide samples of complete sets of materials (ie, Template D5-1 and the work products/documents that demonstrate at least five competencies) from at least five students in the last three years for each concentration or generalist degree. If the school has not produced five students for which complete samples are available, note this and provide all available samples. </w:t>
      </w:r>
    </w:p>
    <w:p w:rsidR="00933038" w:rsidRPr="00743A41" w:rsidRDefault="00933038" w:rsidP="00A37ED6">
      <w:pPr>
        <w:pStyle w:val="ListParagraph"/>
        <w:jc w:val="both"/>
        <w:rPr>
          <w:rFonts w:asciiTheme="majorHAnsi" w:eastAsia="Arial Unicode MS" w:hAnsiTheme="majorHAnsi" w:cstheme="majorHAnsi"/>
          <w:szCs w:val="20"/>
        </w:rPr>
      </w:pPr>
    </w:p>
    <w:p w:rsidR="0071054A" w:rsidRPr="005B7109" w:rsidRDefault="00D82A49" w:rsidP="00A37ED6">
      <w:pPr>
        <w:ind w:left="720"/>
        <w:rPr>
          <w:rFonts w:asciiTheme="majorHAnsi" w:eastAsia="Arial Unicode MS" w:hAnsiTheme="majorHAnsi" w:cstheme="majorHAnsi"/>
          <w:sz w:val="20"/>
          <w:szCs w:val="20"/>
        </w:rPr>
      </w:pPr>
      <w:r w:rsidRPr="005B7109">
        <w:rPr>
          <w:rFonts w:asciiTheme="majorHAnsi" w:eastAsia="Arial Unicode MS" w:hAnsiTheme="majorHAnsi" w:cstheme="majorHAnsi"/>
          <w:sz w:val="20"/>
          <w:szCs w:val="20"/>
        </w:rPr>
        <w:t xml:space="preserve">Samples of </w:t>
      </w:r>
      <w:r w:rsidR="0071054A" w:rsidRPr="005B7109">
        <w:rPr>
          <w:rFonts w:asciiTheme="majorHAnsi" w:eastAsia="Arial Unicode MS" w:hAnsiTheme="majorHAnsi" w:cstheme="majorHAnsi"/>
          <w:sz w:val="20"/>
          <w:szCs w:val="20"/>
        </w:rPr>
        <w:t xml:space="preserve">MPH applied practice-related materials </w:t>
      </w:r>
      <w:r w:rsidR="0000125A">
        <w:rPr>
          <w:rFonts w:asciiTheme="majorHAnsi" w:eastAsia="Arial Unicode MS" w:hAnsiTheme="majorHAnsi" w:cstheme="majorHAnsi"/>
          <w:sz w:val="20"/>
          <w:szCs w:val="20"/>
        </w:rPr>
        <w:t>are available in the electronic resource file</w:t>
      </w:r>
      <w:r w:rsidR="000A6811" w:rsidRPr="005B7109">
        <w:rPr>
          <w:rFonts w:asciiTheme="majorHAnsi" w:eastAsia="Arial Unicode MS" w:hAnsiTheme="majorHAnsi" w:cstheme="majorHAnsi"/>
          <w:sz w:val="20"/>
          <w:szCs w:val="20"/>
        </w:rPr>
        <w:t xml:space="preserve"> (</w:t>
      </w:r>
      <w:r w:rsidR="000A6811" w:rsidRPr="005B7109">
        <w:rPr>
          <w:rFonts w:asciiTheme="majorHAnsi" w:eastAsia="Arial Unicode MS" w:hAnsiTheme="majorHAnsi" w:cstheme="majorHAnsi"/>
          <w:i/>
          <w:sz w:val="20"/>
          <w:szCs w:val="20"/>
        </w:rPr>
        <w:t xml:space="preserve">ERF, </w:t>
      </w:r>
      <w:r w:rsidR="000A6811" w:rsidRPr="005B7109">
        <w:rPr>
          <w:rFonts w:asciiTheme="majorHAnsi" w:hAnsiTheme="majorHAnsi" w:cstheme="majorHAnsi"/>
          <w:i/>
          <w:sz w:val="20"/>
          <w:szCs w:val="20"/>
        </w:rPr>
        <w:t>D5.3. Practice-Based Products that Demonstrate MPH Competency Achievement</w:t>
      </w:r>
      <w:r w:rsidR="000A6811" w:rsidRPr="005B7109">
        <w:rPr>
          <w:rFonts w:asciiTheme="majorHAnsi" w:eastAsia="Arial Unicode MS" w:hAnsiTheme="majorHAnsi" w:cstheme="majorHAnsi"/>
          <w:sz w:val="20"/>
          <w:szCs w:val="20"/>
        </w:rPr>
        <w:t>)</w:t>
      </w:r>
      <w:r w:rsidR="0071054A" w:rsidRPr="005B7109">
        <w:rPr>
          <w:rFonts w:asciiTheme="majorHAnsi" w:eastAsia="Arial Unicode MS" w:hAnsiTheme="majorHAnsi" w:cstheme="majorHAnsi"/>
          <w:sz w:val="20"/>
          <w:szCs w:val="20"/>
        </w:rPr>
        <w:t>.</w:t>
      </w:r>
    </w:p>
    <w:p w:rsidR="0071054A" w:rsidRPr="005B7109" w:rsidRDefault="0071054A" w:rsidP="00A37ED6">
      <w:pPr>
        <w:ind w:left="720"/>
        <w:jc w:val="both"/>
        <w:rPr>
          <w:rFonts w:asciiTheme="majorHAnsi" w:eastAsia="Arial Unicode MS" w:hAnsiTheme="majorHAnsi" w:cstheme="majorHAnsi"/>
          <w:sz w:val="20"/>
          <w:szCs w:val="20"/>
        </w:rPr>
      </w:pPr>
    </w:p>
    <w:p w:rsidR="0071054A" w:rsidRPr="005B7109" w:rsidRDefault="0071054A" w:rsidP="00A37ED6">
      <w:pPr>
        <w:ind w:left="720"/>
        <w:rPr>
          <w:rFonts w:asciiTheme="majorHAnsi" w:eastAsia="Arial Unicode MS" w:hAnsiTheme="majorHAnsi" w:cstheme="majorHAnsi"/>
          <w:sz w:val="20"/>
          <w:szCs w:val="20"/>
        </w:rPr>
      </w:pPr>
      <w:r w:rsidRPr="005B7109">
        <w:rPr>
          <w:rFonts w:asciiTheme="majorHAnsi" w:hAnsiTheme="majorHAnsi" w:cstheme="majorHAnsi"/>
          <w:sz w:val="20"/>
          <w:szCs w:val="20"/>
        </w:rPr>
        <w:t>D.5.3.a. Practice-Based Products that Demonstrate MPH Competency Attainment, MPH in Community Health Practice</w:t>
      </w:r>
      <w:r w:rsidR="00FC4AEF" w:rsidRPr="005B7109">
        <w:rPr>
          <w:rFonts w:asciiTheme="majorHAnsi" w:eastAsia="Arial Unicode MS" w:hAnsiTheme="majorHAnsi" w:cstheme="majorHAnsi"/>
          <w:sz w:val="20"/>
          <w:szCs w:val="20"/>
        </w:rPr>
        <w:t xml:space="preserve"> (</w:t>
      </w:r>
      <w:r w:rsidR="00FC4AEF" w:rsidRPr="005B7109">
        <w:rPr>
          <w:rFonts w:asciiTheme="majorHAnsi" w:eastAsia="Arial Unicode MS" w:hAnsiTheme="majorHAnsi" w:cstheme="majorHAnsi"/>
          <w:i/>
          <w:sz w:val="20"/>
          <w:szCs w:val="20"/>
        </w:rPr>
        <w:t>ERF, D5.3. Practice-Based Products that Demonstrate MPH Competency Achievement, MPH Community Health Practice</w:t>
      </w:r>
      <w:r w:rsidR="00FC4AEF" w:rsidRPr="005B7109">
        <w:rPr>
          <w:rFonts w:asciiTheme="majorHAnsi" w:eastAsia="Arial Unicode MS" w:hAnsiTheme="majorHAnsi" w:cstheme="majorHAnsi"/>
          <w:sz w:val="20"/>
          <w:szCs w:val="20"/>
        </w:rPr>
        <w:t>)</w:t>
      </w: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4320"/>
      </w:tblGrid>
      <w:tr w:rsidR="0071054A" w:rsidRPr="00743A41" w:rsidTr="00F026B3">
        <w:trPr>
          <w:cantSplit/>
          <w:trHeight w:val="720"/>
          <w:tblHeader/>
        </w:trPr>
        <w:tc>
          <w:tcPr>
            <w:tcW w:w="2500" w:type="pct"/>
            <w:shd w:val="clear" w:color="000000" w:fill="D9D9D9"/>
            <w:vAlign w:val="center"/>
            <w:hideMark/>
          </w:tcPr>
          <w:p w:rsidR="0071054A" w:rsidRPr="00743A41" w:rsidRDefault="0071054A"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Specific products in portfolio that demonstrate application or practice</w:t>
            </w:r>
          </w:p>
        </w:tc>
        <w:tc>
          <w:tcPr>
            <w:tcW w:w="2500" w:type="pct"/>
            <w:shd w:val="clear" w:color="000000" w:fill="D9D9D9"/>
            <w:vAlign w:val="center"/>
            <w:hideMark/>
          </w:tcPr>
          <w:p w:rsidR="0071054A" w:rsidRPr="00743A41" w:rsidRDefault="0071054A"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 xml:space="preserve">Competency as defined in </w:t>
            </w:r>
            <w:hyperlink w:anchor="_D2._MPH_Foundational_1" w:history="1">
              <w:r w:rsidRPr="00743A41">
                <w:rPr>
                  <w:rStyle w:val="Hyperlink"/>
                  <w:rFonts w:asciiTheme="majorHAnsi" w:eastAsia="Times New Roman" w:hAnsiTheme="majorHAnsi" w:cstheme="majorHAnsi"/>
                  <w:b/>
                  <w:bCs/>
                  <w:sz w:val="20"/>
                  <w:szCs w:val="20"/>
                </w:rPr>
                <w:t>Criteri</w:t>
              </w:r>
              <w:r w:rsidR="00974D1C" w:rsidRPr="00743A41">
                <w:rPr>
                  <w:rStyle w:val="Hyperlink"/>
                  <w:rFonts w:asciiTheme="majorHAnsi" w:eastAsia="Times New Roman" w:hAnsiTheme="majorHAnsi" w:cstheme="majorHAnsi"/>
                  <w:b/>
                  <w:bCs/>
                  <w:sz w:val="20"/>
                  <w:szCs w:val="20"/>
                </w:rPr>
                <w:t>on</w:t>
              </w:r>
              <w:r w:rsidRPr="00743A41">
                <w:rPr>
                  <w:rStyle w:val="Hyperlink"/>
                  <w:rFonts w:asciiTheme="majorHAnsi" w:eastAsia="Times New Roman" w:hAnsiTheme="majorHAnsi" w:cstheme="majorHAnsi"/>
                  <w:b/>
                  <w:bCs/>
                  <w:sz w:val="20"/>
                  <w:szCs w:val="20"/>
                </w:rPr>
                <w:t xml:space="preserve"> D2</w:t>
              </w:r>
            </w:hyperlink>
            <w:r w:rsidRPr="00743A41">
              <w:rPr>
                <w:rFonts w:asciiTheme="majorHAnsi" w:eastAsia="Times New Roman" w:hAnsiTheme="majorHAnsi" w:cstheme="majorHAnsi"/>
                <w:b/>
                <w:bCs/>
                <w:sz w:val="20"/>
                <w:szCs w:val="20"/>
              </w:rPr>
              <w:t xml:space="preserve"> and </w:t>
            </w:r>
            <w:hyperlink w:anchor="_D4._MPH_&amp;" w:history="1">
              <w:r w:rsidR="00974D1C" w:rsidRPr="00743A41">
                <w:rPr>
                  <w:rStyle w:val="Hyperlink"/>
                  <w:rFonts w:asciiTheme="majorHAnsi" w:eastAsia="Times New Roman" w:hAnsiTheme="majorHAnsi" w:cstheme="majorHAnsi"/>
                  <w:b/>
                  <w:bCs/>
                  <w:sz w:val="20"/>
                  <w:szCs w:val="20"/>
                </w:rPr>
                <w:t xml:space="preserve">Criterion </w:t>
              </w:r>
              <w:r w:rsidRPr="00743A41">
                <w:rPr>
                  <w:rStyle w:val="Hyperlink"/>
                  <w:rFonts w:asciiTheme="majorHAnsi" w:eastAsia="Times New Roman" w:hAnsiTheme="majorHAnsi" w:cstheme="majorHAnsi"/>
                  <w:b/>
                  <w:bCs/>
                  <w:sz w:val="20"/>
                  <w:szCs w:val="20"/>
                </w:rPr>
                <w:t>D4</w:t>
              </w:r>
            </w:hyperlink>
          </w:p>
        </w:tc>
      </w:tr>
      <w:tr w:rsidR="0071054A" w:rsidRPr="00743A41" w:rsidTr="00F026B3">
        <w:trPr>
          <w:cantSplit/>
          <w:trHeight w:val="395"/>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Community Health Practice, Student 1</w:t>
            </w:r>
            <w:r w:rsidRPr="00743A41">
              <w:rPr>
                <w:rFonts w:asciiTheme="majorHAnsi" w:eastAsia="Times New Roman" w:hAnsiTheme="majorHAnsi" w:cstheme="majorHAnsi"/>
                <w:sz w:val="20"/>
                <w:szCs w:val="20"/>
              </w:rPr>
              <w:t>:</w:t>
            </w:r>
            <w:r w:rsidRPr="00743A41">
              <w:rPr>
                <w:rFonts w:asciiTheme="majorHAnsi" w:eastAsia="Times New Roman" w:hAnsiTheme="majorHAnsi" w:cstheme="majorHAnsi"/>
                <w:i/>
                <w:sz w:val="20"/>
                <w:szCs w:val="20"/>
              </w:rPr>
              <w:t xml:space="preserve"> </w:t>
            </w:r>
            <w:r w:rsidRPr="00743A41">
              <w:rPr>
                <w:rFonts w:asciiTheme="majorHAnsi" w:eastAsia="Times New Roman" w:hAnsiTheme="majorHAnsi" w:cstheme="majorHAnsi"/>
                <w:sz w:val="20"/>
                <w:szCs w:val="20"/>
              </w:rPr>
              <w:t xml:space="preserve">The student worked with a non-profit to design, implement, and interpret results of a project to transform a Women, Infants, and Children (WIC) Center into a play space that encourages children to be physically and academically active (by using imaginative play (e.g., solar system exploration). To assess the organization’s needs, the student created pre-and post-intervention survey instruments (MPH-1, MPH-7, Product 1) to measure the impact of the new play space on children’s activity.  The student developed an evaluation plan in the form of a logic model and selected evaluation methods (MPH-11).  She also presented a poster (MPH-18, MPH-19, Product 2) that includes a logic model to a health department and the organization’s staff.  </w:t>
            </w: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MPH-1: Apply epidemiological methods to the breadth of settings and situations in public health practice</w:t>
            </w:r>
          </w:p>
        </w:tc>
      </w:tr>
      <w:tr w:rsidR="0071054A" w:rsidRPr="00743A41" w:rsidTr="00F026B3">
        <w:trPr>
          <w:cantSplit/>
          <w:trHeight w:val="197"/>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 7: Assess population needs, assets and capacities that affect communities’ health</w:t>
            </w:r>
          </w:p>
        </w:tc>
      </w:tr>
      <w:tr w:rsidR="0071054A" w:rsidRPr="00743A41" w:rsidTr="00F026B3">
        <w:trPr>
          <w:cantSplit/>
          <w:trHeight w:val="24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MPH-11: Select methods to evaluate public health programs</w:t>
            </w:r>
          </w:p>
        </w:tc>
      </w:tr>
      <w:tr w:rsidR="0071054A" w:rsidRPr="00743A41" w:rsidTr="00F026B3">
        <w:trPr>
          <w:cantSplit/>
          <w:trHeight w:val="7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MPH-18: Select communication strategies for different audiences and sectors</w:t>
            </w:r>
          </w:p>
        </w:tc>
      </w:tr>
      <w:tr w:rsidR="0071054A" w:rsidRPr="00743A41" w:rsidTr="00F026B3">
        <w:trPr>
          <w:cantSplit/>
          <w:trHeight w:val="10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MPH-19: Communicate audience-appropriate public health content, both in writing and through oral presentation</w:t>
            </w:r>
          </w:p>
        </w:tc>
      </w:tr>
      <w:tr w:rsidR="0071054A" w:rsidRPr="00743A41" w:rsidTr="00F026B3">
        <w:trPr>
          <w:cantSplit/>
          <w:trHeight w:val="287"/>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Community Health Practice, Student 2</w:t>
            </w:r>
            <w:r w:rsidRPr="00743A41">
              <w:rPr>
                <w:rFonts w:asciiTheme="majorHAnsi" w:eastAsia="Times New Roman" w:hAnsiTheme="majorHAnsi" w:cstheme="majorHAnsi"/>
                <w:sz w:val="20"/>
                <w:szCs w:val="20"/>
              </w:rPr>
              <w:t xml:space="preserve">: The student conducted her practicum with a federally qualified health center that serves homeless populations. She assessed the assets and </w:t>
            </w:r>
            <w:r w:rsidRPr="00743A41">
              <w:rPr>
                <w:rFonts w:asciiTheme="majorHAnsi" w:eastAsia="Times New Roman" w:hAnsiTheme="majorHAnsi" w:cstheme="majorHAnsi"/>
                <w:bCs/>
                <w:color w:val="000000"/>
                <w:sz w:val="20"/>
                <w:szCs w:val="20"/>
              </w:rPr>
              <w:t>capacities of other organizations who serve the homeless by conducting a literature review (MPH-4, MPH 7; MPH-1) for best practices in treating HCV in homeless populations (evidence table is Product 1) and used findings from the literature to inform the recommendations she developed for her host organization. She also conducted key informant interviews with local staff on challenges and capacities in treating this population (MPH-7).  She combined these data with her evaluation of best practices to develop recommendations (MPH-19, MPH-8, Product 2) to improve treatment adherence and, thereby, improve the health of the host organization’s patients.</w:t>
            </w: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MPH-1: Apply epidemiological methods to the breadth of settings and situations in public health practice</w:t>
            </w:r>
          </w:p>
        </w:tc>
      </w:tr>
      <w:tr w:rsidR="0071054A" w:rsidRPr="00743A41" w:rsidTr="00F026B3">
        <w:trPr>
          <w:cantSplit/>
          <w:trHeight w:val="26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eastAsia="Times New Roman" w:hAnsiTheme="majorHAnsi" w:cstheme="majorHAnsi"/>
                <w:bCs/>
                <w:color w:val="000000"/>
                <w:sz w:val="20"/>
                <w:szCs w:val="20"/>
              </w:rPr>
              <w:t>MPH-4: Interpret results of data analysis for public health research, policy or practice</w:t>
            </w:r>
          </w:p>
        </w:tc>
      </w:tr>
      <w:tr w:rsidR="0071054A" w:rsidRPr="00743A41" w:rsidTr="00F026B3">
        <w:trPr>
          <w:cantSplit/>
          <w:trHeight w:val="215"/>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eastAsia="Times New Roman" w:hAnsiTheme="majorHAnsi" w:cstheme="majorHAnsi"/>
                <w:bCs/>
                <w:color w:val="000000"/>
                <w:sz w:val="20"/>
                <w:szCs w:val="20"/>
              </w:rPr>
              <w:t>MPH-7: Assess population needs, assets and capacities that affect communities’ health</w:t>
            </w:r>
          </w:p>
        </w:tc>
      </w:tr>
      <w:tr w:rsidR="0071054A" w:rsidRPr="00743A41" w:rsidTr="00F026B3">
        <w:trPr>
          <w:cantSplit/>
          <w:trHeight w:val="62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MPH-8: Apply awareness of cultural values and practices to the design or implementation of public health policies or programs</w:t>
            </w:r>
          </w:p>
        </w:tc>
      </w:tr>
      <w:tr w:rsidR="0071054A" w:rsidRPr="00743A41" w:rsidTr="00F026B3">
        <w:trPr>
          <w:cantSplit/>
          <w:trHeight w:val="10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Del="0076591E" w:rsidRDefault="0071054A" w:rsidP="00A37ED6">
            <w:pPr>
              <w:autoSpaceDE w:val="0"/>
              <w:autoSpaceDN w:val="0"/>
              <w:adjustRightInd w:val="0"/>
              <w:rPr>
                <w:rFonts w:asciiTheme="majorHAnsi" w:eastAsia="Times New Roman" w:hAnsiTheme="majorHAnsi" w:cstheme="majorHAnsi"/>
                <w:bCs/>
                <w:color w:val="000000"/>
                <w:sz w:val="20"/>
                <w:szCs w:val="20"/>
              </w:rPr>
            </w:pPr>
            <w:r w:rsidRPr="00743A41">
              <w:rPr>
                <w:rFonts w:asciiTheme="majorHAnsi" w:hAnsiTheme="majorHAnsi" w:cstheme="majorHAnsi"/>
                <w:sz w:val="20"/>
                <w:szCs w:val="20"/>
              </w:rPr>
              <w:t>MPH-19: Communicate audience-appropriate public health content, both in writing and through oral presentation</w:t>
            </w:r>
          </w:p>
        </w:tc>
      </w:tr>
      <w:tr w:rsidR="0071054A" w:rsidRPr="00743A41" w:rsidTr="00F026B3">
        <w:trPr>
          <w:cantSplit/>
          <w:trHeight w:val="152"/>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Community Health Practice, Student 3</w:t>
            </w:r>
            <w:r w:rsidRPr="00743A41">
              <w:rPr>
                <w:rFonts w:asciiTheme="majorHAnsi" w:eastAsia="Times New Roman" w:hAnsiTheme="majorHAnsi" w:cstheme="majorHAnsi"/>
                <w:sz w:val="20"/>
                <w:szCs w:val="20"/>
              </w:rPr>
              <w:t>: The student collaborated with a community-based organization to develop and deliver a culturally-appropriate social emotional learning program for middle school girls (MPH-C3, MPH-8, MPH-9, MPH-20). The final products include a report describing how this program was applied to this population and a presentation promoting the program, describing its activities, and identifying challenges and limitation (MPH-19)</w:t>
            </w:r>
            <w:r w:rsidRPr="00743A41">
              <w:rPr>
                <w:rFonts w:asciiTheme="majorHAnsi" w:eastAsia="Times New Roman" w:hAnsiTheme="majorHAnsi" w:cstheme="majorHAnsi"/>
                <w:b/>
                <w:i/>
                <w:sz w:val="20"/>
                <w:szCs w:val="20"/>
              </w:rPr>
              <w:t>.</w:t>
            </w: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MPH-8: Apply awareness of cultural values and practices to the design or implementation of public health policies or programs</w:t>
            </w:r>
          </w:p>
        </w:tc>
      </w:tr>
      <w:tr w:rsidR="0071054A" w:rsidRPr="00743A41" w:rsidTr="00F026B3">
        <w:trPr>
          <w:cantSplit/>
          <w:trHeight w:val="7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MPH-9: Design a population-based policy, program, project or intervention</w:t>
            </w:r>
          </w:p>
        </w:tc>
      </w:tr>
      <w:tr w:rsidR="0071054A" w:rsidRPr="00743A41" w:rsidTr="00F026B3">
        <w:trPr>
          <w:cantSplit/>
          <w:trHeight w:val="7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MPH-19: Communicate audience-appropriate public health content, both in writing and through oral presentation</w:t>
            </w:r>
          </w:p>
        </w:tc>
      </w:tr>
      <w:tr w:rsidR="0071054A" w:rsidRPr="00743A41" w:rsidTr="00F026B3">
        <w:trPr>
          <w:cantSplit/>
          <w:trHeight w:val="7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MPH-20: Describe the importance of cultural competence in communicating public health content</w:t>
            </w:r>
          </w:p>
        </w:tc>
      </w:tr>
      <w:tr w:rsidR="0071054A" w:rsidRPr="00743A41" w:rsidTr="00F026B3">
        <w:trPr>
          <w:cantSplit/>
          <w:trHeight w:val="10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hAnsiTheme="majorHAnsi" w:cstheme="majorHAnsi"/>
                <w:sz w:val="20"/>
                <w:szCs w:val="20"/>
              </w:rPr>
              <w:t>MPH-C3: Collaborate with community-based organizations on social justice initiatives to enhance self-reflection when working with diverse communities</w:t>
            </w:r>
          </w:p>
        </w:tc>
      </w:tr>
      <w:tr w:rsidR="0071054A" w:rsidRPr="00743A41" w:rsidTr="00F026B3">
        <w:trPr>
          <w:cantSplit/>
          <w:trHeight w:val="233"/>
        </w:trPr>
        <w:tc>
          <w:tcPr>
            <w:tcW w:w="2500" w:type="pct"/>
            <w:vMerge w:val="restar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eastAsia="Times New Roman" w:hAnsiTheme="majorHAnsi" w:cstheme="majorHAnsi"/>
                <w:sz w:val="20"/>
                <w:szCs w:val="20"/>
                <w:u w:val="single"/>
              </w:rPr>
              <w:t>MPH Community Health Practice, Student 4</w:t>
            </w:r>
            <w:r w:rsidRPr="00743A41">
              <w:rPr>
                <w:rFonts w:asciiTheme="majorHAnsi" w:eastAsia="Times New Roman" w:hAnsiTheme="majorHAnsi" w:cstheme="majorHAnsi"/>
                <w:sz w:val="20"/>
                <w:szCs w:val="20"/>
              </w:rPr>
              <w:t xml:space="preserve">: This student worked with the mosquito control and vector division of a county health department to </w:t>
            </w:r>
            <w:r w:rsidRPr="00743A41">
              <w:rPr>
                <w:rFonts w:asciiTheme="majorHAnsi" w:hAnsiTheme="majorHAnsi" w:cstheme="majorHAnsi"/>
                <w:sz w:val="20"/>
                <w:szCs w:val="20"/>
              </w:rPr>
              <w:t>apply epidemiological methods and interpret the results within environmental surveillance within the community (MPH-1, MPH-4). The student researched associations between mosquito exposure and health disparities using various quantitative and qualitative data collection methods. The student trapped mosquitos, identified and recorded the number of specimens by species, and looked for correlations between the numbers and species of mosquitos trapped with the areas in which they were collected (MPH-2, MPH-7). She also noted the types of traps that collected the greatest quantity and variety of insects. The first final product, a poster, presents this project and the findings through oral and written communication (MPH-19). The second final product, a paper, includes interpreted results and findings from the data collection. This student also prepared a reflection paper.</w:t>
            </w:r>
          </w:p>
        </w:tc>
        <w:tc>
          <w:tcPr>
            <w:tcW w:w="2500" w:type="pct"/>
            <w:shd w:val="clear" w:color="auto" w:fill="auto"/>
          </w:tcPr>
          <w:p w:rsidR="0071054A" w:rsidRPr="00743A41" w:rsidRDefault="0071054A" w:rsidP="00A37ED6">
            <w:pPr>
              <w:autoSpaceDE w:val="0"/>
              <w:autoSpaceDN w:val="0"/>
              <w:adjustRightInd w:val="0"/>
              <w:rPr>
                <w:rFonts w:asciiTheme="majorHAnsi" w:eastAsia="Times New Roman" w:hAnsiTheme="majorHAnsi" w:cstheme="majorHAnsi"/>
                <w:sz w:val="20"/>
                <w:szCs w:val="20"/>
              </w:rPr>
            </w:pPr>
            <w:r w:rsidRPr="00743A41">
              <w:rPr>
                <w:rFonts w:asciiTheme="majorHAnsi" w:hAnsiTheme="majorHAnsi" w:cstheme="majorHAnsi"/>
                <w:sz w:val="20"/>
                <w:szCs w:val="20"/>
              </w:rPr>
              <w:t>MPH-1: Apply epidemiological methods to the breadth of settings and situations in public health practice</w:t>
            </w:r>
          </w:p>
        </w:tc>
      </w:tr>
      <w:tr w:rsidR="0071054A" w:rsidRPr="00743A41" w:rsidTr="00F026B3">
        <w:trPr>
          <w:cantSplit/>
          <w:trHeight w:val="467"/>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 xml:space="preserve">MPH-2: </w:t>
            </w:r>
            <w:r w:rsidRPr="00743A41">
              <w:rPr>
                <w:rFonts w:asciiTheme="majorHAnsi" w:eastAsia="Times New Roman" w:hAnsiTheme="majorHAnsi" w:cstheme="majorHAnsi"/>
                <w:bCs/>
                <w:color w:val="000000"/>
                <w:sz w:val="20"/>
                <w:szCs w:val="20"/>
              </w:rPr>
              <w:t>Select quantitative and qualitative data collection methods appropriate for a given public health context</w:t>
            </w:r>
          </w:p>
        </w:tc>
      </w:tr>
      <w:tr w:rsidR="0071054A" w:rsidRPr="00743A41" w:rsidTr="00F026B3">
        <w:trPr>
          <w:cantSplit/>
          <w:trHeight w:val="7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MPH-4:  Interpret results of data analysis for public health research, policy or practice</w:t>
            </w:r>
          </w:p>
        </w:tc>
      </w:tr>
      <w:tr w:rsidR="0071054A" w:rsidRPr="00743A41" w:rsidTr="00F026B3">
        <w:trPr>
          <w:cantSplit/>
          <w:trHeight w:val="7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MPH-7: Assess population needs, assets and capacities that affect communities’ health</w:t>
            </w:r>
          </w:p>
        </w:tc>
      </w:tr>
      <w:tr w:rsidR="0071054A" w:rsidRPr="00743A41" w:rsidTr="00F026B3">
        <w:trPr>
          <w:cantSplit/>
          <w:trHeight w:val="10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MPH-19: Communicate audience-appropriate public health content, both in writing and through oral presentation</w:t>
            </w:r>
          </w:p>
        </w:tc>
      </w:tr>
      <w:tr w:rsidR="0071054A" w:rsidRPr="00743A41" w:rsidTr="00F026B3">
        <w:trPr>
          <w:cantSplit/>
          <w:trHeight w:val="602"/>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Community Health Practice, Student 5</w:t>
            </w:r>
            <w:r w:rsidRPr="00743A41">
              <w:rPr>
                <w:rFonts w:asciiTheme="majorHAnsi" w:eastAsia="Times New Roman" w:hAnsiTheme="majorHAnsi" w:cstheme="majorHAnsi"/>
                <w:sz w:val="20"/>
                <w:szCs w:val="20"/>
              </w:rPr>
              <w:t>: The student worked with a mental health service provider. The program</w:t>
            </w:r>
            <w:r w:rsidRPr="00743A41">
              <w:rPr>
                <w:rFonts w:asciiTheme="majorHAnsi" w:hAnsiTheme="majorHAnsi" w:cstheme="majorHAnsi"/>
                <w:sz w:val="20"/>
                <w:szCs w:val="20"/>
              </w:rPr>
              <w:t xml:space="preserve"> administers grants to fund community-school partnerships that engage students in school-based social and emotional learning programs. The student analyzed educational data and social disadvantage data to assess population needs and capacities in schools implementing social and emotional learning programs (MPH-4, MPH-7, MPH-1). In an oral presentation to program staff, the student provided comparative data about </w:t>
            </w:r>
            <w:r w:rsidRPr="00743A41">
              <w:rPr>
                <w:rFonts w:asciiTheme="majorHAnsi" w:eastAsia="Times New Roman" w:hAnsiTheme="majorHAnsi" w:cstheme="majorHAnsi"/>
                <w:color w:val="000000"/>
                <w:sz w:val="20"/>
                <w:szCs w:val="20"/>
              </w:rPr>
              <w:t xml:space="preserve">the population served by the organization and assessed the population’s needs and the capacities of the organization. </w:t>
            </w:r>
            <w:r w:rsidRPr="00743A41">
              <w:rPr>
                <w:rFonts w:asciiTheme="majorHAnsi" w:hAnsiTheme="majorHAnsi" w:cstheme="majorHAnsi"/>
                <w:sz w:val="20"/>
                <w:szCs w:val="20"/>
              </w:rPr>
              <w:t xml:space="preserve">In a report to the program’s leadership, she discusses evidence-based best practices to building successful partnerships between community-based organizations, mental health providers, and schools (MPH-16, MPH-18). The host intends to use the report to develop organizational goals and guide future decisions. </w:t>
            </w: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MPH-1: Apply epidemiological methods to the breadth of settings and situations in public health practice</w:t>
            </w:r>
          </w:p>
        </w:tc>
      </w:tr>
      <w:tr w:rsidR="0071054A" w:rsidRPr="00743A41" w:rsidTr="00F026B3">
        <w:trPr>
          <w:cantSplit/>
          <w:trHeight w:val="413"/>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eastAsia="Times New Roman" w:hAnsiTheme="majorHAnsi" w:cstheme="majorHAnsi"/>
                <w:bCs/>
                <w:color w:val="000000"/>
                <w:sz w:val="20"/>
                <w:szCs w:val="20"/>
              </w:rPr>
              <w:t>MPH-4: Interpret results of data analysis for public health research, policy or practice</w:t>
            </w:r>
          </w:p>
        </w:tc>
      </w:tr>
      <w:tr w:rsidR="0071054A" w:rsidRPr="00743A41" w:rsidTr="00F026B3">
        <w:trPr>
          <w:cantSplit/>
          <w:trHeight w:val="368"/>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eastAsia="Times New Roman" w:hAnsiTheme="majorHAnsi" w:cstheme="majorHAnsi"/>
                <w:bCs/>
                <w:color w:val="000000"/>
                <w:sz w:val="20"/>
                <w:szCs w:val="20"/>
              </w:rPr>
              <w:t>MPH-7: Assess population needs, assets and capacities that affect communities’ health</w:t>
            </w:r>
          </w:p>
        </w:tc>
      </w:tr>
      <w:tr w:rsidR="0071054A" w:rsidRPr="00743A41" w:rsidTr="00F026B3">
        <w:trPr>
          <w:cantSplit/>
          <w:trHeight w:val="1063"/>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eastAsia="Times New Roman" w:hAnsiTheme="majorHAnsi" w:cstheme="majorHAnsi"/>
                <w:bCs/>
                <w:color w:val="000000"/>
                <w:sz w:val="20"/>
                <w:szCs w:val="20"/>
              </w:rPr>
              <w:t>MPH-16: Apply principles of leadership, governance and management, which include creating a vision, empowering others, fostering collaboration and guiding decision making</w:t>
            </w:r>
          </w:p>
        </w:tc>
      </w:tr>
      <w:tr w:rsidR="0071054A" w:rsidRPr="00743A41" w:rsidTr="00F026B3">
        <w:trPr>
          <w:cantSplit/>
          <w:trHeight w:val="17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 xml:space="preserve">MPH-18: Select communication strategies for different audiences and sectors </w:t>
            </w:r>
          </w:p>
        </w:tc>
      </w:tr>
    </w:tbl>
    <w:p w:rsidR="0071054A" w:rsidRPr="00743A41" w:rsidRDefault="0071054A" w:rsidP="00A37ED6">
      <w:pPr>
        <w:rPr>
          <w:rFonts w:asciiTheme="majorHAnsi" w:hAnsiTheme="majorHAnsi" w:cstheme="majorHAnsi"/>
          <w:sz w:val="20"/>
          <w:szCs w:val="20"/>
        </w:rPr>
      </w:pPr>
    </w:p>
    <w:p w:rsidR="0071054A" w:rsidRPr="005B7109" w:rsidRDefault="0071054A" w:rsidP="00A37ED6">
      <w:pPr>
        <w:ind w:left="720"/>
        <w:rPr>
          <w:rFonts w:asciiTheme="majorHAnsi" w:eastAsia="Arial Unicode MS" w:hAnsiTheme="majorHAnsi" w:cstheme="majorHAnsi"/>
          <w:sz w:val="20"/>
          <w:szCs w:val="20"/>
        </w:rPr>
      </w:pPr>
      <w:r w:rsidRPr="005B7109">
        <w:rPr>
          <w:rFonts w:asciiTheme="majorHAnsi" w:hAnsiTheme="majorHAnsi" w:cstheme="majorHAnsi"/>
          <w:sz w:val="20"/>
          <w:szCs w:val="20"/>
        </w:rPr>
        <w:t>D.5.3.b. Practice-Based Products that Demonstrate MPH Competency Attainment, MPH Customized</w:t>
      </w:r>
      <w:r w:rsidR="00777533" w:rsidRPr="005B7109">
        <w:rPr>
          <w:rFonts w:asciiTheme="majorHAnsi" w:eastAsia="Arial Unicode MS" w:hAnsiTheme="majorHAnsi" w:cstheme="majorHAnsi"/>
          <w:sz w:val="20"/>
          <w:szCs w:val="20"/>
        </w:rPr>
        <w:t xml:space="preserve"> (</w:t>
      </w:r>
      <w:r w:rsidR="00777533" w:rsidRPr="005B7109">
        <w:rPr>
          <w:rFonts w:asciiTheme="majorHAnsi" w:eastAsia="Arial Unicode MS" w:hAnsiTheme="majorHAnsi" w:cstheme="majorHAnsi"/>
          <w:i/>
          <w:sz w:val="20"/>
          <w:szCs w:val="20"/>
        </w:rPr>
        <w:t>ERF, D5.3. Practice-Based Products that Demonstrate MPH Competency Achievement, MPH Customized</w:t>
      </w:r>
      <w:r w:rsidR="00777533" w:rsidRPr="005B7109">
        <w:rPr>
          <w:rFonts w:asciiTheme="majorHAnsi" w:eastAsia="Arial Unicode MS" w:hAnsiTheme="majorHAnsi" w:cstheme="majorHAnsi"/>
          <w:sz w:val="20"/>
          <w:szCs w:val="20"/>
        </w:rPr>
        <w:t>)</w:t>
      </w: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4320"/>
      </w:tblGrid>
      <w:tr w:rsidR="0071054A" w:rsidRPr="00743A41" w:rsidTr="00847E25">
        <w:trPr>
          <w:trHeight w:val="328"/>
          <w:tblHeader/>
        </w:trPr>
        <w:tc>
          <w:tcPr>
            <w:tcW w:w="2500" w:type="pct"/>
            <w:shd w:val="clear" w:color="000000" w:fill="D9D9D9"/>
            <w:vAlign w:val="center"/>
            <w:hideMark/>
          </w:tcPr>
          <w:p w:rsidR="0071054A" w:rsidRPr="00743A41" w:rsidRDefault="0071054A"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Specific products in portfolio that demonstrate application or practice</w:t>
            </w:r>
          </w:p>
        </w:tc>
        <w:tc>
          <w:tcPr>
            <w:tcW w:w="2500" w:type="pct"/>
            <w:shd w:val="clear" w:color="000000" w:fill="D9D9D9"/>
            <w:vAlign w:val="center"/>
            <w:hideMark/>
          </w:tcPr>
          <w:p w:rsidR="0071054A" w:rsidRPr="00743A41" w:rsidRDefault="00974D1C"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 xml:space="preserve">Competency as defined in </w:t>
            </w:r>
            <w:hyperlink w:anchor="_D2._MPH_Foundational_1" w:history="1">
              <w:r w:rsidRPr="00743A41">
                <w:rPr>
                  <w:rStyle w:val="Hyperlink"/>
                  <w:rFonts w:asciiTheme="majorHAnsi" w:eastAsia="Times New Roman" w:hAnsiTheme="majorHAnsi" w:cstheme="majorHAnsi"/>
                  <w:b/>
                  <w:bCs/>
                  <w:sz w:val="20"/>
                  <w:szCs w:val="20"/>
                </w:rPr>
                <w:t>Criterion D2</w:t>
              </w:r>
            </w:hyperlink>
            <w:r w:rsidRPr="00743A41">
              <w:rPr>
                <w:rFonts w:asciiTheme="majorHAnsi" w:eastAsia="Times New Roman" w:hAnsiTheme="majorHAnsi" w:cstheme="majorHAnsi"/>
                <w:b/>
                <w:bCs/>
                <w:sz w:val="20"/>
                <w:szCs w:val="20"/>
              </w:rPr>
              <w:t xml:space="preserve"> and </w:t>
            </w:r>
            <w:hyperlink w:anchor="_D4._MPH_&amp;" w:history="1">
              <w:r w:rsidRPr="00743A41">
                <w:rPr>
                  <w:rStyle w:val="Hyperlink"/>
                  <w:rFonts w:asciiTheme="majorHAnsi" w:eastAsia="Times New Roman" w:hAnsiTheme="majorHAnsi" w:cstheme="majorHAnsi"/>
                  <w:b/>
                  <w:bCs/>
                  <w:sz w:val="20"/>
                  <w:szCs w:val="20"/>
                </w:rPr>
                <w:t>Criterion D4</w:t>
              </w:r>
            </w:hyperlink>
          </w:p>
        </w:tc>
      </w:tr>
      <w:tr w:rsidR="0071054A" w:rsidRPr="00743A41" w:rsidTr="00847E25">
        <w:trPr>
          <w:trHeight w:val="80"/>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Customized, Student 1</w:t>
            </w:r>
            <w:r w:rsidRPr="00743A41">
              <w:rPr>
                <w:rFonts w:asciiTheme="majorHAnsi" w:eastAsia="Times New Roman" w:hAnsiTheme="majorHAnsi" w:cstheme="majorHAnsi"/>
                <w:sz w:val="20"/>
                <w:szCs w:val="20"/>
              </w:rPr>
              <w:t>: The student’s project addressed violence prevention and trauma in a university setting. In a hazing prevention recommendation report, she explains how the eight components of the hazing prevention framework can be operationalized to prevent on campus violence (MPH-H2). She suggests ways university stakeholders can become involved in preventing violence on campus and includes suggestions from students (MPH-13, MPH-8). Considering the unique demographic makeup of the campus, she developed trauma-informed practice training for faculty and staff as her second final product (MPH-19, MPH-20). In the post practicum evaluation, the student’s preceptor stated, “[Student]’s final project is going to benefit our whole…community. I am so impressed with her final project.”</w:t>
            </w: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hAnsiTheme="majorHAnsi" w:cstheme="majorHAnsi"/>
                <w:sz w:val="20"/>
                <w:szCs w:val="20"/>
              </w:rPr>
              <w:t xml:space="preserve">MPH-8: Apply awareness of cultural values and practices to the design or implementation of public health policies or programs </w:t>
            </w:r>
          </w:p>
        </w:tc>
      </w:tr>
      <w:tr w:rsidR="0071054A" w:rsidRPr="00743A41" w:rsidTr="00847E25">
        <w:trPr>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hAnsiTheme="majorHAnsi" w:cstheme="majorHAnsi"/>
                <w:sz w:val="20"/>
                <w:szCs w:val="20"/>
              </w:rPr>
              <w:t xml:space="preserve">MPH-13: Propose strategies to identify stakeholders and build coalitions and partnerships for influencing public health outcomes </w:t>
            </w:r>
          </w:p>
        </w:tc>
      </w:tr>
      <w:tr w:rsidR="0071054A" w:rsidRPr="00743A41" w:rsidTr="00847E25">
        <w:trPr>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hAnsiTheme="majorHAnsi" w:cstheme="majorHAnsi"/>
                <w:sz w:val="20"/>
                <w:szCs w:val="20"/>
              </w:rPr>
              <w:t xml:space="preserve">MPH-19: Communicate audience-appropriate public health content, both in writing and through oral presentation </w:t>
            </w:r>
          </w:p>
        </w:tc>
      </w:tr>
      <w:tr w:rsidR="0071054A" w:rsidRPr="00743A41" w:rsidTr="00847E25">
        <w:trPr>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hAnsiTheme="majorHAnsi" w:cstheme="majorHAnsi"/>
                <w:sz w:val="20"/>
                <w:szCs w:val="20"/>
              </w:rPr>
              <w:t xml:space="preserve">MPH-20: Describe the importance of cultural competence in communicating public health content </w:t>
            </w:r>
          </w:p>
        </w:tc>
      </w:tr>
      <w:tr w:rsidR="0071054A" w:rsidRPr="00743A41" w:rsidTr="00847E25">
        <w:trPr>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hAnsiTheme="majorHAnsi" w:cstheme="majorHAnsi"/>
                <w:sz w:val="20"/>
                <w:szCs w:val="20"/>
              </w:rPr>
              <w:t xml:space="preserve">MPH-H2: Explain how social or behavioral sciences theories are operationalized in health promotion interventions </w:t>
            </w:r>
          </w:p>
        </w:tc>
      </w:tr>
      <w:tr w:rsidR="0071054A" w:rsidRPr="00743A41" w:rsidTr="00847E25">
        <w:trPr>
          <w:trHeight w:val="80"/>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Customized, Student 2</w:t>
            </w:r>
            <w:r w:rsidRPr="00743A41">
              <w:rPr>
                <w:rFonts w:asciiTheme="majorHAnsi" w:eastAsia="Times New Roman" w:hAnsiTheme="majorHAnsi" w:cstheme="majorHAnsi"/>
                <w:sz w:val="20"/>
                <w:szCs w:val="20"/>
              </w:rPr>
              <w:t>: This student worked with a children’s health organization on a quality improvement project that screens patients for social determinants of health (SDOH). Deliverables include a literature review on the impact of SDOH on pediatric hospital readmissions and emergency department use (Product 1), a report (Product 2), and interview guides (Products 3 and 4). She interviewed parents and held focus groups of healthcare workers to assess the effectiveness of a SDOH screening tool (MPH-18 and MPH-19). The student determined data collection methods (MPH-2), with the preceptor’s assistance. The purpose of the literature review was to identify and evaluate the impact of the social determinants of health on hospital readmissions and emergency department utilization for pediatric patients (MPH-E3). In the her report, the student draws a link between her findings and the implications to public health, e.g., guide decision making related to interventions during the discharge of pediatric patients (MPH-4).</w:t>
            </w: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MPH-2: Select quantitative and qualitative data collection methods appropriate for a given public health context</w:t>
            </w:r>
          </w:p>
        </w:tc>
      </w:tr>
      <w:tr w:rsidR="0071054A" w:rsidRPr="00743A41" w:rsidTr="00847E25">
        <w:trPr>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MPH-4: Interpret results of data analysis for public health research, policy or practice</w:t>
            </w:r>
          </w:p>
        </w:tc>
      </w:tr>
      <w:tr w:rsidR="0071054A" w:rsidRPr="00743A41" w:rsidTr="00847E25">
        <w:trPr>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MPH-18: Select communication strategies for different audiences and sectors</w:t>
            </w:r>
          </w:p>
        </w:tc>
      </w:tr>
      <w:tr w:rsidR="0071054A" w:rsidRPr="00743A41" w:rsidTr="00847E25">
        <w:trPr>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MPH-19: Communicate audience-appropriate public health content, both in writing and through oral presentation</w:t>
            </w:r>
          </w:p>
        </w:tc>
      </w:tr>
      <w:tr w:rsidR="0071054A" w:rsidRPr="00743A41" w:rsidTr="00847E25">
        <w:trPr>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 xml:space="preserve">MPH-E3: Evaluate a public health problem in terms of magnitude, person, place and time, and exposure-outcome relationships </w:t>
            </w:r>
          </w:p>
        </w:tc>
      </w:tr>
      <w:tr w:rsidR="0071054A" w:rsidRPr="00743A41" w:rsidTr="00847E25">
        <w:trPr>
          <w:trHeight w:val="80"/>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Customized, Student 3</w:t>
            </w:r>
            <w:r w:rsidRPr="00743A41">
              <w:rPr>
                <w:rFonts w:asciiTheme="majorHAnsi" w:eastAsia="Times New Roman" w:hAnsiTheme="majorHAnsi" w:cstheme="majorHAnsi"/>
                <w:sz w:val="20"/>
                <w:szCs w:val="20"/>
              </w:rPr>
              <w:t xml:space="preserve">: This student completed his practicum at a hospital’s clinical effectiveness and patient safety department. He worked with a multidisciplinary team (pharmacists, physicians, nurses, radiologists, risk managers, health information management, an executive manager and others) from four hospitals to determine the primary causes for delays in total turnaround time for eConsults. Using quantitative (e.g., length of time to completion) and qualitative data (e.g., best practices environmental scan, physician responses to surveys) (MPH-1, MPH-2, MPH-3), the student determined the cause of the delays (MPH-4), developed an eConsult Dashboard (Product 1) (MPH-19) and proposed four strategies to improve turnaround times from online submission to final report. He also delivered an oral presentation (Product 2) on the project to the hospital committee of senior project leaders, directors, and executives. </w:t>
            </w: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eastAsia="Times New Roman" w:hAnsiTheme="majorHAnsi" w:cstheme="majorHAnsi"/>
                <w:bCs/>
                <w:color w:val="000000"/>
                <w:sz w:val="20"/>
                <w:szCs w:val="20"/>
              </w:rPr>
              <w:t>MPH-1: Apply epidemiological methods to the breadth of settings and situations in public health practice</w:t>
            </w:r>
          </w:p>
        </w:tc>
      </w:tr>
      <w:tr w:rsidR="0071054A" w:rsidRPr="00743A41" w:rsidTr="00847E25">
        <w:trPr>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eastAsia="Times New Roman" w:hAnsiTheme="majorHAnsi" w:cstheme="majorHAnsi"/>
                <w:bCs/>
                <w:color w:val="000000"/>
                <w:sz w:val="20"/>
                <w:szCs w:val="20"/>
              </w:rPr>
              <w:t>MPH-2: Select quantitative and qualitative data collection methods appropriate for a given public health context</w:t>
            </w:r>
          </w:p>
        </w:tc>
      </w:tr>
      <w:tr w:rsidR="0071054A" w:rsidRPr="00743A41" w:rsidTr="00847E25">
        <w:trPr>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eastAsia="Times New Roman" w:hAnsiTheme="majorHAnsi" w:cstheme="majorHAnsi"/>
                <w:bCs/>
                <w:color w:val="000000"/>
                <w:sz w:val="20"/>
                <w:szCs w:val="20"/>
              </w:rPr>
              <w:t>MPH-3: Analyze quantitative and qualitative data using biostatistics, informatics, computer-based programming and software, as appropriate</w:t>
            </w:r>
          </w:p>
        </w:tc>
      </w:tr>
      <w:tr w:rsidR="0071054A" w:rsidRPr="00743A41" w:rsidTr="00847E25">
        <w:trPr>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eastAsia="Times New Roman" w:hAnsiTheme="majorHAnsi" w:cstheme="majorHAnsi"/>
                <w:bCs/>
                <w:color w:val="000000"/>
                <w:sz w:val="20"/>
                <w:szCs w:val="20"/>
              </w:rPr>
              <w:t>MPH-4: Interpret results of data analysis for public health research, policy or practice</w:t>
            </w:r>
          </w:p>
        </w:tc>
      </w:tr>
      <w:tr w:rsidR="0071054A" w:rsidRPr="00743A41" w:rsidTr="00847E25">
        <w:trPr>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eastAsia="Times New Roman" w:hAnsiTheme="majorHAnsi" w:cstheme="majorHAnsi"/>
                <w:bCs/>
                <w:color w:val="000000"/>
                <w:sz w:val="20"/>
                <w:szCs w:val="20"/>
              </w:rPr>
              <w:t>MPH-19: Communicate audience-appropriate public health content, both in writing and through oral presentation</w:t>
            </w:r>
          </w:p>
        </w:tc>
      </w:tr>
      <w:tr w:rsidR="0071054A" w:rsidRPr="00743A41" w:rsidTr="00847E25">
        <w:trPr>
          <w:trHeight w:val="80"/>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Customized, Student 4</w:t>
            </w:r>
            <w:r w:rsidRPr="00743A41">
              <w:rPr>
                <w:rFonts w:asciiTheme="majorHAnsi" w:eastAsia="Times New Roman" w:hAnsiTheme="majorHAnsi" w:cstheme="majorHAnsi"/>
                <w:sz w:val="20"/>
                <w:szCs w:val="20"/>
              </w:rPr>
              <w:t xml:space="preserve">: This student worked with a mental health professional to compare young adult transition program models, conduct a literature review (MPH-1) and initiate the development a new young adult transitioning program. The literature review included a summary of studies analyzing the prevalence and causes of adult children who have unsuccessfully transitioned to independent adulthood. He assessed the needs of this population (18-25 year olds) (MPH-7, MPH-H1) and evaluated best evidence-based practices (in treatment services) that he used to initiate a new research project (MPH-S5). At the completion of his practicum project, the student had developed an interview guide that will be used to collect data from treatment centers and inform the development of a new program for dependent emerging adults. The student led the selection of the methods he used (MPH-11), described by the preceptor in her evaluation of the project, “I respect the fact he followed the research. Even when I tried to get him to take more of a psychoanalytic approach- he followed what the research informed him.”   </w:t>
            </w: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MPH-1: Apply epidemiological methods to the breadth of settings and situations in public health practice</w:t>
            </w:r>
          </w:p>
        </w:tc>
      </w:tr>
      <w:tr w:rsidR="0071054A" w:rsidRPr="00743A41" w:rsidTr="00847E25">
        <w:trPr>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MPH-7: Assess population needs, assets and capacities that affect communities’ health</w:t>
            </w:r>
          </w:p>
        </w:tc>
      </w:tr>
      <w:tr w:rsidR="0071054A" w:rsidRPr="00743A41" w:rsidTr="00847E25">
        <w:trPr>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MPH-11: Select methods to evaluate public health programs</w:t>
            </w:r>
          </w:p>
        </w:tc>
      </w:tr>
      <w:tr w:rsidR="0071054A" w:rsidRPr="00743A41" w:rsidTr="00847E25">
        <w:trPr>
          <w:trHeight w:val="246"/>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hAnsiTheme="majorHAnsi" w:cstheme="majorHAnsi"/>
                <w:sz w:val="20"/>
                <w:szCs w:val="20"/>
              </w:rPr>
              <w:t>MPH-S5: Critically evaluate peer-reviewed published manuscripts in the area of health economics or health services research to identify potential study questions</w:t>
            </w:r>
          </w:p>
        </w:tc>
      </w:tr>
      <w:tr w:rsidR="0071054A" w:rsidRPr="00743A41" w:rsidTr="00847E25">
        <w:trPr>
          <w:trHeight w:val="24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MPH-H1: Conduct a needs assessment in partnership with stakeholders to address a public health issue</w:t>
            </w:r>
          </w:p>
        </w:tc>
      </w:tr>
      <w:tr w:rsidR="0071054A" w:rsidRPr="00743A41" w:rsidTr="00847E25">
        <w:trPr>
          <w:trHeight w:val="62"/>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Customized, Student 5</w:t>
            </w:r>
            <w:r w:rsidRPr="00743A41">
              <w:rPr>
                <w:rFonts w:asciiTheme="majorHAnsi" w:eastAsia="Times New Roman" w:hAnsiTheme="majorHAnsi" w:cstheme="majorHAnsi"/>
                <w:sz w:val="20"/>
                <w:szCs w:val="20"/>
              </w:rPr>
              <w:t xml:space="preserve">: This student traveled to Thailand, where she worked with a nonprofit to assess how well partnering clinics provided HIV care and counseling services while remaining culturally competent in working with key populations (men who have sex with men, sex workers, and transgender women). The student’s work focused on achieving equity for this community, a stigmatized group in this country (MPH-6) and the ultimate goal of this project is to increase enrollment to treatment services and improve treatment retention. . The student adapted the ‘mystery client review’ approach to design, and subsequently test, a quality analysis plan, called a mystery client review plan in the final product (MPH-S3, MPH-9). She assessed the capacities of the clinics (MPH-7) by applying cultural values of the key population. She consented and trained members of the key population to serve as data collectors (MPH-20). The student’s plan describes a mechanism to provide feedback to HIV clinics. She analyzed and interpreted the data and delivered findings to clinic staff in a form intended to encourage staff to identify and overcome biases when providing healthcare services to this key population (MPH-20). The student designed and maintained a quality assurance tool to improve effectiveness, efficiency, and equity of health services for key populations who are affected by or at risk for HIV. She also developed a poster to present her findings and recommendations. </w:t>
            </w:r>
          </w:p>
        </w:tc>
        <w:tc>
          <w:tcPr>
            <w:tcW w:w="2500" w:type="pct"/>
            <w:shd w:val="clear" w:color="auto" w:fill="auto"/>
          </w:tcPr>
          <w:p w:rsidR="0071054A" w:rsidRPr="00743A41" w:rsidRDefault="0071054A" w:rsidP="00A37ED6">
            <w:pPr>
              <w:pStyle w:val="Default"/>
              <w:rPr>
                <w:rFonts w:asciiTheme="majorHAnsi" w:hAnsiTheme="majorHAnsi" w:cstheme="majorHAnsi"/>
                <w:szCs w:val="20"/>
              </w:rPr>
            </w:pPr>
            <w:r w:rsidRPr="00743A41">
              <w:rPr>
                <w:rFonts w:asciiTheme="majorHAnsi" w:hAnsiTheme="majorHAnsi" w:cstheme="majorHAnsi"/>
                <w:szCs w:val="20"/>
              </w:rPr>
              <w:t>MPH-S3: Prepare a detailed policy analysis plan to assess alternative policies for improving the effectiveness, efficiency and equity of health services</w:t>
            </w:r>
          </w:p>
        </w:tc>
      </w:tr>
      <w:tr w:rsidR="0071054A" w:rsidRPr="00743A41" w:rsidTr="00847E25">
        <w:trPr>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hAnsiTheme="majorHAnsi" w:cstheme="majorHAnsi"/>
                <w:sz w:val="20"/>
                <w:szCs w:val="20"/>
              </w:rPr>
              <w:t xml:space="preserve">MPH-6: Discuss the means by which structural bias, social inequities and racism undermine health and create challenges to achieving health equity at organizational, community and societal levels </w:t>
            </w:r>
          </w:p>
        </w:tc>
      </w:tr>
      <w:tr w:rsidR="0071054A" w:rsidRPr="00743A41" w:rsidTr="00847E25">
        <w:trPr>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MPH-7: Assess population needs, assets and capacities that affect communities’ health</w:t>
            </w:r>
          </w:p>
        </w:tc>
      </w:tr>
      <w:tr w:rsidR="0071054A" w:rsidRPr="00743A41" w:rsidTr="00847E25">
        <w:trPr>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MPH-9: Design a population-based policy, program, project or intervention</w:t>
            </w:r>
          </w:p>
        </w:tc>
      </w:tr>
      <w:tr w:rsidR="0071054A" w:rsidRPr="00743A41" w:rsidTr="00847E25">
        <w:trPr>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hAnsiTheme="majorHAnsi" w:cstheme="majorHAnsi"/>
                <w:sz w:val="20"/>
                <w:szCs w:val="20"/>
              </w:rPr>
              <w:t>MPH-20: Describe the importance of cultural competence in communicating public health content</w:t>
            </w:r>
          </w:p>
        </w:tc>
      </w:tr>
    </w:tbl>
    <w:p w:rsidR="0071054A" w:rsidRPr="00743A41" w:rsidRDefault="0071054A" w:rsidP="00A37ED6">
      <w:pPr>
        <w:rPr>
          <w:rFonts w:asciiTheme="majorHAnsi" w:hAnsiTheme="majorHAnsi" w:cstheme="majorHAnsi"/>
          <w:b/>
          <w:sz w:val="20"/>
          <w:szCs w:val="20"/>
        </w:rPr>
      </w:pPr>
    </w:p>
    <w:p w:rsidR="0071054A" w:rsidRPr="005B7109" w:rsidRDefault="0071054A" w:rsidP="00A37ED6">
      <w:pPr>
        <w:ind w:left="720"/>
        <w:rPr>
          <w:rFonts w:asciiTheme="majorHAnsi" w:eastAsia="Arial Unicode MS" w:hAnsiTheme="majorHAnsi" w:cstheme="majorHAnsi"/>
          <w:sz w:val="20"/>
          <w:szCs w:val="20"/>
        </w:rPr>
      </w:pPr>
      <w:r w:rsidRPr="005B7109">
        <w:rPr>
          <w:rFonts w:asciiTheme="majorHAnsi" w:hAnsiTheme="majorHAnsi" w:cstheme="majorHAnsi"/>
          <w:sz w:val="20"/>
          <w:szCs w:val="20"/>
        </w:rPr>
        <w:t>D.5.3.c. Practice-Based Products that Demonstrate MPH Competency Attainment, MPH Customized, Dual Degree</w:t>
      </w:r>
      <w:r w:rsidR="0038192A" w:rsidRPr="005B7109">
        <w:rPr>
          <w:rFonts w:asciiTheme="majorHAnsi" w:eastAsia="Arial Unicode MS" w:hAnsiTheme="majorHAnsi" w:cstheme="majorHAnsi"/>
          <w:sz w:val="20"/>
          <w:szCs w:val="20"/>
        </w:rPr>
        <w:t xml:space="preserve"> (</w:t>
      </w:r>
      <w:r w:rsidR="0038192A" w:rsidRPr="005B7109">
        <w:rPr>
          <w:rFonts w:asciiTheme="majorHAnsi" w:eastAsia="Arial Unicode MS" w:hAnsiTheme="majorHAnsi" w:cstheme="majorHAnsi"/>
          <w:i/>
          <w:sz w:val="20"/>
          <w:szCs w:val="20"/>
        </w:rPr>
        <w:t>ERF, D5.3. Practice-Based Products that Demonstrate MPH Competency Achievement, MPH Customized, Dual Degree</w:t>
      </w:r>
      <w:r w:rsidR="0038192A" w:rsidRPr="005B7109">
        <w:rPr>
          <w:rFonts w:asciiTheme="majorHAnsi" w:eastAsia="Arial Unicode MS" w:hAnsiTheme="majorHAnsi" w:cstheme="majorHAnsi"/>
          <w:sz w:val="20"/>
          <w:szCs w:val="20"/>
        </w:rPr>
        <w:t>)</w:t>
      </w: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4320"/>
      </w:tblGrid>
      <w:tr w:rsidR="0071054A" w:rsidRPr="00743A41" w:rsidTr="00847E25">
        <w:trPr>
          <w:cantSplit/>
          <w:trHeight w:val="328"/>
          <w:tblHeader/>
        </w:trPr>
        <w:tc>
          <w:tcPr>
            <w:tcW w:w="2500" w:type="pct"/>
            <w:shd w:val="clear" w:color="000000" w:fill="D9D9D9"/>
            <w:vAlign w:val="center"/>
            <w:hideMark/>
          </w:tcPr>
          <w:p w:rsidR="0071054A" w:rsidRPr="00743A41" w:rsidRDefault="0071054A"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Specific products in portfolio that demonstrate application or practice</w:t>
            </w:r>
          </w:p>
        </w:tc>
        <w:tc>
          <w:tcPr>
            <w:tcW w:w="2500" w:type="pct"/>
            <w:shd w:val="clear" w:color="000000" w:fill="D9D9D9"/>
            <w:vAlign w:val="center"/>
            <w:hideMark/>
          </w:tcPr>
          <w:p w:rsidR="0071054A" w:rsidRPr="00A06047" w:rsidRDefault="00974D1C" w:rsidP="00A37ED6">
            <w:pPr>
              <w:jc w:val="center"/>
              <w:rPr>
                <w:rFonts w:asciiTheme="majorHAnsi" w:eastAsia="Times New Roman" w:hAnsiTheme="majorHAnsi" w:cstheme="majorHAnsi"/>
                <w:b/>
                <w:bCs/>
                <w:sz w:val="20"/>
                <w:szCs w:val="20"/>
              </w:rPr>
            </w:pPr>
            <w:r w:rsidRPr="00A06047">
              <w:rPr>
                <w:rFonts w:asciiTheme="majorHAnsi" w:eastAsia="Times New Roman" w:hAnsiTheme="majorHAnsi" w:cstheme="majorHAnsi"/>
                <w:b/>
                <w:bCs/>
                <w:sz w:val="20"/>
                <w:szCs w:val="20"/>
              </w:rPr>
              <w:t xml:space="preserve">Competency as defined in </w:t>
            </w:r>
            <w:hyperlink w:anchor="_D2._MPH_Foundational_1" w:history="1">
              <w:r w:rsidRPr="00A06047">
                <w:rPr>
                  <w:rStyle w:val="Hyperlink"/>
                  <w:rFonts w:asciiTheme="majorHAnsi" w:eastAsia="Times New Roman" w:hAnsiTheme="majorHAnsi" w:cstheme="majorHAnsi"/>
                  <w:b/>
                  <w:bCs/>
                  <w:sz w:val="20"/>
                  <w:szCs w:val="20"/>
                </w:rPr>
                <w:t>Criterion D2</w:t>
              </w:r>
            </w:hyperlink>
            <w:r w:rsidRPr="00A06047">
              <w:rPr>
                <w:rFonts w:asciiTheme="majorHAnsi" w:eastAsia="Times New Roman" w:hAnsiTheme="majorHAnsi" w:cstheme="majorHAnsi"/>
                <w:b/>
                <w:bCs/>
                <w:sz w:val="20"/>
                <w:szCs w:val="20"/>
              </w:rPr>
              <w:t xml:space="preserve"> and </w:t>
            </w:r>
            <w:hyperlink w:anchor="_D4._MPH_&amp;" w:history="1">
              <w:r w:rsidRPr="00A06047">
                <w:rPr>
                  <w:rStyle w:val="Hyperlink"/>
                  <w:rFonts w:asciiTheme="majorHAnsi" w:eastAsia="Times New Roman" w:hAnsiTheme="majorHAnsi" w:cstheme="majorHAnsi"/>
                  <w:b/>
                  <w:bCs/>
                  <w:sz w:val="20"/>
                  <w:szCs w:val="20"/>
                </w:rPr>
                <w:t>Criterion D4</w:t>
              </w:r>
            </w:hyperlink>
          </w:p>
        </w:tc>
      </w:tr>
      <w:tr w:rsidR="0071054A" w:rsidRPr="00743A41" w:rsidTr="00847E25">
        <w:trPr>
          <w:cantSplit/>
          <w:trHeight w:val="80"/>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Customized, Dual-Degree Student 1</w:t>
            </w:r>
            <w:r w:rsidRPr="00743A41">
              <w:rPr>
                <w:rFonts w:asciiTheme="majorHAnsi" w:eastAsia="Times New Roman" w:hAnsiTheme="majorHAnsi" w:cstheme="majorHAnsi"/>
                <w:sz w:val="20"/>
                <w:szCs w:val="20"/>
              </w:rPr>
              <w:t xml:space="preserve">: This student examined models for behavioral change with the goal of helping a not-for-profit community health center improve their patient education to promote healthy behaviors. She conducted a literature review on nudge theory to assess this approach’s potential to promote healthier eating among patients (Product 2, MPH-1, MPH-4). She concludes that nudge theory is an overall effective method to modify behavior (MPH-4) and proposes using nudge theory to promote healthy behaviors in sectors of the population located in the 77469 zip code, a community experiencing poverty, lack of insurance, food deserts and chronic disease (MPH-7). She designed a communication codebook and thematic analysis to guide patient education at the center (Product 3, MPH-20, MPH-19). She also developed a medical history and risk assessment form for patients (MPH-20, Product 1). </w:t>
            </w: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 xml:space="preserve">MPH-1: Apply epidemiological methods to the breadth of settings and situations in public health practice </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 xml:space="preserve">MPH-4: Interpret results of data analysis for public health research, policy or practice </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MPH-7: Assess population needs, assets and capacities that affect communities’ health</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hAnsiTheme="majorHAnsi" w:cstheme="majorHAnsi"/>
                <w:sz w:val="20"/>
                <w:szCs w:val="20"/>
              </w:rPr>
              <w:t xml:space="preserve">MPH-19: </w:t>
            </w:r>
            <w:r w:rsidRPr="00743A41">
              <w:rPr>
                <w:rFonts w:asciiTheme="majorHAnsi" w:eastAsia="Times New Roman" w:hAnsiTheme="majorHAnsi" w:cstheme="majorHAnsi"/>
                <w:bCs/>
                <w:color w:val="000000"/>
                <w:sz w:val="20"/>
                <w:szCs w:val="20"/>
              </w:rPr>
              <w:t>Communicate audience-appropriate public health content, both in writing and through oral presentation</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MPH-20: Describe the importance of cultural competence in communicating public health content</w:t>
            </w:r>
          </w:p>
        </w:tc>
      </w:tr>
      <w:tr w:rsidR="0071054A" w:rsidRPr="00743A41" w:rsidTr="00847E25">
        <w:trPr>
          <w:cantSplit/>
          <w:trHeight w:val="256"/>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Customized, Dual-Degree Student 2</w:t>
            </w:r>
            <w:r w:rsidRPr="00743A41">
              <w:rPr>
                <w:rFonts w:asciiTheme="majorHAnsi" w:eastAsia="Times New Roman" w:hAnsiTheme="majorHAnsi" w:cstheme="majorHAnsi"/>
                <w:sz w:val="20"/>
                <w:szCs w:val="20"/>
              </w:rPr>
              <w:t xml:space="preserve">: This student completed her practicum with a faith-based non-profit organization that provides one-on-one and group mentoring programs to juveniles and at-risk youth. She developed tools (Product 1) to evaluate the strengths and weaknesses of the mental health services provided by the juvenile detention center (MPH-11).  She co-authored a curriculum workbook (Product 2) for the mentoring program that addresses mental health needs, goal setting, and building practical skills sets (MPH-19, MPH-20). In developing the content for this book, the student interviewed center staff, researched literature on at-risk youth, considered cultural values of the youth population, and presented an outline of the curriculum </w:t>
            </w:r>
            <w:r w:rsidRPr="00743A41">
              <w:rPr>
                <w:rFonts w:asciiTheme="majorHAnsi" w:eastAsia="Times New Roman" w:hAnsiTheme="majorHAnsi" w:cstheme="majorHAnsi"/>
                <w:color w:val="000000"/>
                <w:sz w:val="20"/>
                <w:szCs w:val="20"/>
              </w:rPr>
              <w:t>with the organization’s advisory board (MPH-18, MPH-8). Her third product illustrates the mentoring model employed by organization (Product 3).</w:t>
            </w: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MPH-8: Apply awareness of cultural values and practices to the design or implementation of public health policies or programs</w:t>
            </w:r>
          </w:p>
        </w:tc>
      </w:tr>
      <w:tr w:rsidR="0071054A" w:rsidRPr="00743A41" w:rsidTr="00847E25">
        <w:trPr>
          <w:cantSplit/>
          <w:trHeight w:val="256"/>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MPH-11: Select methods to evaluate public health programs</w:t>
            </w:r>
          </w:p>
        </w:tc>
      </w:tr>
      <w:tr w:rsidR="0071054A" w:rsidRPr="00743A41" w:rsidTr="00847E25">
        <w:trPr>
          <w:cantSplit/>
          <w:trHeight w:val="256"/>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hAnsiTheme="majorHAnsi" w:cstheme="majorHAnsi"/>
                <w:sz w:val="20"/>
                <w:szCs w:val="20"/>
              </w:rPr>
              <w:t>MPH-18: Select communication strategies for different audiences and sectors</w:t>
            </w:r>
          </w:p>
        </w:tc>
      </w:tr>
      <w:tr w:rsidR="0071054A" w:rsidRPr="00743A41" w:rsidTr="00847E25">
        <w:trPr>
          <w:cantSplit/>
          <w:trHeight w:val="256"/>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MPH-19: Communicate audience-appropriate public health content, both in writing and through oral presentation</w:t>
            </w:r>
          </w:p>
        </w:tc>
      </w:tr>
      <w:tr w:rsidR="0071054A" w:rsidRPr="00743A41" w:rsidTr="00847E25">
        <w:trPr>
          <w:cantSplit/>
          <w:trHeight w:val="74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MPH-20: Describe the importance of cultural competence in communicating public health content</w:t>
            </w:r>
          </w:p>
        </w:tc>
      </w:tr>
      <w:tr w:rsidR="0071054A" w:rsidRPr="00743A41" w:rsidTr="00847E25">
        <w:trPr>
          <w:cantSplit/>
          <w:trHeight w:val="62"/>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Customized, Dual-Degree Student 3</w:t>
            </w:r>
            <w:r w:rsidRPr="00743A41">
              <w:rPr>
                <w:rFonts w:asciiTheme="majorHAnsi" w:eastAsia="Times New Roman" w:hAnsiTheme="majorHAnsi" w:cstheme="majorHAnsi"/>
                <w:sz w:val="20"/>
                <w:szCs w:val="20"/>
              </w:rPr>
              <w:t xml:space="preserve">: During her practicum at a hospital, the student </w:t>
            </w:r>
            <w:r w:rsidRPr="00743A41">
              <w:rPr>
                <w:rFonts w:asciiTheme="majorHAnsi" w:eastAsia="Times New Roman" w:hAnsiTheme="majorHAnsi" w:cstheme="majorHAnsi"/>
                <w:color w:val="000000"/>
                <w:sz w:val="20"/>
                <w:szCs w:val="20"/>
              </w:rPr>
              <w:t>designed components of a plan to reduce firearm-related injuries in children</w:t>
            </w:r>
            <w:r w:rsidRPr="00743A41">
              <w:rPr>
                <w:rFonts w:asciiTheme="majorHAnsi" w:eastAsia="Times New Roman" w:hAnsiTheme="majorHAnsi" w:cstheme="majorHAnsi"/>
                <w:sz w:val="20"/>
                <w:szCs w:val="20"/>
              </w:rPr>
              <w:t xml:space="preserve">. Her first product is an implementation plan (MPH-9, MPH-7). This plan evaluates existing programs and recommends </w:t>
            </w:r>
            <w:r w:rsidRPr="00743A41">
              <w:rPr>
                <w:rFonts w:asciiTheme="majorHAnsi" w:hAnsiTheme="majorHAnsi" w:cstheme="majorHAnsi"/>
                <w:iCs/>
                <w:color w:val="000000"/>
                <w:sz w:val="20"/>
                <w:szCs w:val="20"/>
              </w:rPr>
              <w:t xml:space="preserve">a multi-pronged approach to identifying high-risk patients, counseling patients, and providing patients with gunlocks and follow-up care when needed (MPH-13). Her second product, a logic model, </w:t>
            </w:r>
            <w:r w:rsidRPr="00743A41">
              <w:rPr>
                <w:rFonts w:asciiTheme="majorHAnsi" w:eastAsia="Times New Roman" w:hAnsiTheme="majorHAnsi" w:cstheme="majorHAnsi"/>
                <w:color w:val="000000"/>
                <w:sz w:val="20"/>
                <w:szCs w:val="20"/>
              </w:rPr>
              <w:t>provides a framework for a gunlock distribution program in the community. Her third product, an asset map (MPH-H4, MPH-M5), identifies potential community resources and organizations to form a coalition to reduce firearm injuries. This product also describes how each of these community resources could contribute to the injury prevention efforts.</w:t>
            </w:r>
            <w:r w:rsidRPr="00743A41">
              <w:rPr>
                <w:rFonts w:asciiTheme="majorHAnsi" w:eastAsia="Times New Roman" w:hAnsiTheme="majorHAnsi" w:cstheme="majorHAnsi"/>
                <w:sz w:val="20"/>
                <w:szCs w:val="20"/>
              </w:rPr>
              <w:t xml:space="preserve"> </w:t>
            </w: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MPH-7: Assess population needs, assets and capacities that affect communities’ health</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MPH-9: Design a population-based policy, program, project or intervention</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MPH-13: Propose strategies to identify stakeholders and build coalitions and partnerships for influencing public health outcomes</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hAnsiTheme="majorHAnsi" w:cstheme="majorHAnsi"/>
                <w:sz w:val="20"/>
                <w:szCs w:val="20"/>
              </w:rPr>
              <w:t>MPH-H4: Apply a systematic planning framework to plan the adoption and implementation of a health promotion intervention</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hAnsiTheme="majorHAnsi" w:cstheme="majorHAnsi"/>
                <w:sz w:val="20"/>
                <w:szCs w:val="20"/>
              </w:rPr>
              <w:t>MPH-M5: Selects, integrates and evaluates organizational resources to provide high-quality customer-oriented health services that are responsive to innovations in healthcare and the ever-changing political landscape</w:t>
            </w:r>
          </w:p>
        </w:tc>
      </w:tr>
      <w:tr w:rsidR="0071054A" w:rsidRPr="00743A41" w:rsidTr="00847E25">
        <w:trPr>
          <w:cantSplit/>
          <w:trHeight w:val="62"/>
        </w:trPr>
        <w:tc>
          <w:tcPr>
            <w:tcW w:w="2500" w:type="pct"/>
            <w:vMerge w:val="restart"/>
            <w:shd w:val="clear" w:color="auto" w:fill="auto"/>
          </w:tcPr>
          <w:p w:rsidR="0071054A" w:rsidRPr="00743A41" w:rsidRDefault="0071054A" w:rsidP="00A37ED6">
            <w:pPr>
              <w:rPr>
                <w:rFonts w:asciiTheme="majorHAnsi" w:eastAsia="Times New Roman" w:hAnsiTheme="majorHAnsi" w:cstheme="majorHAnsi"/>
                <w:i/>
                <w:sz w:val="20"/>
                <w:szCs w:val="20"/>
              </w:rPr>
            </w:pPr>
            <w:r w:rsidRPr="00743A41">
              <w:rPr>
                <w:rFonts w:asciiTheme="majorHAnsi" w:eastAsia="Times New Roman" w:hAnsiTheme="majorHAnsi" w:cstheme="majorHAnsi"/>
                <w:sz w:val="20"/>
                <w:szCs w:val="20"/>
                <w:u w:val="single"/>
              </w:rPr>
              <w:t>MPH Customized, Dual-Degree Student 4</w:t>
            </w:r>
            <w:r w:rsidRPr="00743A41">
              <w:rPr>
                <w:rFonts w:asciiTheme="majorHAnsi" w:eastAsia="Times New Roman" w:hAnsiTheme="majorHAnsi" w:cstheme="majorHAnsi"/>
                <w:sz w:val="20"/>
                <w:szCs w:val="20"/>
              </w:rPr>
              <w:t>: The student worked with a community-based program that aims to reduce recidivism among youth ages 10 to 17 in the juvenile justice system by building leadership assets. She selected methods to evaluate the program (MPH-11) based on metrics needed to determine the impact of the program.  Using software to analyze qualitative and quantitative data (MPH-1, MPH-3), the student evaluated pre-and post-test data on juvenile self-image and risk behaviors (MPH-4). In a presentation to the organization (MPH-19), she demonstrates the application of a statistical method to draw conclusions about survey data (Product 2). In an additional presentation, she recommends ways to improve future evaluations (Product 3). The student also provided a compilation of pre-and post-test data that the organization can use in the future (Product 1).</w:t>
            </w: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hAnsiTheme="majorHAnsi" w:cstheme="majorHAnsi"/>
                <w:sz w:val="20"/>
                <w:szCs w:val="20"/>
              </w:rPr>
              <w:t>MPH-1: Apply epidemiological methods to the breadth of settings and situations in public health practice</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hAnsiTheme="majorHAnsi" w:cstheme="majorHAnsi"/>
                <w:sz w:val="20"/>
                <w:szCs w:val="20"/>
              </w:rPr>
              <w:t>MPH-3: Analyze quantitative and qualitative data using biostatistics, informatics, computer-based programming and software, as appropriate</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MPH-4: Interpret results of data analysis for public health research, policy or practice</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MPH-11: Select methods to evaluate public health programs</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hAnsiTheme="majorHAnsi" w:cstheme="majorHAnsi"/>
                <w:sz w:val="20"/>
                <w:szCs w:val="20"/>
              </w:rPr>
              <w:t>MPH-19: Communicate audience-appropriate public health content, both in writing and through oral presentation</w:t>
            </w:r>
          </w:p>
        </w:tc>
      </w:tr>
      <w:tr w:rsidR="0071054A" w:rsidRPr="00743A41" w:rsidTr="00847E25">
        <w:trPr>
          <w:cantSplit/>
          <w:trHeight w:val="62"/>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Customized, Dual-Degree Student 5</w:t>
            </w:r>
            <w:r w:rsidRPr="00743A41">
              <w:rPr>
                <w:rFonts w:asciiTheme="majorHAnsi" w:eastAsia="Times New Roman" w:hAnsiTheme="majorHAnsi" w:cstheme="majorHAnsi"/>
                <w:sz w:val="20"/>
                <w:szCs w:val="20"/>
              </w:rPr>
              <w:t xml:space="preserve">: This student worked with a grant-funded center that supports the development, health and well-being of young children and their families who qualify for assistance. The student conducted a survey to identify nutrition topics and resources of greatest concern to the center’s clients. She developed and led a new program (MPH-DI2, MPH-9, MPH-20) to train K-12 teachers on methods to incorporate nutrition into the classroom. The program included </w:t>
            </w:r>
            <w:r w:rsidRPr="00743A41">
              <w:rPr>
                <w:rFonts w:asciiTheme="majorHAnsi" w:eastAsia="Times New Roman" w:hAnsiTheme="majorHAnsi" w:cstheme="majorHAnsi"/>
                <w:color w:val="000000"/>
                <w:sz w:val="20"/>
                <w:szCs w:val="20"/>
              </w:rPr>
              <w:t xml:space="preserve">recipe demonstrations and nutrition activities. </w:t>
            </w:r>
            <w:r w:rsidRPr="00743A41">
              <w:rPr>
                <w:rFonts w:asciiTheme="majorHAnsi" w:eastAsia="Times New Roman" w:hAnsiTheme="majorHAnsi" w:cstheme="majorHAnsi"/>
                <w:sz w:val="20"/>
                <w:szCs w:val="20"/>
              </w:rPr>
              <w:t>Finally, she collaborated with teachers, program leaders, and the kitchen manager to incorporate better nutrition into the center’s childcare programs (MPH-18, MPH-19). Her final products included three illustrated handouts (infographics) designed for teachers and families served by the center (MPH-20).</w:t>
            </w:r>
          </w:p>
        </w:tc>
        <w:sdt>
          <w:sdtPr>
            <w:rPr>
              <w:rFonts w:asciiTheme="majorHAnsi" w:eastAsia="Times New Roman" w:hAnsiTheme="majorHAnsi" w:cstheme="majorHAnsi"/>
              <w:bCs/>
              <w:color w:val="000000"/>
              <w:sz w:val="20"/>
              <w:szCs w:val="20"/>
            </w:rPr>
            <w:id w:val="2059048114"/>
            <w:placeholder>
              <w:docPart w:val="E55D72A5AECF48EF8F73E1984B768D9F"/>
            </w:placeholder>
            <w:dropDownList>
              <w:listItem w:value="Choose an item."/>
              <w:listItem w:displayText="MPH-1: Apply epidemiological methods to the breadth of settings and situations in public health practice" w:value="MPH-1: Apply epidemiological methods to the breadth of settings and situations in public health practice"/>
              <w:listItem w:displayText="MPH-2: Select quantitative and qualitative data collection methods appropriate for a given public health context" w:value="MPH-2: Select quantitative and qualitative data collection methods appropriate for a given public health context"/>
              <w:listItem w:displayText="MPH-3: Analyze quantitative and qualitative data using biostatistics, informatics, computer-based programming and software, as appropriate" w:value="MPH-3: Analyze quantitative and qualitative data using biostatistics, informatics, computer-based programming and software, as appropriate"/>
              <w:listItem w:displayText="MPH-4: Interpret results of data analysis for public health research, policy or practice" w:value="MPH-4: Interpret results of data analysis for public health research, policy or practice"/>
              <w:listItem w:displayText="MPH-5: Compare the organization, structure and function of health care, public health and regulatory systems across national and international settings" w:value="MPH-5: Compare the organization, structure and function of health care, public health and regulatory systems across national and international settings"/>
              <w:listItem w:displayText="MPH-6: Discuss the means by which structural bias, social inequities and racism undermine health and create challenges to achieving health equity at organizational, community and societal levels" w:value="MPH-6: Discuss the means by which structural bias, social inequities and racism undermine health and create challenges to achieving health equity at organizational, community and societal levels"/>
              <w:listItem w:displayText="MPH-7: Assess population needs, assets and capacities that affect communities’ health" w:value="MPH-7: Assess population needs, assets and capacities that affect communities’ health"/>
              <w:listItem w:displayText="MPH-8: Apply awareness of cultural values and practices to the design or  implementation of public health policies or programs" w:value="MPH-8: Apply awareness of cultural values and practices to the design or  implementation of public health policies or programs"/>
              <w:listItem w:displayText="MPH-9: Design a population-based policy, program, project or intervention" w:value="MPH-9: Design a population-based policy, program, project or intervention"/>
              <w:listItem w:displayText="MPH-10: Explain basic principles and tools of budget and resource management" w:value="MPH-10: Explain basic principles and tools of budget and resource management"/>
              <w:listItem w:displayText="MPH-11: Select methods to evaluate public health programs" w:value="MPH-11: Select methods to evaluate public health programs"/>
              <w:listItem w:displayText="MPH-12: Discuss multiple dimensions of the policy-making process, including the roles of ethics and evidence" w:value="MPH-12: Discuss multiple dimensions of the policy-making process, including the roles of ethics and evidence"/>
              <w:listItem w:displayText="MPH-13: Propose strategies to identify stakeholders and build coalitions and partnerships for influencing public health outcomes" w:value="MPH-13: Propose strategies to identify stakeholders and build coalitions and partnerships for influencing public health outcomes"/>
              <w:listItem w:displayText="MPH-14: Advocate for political, social or economic policies and programs that will improve health in diverse populations" w:value="MPH-14: Advocate for political, social or economic policies and programs that will improve health in diverse populations"/>
              <w:listItem w:displayText="MPH-15: Evaluate policies for their impact on public health and health equity" w:value="MPH-15: Evaluate policies for their impact on public health and health equity"/>
              <w:listItem w:displayText="MPH-16: Apply principles of leadership, governance and management, which include creating a vision, empowering others, fostering collaboration and guiding decision making" w:value="MPH-16: Apply principles of leadership, governance and management, which include creating a vision, empowering others, fostering collaboration and guiding decision making"/>
              <w:listItem w:displayText="MPH-17: Apply negotiation and mediation skills to address organizational or community challenges" w:value="MPH-17: Apply negotiation and mediation skills to address organizational or community challenges"/>
              <w:listItem w:displayText="MPH-18: Select communication strategies for different audiences and sectors" w:value="MPH-18: Select communication strategies for different audiences and sectors"/>
              <w:listItem w:displayText="MPH-19: Communicate audience-appropriate public health content, both in writing and through oral presentation" w:value="MPH-19: Communicate audience-appropriate public health content, both in writing and through oral presentation"/>
              <w:listItem w:displayText="MPH-20: Describe the importance of cultural competence in communicating public health content" w:value="MPH-20: Describe the importance of cultural competence in communicating public health content"/>
              <w:listItem w:displayText="MPH-21: Perform effectively on interprofessional teams" w:value="MPH-21: Perform effectively on interprofessional teams"/>
              <w:listItem w:displayText="MPH-22: Apply systems thinking tools to a public health issue" w:value="MPH-22: Apply systems thinking tools to a public health issue"/>
            </w:dropDownList>
          </w:sdtPr>
          <w:sdtEndPr/>
          <w:sdtContent>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sidDel="00CE4237">
                  <w:rPr>
                    <w:rFonts w:asciiTheme="majorHAnsi" w:eastAsia="Times New Roman" w:hAnsiTheme="majorHAnsi" w:cstheme="majorHAnsi"/>
                    <w:bCs/>
                    <w:color w:val="000000"/>
                    <w:sz w:val="20"/>
                    <w:szCs w:val="20"/>
                  </w:rPr>
                  <w:t>MPH-9: Design a population-based policy, program, project or intervention</w:t>
                </w:r>
                <w:r w:rsidR="00CE4237" w:rsidRPr="00743A41">
                  <w:rPr>
                    <w:rFonts w:asciiTheme="majorHAnsi" w:eastAsia="Times New Roman" w:hAnsiTheme="majorHAnsi" w:cstheme="majorHAnsi"/>
                    <w:bCs/>
                    <w:color w:val="000000"/>
                    <w:sz w:val="20"/>
                    <w:szCs w:val="20"/>
                  </w:rPr>
                  <w:t>MPH-9: Design a population-based policy, program, project or interventionMPH-9: Design a population-based policy, program, project or intervention</w:t>
                </w:r>
              </w:p>
            </w:tc>
          </w:sdtContent>
        </w:sdt>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sdt>
          <w:sdtPr>
            <w:rPr>
              <w:rFonts w:asciiTheme="majorHAnsi" w:eastAsia="Times New Roman" w:hAnsiTheme="majorHAnsi" w:cstheme="majorHAnsi"/>
              <w:bCs/>
              <w:color w:val="000000"/>
              <w:sz w:val="20"/>
              <w:szCs w:val="20"/>
            </w:rPr>
            <w:id w:val="-2022301643"/>
            <w:placeholder>
              <w:docPart w:val="1C841734E5A540CC99A4334127BE827B"/>
            </w:placeholder>
            <w:dropDownList>
              <w:listItem w:value="Choose an item."/>
              <w:listItem w:displayText="MPH-1: Apply epidemiological methods to the breadth of settings and situations in public health practice" w:value="MPH-1: Apply epidemiological methods to the breadth of settings and situations in public health practice"/>
              <w:listItem w:displayText="MPH-2: Select quantitative and qualitative data collection methods appropriate for a given public health context" w:value="MPH-2: Select quantitative and qualitative data collection methods appropriate for a given public health context"/>
              <w:listItem w:displayText="MPH-3: Analyze quantitative and qualitative data using biostatistics, informatics, computer-based programming and software, as appropriate" w:value="MPH-3: Analyze quantitative and qualitative data using biostatistics, informatics, computer-based programming and software, as appropriate"/>
              <w:listItem w:displayText="MPH-4: Interpret results of data analysis for public health research, policy or practice" w:value="MPH-4: Interpret results of data analysis for public health research, policy or practice"/>
              <w:listItem w:displayText="MPH-5: Compare the organization, structure and function of health care, public health and regulatory systems across national and international settings" w:value="MPH-5: Compare the organization, structure and function of health care, public health and regulatory systems across national and international settings"/>
              <w:listItem w:displayText="MPH-6: Discuss the means by which structural bias, social inequities and racism undermine health and create challenges to achieving health equity at organizational, community and societal levels" w:value="MPH-6: Discuss the means by which structural bias, social inequities and racism undermine health and create challenges to achieving health equity at organizational, community and societal levels"/>
              <w:listItem w:displayText="MPH-7: Assess population needs, assets and capacities that affect communities’ health" w:value="MPH-7: Assess population needs, assets and capacities that affect communities’ health"/>
              <w:listItem w:displayText="MPH-8: Apply awareness of cultural values and practices to the design or  implementation of public health policies or programs" w:value="MPH-8: Apply awareness of cultural values and practices to the design or  implementation of public health policies or programs"/>
              <w:listItem w:displayText="MPH-9: Design a population-based policy, program, project or intervention" w:value="MPH-9: Design a population-based policy, program, project or intervention"/>
              <w:listItem w:displayText="MPH-10: Explain basic principles and tools of budget and resource management" w:value="MPH-10: Explain basic principles and tools of budget and resource management"/>
              <w:listItem w:displayText="MPH-11: Select methods to evaluate public health programs" w:value="MPH-11: Select methods to evaluate public health programs"/>
              <w:listItem w:displayText="MPH-12: Discuss multiple dimensions of the policy-making process, including the roles of ethics and evidence" w:value="MPH-12: Discuss multiple dimensions of the policy-making process, including the roles of ethics and evidence"/>
              <w:listItem w:displayText="MPH-13: Propose strategies to identify stakeholders and build coalitions and partnerships for influencing public health outcomes" w:value="MPH-13: Propose strategies to identify stakeholders and build coalitions and partnerships for influencing public health outcomes"/>
              <w:listItem w:displayText="MPH-14: Advocate for political, social or economic policies and programs that will improve health in diverse populations" w:value="MPH-14: Advocate for political, social or economic policies and programs that will improve health in diverse populations"/>
              <w:listItem w:displayText="MPH-15: Evaluate policies for their impact on public health and health equity" w:value="MPH-15: Evaluate policies for their impact on public health and health equity"/>
              <w:listItem w:displayText="MPH-16: Apply principles of leadership, governance and management, which include creating a vision, empowering others, fostering collaboration and guiding decision making" w:value="MPH-16: Apply principles of leadership, governance and management, which include creating a vision, empowering others, fostering collaboration and guiding decision making"/>
              <w:listItem w:displayText="MPH-17: Apply negotiation and mediation skills to address organizational or community challenges" w:value="MPH-17: Apply negotiation and mediation skills to address organizational or community challenges"/>
              <w:listItem w:displayText="MPH-18: Select communication strategies for different audiences and sectors" w:value="MPH-18: Select communication strategies for different audiences and sectors"/>
              <w:listItem w:displayText="MPH-19: Communicate audience-appropriate public health content, both in writing and through oral presentation" w:value="MPH-19: Communicate audience-appropriate public health content, both in writing and through oral presentation"/>
              <w:listItem w:displayText="MPH-20: Describe the importance of cultural competence in communicating public health content" w:value="MPH-20: Describe the importance of cultural competence in communicating public health content"/>
              <w:listItem w:displayText="MPH-21: Perform effectively on interprofessional teams" w:value="MPH-21: Perform effectively on interprofessional teams"/>
              <w:listItem w:displayText="MPH-22: Apply systems thinking tools to a public health issue" w:value="MPH-22: Apply systems thinking tools to a public health issue"/>
            </w:dropDownList>
          </w:sdtPr>
          <w:sdtEndPr/>
          <w:sdtContent>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sidDel="00CE4237">
                  <w:rPr>
                    <w:rFonts w:asciiTheme="majorHAnsi" w:eastAsia="Times New Roman" w:hAnsiTheme="majorHAnsi" w:cstheme="majorHAnsi"/>
                    <w:bCs/>
                    <w:color w:val="000000"/>
                    <w:sz w:val="20"/>
                    <w:szCs w:val="20"/>
                  </w:rPr>
                  <w:t>MPH-18: Select communication strategies for different audiences and sectors</w:t>
                </w:r>
                <w:r w:rsidR="00CE4237" w:rsidRPr="00743A41">
                  <w:rPr>
                    <w:rFonts w:asciiTheme="majorHAnsi" w:eastAsia="Times New Roman" w:hAnsiTheme="majorHAnsi" w:cstheme="majorHAnsi"/>
                    <w:bCs/>
                    <w:color w:val="000000"/>
                    <w:sz w:val="20"/>
                    <w:szCs w:val="20"/>
                  </w:rPr>
                  <w:t>MPH-18: Select communication strategies for different audiences and sectorsMPH-18: Select communication strategies for different audiences and sectors</w:t>
                </w:r>
              </w:p>
            </w:tc>
          </w:sdtContent>
        </w:sdt>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bCs/>
                <w:color w:val="000000"/>
                <w:sz w:val="20"/>
                <w:szCs w:val="20"/>
              </w:rPr>
              <w:t>MPH-19: Communicate audience-appropriate public health content, both in writing and through oral presentation</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bCs/>
                <w:color w:val="000000"/>
                <w:sz w:val="20"/>
                <w:szCs w:val="20"/>
              </w:rPr>
              <w:t>MPH-20: Describe the importance of cultural competence in communicating public health content</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MPH-DI2: Develop a public health nutrition interventional activity based on community nutrition-related needs, assets and capacities</w:t>
            </w:r>
          </w:p>
        </w:tc>
      </w:tr>
    </w:tbl>
    <w:p w:rsidR="0071054A" w:rsidRPr="00743A41" w:rsidRDefault="0071054A" w:rsidP="00A37ED6">
      <w:pPr>
        <w:ind w:left="720"/>
        <w:rPr>
          <w:rFonts w:asciiTheme="majorHAnsi" w:hAnsiTheme="majorHAnsi" w:cstheme="majorHAnsi"/>
          <w:b/>
          <w:sz w:val="20"/>
          <w:szCs w:val="20"/>
        </w:rPr>
      </w:pPr>
    </w:p>
    <w:p w:rsidR="0071054A" w:rsidRPr="00743A41" w:rsidRDefault="0071054A" w:rsidP="00A37ED6">
      <w:pPr>
        <w:ind w:left="720"/>
        <w:rPr>
          <w:rFonts w:asciiTheme="majorHAnsi" w:hAnsiTheme="majorHAnsi" w:cstheme="majorHAnsi"/>
          <w:b/>
          <w:sz w:val="20"/>
          <w:szCs w:val="20"/>
        </w:rPr>
      </w:pPr>
      <w:r w:rsidRPr="005B7109">
        <w:rPr>
          <w:rFonts w:asciiTheme="majorHAnsi" w:hAnsiTheme="majorHAnsi" w:cstheme="majorHAnsi"/>
          <w:sz w:val="20"/>
          <w:szCs w:val="20"/>
        </w:rPr>
        <w:t>D.5.3.d. Practice-Based Products that Demonstrate MPH Competency Attainment, MPH in Environmental Health</w:t>
      </w:r>
      <w:r w:rsidR="00E06A2C" w:rsidRPr="005B7109">
        <w:rPr>
          <w:rFonts w:asciiTheme="majorHAnsi" w:hAnsiTheme="majorHAnsi" w:cstheme="majorHAnsi"/>
          <w:b/>
          <w:sz w:val="20"/>
          <w:szCs w:val="20"/>
        </w:rPr>
        <w:t xml:space="preserve"> </w:t>
      </w:r>
      <w:r w:rsidR="00E06A2C" w:rsidRPr="005B7109">
        <w:rPr>
          <w:rFonts w:asciiTheme="majorHAnsi" w:eastAsia="Arial Unicode MS" w:hAnsiTheme="majorHAnsi" w:cstheme="majorHAnsi"/>
          <w:sz w:val="20"/>
          <w:szCs w:val="20"/>
        </w:rPr>
        <w:t>(</w:t>
      </w:r>
      <w:r w:rsidR="00E06A2C" w:rsidRPr="005B7109">
        <w:rPr>
          <w:rFonts w:asciiTheme="majorHAnsi" w:eastAsia="Arial Unicode MS" w:hAnsiTheme="majorHAnsi" w:cstheme="majorHAnsi"/>
          <w:i/>
          <w:sz w:val="20"/>
          <w:szCs w:val="20"/>
        </w:rPr>
        <w:t>ERF, D5.3. Practice-Based Products that Demonstrate MPH Competency Achievement, MPH Environmental Health</w:t>
      </w:r>
      <w:r w:rsidR="00E06A2C" w:rsidRPr="00743A41">
        <w:rPr>
          <w:rFonts w:asciiTheme="majorHAnsi" w:eastAsia="Arial Unicode MS" w:hAnsiTheme="majorHAnsi" w:cstheme="majorHAnsi"/>
          <w:sz w:val="20"/>
          <w:szCs w:val="20"/>
        </w:rPr>
        <w:t>)</w:t>
      </w: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4320"/>
      </w:tblGrid>
      <w:tr w:rsidR="0071054A" w:rsidRPr="00743A41" w:rsidTr="00847E25">
        <w:trPr>
          <w:cantSplit/>
          <w:trHeight w:val="328"/>
          <w:tblHeader/>
        </w:trPr>
        <w:tc>
          <w:tcPr>
            <w:tcW w:w="2500" w:type="pct"/>
            <w:shd w:val="clear" w:color="000000" w:fill="D9D9D9"/>
            <w:vAlign w:val="center"/>
            <w:hideMark/>
          </w:tcPr>
          <w:p w:rsidR="0071054A" w:rsidRPr="00743A41" w:rsidRDefault="0071054A"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Specific products in portfolio that demonstrate application or practice</w:t>
            </w:r>
          </w:p>
        </w:tc>
        <w:tc>
          <w:tcPr>
            <w:tcW w:w="2500" w:type="pct"/>
            <w:shd w:val="clear" w:color="000000" w:fill="D9D9D9"/>
            <w:vAlign w:val="center"/>
            <w:hideMark/>
          </w:tcPr>
          <w:p w:rsidR="0071054A" w:rsidRPr="00743A41" w:rsidRDefault="00974D1C"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 xml:space="preserve">Competency as defined in </w:t>
            </w:r>
            <w:hyperlink w:anchor="_D2._MPH_Foundational_1" w:history="1">
              <w:r w:rsidRPr="00743A41">
                <w:rPr>
                  <w:rStyle w:val="Hyperlink"/>
                  <w:rFonts w:asciiTheme="majorHAnsi" w:eastAsia="Times New Roman" w:hAnsiTheme="majorHAnsi" w:cstheme="majorHAnsi"/>
                  <w:b/>
                  <w:bCs/>
                  <w:sz w:val="20"/>
                  <w:szCs w:val="20"/>
                </w:rPr>
                <w:t>Criterion D2</w:t>
              </w:r>
            </w:hyperlink>
            <w:r w:rsidRPr="00743A41">
              <w:rPr>
                <w:rFonts w:asciiTheme="majorHAnsi" w:eastAsia="Times New Roman" w:hAnsiTheme="majorHAnsi" w:cstheme="majorHAnsi"/>
                <w:b/>
                <w:bCs/>
                <w:sz w:val="20"/>
                <w:szCs w:val="20"/>
              </w:rPr>
              <w:t xml:space="preserve"> and </w:t>
            </w:r>
            <w:hyperlink w:anchor="_D4._MPH_&amp;" w:history="1">
              <w:r w:rsidRPr="00743A41">
                <w:rPr>
                  <w:rStyle w:val="Hyperlink"/>
                  <w:rFonts w:asciiTheme="majorHAnsi" w:eastAsia="Times New Roman" w:hAnsiTheme="majorHAnsi" w:cstheme="majorHAnsi"/>
                  <w:b/>
                  <w:bCs/>
                  <w:sz w:val="20"/>
                  <w:szCs w:val="20"/>
                </w:rPr>
                <w:t>Criterion D4</w:t>
              </w:r>
            </w:hyperlink>
          </w:p>
        </w:tc>
      </w:tr>
      <w:tr w:rsidR="0071054A" w:rsidRPr="00743A41" w:rsidTr="00847E25">
        <w:trPr>
          <w:cantSplit/>
          <w:trHeight w:val="350"/>
        </w:trPr>
        <w:tc>
          <w:tcPr>
            <w:tcW w:w="2500" w:type="pct"/>
            <w:vMerge w:val="restar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eastAsia="Times New Roman" w:hAnsiTheme="majorHAnsi" w:cstheme="majorHAnsi"/>
                <w:sz w:val="20"/>
                <w:szCs w:val="20"/>
                <w:u w:val="single"/>
              </w:rPr>
              <w:t>MPH Environmental Health, Student 1</w:t>
            </w:r>
            <w:r w:rsidRPr="00743A41">
              <w:rPr>
                <w:rFonts w:asciiTheme="majorHAnsi" w:eastAsia="Times New Roman" w:hAnsiTheme="majorHAnsi" w:cstheme="majorHAnsi"/>
                <w:sz w:val="20"/>
                <w:szCs w:val="20"/>
              </w:rPr>
              <w:t xml:space="preserve">: This student conducted his practicum with an environmental health and safety department for a chemical manufacturer and distributor. He implemented a new data management system, assessed </w:t>
            </w:r>
            <w:r w:rsidRPr="00743A41">
              <w:rPr>
                <w:rFonts w:asciiTheme="majorHAnsi" w:hAnsiTheme="majorHAnsi" w:cstheme="majorHAnsi"/>
                <w:sz w:val="20"/>
                <w:szCs w:val="20"/>
              </w:rPr>
              <w:t>noise and chemical exposure data to determine an impact on worker health using specialized software (MPH-7, MPH-4), and conducted risk assessments (MPH-O1). In his first final product, the student describes and evaluates his methods to collect and interpret exposure data and recommends strategies for future sampling. His second final product, a presentation, uses an example to illustrate a risk assessment of exposure to silica (MPH-O5, MPH-19).</w:t>
            </w: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hAnsiTheme="majorHAnsi" w:cstheme="majorHAnsi"/>
                <w:sz w:val="20"/>
                <w:szCs w:val="20"/>
              </w:rPr>
              <w:t>MPH-4: Interpret results of data analysis for public health research, policy or practice</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 xml:space="preserve">MPH-7:  Assess population needs, assets and capacities that affect communities’ health </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MPH-19: Communicate audience-appropriate public health content, both in writing and through oral presentation</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 xml:space="preserve">MPH-O1: </w:t>
            </w:r>
            <w:r w:rsidRPr="00743A41">
              <w:rPr>
                <w:rFonts w:asciiTheme="majorHAnsi" w:hAnsiTheme="majorHAnsi" w:cstheme="majorHAnsi"/>
                <w:sz w:val="20"/>
                <w:szCs w:val="20"/>
              </w:rPr>
              <w:t>Conduct a risk characterization of an environmental hazard</w:t>
            </w:r>
          </w:p>
        </w:tc>
      </w:tr>
      <w:tr w:rsidR="0071054A" w:rsidRPr="00743A41" w:rsidTr="00847E25">
        <w:trPr>
          <w:cantSplit/>
          <w:trHeight w:val="593"/>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MPH-O5:</w:t>
            </w:r>
            <w:r w:rsidRPr="00743A41">
              <w:rPr>
                <w:rFonts w:asciiTheme="majorHAnsi" w:hAnsiTheme="majorHAnsi" w:cstheme="majorHAnsi"/>
                <w:sz w:val="20"/>
                <w:szCs w:val="20"/>
              </w:rPr>
              <w:t xml:space="preserve"> Demonstrate effective risk communication that incorporates the principles of risk perception</w:t>
            </w:r>
          </w:p>
        </w:tc>
      </w:tr>
      <w:tr w:rsidR="0071054A" w:rsidRPr="00743A41" w:rsidTr="00847E25">
        <w:trPr>
          <w:cantSplit/>
          <w:trHeight w:val="256"/>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Environmental Health, Student 2</w:t>
            </w:r>
            <w:r w:rsidRPr="00743A41">
              <w:rPr>
                <w:rFonts w:asciiTheme="majorHAnsi" w:eastAsia="Times New Roman" w:hAnsiTheme="majorHAnsi" w:cstheme="majorHAnsi"/>
                <w:sz w:val="20"/>
                <w:szCs w:val="20"/>
              </w:rPr>
              <w:t xml:space="preserve">: </w:t>
            </w:r>
            <w:r w:rsidRPr="00743A41">
              <w:rPr>
                <w:rFonts w:asciiTheme="majorHAnsi" w:hAnsiTheme="majorHAnsi" w:cstheme="majorHAnsi"/>
                <w:sz w:val="20"/>
                <w:szCs w:val="20"/>
              </w:rPr>
              <w:t xml:space="preserve">This student’s practicum focused on identifying the sources and health effects of air pollution in a community in east Houston. </w:t>
            </w:r>
            <w:r w:rsidRPr="00743A41">
              <w:rPr>
                <w:rFonts w:asciiTheme="majorHAnsi" w:eastAsia="Times New Roman" w:hAnsiTheme="majorHAnsi" w:cstheme="majorHAnsi"/>
                <w:bCs/>
                <w:sz w:val="20"/>
                <w:szCs w:val="20"/>
              </w:rPr>
              <w:t>In a presentation to stakeholders, he describes these adverse health effects, identifies populations at risk of exposure, describes how to locate and interpret air monitoring data, and explains how to use regulatory programs to file an environment complaint as a method for the community to address air quality concerns with local regulatory agencies (MPH-O1, MPH-O3, MPH-19, MPH-14). In a second presentation to stakeholders, the student interprets temporal trends in air monitoring data (MPH-4).</w:t>
            </w: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color w:val="000000"/>
                <w:sz w:val="20"/>
                <w:szCs w:val="20"/>
              </w:rPr>
              <w:t>MPH-4: Interpret results of data analysis for public health research, policy or practice</w:t>
            </w:r>
          </w:p>
        </w:tc>
      </w:tr>
      <w:tr w:rsidR="0071054A" w:rsidRPr="00743A41" w:rsidTr="00847E25">
        <w:trPr>
          <w:cantSplit/>
          <w:trHeight w:val="256"/>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eastAsia="Times New Roman" w:hAnsiTheme="majorHAnsi" w:cstheme="majorHAnsi"/>
                <w:bCs/>
                <w:color w:val="000000"/>
                <w:sz w:val="20"/>
                <w:szCs w:val="20"/>
              </w:rPr>
              <w:t>MPH-14: Advocate for political, social or economic policies and programs that will improve health in diverse populations</w:t>
            </w:r>
          </w:p>
        </w:tc>
      </w:tr>
      <w:tr w:rsidR="0071054A" w:rsidRPr="00743A41" w:rsidTr="00847E25">
        <w:trPr>
          <w:cantSplit/>
          <w:trHeight w:val="256"/>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pStyle w:val="Default"/>
              <w:rPr>
                <w:rFonts w:asciiTheme="majorHAnsi" w:hAnsiTheme="majorHAnsi" w:cstheme="majorHAnsi"/>
                <w:szCs w:val="20"/>
              </w:rPr>
            </w:pPr>
            <w:r w:rsidRPr="00743A41">
              <w:rPr>
                <w:rFonts w:asciiTheme="majorHAnsi" w:hAnsiTheme="majorHAnsi" w:cstheme="majorHAnsi"/>
                <w:szCs w:val="20"/>
              </w:rPr>
              <w:t>MPH-19: Communicate audience-appropriate public health content, both in writing and through oral presentation</w:t>
            </w:r>
          </w:p>
        </w:tc>
      </w:tr>
      <w:tr w:rsidR="0071054A" w:rsidRPr="00743A41" w:rsidTr="00847E25">
        <w:trPr>
          <w:cantSplit/>
          <w:trHeight w:val="256"/>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pStyle w:val="Default"/>
              <w:rPr>
                <w:rFonts w:asciiTheme="majorHAnsi" w:hAnsiTheme="majorHAnsi" w:cstheme="majorHAnsi"/>
                <w:szCs w:val="20"/>
              </w:rPr>
            </w:pPr>
            <w:r w:rsidRPr="00743A41">
              <w:rPr>
                <w:rFonts w:asciiTheme="majorHAnsi" w:hAnsiTheme="majorHAnsi" w:cstheme="majorHAnsi"/>
                <w:szCs w:val="20"/>
              </w:rPr>
              <w:t>MPH-O1: Conduct a risk characterization of an environmental hazard</w:t>
            </w:r>
          </w:p>
        </w:tc>
      </w:tr>
      <w:tr w:rsidR="0071054A" w:rsidRPr="00743A41" w:rsidTr="00847E25">
        <w:trPr>
          <w:cantSplit/>
          <w:trHeight w:val="256"/>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MPH-O3: Describe regulatory programs, including effectiveness, in the context of legislative authorities that deal with environmental health issues at the local, state, federal, or international levels</w:t>
            </w:r>
          </w:p>
        </w:tc>
      </w:tr>
      <w:tr w:rsidR="0071054A" w:rsidRPr="00743A41" w:rsidTr="00847E25">
        <w:trPr>
          <w:cantSplit/>
          <w:trHeight w:val="62"/>
        </w:trPr>
        <w:tc>
          <w:tcPr>
            <w:tcW w:w="2500" w:type="pct"/>
            <w:vMerge w:val="restart"/>
            <w:shd w:val="clear" w:color="auto" w:fill="auto"/>
          </w:tcPr>
          <w:p w:rsidR="0071054A" w:rsidRPr="00743A41" w:rsidRDefault="0071054A" w:rsidP="00A37ED6">
            <w:pPr>
              <w:rPr>
                <w:rFonts w:asciiTheme="majorHAnsi" w:eastAsia="Times New Roman" w:hAnsiTheme="majorHAnsi" w:cstheme="majorHAnsi"/>
                <w:i/>
                <w:sz w:val="20"/>
                <w:szCs w:val="20"/>
              </w:rPr>
            </w:pPr>
            <w:r w:rsidRPr="00743A41">
              <w:rPr>
                <w:rFonts w:asciiTheme="majorHAnsi" w:eastAsia="Times New Roman" w:hAnsiTheme="majorHAnsi" w:cstheme="majorHAnsi"/>
                <w:sz w:val="20"/>
                <w:szCs w:val="20"/>
                <w:u w:val="single"/>
              </w:rPr>
              <w:t>MPH Environmental Health, Student 3</w:t>
            </w:r>
            <w:r w:rsidRPr="00743A41">
              <w:rPr>
                <w:rFonts w:asciiTheme="majorHAnsi" w:eastAsia="Times New Roman" w:hAnsiTheme="majorHAnsi" w:cstheme="majorHAnsi"/>
                <w:sz w:val="20"/>
                <w:szCs w:val="20"/>
              </w:rPr>
              <w:t xml:space="preserve">: </w:t>
            </w:r>
            <w:r w:rsidRPr="00743A41">
              <w:rPr>
                <w:rFonts w:asciiTheme="majorHAnsi" w:eastAsia="Times New Roman" w:hAnsiTheme="majorHAnsi" w:cstheme="majorHAnsi"/>
                <w:bCs/>
                <w:color w:val="000000"/>
                <w:sz w:val="20"/>
                <w:szCs w:val="20"/>
              </w:rPr>
              <w:t xml:space="preserve">This student conducted his practicum with a professional association of local health officials. In a report to a senate committee staffer (Product 1) and a policy memo to the Committee of Veteran Affairs (Product-2), he  describes pressing healthcare needs for veterans, identifies shortcomings in mental health services, and proposes strategies to improve quality of care for veterans (MPH-7, MPH-14, MPH-19). The student also contributed to a Statement of Policy on water quality and recreational water, a document that advocates for increased appropriations and describes programs to improve water quality and recreational water services (MPH-O3, MPH-15, Product 3). </w:t>
            </w: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eastAsia="Times New Roman" w:hAnsiTheme="majorHAnsi" w:cstheme="majorHAnsi"/>
                <w:bCs/>
                <w:color w:val="000000"/>
                <w:sz w:val="20"/>
                <w:szCs w:val="20"/>
              </w:rPr>
              <w:t>MPH-7: Assess population needs, assets and capacities that affect communities’ health</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eastAsia="Times New Roman" w:hAnsiTheme="majorHAnsi" w:cstheme="majorHAnsi"/>
                <w:bCs/>
                <w:color w:val="000000"/>
                <w:sz w:val="20"/>
                <w:szCs w:val="20"/>
              </w:rPr>
              <w:t>MPH-14: Advocate for political, social or economic policies and programs that will improve health in diverse populations</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eastAsia="Times New Roman" w:hAnsiTheme="majorHAnsi" w:cstheme="majorHAnsi"/>
                <w:bCs/>
                <w:color w:val="000000"/>
                <w:sz w:val="20"/>
                <w:szCs w:val="20"/>
              </w:rPr>
              <w:t>MPH-15: Evaluate policies for their impact on public health and health equity</w:t>
            </w:r>
          </w:p>
        </w:tc>
      </w:tr>
      <w:tr w:rsidR="0071054A" w:rsidRPr="00743A41" w:rsidTr="00847E25">
        <w:trPr>
          <w:cantSplit/>
          <w:trHeight w:val="42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eastAsia="Times New Roman" w:hAnsiTheme="majorHAnsi" w:cstheme="majorHAnsi"/>
                <w:color w:val="000000"/>
                <w:sz w:val="20"/>
                <w:szCs w:val="20"/>
              </w:rPr>
              <w:t xml:space="preserve">MPH-19: </w:t>
            </w:r>
            <w:r w:rsidRPr="00743A41">
              <w:rPr>
                <w:rFonts w:asciiTheme="majorHAnsi" w:hAnsiTheme="majorHAnsi" w:cstheme="majorHAnsi"/>
                <w:sz w:val="20"/>
                <w:szCs w:val="20"/>
              </w:rPr>
              <w:t>Communicate audience-appropriate public health content, both in writing and through oral presentation</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 xml:space="preserve">MPH-O3: Describe regulatory programs, including effectiveness, in the context of legislative authorities that deal with environmental health issues at the local, state, federal, or international levels </w:t>
            </w:r>
          </w:p>
        </w:tc>
      </w:tr>
      <w:tr w:rsidR="0071054A" w:rsidRPr="00743A41" w:rsidTr="00847E25">
        <w:trPr>
          <w:cantSplit/>
          <w:trHeight w:val="62"/>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Environmental Health, Student 4</w:t>
            </w:r>
            <w:r w:rsidRPr="00743A41">
              <w:rPr>
                <w:rFonts w:asciiTheme="majorHAnsi" w:eastAsia="Times New Roman" w:hAnsiTheme="majorHAnsi" w:cstheme="majorHAnsi"/>
                <w:sz w:val="20"/>
                <w:szCs w:val="20"/>
              </w:rPr>
              <w:t>: This student completed her practicum with a manufacturing company, where she conducted risk assessments (MPH-O1). After collecting sound-level measurements at the facility, she designed a plan that recommends strategies to mitigate occupational noise (MPH-19) and assigns a priority score to each recommendation (MPH-O5). Her report also includes the cost of mitigation strategies (MPH-10). Her second final product, a presentation, discusses the results of an inspection of compressed air leaks at the plant. In this presentation, she provides a cost analysis, identifies causes of air leaks, and offers solutions to mitigate future leaks (MPH-9).</w:t>
            </w: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eastAsia="Times New Roman" w:hAnsiTheme="majorHAnsi" w:cstheme="majorHAnsi"/>
                <w:bCs/>
                <w:color w:val="000000"/>
                <w:sz w:val="20"/>
                <w:szCs w:val="20"/>
              </w:rPr>
              <w:t>MPH-9: Design a population-based policy, program, project or intervention</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eastAsia="Times New Roman" w:hAnsiTheme="majorHAnsi" w:cstheme="majorHAnsi"/>
                <w:bCs/>
                <w:color w:val="000000"/>
                <w:sz w:val="20"/>
                <w:szCs w:val="20"/>
              </w:rPr>
              <w:t>MPH-10: Explain basic principles and tools of budget and resource management</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eastAsia="Times New Roman" w:hAnsiTheme="majorHAnsi" w:cstheme="majorHAnsi"/>
                <w:bCs/>
                <w:color w:val="000000"/>
                <w:sz w:val="20"/>
                <w:szCs w:val="20"/>
              </w:rPr>
              <w:t>MPH-19: Communicate audience-appropriate public health content, both in writing and through oral presentation</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MPH-O1: Conduct a risk characterization of an environmental hazard</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eastAsia="Times New Roman" w:hAnsiTheme="majorHAnsi" w:cstheme="majorHAnsi"/>
                <w:sz w:val="20"/>
                <w:szCs w:val="20"/>
              </w:rPr>
              <w:t>MPH-O5:</w:t>
            </w:r>
            <w:r w:rsidRPr="00743A41">
              <w:rPr>
                <w:rFonts w:asciiTheme="majorHAnsi" w:hAnsiTheme="majorHAnsi" w:cstheme="majorHAnsi"/>
                <w:sz w:val="20"/>
                <w:szCs w:val="20"/>
              </w:rPr>
              <w:t xml:space="preserve"> Demonstrate effective risk communication that incorporates the principles of risk perception</w:t>
            </w:r>
          </w:p>
        </w:tc>
      </w:tr>
      <w:tr w:rsidR="0071054A" w:rsidRPr="00743A41" w:rsidTr="00847E25">
        <w:trPr>
          <w:cantSplit/>
          <w:trHeight w:val="62"/>
        </w:trPr>
        <w:tc>
          <w:tcPr>
            <w:tcW w:w="2500" w:type="pct"/>
            <w:vMerge w:val="restart"/>
            <w:shd w:val="clear" w:color="auto" w:fill="auto"/>
          </w:tcPr>
          <w:p w:rsidR="0071054A" w:rsidRPr="00743A41" w:rsidRDefault="0071054A" w:rsidP="00A37ED6">
            <w:pPr>
              <w:rPr>
                <w:rFonts w:asciiTheme="majorHAnsi" w:eastAsia="Times New Roman" w:hAnsiTheme="majorHAnsi" w:cstheme="majorHAnsi"/>
                <w:bCs/>
                <w:i/>
                <w:color w:val="000000"/>
                <w:sz w:val="20"/>
                <w:szCs w:val="20"/>
              </w:rPr>
            </w:pPr>
            <w:r w:rsidRPr="00743A41">
              <w:rPr>
                <w:rFonts w:asciiTheme="majorHAnsi" w:eastAsia="Times New Roman" w:hAnsiTheme="majorHAnsi" w:cstheme="majorHAnsi"/>
                <w:sz w:val="20"/>
                <w:szCs w:val="20"/>
                <w:u w:val="single"/>
              </w:rPr>
              <w:t>MPH Environmental Health, Student 5</w:t>
            </w:r>
            <w:r w:rsidRPr="00743A41">
              <w:rPr>
                <w:rFonts w:asciiTheme="majorHAnsi" w:eastAsia="Times New Roman" w:hAnsiTheme="majorHAnsi" w:cstheme="majorHAnsi"/>
                <w:sz w:val="20"/>
                <w:szCs w:val="20"/>
              </w:rPr>
              <w:t xml:space="preserve">: </w:t>
            </w:r>
            <w:r w:rsidRPr="00743A41">
              <w:rPr>
                <w:rFonts w:asciiTheme="majorHAnsi" w:eastAsia="Times New Roman" w:hAnsiTheme="majorHAnsi" w:cstheme="majorHAnsi"/>
                <w:bCs/>
                <w:color w:val="000000"/>
                <w:sz w:val="20"/>
                <w:szCs w:val="20"/>
              </w:rPr>
              <w:t xml:space="preserve">This student used a health belief model to assess worker perceptions related to safety </w:t>
            </w:r>
            <w:r w:rsidR="00603CA6" w:rsidRPr="00743A41">
              <w:rPr>
                <w:rFonts w:asciiTheme="majorHAnsi" w:eastAsia="Times New Roman" w:hAnsiTheme="majorHAnsi" w:cstheme="majorHAnsi"/>
                <w:bCs/>
                <w:color w:val="000000"/>
                <w:sz w:val="20"/>
                <w:szCs w:val="20"/>
              </w:rPr>
              <w:t>training at</w:t>
            </w:r>
            <w:r w:rsidRPr="00743A41">
              <w:rPr>
                <w:rFonts w:asciiTheme="majorHAnsi" w:eastAsia="Times New Roman" w:hAnsiTheme="majorHAnsi" w:cstheme="majorHAnsi"/>
                <w:bCs/>
                <w:color w:val="000000"/>
                <w:sz w:val="20"/>
                <w:szCs w:val="20"/>
              </w:rPr>
              <w:t xml:space="preserve"> a mining company. He developed a health belief model questionnaire (to assess worker needs and perceptions) and collected environmental samples (MPH-7, MPH-O1). </w:t>
            </w:r>
            <w:r w:rsidRPr="00743A41">
              <w:rPr>
                <w:rFonts w:asciiTheme="majorHAnsi" w:hAnsiTheme="majorHAnsi" w:cstheme="majorHAnsi"/>
                <w:sz w:val="20"/>
                <w:szCs w:val="20"/>
              </w:rPr>
              <w:t xml:space="preserve">Using qualitative and quantitative data to draw conclusions (MPH-3), he interpreted the results of his analysis (MPH-4) and identified perceived barriers to safety in a written report and an oral presentation (MPH-19). </w:t>
            </w: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hAnsiTheme="majorHAnsi" w:cstheme="majorHAnsi"/>
                <w:sz w:val="20"/>
                <w:szCs w:val="20"/>
              </w:rPr>
              <w:t>MPH-3: Analyze quantitative and qualitative data using biostatistics, informatics, computer-based programming and software, as appropriate</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bCs/>
                <w:i/>
                <w:color w:val="000000"/>
                <w:sz w:val="20"/>
                <w:szCs w:val="20"/>
              </w:rPr>
            </w:pPr>
          </w:p>
        </w:tc>
        <w:tc>
          <w:tcPr>
            <w:tcW w:w="2500" w:type="pct"/>
            <w:shd w:val="clear" w:color="auto" w:fill="auto"/>
            <w:vAlign w:val="center"/>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MPH-4: Interpret results of data analysis for public health research, policy or practice</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bCs/>
                <w:i/>
                <w:color w:val="000000"/>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MPH-7: Assess population needs, assets and capacities that affect communities’ health</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bCs/>
                <w:i/>
                <w:color w:val="000000"/>
                <w:sz w:val="20"/>
                <w:szCs w:val="20"/>
              </w:rPr>
            </w:pPr>
          </w:p>
        </w:tc>
        <w:tc>
          <w:tcPr>
            <w:tcW w:w="2500" w:type="pct"/>
            <w:shd w:val="clear" w:color="auto" w:fill="auto"/>
            <w:vAlign w:val="center"/>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color w:val="000000"/>
                <w:sz w:val="20"/>
                <w:szCs w:val="20"/>
              </w:rPr>
              <w:t>MPH-19: Communicate audience-appropriate public health content, both in writing and through oral presentation</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bCs/>
                <w:i/>
                <w:color w:val="000000"/>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sz w:val="20"/>
                <w:szCs w:val="20"/>
              </w:rPr>
              <w:t>MPH-O1:</w:t>
            </w:r>
            <w:r w:rsidRPr="00743A41">
              <w:rPr>
                <w:rFonts w:asciiTheme="majorHAnsi" w:hAnsiTheme="majorHAnsi" w:cstheme="majorHAnsi"/>
                <w:sz w:val="20"/>
                <w:szCs w:val="20"/>
              </w:rPr>
              <w:t xml:space="preserve"> Conduct a risk characterization of an environmental hazard</w:t>
            </w:r>
          </w:p>
        </w:tc>
      </w:tr>
    </w:tbl>
    <w:p w:rsidR="0071054A" w:rsidRPr="00743A41" w:rsidRDefault="0071054A" w:rsidP="00A37ED6">
      <w:pPr>
        <w:rPr>
          <w:rFonts w:asciiTheme="majorHAnsi" w:hAnsiTheme="majorHAnsi" w:cstheme="majorHAnsi"/>
          <w:b/>
          <w:sz w:val="20"/>
          <w:szCs w:val="20"/>
        </w:rPr>
      </w:pPr>
    </w:p>
    <w:p w:rsidR="00705A0D" w:rsidRPr="00743A41" w:rsidRDefault="00705A0D" w:rsidP="00A37ED6">
      <w:pPr>
        <w:rPr>
          <w:rFonts w:asciiTheme="majorHAnsi" w:hAnsiTheme="majorHAnsi" w:cstheme="majorHAnsi"/>
          <w:b/>
          <w:sz w:val="20"/>
          <w:szCs w:val="20"/>
        </w:rPr>
      </w:pPr>
    </w:p>
    <w:p w:rsidR="0071054A" w:rsidRPr="0022361E" w:rsidRDefault="0071054A" w:rsidP="00A37ED6">
      <w:pPr>
        <w:ind w:left="720"/>
        <w:rPr>
          <w:rFonts w:asciiTheme="majorHAnsi" w:hAnsiTheme="majorHAnsi" w:cstheme="majorHAnsi"/>
          <w:b/>
          <w:sz w:val="20"/>
          <w:szCs w:val="20"/>
        </w:rPr>
      </w:pPr>
      <w:r w:rsidRPr="0022361E">
        <w:rPr>
          <w:rFonts w:asciiTheme="majorHAnsi" w:hAnsiTheme="majorHAnsi" w:cstheme="majorHAnsi"/>
          <w:sz w:val="20"/>
          <w:szCs w:val="20"/>
        </w:rPr>
        <w:t>D.5.3.e. Practice-Based Products that Demonstrate MPH Competency Attainment, MPH in Epidemiology</w:t>
      </w:r>
      <w:r w:rsidR="00246722" w:rsidRPr="0022361E">
        <w:rPr>
          <w:rFonts w:asciiTheme="majorHAnsi" w:hAnsiTheme="majorHAnsi" w:cstheme="majorHAnsi"/>
          <w:b/>
          <w:sz w:val="20"/>
          <w:szCs w:val="20"/>
        </w:rPr>
        <w:t xml:space="preserve"> </w:t>
      </w:r>
      <w:r w:rsidR="00246722" w:rsidRPr="0022361E">
        <w:rPr>
          <w:rFonts w:asciiTheme="majorHAnsi" w:eastAsia="Arial Unicode MS" w:hAnsiTheme="majorHAnsi" w:cstheme="majorHAnsi"/>
          <w:sz w:val="20"/>
          <w:szCs w:val="20"/>
        </w:rPr>
        <w:t>(</w:t>
      </w:r>
      <w:r w:rsidR="00246722" w:rsidRPr="0022361E">
        <w:rPr>
          <w:rFonts w:asciiTheme="majorHAnsi" w:eastAsia="Arial Unicode MS" w:hAnsiTheme="majorHAnsi" w:cstheme="majorHAnsi"/>
          <w:i/>
          <w:sz w:val="20"/>
          <w:szCs w:val="20"/>
        </w:rPr>
        <w:t>ERF, D5.3. Practice-Based Products that Demonstrate MPH Competency Achievement, MPH Epidemiology</w:t>
      </w:r>
      <w:r w:rsidR="00246722" w:rsidRPr="0022361E">
        <w:rPr>
          <w:rFonts w:asciiTheme="majorHAnsi" w:eastAsia="Arial Unicode MS" w:hAnsiTheme="majorHAnsi" w:cstheme="majorHAnsi"/>
          <w:sz w:val="20"/>
          <w:szCs w:val="20"/>
        </w:rPr>
        <w:t>)</w:t>
      </w: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4320"/>
      </w:tblGrid>
      <w:tr w:rsidR="0071054A" w:rsidRPr="0022361E" w:rsidTr="00847E25">
        <w:trPr>
          <w:trHeight w:val="328"/>
        </w:trPr>
        <w:tc>
          <w:tcPr>
            <w:tcW w:w="2500" w:type="pct"/>
            <w:shd w:val="clear" w:color="000000" w:fill="D9D9D9"/>
            <w:vAlign w:val="center"/>
            <w:hideMark/>
          </w:tcPr>
          <w:p w:rsidR="0071054A" w:rsidRPr="0022361E" w:rsidRDefault="0071054A" w:rsidP="00A37ED6">
            <w:pPr>
              <w:jc w:val="center"/>
              <w:rPr>
                <w:rFonts w:asciiTheme="majorHAnsi" w:eastAsia="Times New Roman" w:hAnsiTheme="majorHAnsi" w:cstheme="majorHAnsi"/>
                <w:b/>
                <w:bCs/>
                <w:sz w:val="20"/>
                <w:szCs w:val="20"/>
              </w:rPr>
            </w:pPr>
            <w:r w:rsidRPr="0022361E">
              <w:rPr>
                <w:rFonts w:asciiTheme="majorHAnsi" w:eastAsia="Times New Roman" w:hAnsiTheme="majorHAnsi" w:cstheme="majorHAnsi"/>
                <w:b/>
                <w:bCs/>
                <w:sz w:val="20"/>
                <w:szCs w:val="20"/>
              </w:rPr>
              <w:t>Specific products in portfolio that demonstrate application or practice</w:t>
            </w:r>
          </w:p>
        </w:tc>
        <w:tc>
          <w:tcPr>
            <w:tcW w:w="2500" w:type="pct"/>
            <w:shd w:val="clear" w:color="000000" w:fill="D9D9D9"/>
            <w:vAlign w:val="center"/>
            <w:hideMark/>
          </w:tcPr>
          <w:p w:rsidR="0071054A" w:rsidRPr="0022361E" w:rsidRDefault="00974D1C" w:rsidP="00A37ED6">
            <w:pPr>
              <w:jc w:val="center"/>
              <w:rPr>
                <w:rFonts w:asciiTheme="majorHAnsi" w:eastAsia="Times New Roman" w:hAnsiTheme="majorHAnsi" w:cstheme="majorHAnsi"/>
                <w:b/>
                <w:bCs/>
                <w:sz w:val="20"/>
                <w:szCs w:val="20"/>
              </w:rPr>
            </w:pPr>
            <w:r w:rsidRPr="0022361E">
              <w:rPr>
                <w:rFonts w:asciiTheme="majorHAnsi" w:eastAsia="Times New Roman" w:hAnsiTheme="majorHAnsi" w:cstheme="majorHAnsi"/>
                <w:b/>
                <w:bCs/>
                <w:sz w:val="20"/>
                <w:szCs w:val="20"/>
              </w:rPr>
              <w:t xml:space="preserve">Competency as defined in </w:t>
            </w:r>
            <w:hyperlink w:anchor="_D2._MPH_Foundational_1" w:history="1">
              <w:r w:rsidRPr="0022361E">
                <w:rPr>
                  <w:rStyle w:val="Hyperlink"/>
                  <w:rFonts w:asciiTheme="majorHAnsi" w:eastAsia="Times New Roman" w:hAnsiTheme="majorHAnsi" w:cstheme="majorHAnsi"/>
                  <w:b/>
                  <w:bCs/>
                  <w:sz w:val="20"/>
                  <w:szCs w:val="20"/>
                </w:rPr>
                <w:t>Criterion D2</w:t>
              </w:r>
            </w:hyperlink>
            <w:r w:rsidRPr="0022361E">
              <w:rPr>
                <w:rFonts w:asciiTheme="majorHAnsi" w:eastAsia="Times New Roman" w:hAnsiTheme="majorHAnsi" w:cstheme="majorHAnsi"/>
                <w:b/>
                <w:bCs/>
                <w:sz w:val="20"/>
                <w:szCs w:val="20"/>
              </w:rPr>
              <w:t xml:space="preserve"> and </w:t>
            </w:r>
            <w:hyperlink w:anchor="_D4._MPH_&amp;" w:history="1">
              <w:r w:rsidRPr="0022361E">
                <w:rPr>
                  <w:rStyle w:val="Hyperlink"/>
                  <w:rFonts w:asciiTheme="majorHAnsi" w:eastAsia="Times New Roman" w:hAnsiTheme="majorHAnsi" w:cstheme="majorHAnsi"/>
                  <w:b/>
                  <w:bCs/>
                  <w:sz w:val="20"/>
                  <w:szCs w:val="20"/>
                </w:rPr>
                <w:t>Criterion D4</w:t>
              </w:r>
            </w:hyperlink>
          </w:p>
        </w:tc>
      </w:tr>
      <w:tr w:rsidR="0071054A" w:rsidRPr="00743A41" w:rsidTr="00847E25">
        <w:trPr>
          <w:trHeight w:val="256"/>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Epidemiology, Student 1</w:t>
            </w:r>
            <w:r w:rsidRPr="00743A41">
              <w:rPr>
                <w:rFonts w:asciiTheme="majorHAnsi" w:eastAsia="Times New Roman" w:hAnsiTheme="majorHAnsi" w:cstheme="majorHAnsi"/>
                <w:sz w:val="20"/>
                <w:szCs w:val="20"/>
              </w:rPr>
              <w:t>:</w:t>
            </w:r>
            <w:r w:rsidRPr="00743A41">
              <w:rPr>
                <w:rFonts w:asciiTheme="majorHAnsi" w:eastAsia="Times New Roman" w:hAnsiTheme="majorHAnsi" w:cstheme="majorHAnsi"/>
                <w:i/>
                <w:sz w:val="20"/>
                <w:szCs w:val="20"/>
              </w:rPr>
              <w:t xml:space="preserve"> </w:t>
            </w:r>
            <w:r w:rsidRPr="00743A41">
              <w:rPr>
                <w:rFonts w:asciiTheme="majorHAnsi" w:eastAsia="Times New Roman" w:hAnsiTheme="majorHAnsi" w:cstheme="majorHAnsi"/>
                <w:sz w:val="20"/>
                <w:szCs w:val="20"/>
              </w:rPr>
              <w:t xml:space="preserve">This student completed his practicum at a state health agency, where he designed a project to assess the knowledge of rabies treatment among emergency department personnel (MPH-1). Applying data collection skills, he designed and administered a survey to hospital personnel in southeast Texas to assess healthcare workers’ knowledge of rabies in four areas: general knowledge, risk assessment, post-exposure prophylaxis, and the role of the state department of health services (MPH-E1). In a report and an oral presentation, the student interprets the results of the survey data and discusses misconceptions about rabies risk and post-exposure prophylaxis (MPH-4, MPH-E2, MPH-19). He also discusses his findings in a separate report, which he addresses to administrative and medical personnel of hospitals that participated in the survey. </w:t>
            </w: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MPH-1: Apply epidemiological methods to the breadth of settings and situations in public health practice</w:t>
            </w:r>
          </w:p>
        </w:tc>
      </w:tr>
      <w:tr w:rsidR="0071054A" w:rsidRPr="00743A41" w:rsidTr="00847E25">
        <w:trPr>
          <w:trHeight w:val="253"/>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 xml:space="preserve">MPH4: Interpret results of data analysis for public health research, policy or practice </w:t>
            </w:r>
          </w:p>
        </w:tc>
      </w:tr>
      <w:tr w:rsidR="0071054A" w:rsidRPr="00743A41" w:rsidTr="00847E25">
        <w:trPr>
          <w:trHeight w:val="253"/>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color w:val="000000"/>
                <w:sz w:val="20"/>
                <w:szCs w:val="20"/>
              </w:rPr>
            </w:pPr>
            <w:r w:rsidRPr="00743A41">
              <w:rPr>
                <w:rFonts w:asciiTheme="majorHAnsi" w:hAnsiTheme="majorHAnsi" w:cstheme="majorHAnsi"/>
                <w:sz w:val="20"/>
                <w:szCs w:val="20"/>
              </w:rPr>
              <w:t>MPH-19: Communicate audience-appropriate public health content, both in writing and through oral presentation</w:t>
            </w:r>
          </w:p>
        </w:tc>
      </w:tr>
      <w:tr w:rsidR="0071054A" w:rsidRPr="00743A41" w:rsidTr="00847E25">
        <w:trPr>
          <w:trHeight w:val="253"/>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MPH-E1: Apply data collection and data management skills for an epidemiologic study</w:t>
            </w:r>
          </w:p>
        </w:tc>
      </w:tr>
      <w:tr w:rsidR="0071054A" w:rsidRPr="00743A41" w:rsidTr="00847E25">
        <w:trPr>
          <w:trHeight w:val="253"/>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hAnsiTheme="majorHAnsi" w:cstheme="majorHAnsi"/>
                <w:sz w:val="20"/>
                <w:szCs w:val="20"/>
              </w:rPr>
              <w:t>MPH-E2: Demonstrate the application of epidemiology for informing etiologic research, public health surveillance, or screening programs</w:t>
            </w:r>
          </w:p>
        </w:tc>
      </w:tr>
      <w:tr w:rsidR="0071054A" w:rsidRPr="00743A41" w:rsidTr="00847E25">
        <w:trPr>
          <w:trHeight w:val="62"/>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Epidemiology, Student 2</w:t>
            </w:r>
            <w:r w:rsidRPr="00743A41">
              <w:rPr>
                <w:rFonts w:asciiTheme="majorHAnsi" w:eastAsia="Times New Roman" w:hAnsiTheme="majorHAnsi" w:cstheme="majorHAnsi"/>
                <w:sz w:val="20"/>
                <w:szCs w:val="20"/>
              </w:rPr>
              <w:t>: This student conducted her practicum at a neuroscience institute. To inform the development of a standard patient outcome tool, she conducted a review of health outcome measures for neurosurgical populations (Product 2). In an oral presentation, she interprets the results of a qualitative and quantitative analysis of pre- and post-operative outcomes in four types of elective spine surgeries and draws conclusions from this analysis (MPH-1, MPH-E1, MPH-3, MPH-4, Product 1). In addition, she developed a manual that provides step-by-step instructions for generating</w:t>
            </w:r>
            <w:r w:rsidRPr="00743A41">
              <w:rPr>
                <w:rFonts w:asciiTheme="majorHAnsi" w:hAnsiTheme="majorHAnsi" w:cstheme="majorHAnsi"/>
                <w:sz w:val="20"/>
                <w:szCs w:val="20"/>
              </w:rPr>
              <w:t xml:space="preserve"> health outcome reports from patient questionnaires (MPH-19, </w:t>
            </w:r>
            <w:r w:rsidRPr="00743A41">
              <w:rPr>
                <w:rFonts w:asciiTheme="majorHAnsi" w:eastAsia="Times New Roman" w:hAnsiTheme="majorHAnsi" w:cstheme="majorHAnsi"/>
                <w:sz w:val="20"/>
                <w:szCs w:val="20"/>
              </w:rPr>
              <w:t>Product 3). This manual will enable the host site to use data from patient outcome reports to continuously improve their treatments and procedures.</w:t>
            </w:r>
            <w:r w:rsidRPr="00743A41">
              <w:rPr>
                <w:rFonts w:asciiTheme="majorHAnsi" w:hAnsiTheme="majorHAnsi" w:cstheme="majorHAnsi"/>
                <w:sz w:val="20"/>
                <w:szCs w:val="20"/>
              </w:rPr>
              <w:t xml:space="preserve"> </w:t>
            </w: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MPH-1: Apply epidemiological methods to the breadth of settings and situations in public health practice</w:t>
            </w:r>
          </w:p>
        </w:tc>
      </w:tr>
      <w:tr w:rsidR="0071054A" w:rsidRPr="00743A41" w:rsidTr="00847E25">
        <w:trPr>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MPH-3: Analyze quantitative and qualitative data using biostatistics, informatics, computer-based programming and software, as appropriate</w:t>
            </w:r>
          </w:p>
        </w:tc>
      </w:tr>
      <w:tr w:rsidR="0071054A" w:rsidRPr="00743A41" w:rsidTr="00847E25">
        <w:trPr>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eastAsia="Times New Roman" w:hAnsiTheme="majorHAnsi" w:cstheme="majorHAnsi"/>
                <w:color w:val="000000"/>
                <w:sz w:val="20"/>
                <w:szCs w:val="20"/>
              </w:rPr>
            </w:pPr>
            <w:r w:rsidRPr="00743A41">
              <w:rPr>
                <w:rFonts w:asciiTheme="majorHAnsi" w:hAnsiTheme="majorHAnsi" w:cstheme="majorHAnsi"/>
                <w:sz w:val="20"/>
                <w:szCs w:val="20"/>
              </w:rPr>
              <w:t>MPH-4: Interpret results of data analysis for public health research, policy or practice</w:t>
            </w:r>
          </w:p>
        </w:tc>
      </w:tr>
      <w:tr w:rsidR="0071054A" w:rsidRPr="00743A41" w:rsidTr="00847E25">
        <w:trPr>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MPH-19: Communicate audience-appropriate public health content, both in writing and through oral presentation</w:t>
            </w:r>
          </w:p>
        </w:tc>
      </w:tr>
      <w:tr w:rsidR="0071054A" w:rsidRPr="00743A41" w:rsidTr="00847E25">
        <w:trPr>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hAnsiTheme="majorHAnsi" w:cstheme="majorHAnsi"/>
                <w:sz w:val="20"/>
                <w:szCs w:val="20"/>
              </w:rPr>
              <w:t>MPH-E1: Apply data collection and data management skills for an epidemiologic study</w:t>
            </w:r>
          </w:p>
        </w:tc>
      </w:tr>
      <w:tr w:rsidR="0071054A" w:rsidRPr="00743A41" w:rsidTr="00847E25">
        <w:trPr>
          <w:trHeight w:val="62"/>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Epidemiology, Student 3</w:t>
            </w:r>
            <w:r w:rsidRPr="00743A41">
              <w:rPr>
                <w:rFonts w:asciiTheme="majorHAnsi" w:eastAsia="Times New Roman" w:hAnsiTheme="majorHAnsi" w:cstheme="majorHAnsi"/>
                <w:sz w:val="20"/>
                <w:szCs w:val="20"/>
              </w:rPr>
              <w:t>: This student contributed to a state adolescent tobacco and marketing surveillance study. She designed an expansion of an existing study to characterize the use of tobacco with or without marijuana products among young adults. To do this, she developed a semi-structured interview guide and conducted interviews with a sub-set of study participants (MPH-1, MPH-E2, Product 1). Applying an awareness of cultural values, practices, and ethical principles, the student developed the following recruitment materials for the proposed study expansion: a participant interview guide, an eligibility form, and an informed consent form (MPH-8, MPH-E4, MPH-20, Products 2-4).</w:t>
            </w: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MPH-1: Apply epidemiological methods to the breadth of settings and situations in public health practice</w:t>
            </w:r>
          </w:p>
        </w:tc>
      </w:tr>
      <w:tr w:rsidR="0071054A" w:rsidRPr="00743A41" w:rsidTr="00847E25">
        <w:trPr>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MPH-8: Apply awareness of cultural values and practices to the design or implementation of public health policies or programs</w:t>
            </w:r>
          </w:p>
        </w:tc>
      </w:tr>
      <w:tr w:rsidR="0071054A" w:rsidRPr="00743A41" w:rsidTr="00847E25">
        <w:trPr>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pStyle w:val="Default"/>
              <w:rPr>
                <w:rFonts w:asciiTheme="majorHAnsi" w:hAnsiTheme="majorHAnsi" w:cstheme="majorHAnsi"/>
                <w:szCs w:val="20"/>
              </w:rPr>
            </w:pPr>
            <w:r w:rsidRPr="00743A41">
              <w:rPr>
                <w:rFonts w:asciiTheme="majorHAnsi" w:hAnsiTheme="majorHAnsi" w:cstheme="majorHAnsi"/>
                <w:szCs w:val="20"/>
              </w:rPr>
              <w:t>MPH-20: Describe the importance of cultural competence in communicating public health content</w:t>
            </w:r>
          </w:p>
        </w:tc>
      </w:tr>
      <w:tr w:rsidR="0071054A" w:rsidRPr="00743A41" w:rsidTr="00847E25">
        <w:trPr>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pStyle w:val="Default"/>
              <w:rPr>
                <w:rFonts w:asciiTheme="majorHAnsi" w:hAnsiTheme="majorHAnsi" w:cstheme="majorHAnsi"/>
                <w:szCs w:val="20"/>
              </w:rPr>
            </w:pPr>
            <w:r w:rsidRPr="00743A41">
              <w:rPr>
                <w:rFonts w:asciiTheme="majorHAnsi" w:hAnsiTheme="majorHAnsi" w:cstheme="majorHAnsi"/>
                <w:szCs w:val="20"/>
              </w:rPr>
              <w:t>MPH-E2: Demonstrate the application of epidemiology for informing etiologic research, public health surveillance, or screening programs</w:t>
            </w:r>
          </w:p>
        </w:tc>
      </w:tr>
      <w:tr w:rsidR="0071054A" w:rsidRPr="00743A41" w:rsidTr="00847E25">
        <w:trPr>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MPH-E4: Apply basic ethical principles pertaining to the collection, maintenance, use and dissemination of epidemiologic information</w:t>
            </w:r>
          </w:p>
        </w:tc>
      </w:tr>
      <w:tr w:rsidR="0071054A" w:rsidRPr="00743A41" w:rsidTr="00847E25">
        <w:trPr>
          <w:trHeight w:val="62"/>
        </w:trPr>
        <w:tc>
          <w:tcPr>
            <w:tcW w:w="2500" w:type="pct"/>
            <w:vMerge w:val="restart"/>
            <w:shd w:val="clear" w:color="auto" w:fill="auto"/>
          </w:tcPr>
          <w:p w:rsidR="0071054A" w:rsidRPr="00743A41" w:rsidRDefault="0071054A" w:rsidP="00A37ED6">
            <w:pPr>
              <w:rPr>
                <w:rFonts w:asciiTheme="majorHAnsi" w:eastAsia="Times New Roman" w:hAnsiTheme="majorHAnsi" w:cstheme="majorHAnsi"/>
                <w:i/>
                <w:sz w:val="20"/>
                <w:szCs w:val="20"/>
              </w:rPr>
            </w:pPr>
            <w:r w:rsidRPr="00743A41">
              <w:rPr>
                <w:rFonts w:asciiTheme="majorHAnsi" w:eastAsia="Times New Roman" w:hAnsiTheme="majorHAnsi" w:cstheme="majorHAnsi"/>
                <w:sz w:val="20"/>
                <w:szCs w:val="20"/>
                <w:u w:val="single"/>
              </w:rPr>
              <w:t>MPH Epidemiology, Student 4</w:t>
            </w:r>
            <w:r w:rsidRPr="00743A41">
              <w:rPr>
                <w:rFonts w:asciiTheme="majorHAnsi" w:eastAsia="Times New Roman" w:hAnsiTheme="majorHAnsi" w:cstheme="majorHAnsi"/>
                <w:sz w:val="20"/>
                <w:szCs w:val="20"/>
              </w:rPr>
              <w:t xml:space="preserve">: The student participated in a study to assess the acceptability and feasibility of weight management care via video visits (MPH-11). She analyzed and interpreted the qualitative and quantitative results of this study (MPH-1, MPH-3, MPH-4). She presented the finding orally in a poster presentation and a written report (MPH-19). In both products, the student concludes that the study supports the </w:t>
            </w:r>
            <w:r w:rsidRPr="00743A41">
              <w:rPr>
                <w:rFonts w:asciiTheme="majorHAnsi" w:eastAsia="Times New Roman" w:hAnsiTheme="majorHAnsi" w:cstheme="majorHAnsi"/>
                <w:color w:val="000000"/>
                <w:sz w:val="20"/>
                <w:szCs w:val="20"/>
              </w:rPr>
              <w:t>acceptability and feasibility of video visits in weight management care. In the report, she also identifies limitations of the study and describes how telehealth options can address the needs of the target population.</w:t>
            </w: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MPH-1: Apply epidemiological methods to the breadth of settings and situations in public health practice.</w:t>
            </w:r>
          </w:p>
        </w:tc>
      </w:tr>
      <w:tr w:rsidR="0071054A" w:rsidRPr="00743A41" w:rsidTr="00847E25">
        <w:trPr>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MPH-3: Analyze quantitative and qualitative data using biostatistics, informatics, computer-based programming and software, as appropriate</w:t>
            </w:r>
          </w:p>
        </w:tc>
      </w:tr>
      <w:tr w:rsidR="0071054A" w:rsidRPr="00743A41" w:rsidTr="00847E25">
        <w:trPr>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MPH-4: Interpret results of data analysis for public health research, policy or practice</w:t>
            </w:r>
          </w:p>
        </w:tc>
      </w:tr>
      <w:tr w:rsidR="0071054A" w:rsidRPr="00743A41" w:rsidTr="00847E25">
        <w:trPr>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MPH-11: Select methods to evaluate public health programs</w:t>
            </w:r>
          </w:p>
        </w:tc>
      </w:tr>
      <w:tr w:rsidR="0071054A" w:rsidRPr="00743A41" w:rsidTr="00847E25">
        <w:trPr>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MPH-19: Communicate audience-appropriate public health content, both in writing and through oral presentation</w:t>
            </w:r>
          </w:p>
        </w:tc>
      </w:tr>
      <w:tr w:rsidR="0071054A" w:rsidRPr="00743A41" w:rsidTr="00847E25">
        <w:trPr>
          <w:trHeight w:val="548"/>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Epidemiology, Student 5</w:t>
            </w:r>
            <w:r w:rsidRPr="00743A41">
              <w:rPr>
                <w:rFonts w:asciiTheme="majorHAnsi" w:eastAsia="Times New Roman" w:hAnsiTheme="majorHAnsi" w:cstheme="majorHAnsi"/>
                <w:sz w:val="20"/>
                <w:szCs w:val="20"/>
              </w:rPr>
              <w:t>:</w:t>
            </w:r>
            <w:r w:rsidRPr="00743A41">
              <w:rPr>
                <w:rFonts w:asciiTheme="majorHAnsi" w:eastAsia="Times New Roman" w:hAnsiTheme="majorHAnsi" w:cstheme="majorHAnsi"/>
                <w:i/>
                <w:sz w:val="20"/>
                <w:szCs w:val="20"/>
              </w:rPr>
              <w:t xml:space="preserve"> </w:t>
            </w:r>
            <w:r w:rsidRPr="00743A41">
              <w:rPr>
                <w:rFonts w:asciiTheme="majorHAnsi" w:hAnsiTheme="majorHAnsi" w:cstheme="majorHAnsi"/>
                <w:sz w:val="20"/>
                <w:szCs w:val="20"/>
              </w:rPr>
              <w:t>The student conducted her practicum at a non-profit organization that offers programs and services to individuals with intellectual and/or developmental disabilities (IDD). She used various biostatistical tools and software to analyze data from quality of life surveys (MPH-3).</w:t>
            </w:r>
            <w:r w:rsidRPr="00743A41">
              <w:rPr>
                <w:rFonts w:asciiTheme="majorHAnsi" w:hAnsiTheme="majorHAnsi" w:cstheme="majorHAnsi"/>
                <w:color w:val="000000"/>
                <w:sz w:val="20"/>
                <w:szCs w:val="20"/>
              </w:rPr>
              <w:t xml:space="preserve">  She then used her analysis to determine if at least 50% of IDD clients reported improved health and wellness measures (MPH-4). </w:t>
            </w:r>
            <w:r w:rsidRPr="00743A41">
              <w:rPr>
                <w:rFonts w:asciiTheme="majorHAnsi" w:hAnsiTheme="majorHAnsi" w:cstheme="majorHAnsi"/>
                <w:sz w:val="20"/>
                <w:szCs w:val="20"/>
              </w:rPr>
              <w:t xml:space="preserve">The purpose of this assessment was to assist the organization in developing health promotion programs and services that are data driven and meet the needs of clients (MPH-7, MPH-E2). In a report (Product 1) to her preceptor, </w:t>
            </w:r>
            <w:r w:rsidRPr="00743A41">
              <w:rPr>
                <w:rFonts w:asciiTheme="majorHAnsi" w:hAnsiTheme="majorHAnsi" w:cstheme="majorHAnsi"/>
                <w:color w:val="000000"/>
                <w:sz w:val="20"/>
                <w:szCs w:val="20"/>
              </w:rPr>
              <w:t>the student discussed her findings, identified limitations of the current study, and suggested improvements for future studies. She developed a poster (Product 2) and slide set (Product 3) of her assessment that the organization can use in an upcoming grant evaluation, board meeting, or research conference. The poster also included a geographic information systems (GIS) map illustrating the distribution of the organization’s case management clients (MPH-18).</w:t>
            </w: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MPH-3: Analyze quantitative and qualitative data using biostatistics, informatics, computer-based programming and software, as appropriate</w:t>
            </w:r>
          </w:p>
        </w:tc>
      </w:tr>
      <w:tr w:rsidR="0071054A" w:rsidRPr="00743A41" w:rsidTr="00847E25">
        <w:trPr>
          <w:trHeight w:val="62"/>
        </w:trPr>
        <w:tc>
          <w:tcPr>
            <w:tcW w:w="2500" w:type="pct"/>
            <w:vMerge/>
            <w:shd w:val="clear" w:color="auto" w:fill="FFFF00"/>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MPH-4: Interpret results of data analysis for public health research, policy or practice</w:t>
            </w:r>
          </w:p>
        </w:tc>
      </w:tr>
      <w:tr w:rsidR="0071054A" w:rsidRPr="00743A41" w:rsidTr="00847E25">
        <w:trPr>
          <w:trHeight w:val="62"/>
        </w:trPr>
        <w:tc>
          <w:tcPr>
            <w:tcW w:w="2500" w:type="pct"/>
            <w:vMerge/>
            <w:shd w:val="clear" w:color="auto" w:fill="FFFF00"/>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eastAsia="Times New Roman" w:hAnsiTheme="majorHAnsi" w:cstheme="majorHAnsi"/>
                <w:color w:val="000000"/>
                <w:sz w:val="20"/>
                <w:szCs w:val="20"/>
              </w:rPr>
            </w:pPr>
            <w:r w:rsidRPr="00743A41">
              <w:rPr>
                <w:rFonts w:asciiTheme="majorHAnsi" w:eastAsia="Times New Roman" w:hAnsiTheme="majorHAnsi" w:cstheme="majorHAnsi"/>
                <w:color w:val="000000"/>
                <w:sz w:val="20"/>
                <w:szCs w:val="20"/>
              </w:rPr>
              <w:t>MPH-7: Assess population needs, assets and capacities that affect communities’ health</w:t>
            </w:r>
          </w:p>
        </w:tc>
      </w:tr>
      <w:tr w:rsidR="0071054A" w:rsidRPr="00743A41" w:rsidTr="00847E25">
        <w:trPr>
          <w:trHeight w:val="62"/>
        </w:trPr>
        <w:tc>
          <w:tcPr>
            <w:tcW w:w="2500" w:type="pct"/>
            <w:vMerge/>
            <w:shd w:val="clear" w:color="auto" w:fill="FFFF00"/>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MPH-18: Select communication strategies for different audiences and sectors</w:t>
            </w:r>
          </w:p>
        </w:tc>
      </w:tr>
      <w:tr w:rsidR="0071054A" w:rsidRPr="00743A41" w:rsidTr="00847E25">
        <w:trPr>
          <w:trHeight w:val="62"/>
        </w:trPr>
        <w:tc>
          <w:tcPr>
            <w:tcW w:w="2500" w:type="pct"/>
            <w:vMerge/>
            <w:shd w:val="clear" w:color="auto" w:fill="FFFF00"/>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MPH-E2: Demonstrate the application of epidemiology for informing etiologic research, public health surveillance, or screening programs</w:t>
            </w:r>
          </w:p>
          <w:p w:rsidR="0071054A" w:rsidRPr="00743A41" w:rsidRDefault="0071054A" w:rsidP="00A37ED6">
            <w:pPr>
              <w:rPr>
                <w:rFonts w:asciiTheme="majorHAnsi" w:eastAsia="Times New Roman" w:hAnsiTheme="majorHAnsi" w:cstheme="majorHAnsi"/>
                <w:sz w:val="20"/>
                <w:szCs w:val="20"/>
              </w:rPr>
            </w:pPr>
          </w:p>
        </w:tc>
      </w:tr>
    </w:tbl>
    <w:p w:rsidR="0071054A" w:rsidRPr="00743A41" w:rsidRDefault="0071054A" w:rsidP="00A37ED6">
      <w:pPr>
        <w:rPr>
          <w:rFonts w:asciiTheme="majorHAnsi" w:hAnsiTheme="majorHAnsi" w:cstheme="majorHAnsi"/>
          <w:b/>
          <w:sz w:val="20"/>
          <w:szCs w:val="20"/>
        </w:rPr>
      </w:pPr>
    </w:p>
    <w:p w:rsidR="00CE31D6" w:rsidRPr="00743A41" w:rsidRDefault="00CE31D6" w:rsidP="00A37ED6">
      <w:pPr>
        <w:rPr>
          <w:rFonts w:asciiTheme="majorHAnsi" w:hAnsiTheme="majorHAnsi" w:cstheme="majorHAnsi"/>
          <w:b/>
          <w:sz w:val="20"/>
          <w:szCs w:val="20"/>
        </w:rPr>
      </w:pPr>
    </w:p>
    <w:p w:rsidR="00CE31D6" w:rsidRPr="00743A41" w:rsidRDefault="00CE31D6" w:rsidP="00A37ED6">
      <w:pPr>
        <w:rPr>
          <w:rFonts w:asciiTheme="majorHAnsi" w:hAnsiTheme="majorHAnsi" w:cstheme="majorHAnsi"/>
          <w:b/>
          <w:sz w:val="20"/>
          <w:szCs w:val="20"/>
        </w:rPr>
      </w:pPr>
    </w:p>
    <w:p w:rsidR="00CE31D6" w:rsidRPr="00743A41" w:rsidRDefault="00CE31D6" w:rsidP="00A37ED6">
      <w:pPr>
        <w:rPr>
          <w:rFonts w:asciiTheme="majorHAnsi" w:hAnsiTheme="majorHAnsi" w:cstheme="majorHAnsi"/>
          <w:b/>
          <w:sz w:val="20"/>
          <w:szCs w:val="20"/>
        </w:rPr>
      </w:pPr>
    </w:p>
    <w:p w:rsidR="00CE31D6" w:rsidRPr="00743A41" w:rsidRDefault="00CE31D6" w:rsidP="00A37ED6">
      <w:pPr>
        <w:rPr>
          <w:rFonts w:asciiTheme="majorHAnsi" w:hAnsiTheme="majorHAnsi" w:cstheme="majorHAnsi"/>
          <w:b/>
          <w:sz w:val="20"/>
          <w:szCs w:val="20"/>
        </w:rPr>
      </w:pPr>
    </w:p>
    <w:p w:rsidR="00CE31D6" w:rsidRPr="00743A41" w:rsidRDefault="00CE31D6" w:rsidP="00A37ED6">
      <w:pPr>
        <w:rPr>
          <w:rFonts w:asciiTheme="majorHAnsi" w:hAnsiTheme="majorHAnsi" w:cstheme="majorHAnsi"/>
          <w:b/>
          <w:sz w:val="20"/>
          <w:szCs w:val="20"/>
        </w:rPr>
      </w:pPr>
    </w:p>
    <w:p w:rsidR="00CE31D6" w:rsidRPr="00743A41" w:rsidRDefault="00CE31D6" w:rsidP="00A37ED6">
      <w:pPr>
        <w:rPr>
          <w:rFonts w:asciiTheme="majorHAnsi" w:hAnsiTheme="majorHAnsi" w:cstheme="majorHAnsi"/>
          <w:b/>
          <w:sz w:val="20"/>
          <w:szCs w:val="20"/>
        </w:rPr>
      </w:pPr>
    </w:p>
    <w:p w:rsidR="00CE31D6" w:rsidRPr="00743A41" w:rsidRDefault="00CE31D6" w:rsidP="00A37ED6">
      <w:pPr>
        <w:rPr>
          <w:rFonts w:asciiTheme="majorHAnsi" w:hAnsiTheme="majorHAnsi" w:cstheme="majorHAnsi"/>
          <w:b/>
          <w:sz w:val="20"/>
          <w:szCs w:val="20"/>
        </w:rPr>
      </w:pPr>
    </w:p>
    <w:p w:rsidR="0071054A" w:rsidRPr="0022361E" w:rsidRDefault="0071054A" w:rsidP="00A37ED6">
      <w:pPr>
        <w:ind w:left="720"/>
        <w:rPr>
          <w:rFonts w:asciiTheme="majorHAnsi" w:hAnsiTheme="majorHAnsi" w:cstheme="majorHAnsi"/>
          <w:b/>
          <w:sz w:val="20"/>
          <w:szCs w:val="20"/>
        </w:rPr>
      </w:pPr>
      <w:r w:rsidRPr="0022361E">
        <w:rPr>
          <w:rFonts w:asciiTheme="majorHAnsi" w:hAnsiTheme="majorHAnsi" w:cstheme="majorHAnsi"/>
          <w:sz w:val="20"/>
          <w:szCs w:val="20"/>
        </w:rPr>
        <w:t>D.5.3.f. Practice-Based Products that Demonstrate MPH Competency Attainment, MPH in Health Promotion/Health Education</w:t>
      </w:r>
      <w:r w:rsidR="00857992" w:rsidRPr="0022361E">
        <w:rPr>
          <w:rFonts w:asciiTheme="majorHAnsi" w:hAnsiTheme="majorHAnsi" w:cstheme="majorHAnsi"/>
          <w:b/>
          <w:sz w:val="20"/>
          <w:szCs w:val="20"/>
        </w:rPr>
        <w:t xml:space="preserve"> </w:t>
      </w:r>
      <w:r w:rsidR="00857992" w:rsidRPr="0022361E">
        <w:rPr>
          <w:rFonts w:asciiTheme="majorHAnsi" w:eastAsia="Arial Unicode MS" w:hAnsiTheme="majorHAnsi" w:cstheme="majorHAnsi"/>
          <w:sz w:val="20"/>
          <w:szCs w:val="20"/>
        </w:rPr>
        <w:t>(</w:t>
      </w:r>
      <w:r w:rsidR="00857992" w:rsidRPr="0022361E">
        <w:rPr>
          <w:rFonts w:asciiTheme="majorHAnsi" w:eastAsia="Arial Unicode MS" w:hAnsiTheme="majorHAnsi" w:cstheme="majorHAnsi"/>
          <w:i/>
          <w:sz w:val="20"/>
          <w:szCs w:val="20"/>
        </w:rPr>
        <w:t>ERF, D5.3. Practice-Based Products that Demonstrate MPH Competency Achievement, MPH Health Promotion/Health Education</w:t>
      </w:r>
      <w:r w:rsidR="00857992" w:rsidRPr="0022361E">
        <w:rPr>
          <w:rFonts w:asciiTheme="majorHAnsi" w:eastAsia="Arial Unicode MS" w:hAnsiTheme="majorHAnsi" w:cstheme="majorHAnsi"/>
          <w:sz w:val="20"/>
          <w:szCs w:val="20"/>
        </w:rPr>
        <w:t>)</w:t>
      </w: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4320"/>
      </w:tblGrid>
      <w:tr w:rsidR="0071054A" w:rsidRPr="00743A41" w:rsidTr="00847E25">
        <w:trPr>
          <w:trHeight w:val="328"/>
        </w:trPr>
        <w:tc>
          <w:tcPr>
            <w:tcW w:w="2500" w:type="pct"/>
            <w:shd w:val="clear" w:color="000000" w:fill="D9D9D9"/>
            <w:vAlign w:val="center"/>
            <w:hideMark/>
          </w:tcPr>
          <w:p w:rsidR="0071054A" w:rsidRPr="00743A41" w:rsidRDefault="0071054A"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Specific products in portfolio that demonstrate application or practice</w:t>
            </w:r>
          </w:p>
        </w:tc>
        <w:tc>
          <w:tcPr>
            <w:tcW w:w="2500" w:type="pct"/>
            <w:shd w:val="clear" w:color="000000" w:fill="D9D9D9"/>
            <w:vAlign w:val="center"/>
            <w:hideMark/>
          </w:tcPr>
          <w:p w:rsidR="0071054A" w:rsidRPr="00743A41" w:rsidRDefault="00974D1C"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 xml:space="preserve">Competency as defined in </w:t>
            </w:r>
            <w:hyperlink w:anchor="_D2._MPH_Foundational_1" w:history="1">
              <w:r w:rsidRPr="00743A41">
                <w:rPr>
                  <w:rStyle w:val="Hyperlink"/>
                  <w:rFonts w:asciiTheme="majorHAnsi" w:eastAsia="Times New Roman" w:hAnsiTheme="majorHAnsi" w:cstheme="majorHAnsi"/>
                  <w:b/>
                  <w:bCs/>
                  <w:sz w:val="20"/>
                  <w:szCs w:val="20"/>
                </w:rPr>
                <w:t>Criterion D2</w:t>
              </w:r>
            </w:hyperlink>
            <w:r w:rsidRPr="00743A41">
              <w:rPr>
                <w:rFonts w:asciiTheme="majorHAnsi" w:eastAsia="Times New Roman" w:hAnsiTheme="majorHAnsi" w:cstheme="majorHAnsi"/>
                <w:b/>
                <w:bCs/>
                <w:sz w:val="20"/>
                <w:szCs w:val="20"/>
              </w:rPr>
              <w:t xml:space="preserve"> and </w:t>
            </w:r>
            <w:hyperlink w:anchor="_D4._MPH_&amp;" w:history="1">
              <w:r w:rsidRPr="00743A41">
                <w:rPr>
                  <w:rStyle w:val="Hyperlink"/>
                  <w:rFonts w:asciiTheme="majorHAnsi" w:eastAsia="Times New Roman" w:hAnsiTheme="majorHAnsi" w:cstheme="majorHAnsi"/>
                  <w:b/>
                  <w:bCs/>
                  <w:sz w:val="20"/>
                  <w:szCs w:val="20"/>
                </w:rPr>
                <w:t>Criterion D4</w:t>
              </w:r>
            </w:hyperlink>
          </w:p>
        </w:tc>
      </w:tr>
      <w:tr w:rsidR="0071054A" w:rsidRPr="00743A41" w:rsidTr="00847E25">
        <w:trPr>
          <w:cantSplit/>
          <w:trHeight w:val="80"/>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Health Promotion/Health Education, Student 1</w:t>
            </w:r>
            <w:r w:rsidRPr="00743A41">
              <w:rPr>
                <w:rFonts w:asciiTheme="majorHAnsi" w:eastAsia="Times New Roman" w:hAnsiTheme="majorHAnsi" w:cstheme="majorHAnsi"/>
                <w:sz w:val="20"/>
                <w:szCs w:val="20"/>
              </w:rPr>
              <w:t>:</w:t>
            </w:r>
            <w:r w:rsidRPr="00743A41">
              <w:rPr>
                <w:rFonts w:asciiTheme="majorHAnsi" w:eastAsia="Times New Roman" w:hAnsiTheme="majorHAnsi" w:cstheme="majorHAnsi"/>
                <w:i/>
                <w:sz w:val="20"/>
                <w:szCs w:val="20"/>
              </w:rPr>
              <w:t xml:space="preserve"> </w:t>
            </w:r>
            <w:r w:rsidRPr="00743A41">
              <w:rPr>
                <w:rFonts w:asciiTheme="majorHAnsi" w:eastAsia="Times New Roman" w:hAnsiTheme="majorHAnsi" w:cstheme="majorHAnsi"/>
                <w:sz w:val="20"/>
                <w:szCs w:val="20"/>
              </w:rPr>
              <w:t>This student conducted her practicum in the nutrition and chronic disease prevention office of a county health department. She collected qualitative data to assess nine health indicators and identified food deserts in Harris County (MPH-7, MPH-H1). She also contributed to the Education, After School, and Early Childhood activity sector of an “Active Living Plan” (MPH-13, Product 9). Her practicum yielded several products: a series of intervention materials, appropriate for a lay audience and designed to support the Texas Healthy Communities project (MPH-18, MPH-19, Products 1-5); the results of a community needs assessment (Products 6-7); a poster presentation (Product 8); and, an “Active Living Plan” with recommendations for various societal sectors (Product 9).</w:t>
            </w: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eastAsia="Times New Roman" w:hAnsiTheme="majorHAnsi" w:cstheme="majorHAnsi"/>
                <w:color w:val="000000"/>
                <w:sz w:val="20"/>
                <w:szCs w:val="20"/>
              </w:rPr>
              <w:t>MPH-7: Assess population needs, assets and capacities that affect communities’ health</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eastAsia="Times New Roman" w:hAnsiTheme="majorHAnsi" w:cstheme="majorHAnsi"/>
                <w:color w:val="000000"/>
                <w:sz w:val="20"/>
                <w:szCs w:val="20"/>
              </w:rPr>
              <w:t>MPH-13: Propose strategies to identify stakeholders and build coalitions and partnerships for influencing public health outcomes</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MPH-18: Select communication strategies for different audiences and sectors</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MPH-19: Communicate audience-appropriate public health content, both in writing and through oral presentation</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MPH-H1: Conduct a needs assessment in partnership with stakeholders to address a public health issue</w:t>
            </w:r>
          </w:p>
        </w:tc>
      </w:tr>
      <w:tr w:rsidR="0071054A" w:rsidRPr="00743A41" w:rsidTr="00847E25">
        <w:trPr>
          <w:cantSplit/>
          <w:trHeight w:val="197"/>
        </w:trPr>
        <w:tc>
          <w:tcPr>
            <w:tcW w:w="2500" w:type="pct"/>
            <w:vMerge w:val="restart"/>
            <w:shd w:val="clear" w:color="auto" w:fill="auto"/>
          </w:tcPr>
          <w:p w:rsidR="0071054A" w:rsidRPr="00743A41" w:rsidRDefault="0071054A" w:rsidP="00A37ED6">
            <w:pPr>
              <w:rPr>
                <w:rFonts w:asciiTheme="majorHAnsi" w:eastAsia="Times New Roman" w:hAnsiTheme="majorHAnsi" w:cstheme="majorHAnsi"/>
                <w:i/>
                <w:sz w:val="20"/>
                <w:szCs w:val="20"/>
              </w:rPr>
            </w:pPr>
            <w:r w:rsidRPr="00743A41">
              <w:rPr>
                <w:rFonts w:asciiTheme="majorHAnsi" w:eastAsia="Times New Roman" w:hAnsiTheme="majorHAnsi" w:cstheme="majorHAnsi"/>
                <w:sz w:val="20"/>
                <w:szCs w:val="20"/>
                <w:u w:val="single"/>
              </w:rPr>
              <w:t>MPH Health Promotion/Health Education, Student 2</w:t>
            </w:r>
            <w:r w:rsidRPr="00743A41">
              <w:rPr>
                <w:rFonts w:asciiTheme="majorHAnsi" w:eastAsia="Times New Roman" w:hAnsiTheme="majorHAnsi" w:cstheme="majorHAnsi"/>
                <w:sz w:val="20"/>
                <w:szCs w:val="20"/>
              </w:rPr>
              <w:t xml:space="preserve">: </w:t>
            </w:r>
            <w:r w:rsidRPr="00743A41">
              <w:rPr>
                <w:rFonts w:asciiTheme="majorHAnsi" w:eastAsia="Times New Roman" w:hAnsiTheme="majorHAnsi" w:cstheme="majorHAnsi"/>
                <w:color w:val="000000"/>
                <w:sz w:val="20"/>
                <w:szCs w:val="20"/>
              </w:rPr>
              <w:t xml:space="preserve">This student traveled to Ethiopia to complete her practicum with an international non-profit organization. She contributed to a project that used an intervention model to reduce maternal, newborn, and child mortality in the Segen Area Peoples Zone. She used the results from 3 in-country studies to evaluate the effectiveness of the project on youth knowledge to access information about sex, STIs, and contraception (MPH-H5, MPH-4, MPH-15, MPH-19),  She discussed the success of this project in a policy brief to </w:t>
            </w:r>
            <w:r w:rsidRPr="00743A41">
              <w:rPr>
                <w:rFonts w:asciiTheme="majorHAnsi" w:eastAsia="Times New Roman" w:hAnsiTheme="majorHAnsi" w:cstheme="majorHAnsi"/>
                <w:sz w:val="20"/>
                <w:szCs w:val="20"/>
              </w:rPr>
              <w:t xml:space="preserve">raise awareness, influence opinion, and advocate for integrated health projects for improved health outcomes (MPH-14, MPH-19). In a presentation, she evaluates the </w:t>
            </w:r>
            <w:r w:rsidRPr="00743A41">
              <w:rPr>
                <w:rFonts w:asciiTheme="majorHAnsi" w:hAnsiTheme="majorHAnsi" w:cstheme="majorHAnsi"/>
                <w:sz w:val="20"/>
                <w:szCs w:val="20"/>
              </w:rPr>
              <w:t>project’s results, effectiveness, sustainability, and impacts.</w:t>
            </w: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eastAsia="Times New Roman" w:hAnsiTheme="majorHAnsi" w:cstheme="majorHAnsi"/>
                <w:color w:val="000000"/>
                <w:sz w:val="20"/>
                <w:szCs w:val="20"/>
              </w:rPr>
              <w:t>MPH-4: Interpret results of data analysis for public health research, policy or practice</w:t>
            </w:r>
          </w:p>
        </w:tc>
      </w:tr>
      <w:tr w:rsidR="0071054A" w:rsidRPr="00743A41" w:rsidTr="00847E25">
        <w:trPr>
          <w:cantSplit/>
          <w:trHeight w:val="215"/>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eastAsia="Times New Roman" w:hAnsiTheme="majorHAnsi" w:cstheme="majorHAnsi"/>
                <w:color w:val="000000"/>
                <w:sz w:val="20"/>
                <w:szCs w:val="20"/>
              </w:rPr>
              <w:t>MPH-14: Advocate for political, social, or economic policies and programs that will improve health in diverse populations</w:t>
            </w:r>
          </w:p>
        </w:tc>
      </w:tr>
      <w:tr w:rsidR="0071054A" w:rsidRPr="00743A41" w:rsidTr="00847E25">
        <w:trPr>
          <w:cantSplit/>
          <w:trHeight w:val="197"/>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eastAsia="Times New Roman" w:hAnsiTheme="majorHAnsi" w:cstheme="majorHAnsi"/>
                <w:color w:val="000000"/>
                <w:sz w:val="20"/>
                <w:szCs w:val="20"/>
              </w:rPr>
              <w:t>MPH-15: Evaluate policies for their impact on public health and health equity</w:t>
            </w:r>
          </w:p>
        </w:tc>
      </w:tr>
      <w:tr w:rsidR="0071054A" w:rsidRPr="00743A41" w:rsidTr="00847E25">
        <w:trPr>
          <w:cantSplit/>
          <w:trHeight w:val="7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eastAsia="Times New Roman" w:hAnsiTheme="majorHAnsi" w:cstheme="majorHAnsi"/>
                <w:color w:val="000000"/>
                <w:sz w:val="20"/>
                <w:szCs w:val="20"/>
              </w:rPr>
              <w:t>MPH-19: Communicate audience-appropriate public health content, both in writing and through oral presentation</w:t>
            </w:r>
          </w:p>
        </w:tc>
      </w:tr>
      <w:tr w:rsidR="0071054A" w:rsidRPr="00743A41" w:rsidTr="00847E25">
        <w:trPr>
          <w:cantSplit/>
          <w:trHeight w:val="188"/>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MPH-H5: Describe a plan to evaluate a health promotion intervention</w:t>
            </w:r>
          </w:p>
        </w:tc>
      </w:tr>
      <w:tr w:rsidR="0071054A" w:rsidRPr="00743A41" w:rsidTr="00847E25">
        <w:trPr>
          <w:cantSplit/>
          <w:trHeight w:val="530"/>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Health Promotion/Health Education, Student 3</w:t>
            </w:r>
            <w:r w:rsidRPr="00743A41">
              <w:rPr>
                <w:rFonts w:asciiTheme="majorHAnsi" w:eastAsia="Times New Roman" w:hAnsiTheme="majorHAnsi" w:cstheme="majorHAnsi"/>
                <w:sz w:val="20"/>
                <w:szCs w:val="20"/>
              </w:rPr>
              <w:t>: This student assessed the needs of residents (MPH-7, MPH-H1) in Foundation Communities, a nonprofit organization that provides affordable housing and support services to veterans, seniors, individuals with disabilities, and families with children. She provided her host site with multiple products. She conducted preliminary analysis of a random sample of households to assess the needs of residents and determine effective affordable housing initiatives (Product 1).  Using STATA software, she analyzed and interpreted qualitative and quantitative data to develop a content analysis of staff perceptions of resident health needs, programming requests, and engagement strategies (MPH-3, MPH-4, Product 2). In addition, she created flyers (Products 6-7), client intake forms in English and Spanish (Products 4-5), and an infographic on the social determinants of public health (MPH-19, Product 3).</w:t>
            </w: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MPH-3: Analyze quantitative and qualitative data using biostatistics, informatics, computer-based programming and software, as appropriate</w:t>
            </w:r>
          </w:p>
        </w:tc>
      </w:tr>
      <w:tr w:rsidR="0071054A" w:rsidRPr="00743A41" w:rsidTr="00847E25">
        <w:trPr>
          <w:cantSplit/>
          <w:trHeight w:val="503"/>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MPH-4: Interpret results of data analysis for public health research, policy or practice</w:t>
            </w:r>
          </w:p>
        </w:tc>
      </w:tr>
      <w:tr w:rsidR="0071054A" w:rsidRPr="00743A41" w:rsidTr="00847E25">
        <w:trPr>
          <w:cantSplit/>
          <w:trHeight w:val="503"/>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MPH-7: Assess population needs, assets and capacities that affect</w:t>
            </w:r>
          </w:p>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communities’ health</w:t>
            </w:r>
          </w:p>
        </w:tc>
      </w:tr>
      <w:tr w:rsidR="0071054A" w:rsidRPr="00743A41" w:rsidTr="00847E25">
        <w:trPr>
          <w:cantSplit/>
          <w:trHeight w:val="53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MPH-19: Communicate audience-appropriate public health content, both in writing and through oral presentation</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MPH-H1: Conduct a needs assessment in partnership with stakeholders to address a public health issue</w:t>
            </w:r>
          </w:p>
        </w:tc>
      </w:tr>
      <w:tr w:rsidR="0071054A" w:rsidRPr="00743A41" w:rsidTr="00847E25">
        <w:trPr>
          <w:cantSplit/>
          <w:trHeight w:val="80"/>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Health Promotion/Health Education, Student 4</w:t>
            </w:r>
            <w:r w:rsidRPr="00743A41">
              <w:rPr>
                <w:rFonts w:asciiTheme="majorHAnsi" w:eastAsia="Times New Roman" w:hAnsiTheme="majorHAnsi" w:cstheme="majorHAnsi"/>
                <w:sz w:val="20"/>
                <w:szCs w:val="20"/>
              </w:rPr>
              <w:t>:</w:t>
            </w:r>
            <w:r w:rsidRPr="00743A41">
              <w:rPr>
                <w:rFonts w:asciiTheme="majorHAnsi" w:eastAsia="Times New Roman" w:hAnsiTheme="majorHAnsi" w:cstheme="majorHAnsi"/>
                <w:i/>
                <w:sz w:val="20"/>
                <w:szCs w:val="20"/>
              </w:rPr>
              <w:t xml:space="preserve"> </w:t>
            </w:r>
            <w:r w:rsidRPr="00743A41">
              <w:rPr>
                <w:rFonts w:asciiTheme="majorHAnsi" w:eastAsia="Times New Roman" w:hAnsiTheme="majorHAnsi" w:cstheme="majorHAnsi"/>
                <w:sz w:val="20"/>
                <w:szCs w:val="20"/>
              </w:rPr>
              <w:t xml:space="preserve">This student assessed an Integrated Treatment Program </w:t>
            </w:r>
            <w:r w:rsidR="00603CA6" w:rsidRPr="00743A41">
              <w:rPr>
                <w:rFonts w:asciiTheme="majorHAnsi" w:eastAsia="Times New Roman" w:hAnsiTheme="majorHAnsi" w:cstheme="majorHAnsi"/>
                <w:sz w:val="20"/>
                <w:szCs w:val="20"/>
              </w:rPr>
              <w:t>by applying</w:t>
            </w:r>
            <w:r w:rsidRPr="00743A41">
              <w:rPr>
                <w:rFonts w:asciiTheme="majorHAnsi" w:eastAsia="Times New Roman" w:hAnsiTheme="majorHAnsi" w:cstheme="majorHAnsi"/>
                <w:sz w:val="20"/>
                <w:szCs w:val="20"/>
              </w:rPr>
              <w:t xml:space="preserve"> the Chronic Care Model to evaluate peer coaching in a dual-diagnosis drug and mental health treatment program for residents of a transitional homeless shelter (MPH-11, MPH-H5). To evaluate the use of peer-coaching in the organization’s integrated treatment program, the student designed two surveys (Products 1-2): the first survey evaluates the ITP’s support for client care (from the perspective of the peer coach); the second survey evaluates the quality of care (from the perspective of clients) (MPH-18). Analyzing data gathered from these surveys, the student interpreted his findings and identified areas of improvement in a report to the organization (MPH-1, MPH-4, Product 3). </w:t>
            </w: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MPH-1: Apply epidemiological methods to the breadth of settings and situations in public health practice</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MPH-4: Interpret results of data analysis for public health research,</w:t>
            </w:r>
          </w:p>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policy or practice</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MPH-11: Select methods to evaluate public health programs</w:t>
            </w:r>
          </w:p>
        </w:tc>
      </w:tr>
      <w:tr w:rsidR="0071054A" w:rsidRPr="00743A41" w:rsidTr="00847E25">
        <w:trPr>
          <w:cantSplit/>
          <w:trHeight w:val="26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MPH-18: Select communication strategies for different audiences and sectors</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MPH-H5: Describe a plan to evaluate a health promotion intervention</w:t>
            </w:r>
          </w:p>
        </w:tc>
      </w:tr>
      <w:tr w:rsidR="0071054A" w:rsidRPr="00743A41" w:rsidTr="00847E25">
        <w:trPr>
          <w:cantSplit/>
          <w:trHeight w:val="256"/>
        </w:trPr>
        <w:tc>
          <w:tcPr>
            <w:tcW w:w="2500" w:type="pct"/>
            <w:vMerge w:val="restart"/>
            <w:shd w:val="clear" w:color="auto" w:fill="auto"/>
          </w:tcPr>
          <w:p w:rsidR="0071054A" w:rsidRPr="00743A41" w:rsidRDefault="0071054A" w:rsidP="00A37ED6">
            <w:pPr>
              <w:rPr>
                <w:rFonts w:asciiTheme="majorHAnsi" w:eastAsia="Times New Roman" w:hAnsiTheme="majorHAnsi" w:cstheme="majorHAnsi"/>
                <w:color w:val="000000"/>
                <w:sz w:val="20"/>
                <w:szCs w:val="20"/>
              </w:rPr>
            </w:pPr>
            <w:r w:rsidRPr="00743A41">
              <w:rPr>
                <w:rFonts w:asciiTheme="majorHAnsi" w:eastAsia="Times New Roman" w:hAnsiTheme="majorHAnsi" w:cstheme="majorHAnsi"/>
                <w:sz w:val="20"/>
                <w:szCs w:val="20"/>
                <w:u w:val="single"/>
              </w:rPr>
              <w:t>MPH Health Promotion/Health Education, Student 5</w:t>
            </w:r>
            <w:r w:rsidRPr="00743A41">
              <w:rPr>
                <w:rFonts w:asciiTheme="majorHAnsi" w:eastAsia="Times New Roman" w:hAnsiTheme="majorHAnsi" w:cstheme="majorHAnsi"/>
                <w:sz w:val="20"/>
                <w:szCs w:val="20"/>
              </w:rPr>
              <w:t>:</w:t>
            </w:r>
            <w:r w:rsidRPr="00743A41">
              <w:rPr>
                <w:rFonts w:asciiTheme="majorHAnsi" w:eastAsia="Times New Roman" w:hAnsiTheme="majorHAnsi" w:cstheme="majorHAnsi"/>
                <w:i/>
                <w:sz w:val="20"/>
                <w:szCs w:val="20"/>
              </w:rPr>
              <w:t xml:space="preserve"> </w:t>
            </w:r>
            <w:r w:rsidRPr="00743A41">
              <w:rPr>
                <w:rFonts w:asciiTheme="majorHAnsi" w:eastAsia="Times New Roman" w:hAnsiTheme="majorHAnsi" w:cstheme="majorHAnsi"/>
                <w:sz w:val="20"/>
                <w:szCs w:val="20"/>
              </w:rPr>
              <w:t xml:space="preserve">This student worked with a non-profit that provides health and education resources to women and children of a predominantly immigrant and refugee population. For her practicum, this student co-designed a pilot program that delivers social and emotional learning workshops to adolescent girls in the community. She developed a </w:t>
            </w:r>
            <w:r w:rsidRPr="00743A41">
              <w:rPr>
                <w:rFonts w:asciiTheme="majorHAnsi" w:eastAsia="Times New Roman" w:hAnsiTheme="majorHAnsi" w:cstheme="majorHAnsi"/>
                <w:color w:val="000000"/>
                <w:sz w:val="20"/>
                <w:szCs w:val="20"/>
              </w:rPr>
              <w:t xml:space="preserve">curriculum to help these girls improve their communication skills, assimilate to a new culture, and improve their social and emotional wellbeing (MPH-9, Product 2). In a report, she evaluates the results of mental health assessment surveys, which were administrated to clients (MPH-4), In a report (Product 1), the student </w:t>
            </w:r>
            <w:r w:rsidR="00603CA6" w:rsidRPr="00743A41">
              <w:rPr>
                <w:rFonts w:asciiTheme="majorHAnsi" w:eastAsia="Times New Roman" w:hAnsiTheme="majorHAnsi" w:cstheme="majorHAnsi"/>
                <w:color w:val="000000"/>
                <w:sz w:val="20"/>
                <w:szCs w:val="20"/>
              </w:rPr>
              <w:t>describes strengths</w:t>
            </w:r>
            <w:r w:rsidRPr="00743A41">
              <w:rPr>
                <w:rFonts w:asciiTheme="majorHAnsi" w:eastAsia="Times New Roman" w:hAnsiTheme="majorHAnsi" w:cstheme="majorHAnsi"/>
                <w:color w:val="000000"/>
                <w:sz w:val="20"/>
                <w:szCs w:val="20"/>
              </w:rPr>
              <w:t xml:space="preserve"> and challenges of the program and a mid-course adjustment to accommodate the cultural values of the clients (MPH-8). To determine the efficacy of the program, the student assessed scores from pre- and post-workshop assessments and noted increases in self-efficacy scores after Workshop #5 and Workshop #21 (MPH-H5, MPH-11).</w:t>
            </w: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MPH-4: Interpret results of data analysis for public health research,</w:t>
            </w:r>
          </w:p>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policy or practice</w:t>
            </w:r>
          </w:p>
        </w:tc>
      </w:tr>
      <w:tr w:rsidR="0071054A" w:rsidRPr="00743A41" w:rsidTr="00847E25">
        <w:trPr>
          <w:cantSplit/>
          <w:trHeight w:val="256"/>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MPH-8: Apply awareness of cultural values and practices to the design or implementation of public health policies or programs</w:t>
            </w:r>
          </w:p>
        </w:tc>
      </w:tr>
      <w:tr w:rsidR="0071054A" w:rsidRPr="00743A41" w:rsidTr="00847E25">
        <w:trPr>
          <w:cantSplit/>
          <w:trHeight w:val="256"/>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MPH-9: Design a population-based policy, program, project or intervention</w:t>
            </w:r>
          </w:p>
        </w:tc>
      </w:tr>
      <w:tr w:rsidR="0071054A" w:rsidRPr="00743A41" w:rsidTr="00847E25">
        <w:trPr>
          <w:cantSplit/>
          <w:trHeight w:val="256"/>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MPH-11: Select methods to evaluate public health programs</w:t>
            </w:r>
          </w:p>
        </w:tc>
      </w:tr>
      <w:tr w:rsidR="0071054A" w:rsidRPr="00743A41" w:rsidTr="00847E25">
        <w:trPr>
          <w:cantSplit/>
          <w:trHeight w:val="256"/>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MPH-H5: Describe a plan to evaluate a health promotion intervention</w:t>
            </w:r>
          </w:p>
        </w:tc>
      </w:tr>
    </w:tbl>
    <w:p w:rsidR="0071054A" w:rsidRPr="00743A41" w:rsidRDefault="0071054A" w:rsidP="00A37ED6">
      <w:pPr>
        <w:spacing w:after="120"/>
        <w:rPr>
          <w:rFonts w:asciiTheme="majorHAnsi" w:hAnsiTheme="majorHAnsi" w:cstheme="majorHAnsi"/>
          <w:b/>
          <w:sz w:val="20"/>
          <w:szCs w:val="20"/>
        </w:rPr>
      </w:pPr>
    </w:p>
    <w:p w:rsidR="006B6FB4" w:rsidRPr="00743A41" w:rsidRDefault="006B6FB4" w:rsidP="00A37ED6">
      <w:pPr>
        <w:spacing w:after="120"/>
        <w:rPr>
          <w:rFonts w:asciiTheme="majorHAnsi" w:hAnsiTheme="majorHAnsi" w:cstheme="majorHAnsi"/>
          <w:b/>
          <w:sz w:val="20"/>
          <w:szCs w:val="20"/>
        </w:rPr>
      </w:pPr>
    </w:p>
    <w:p w:rsidR="0071054A" w:rsidRPr="0022361E" w:rsidRDefault="0071054A" w:rsidP="00A37ED6">
      <w:pPr>
        <w:ind w:left="720"/>
        <w:rPr>
          <w:rFonts w:asciiTheme="majorHAnsi" w:hAnsiTheme="majorHAnsi" w:cstheme="majorHAnsi"/>
          <w:b/>
          <w:sz w:val="20"/>
          <w:szCs w:val="20"/>
        </w:rPr>
      </w:pPr>
      <w:r w:rsidRPr="0022361E">
        <w:rPr>
          <w:rFonts w:asciiTheme="majorHAnsi" w:hAnsiTheme="majorHAnsi" w:cstheme="majorHAnsi"/>
          <w:sz w:val="20"/>
          <w:szCs w:val="20"/>
        </w:rPr>
        <w:t>D.5.3.g. Practice-Based Products that Demonstrate MPH Competency Attainment, MPH in Health Promotion/Health Education, Dietetic Internship Track</w:t>
      </w:r>
      <w:r w:rsidR="00355BF1" w:rsidRPr="0022361E">
        <w:rPr>
          <w:rFonts w:asciiTheme="majorHAnsi" w:hAnsiTheme="majorHAnsi" w:cstheme="majorHAnsi"/>
          <w:b/>
          <w:sz w:val="20"/>
          <w:szCs w:val="20"/>
        </w:rPr>
        <w:t xml:space="preserve"> </w:t>
      </w:r>
      <w:r w:rsidR="00355BF1" w:rsidRPr="0022361E">
        <w:rPr>
          <w:rFonts w:asciiTheme="majorHAnsi" w:eastAsia="Arial Unicode MS" w:hAnsiTheme="majorHAnsi" w:cstheme="majorHAnsi"/>
          <w:sz w:val="20"/>
          <w:szCs w:val="20"/>
        </w:rPr>
        <w:t>(</w:t>
      </w:r>
      <w:r w:rsidR="00355BF1" w:rsidRPr="0022361E">
        <w:rPr>
          <w:rFonts w:asciiTheme="majorHAnsi" w:eastAsia="Arial Unicode MS" w:hAnsiTheme="majorHAnsi" w:cstheme="majorHAnsi"/>
          <w:i/>
          <w:sz w:val="20"/>
          <w:szCs w:val="20"/>
        </w:rPr>
        <w:t>ERF, D5.3. Practice-Based Products that Demonstrate MPH Competency Achievement, MPH Health Promotion/Health Education, Dietetic Internship</w:t>
      </w:r>
      <w:r w:rsidR="002F3BAC" w:rsidRPr="0022361E">
        <w:rPr>
          <w:rFonts w:asciiTheme="majorHAnsi" w:eastAsia="Arial Unicode MS" w:hAnsiTheme="majorHAnsi" w:cstheme="majorHAnsi"/>
          <w:i/>
          <w:sz w:val="20"/>
          <w:szCs w:val="20"/>
        </w:rPr>
        <w:t xml:space="preserve"> Track</w:t>
      </w:r>
      <w:r w:rsidR="00355BF1" w:rsidRPr="0022361E">
        <w:rPr>
          <w:rFonts w:asciiTheme="majorHAnsi" w:eastAsia="Arial Unicode MS" w:hAnsiTheme="majorHAnsi" w:cstheme="majorHAnsi"/>
          <w:sz w:val="20"/>
          <w:szCs w:val="20"/>
        </w:rPr>
        <w:t>)</w:t>
      </w: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4320"/>
      </w:tblGrid>
      <w:tr w:rsidR="0071054A" w:rsidRPr="00743A41" w:rsidTr="00847E25">
        <w:trPr>
          <w:cantSplit/>
          <w:trHeight w:val="328"/>
          <w:tblHeader/>
        </w:trPr>
        <w:tc>
          <w:tcPr>
            <w:tcW w:w="2500" w:type="pct"/>
            <w:shd w:val="clear" w:color="000000" w:fill="D9D9D9"/>
            <w:vAlign w:val="center"/>
            <w:hideMark/>
          </w:tcPr>
          <w:p w:rsidR="0071054A" w:rsidRPr="00743A41" w:rsidRDefault="0071054A"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Specific products in portfolio that demonstrate application or practice</w:t>
            </w:r>
          </w:p>
        </w:tc>
        <w:tc>
          <w:tcPr>
            <w:tcW w:w="2500" w:type="pct"/>
            <w:shd w:val="clear" w:color="000000" w:fill="D9D9D9"/>
            <w:vAlign w:val="center"/>
            <w:hideMark/>
          </w:tcPr>
          <w:p w:rsidR="0071054A" w:rsidRPr="00743A41" w:rsidRDefault="00974D1C"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 xml:space="preserve">Competency as defined in </w:t>
            </w:r>
            <w:hyperlink w:anchor="_D2._MPH_Foundational_1" w:history="1">
              <w:r w:rsidRPr="00743A41">
                <w:rPr>
                  <w:rStyle w:val="Hyperlink"/>
                  <w:rFonts w:asciiTheme="majorHAnsi" w:eastAsia="Times New Roman" w:hAnsiTheme="majorHAnsi" w:cstheme="majorHAnsi"/>
                  <w:b/>
                  <w:bCs/>
                  <w:sz w:val="20"/>
                  <w:szCs w:val="20"/>
                </w:rPr>
                <w:t>Criterion D2</w:t>
              </w:r>
            </w:hyperlink>
            <w:r w:rsidRPr="00743A41">
              <w:rPr>
                <w:rFonts w:asciiTheme="majorHAnsi" w:eastAsia="Times New Roman" w:hAnsiTheme="majorHAnsi" w:cstheme="majorHAnsi"/>
                <w:b/>
                <w:bCs/>
                <w:sz w:val="20"/>
                <w:szCs w:val="20"/>
              </w:rPr>
              <w:t xml:space="preserve"> and </w:t>
            </w:r>
            <w:hyperlink w:anchor="_D4._MPH_&amp;" w:history="1">
              <w:r w:rsidRPr="00743A41">
                <w:rPr>
                  <w:rStyle w:val="Hyperlink"/>
                  <w:rFonts w:asciiTheme="majorHAnsi" w:eastAsia="Times New Roman" w:hAnsiTheme="majorHAnsi" w:cstheme="majorHAnsi"/>
                  <w:b/>
                  <w:bCs/>
                  <w:sz w:val="20"/>
                  <w:szCs w:val="20"/>
                </w:rPr>
                <w:t>Criterion D4</w:t>
              </w:r>
            </w:hyperlink>
          </w:p>
        </w:tc>
      </w:tr>
      <w:tr w:rsidR="0071054A" w:rsidRPr="00743A41" w:rsidTr="00847E25">
        <w:trPr>
          <w:cantSplit/>
          <w:trHeight w:val="80"/>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Health Promotion/Health Education, Dietetic Internship, Student 1</w:t>
            </w:r>
            <w:r w:rsidRPr="00743A41">
              <w:rPr>
                <w:rFonts w:asciiTheme="majorHAnsi" w:eastAsia="Times New Roman" w:hAnsiTheme="majorHAnsi" w:cstheme="majorHAnsi"/>
                <w:sz w:val="20"/>
                <w:szCs w:val="20"/>
              </w:rPr>
              <w:t>:</w:t>
            </w:r>
            <w:r w:rsidRPr="00743A41">
              <w:rPr>
                <w:rFonts w:asciiTheme="majorHAnsi" w:eastAsia="Times New Roman" w:hAnsiTheme="majorHAnsi" w:cstheme="majorHAnsi"/>
                <w:i/>
                <w:sz w:val="20"/>
                <w:szCs w:val="20"/>
              </w:rPr>
              <w:t xml:space="preserve"> </w:t>
            </w:r>
            <w:r w:rsidRPr="00743A41">
              <w:rPr>
                <w:rFonts w:asciiTheme="majorHAnsi" w:eastAsia="Times New Roman" w:hAnsiTheme="majorHAnsi" w:cstheme="majorHAnsi"/>
                <w:sz w:val="20"/>
                <w:szCs w:val="20"/>
              </w:rPr>
              <w:t xml:space="preserve">For her practicum, the student completed a public policy fellowship in Washington D.C. with an organization that represents </w:t>
            </w:r>
            <w:r w:rsidRPr="00743A41">
              <w:rPr>
                <w:rFonts w:asciiTheme="majorHAnsi" w:hAnsiTheme="majorHAnsi" w:cstheme="majorHAnsi"/>
                <w:sz w:val="20"/>
                <w:szCs w:val="20"/>
                <w:lang w:val="en"/>
              </w:rPr>
              <w:t>food and nutrition professionals. Her project analyzed policies on federal child nutrition programs, food insecurity, and health disparities (MPH-15). The student placed special emphasis on the “reverse racism” of the Asian-American population (MPH-6). This student developed a policy paper (with references to proposed legislation) and a memo with specific recommendations to mitigate undiagnosed diabetes in Asian Americans (MPH-14, MPH-13).  She presented the memo to an elected official, various staffers, and Asian-American advocacy groups (MPH-19). In addition, the student wrote a reflection and a draft journal article. She identified the journal article as a confidential document; therefore, it is not included in the ERF.</w:t>
            </w:r>
          </w:p>
        </w:tc>
        <w:tc>
          <w:tcPr>
            <w:tcW w:w="2500" w:type="pct"/>
            <w:shd w:val="clear" w:color="auto" w:fill="auto"/>
          </w:tcPr>
          <w:p w:rsidR="0071054A" w:rsidRPr="00743A41" w:rsidRDefault="0071054A" w:rsidP="00A37ED6">
            <w:pPr>
              <w:pStyle w:val="Default"/>
              <w:rPr>
                <w:rFonts w:asciiTheme="majorHAnsi" w:eastAsia="Times New Roman" w:hAnsiTheme="majorHAnsi" w:cstheme="majorHAnsi"/>
                <w:bCs/>
                <w:szCs w:val="20"/>
              </w:rPr>
            </w:pPr>
            <w:r w:rsidRPr="00743A41">
              <w:rPr>
                <w:rFonts w:asciiTheme="majorHAnsi" w:eastAsia="Times New Roman" w:hAnsiTheme="majorHAnsi" w:cstheme="majorHAnsi"/>
                <w:bCs/>
                <w:szCs w:val="20"/>
              </w:rPr>
              <w:t xml:space="preserve">MPH-6: </w:t>
            </w:r>
            <w:r w:rsidRPr="00743A41">
              <w:rPr>
                <w:rFonts w:asciiTheme="majorHAnsi" w:hAnsiTheme="majorHAnsi" w:cstheme="majorHAnsi"/>
                <w:szCs w:val="20"/>
              </w:rPr>
              <w:t xml:space="preserve">Discuss the means by which structural bias, social inequities and racism undermine health and create challenges to achieving health equity at organizational, community and societal levels </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eastAsia="Times New Roman" w:hAnsiTheme="majorHAnsi" w:cstheme="majorHAnsi"/>
                <w:bCs/>
                <w:color w:val="000000"/>
                <w:sz w:val="20"/>
                <w:szCs w:val="20"/>
              </w:rPr>
            </w:pPr>
            <w:r w:rsidRPr="00743A41">
              <w:rPr>
                <w:rFonts w:asciiTheme="majorHAnsi" w:hAnsiTheme="majorHAnsi" w:cstheme="majorHAnsi"/>
                <w:color w:val="000000"/>
                <w:sz w:val="20"/>
                <w:szCs w:val="20"/>
              </w:rPr>
              <w:t xml:space="preserve">MPH-13: Propose strategies to identify stakeholders and build coalitions and partnerships for influencing public health outcomes </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pStyle w:val="Default"/>
              <w:rPr>
                <w:rFonts w:asciiTheme="majorHAnsi" w:eastAsia="Times New Roman" w:hAnsiTheme="majorHAnsi" w:cstheme="majorHAnsi"/>
                <w:bCs/>
                <w:szCs w:val="20"/>
              </w:rPr>
            </w:pPr>
            <w:r w:rsidRPr="00743A41">
              <w:rPr>
                <w:rFonts w:asciiTheme="majorHAnsi" w:eastAsia="Times New Roman" w:hAnsiTheme="majorHAnsi" w:cstheme="majorHAnsi"/>
                <w:bCs/>
                <w:szCs w:val="20"/>
              </w:rPr>
              <w:t xml:space="preserve">MPH-14: </w:t>
            </w:r>
            <w:r w:rsidRPr="00743A41">
              <w:rPr>
                <w:rFonts w:asciiTheme="majorHAnsi" w:hAnsiTheme="majorHAnsi" w:cstheme="majorHAnsi"/>
                <w:szCs w:val="20"/>
              </w:rPr>
              <w:t xml:space="preserve">Advocate for political, social or economic policies and programs that will improve health in diverse populations </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pStyle w:val="Default"/>
              <w:rPr>
                <w:rFonts w:asciiTheme="majorHAnsi" w:eastAsia="Times New Roman" w:hAnsiTheme="majorHAnsi" w:cstheme="majorHAnsi"/>
                <w:bCs/>
                <w:szCs w:val="20"/>
              </w:rPr>
            </w:pPr>
            <w:r w:rsidRPr="00743A41">
              <w:rPr>
                <w:rFonts w:asciiTheme="majorHAnsi" w:eastAsia="Times New Roman" w:hAnsiTheme="majorHAnsi" w:cstheme="majorHAnsi"/>
                <w:bCs/>
                <w:szCs w:val="20"/>
              </w:rPr>
              <w:t xml:space="preserve">MPH-15: </w:t>
            </w:r>
            <w:r w:rsidRPr="00743A41">
              <w:rPr>
                <w:rFonts w:asciiTheme="majorHAnsi" w:hAnsiTheme="majorHAnsi" w:cstheme="majorHAnsi"/>
                <w:szCs w:val="20"/>
              </w:rPr>
              <w:t xml:space="preserve">Evaluate policies for their impact on public health and health equity </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pStyle w:val="Default"/>
              <w:rPr>
                <w:rFonts w:asciiTheme="majorHAnsi" w:eastAsia="Times New Roman" w:hAnsiTheme="majorHAnsi" w:cstheme="majorHAnsi"/>
                <w:bCs/>
                <w:szCs w:val="20"/>
              </w:rPr>
            </w:pPr>
            <w:r w:rsidRPr="00743A41">
              <w:rPr>
                <w:rFonts w:asciiTheme="majorHAnsi" w:eastAsia="Times New Roman" w:hAnsiTheme="majorHAnsi" w:cstheme="majorHAnsi"/>
                <w:bCs/>
                <w:szCs w:val="20"/>
              </w:rPr>
              <w:t xml:space="preserve">MPH-19: </w:t>
            </w:r>
            <w:r w:rsidRPr="00743A41">
              <w:rPr>
                <w:rFonts w:asciiTheme="majorHAnsi" w:hAnsiTheme="majorHAnsi" w:cstheme="majorHAnsi"/>
                <w:szCs w:val="20"/>
              </w:rPr>
              <w:t xml:space="preserve">Communicate audience-appropriate public health content, both in writing and through oral presentation </w:t>
            </w:r>
          </w:p>
        </w:tc>
      </w:tr>
      <w:tr w:rsidR="0071054A" w:rsidRPr="00743A41" w:rsidTr="00847E25">
        <w:trPr>
          <w:cantSplit/>
          <w:trHeight w:val="80"/>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Health Promotion/Health Education, Dietetic Internship, Student 2</w:t>
            </w:r>
            <w:r w:rsidRPr="00743A41">
              <w:rPr>
                <w:rFonts w:asciiTheme="majorHAnsi" w:eastAsia="Times New Roman" w:hAnsiTheme="majorHAnsi" w:cstheme="majorHAnsi"/>
                <w:sz w:val="20"/>
                <w:szCs w:val="20"/>
              </w:rPr>
              <w:t>: The student conducted her practicum in a children’s hospital. She examined the role of the dietitian in treating biliary atresia in infants and while caring for pediatric patients who undergo liver transplants (MPH-DI1). She describes these roles in a presentation delivered to dietitians (MPH-19). She also describes a nutritional intervention and several case studies of pediatric biliary atresia (MPH-DI3). Her second final product, an infographic, provides tips on healthy eating and exercise to maintain a healthy liver (MPH-18, MPH-20).</w:t>
            </w: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w:t>
            </w:r>
            <w:r w:rsidRPr="00743A41">
              <w:rPr>
                <w:rFonts w:asciiTheme="majorHAnsi" w:eastAsia="Times New Roman" w:hAnsiTheme="majorHAnsi" w:cstheme="majorHAnsi"/>
                <w:bCs/>
                <w:color w:val="000000"/>
                <w:sz w:val="20"/>
                <w:szCs w:val="20"/>
              </w:rPr>
              <w:t>18: Select communication strategies for different audiences and sectors</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 xml:space="preserve">MPH-19: Communicate audience-appropriate public health content, both in writing and through oral presentation </w:t>
            </w:r>
          </w:p>
        </w:tc>
      </w:tr>
      <w:tr w:rsidR="0071054A" w:rsidRPr="00743A41" w:rsidTr="00847E25">
        <w:trPr>
          <w:cantSplit/>
          <w:trHeight w:val="88"/>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 xml:space="preserve">MPH-20: </w:t>
            </w:r>
            <w:r w:rsidRPr="00743A41">
              <w:rPr>
                <w:rFonts w:asciiTheme="majorHAnsi" w:hAnsiTheme="majorHAnsi" w:cstheme="majorHAnsi"/>
                <w:sz w:val="20"/>
                <w:szCs w:val="20"/>
              </w:rPr>
              <w:t>Describe the importance of cultural competence in communicating public health content</w:t>
            </w:r>
          </w:p>
        </w:tc>
      </w:tr>
      <w:tr w:rsidR="0071054A" w:rsidRPr="00743A41" w:rsidTr="00847E25">
        <w:trPr>
          <w:cantSplit/>
          <w:trHeight w:val="88"/>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pStyle w:val="Default"/>
              <w:rPr>
                <w:rFonts w:asciiTheme="majorHAnsi" w:hAnsiTheme="majorHAnsi" w:cstheme="majorHAnsi"/>
                <w:szCs w:val="20"/>
              </w:rPr>
            </w:pPr>
            <w:r w:rsidRPr="00743A41">
              <w:rPr>
                <w:rFonts w:asciiTheme="majorHAnsi" w:hAnsiTheme="majorHAnsi" w:cstheme="majorHAnsi"/>
                <w:szCs w:val="20"/>
              </w:rPr>
              <w:t>MPH-DI1: Use the Evidence Analyses Process (EAP) to review a nutrition topic and develop a nutritional intervention</w:t>
            </w:r>
          </w:p>
        </w:tc>
      </w:tr>
      <w:tr w:rsidR="0071054A" w:rsidRPr="00743A41" w:rsidTr="00847E25">
        <w:trPr>
          <w:cantSplit/>
          <w:trHeight w:val="88"/>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pStyle w:val="Default"/>
              <w:rPr>
                <w:rFonts w:asciiTheme="majorHAnsi" w:hAnsiTheme="majorHAnsi" w:cstheme="majorHAnsi"/>
                <w:szCs w:val="20"/>
              </w:rPr>
            </w:pPr>
            <w:r w:rsidRPr="00743A41">
              <w:rPr>
                <w:rFonts w:asciiTheme="majorHAnsi" w:hAnsiTheme="majorHAnsi" w:cstheme="majorHAnsi"/>
                <w:szCs w:val="20"/>
              </w:rPr>
              <w:t>MPH-DI3: Communicate patient or client cases using professional nutrition standards</w:t>
            </w:r>
          </w:p>
        </w:tc>
      </w:tr>
      <w:tr w:rsidR="0071054A" w:rsidRPr="00743A41" w:rsidTr="00847E25">
        <w:trPr>
          <w:cantSplit/>
          <w:trHeight w:val="256"/>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Health Promotion/Health Education, Dietetic Internship, Student 3</w:t>
            </w:r>
            <w:r w:rsidRPr="00743A41">
              <w:rPr>
                <w:rFonts w:asciiTheme="majorHAnsi" w:eastAsia="Times New Roman" w:hAnsiTheme="majorHAnsi" w:cstheme="majorHAnsi"/>
                <w:sz w:val="20"/>
                <w:szCs w:val="20"/>
              </w:rPr>
              <w:t>: The student presented technical information on hypertension and cardiovascular disease, compared two popular diets, and described the role of an outpatient dietitian in monitoring the diets of patients with hypertension and cardiovascular disease by using a case study as an example (MPH-DI1, MPH-DI3, MPH-19). She also created a tip sheet for a local food bank on preparing and storing fruit (MPH-18, MPH-20).</w:t>
            </w: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 xml:space="preserve">MPH-18: Select communication strategies for different audiences and sectors </w:t>
            </w:r>
          </w:p>
        </w:tc>
      </w:tr>
      <w:tr w:rsidR="0071054A" w:rsidRPr="00743A41" w:rsidTr="00847E25">
        <w:trPr>
          <w:cantSplit/>
          <w:trHeight w:val="253"/>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MPH-19: Communicate audience-appropriate public health content, both in writing and through oral presentation</w:t>
            </w:r>
          </w:p>
        </w:tc>
      </w:tr>
      <w:tr w:rsidR="0071054A" w:rsidRPr="00743A41" w:rsidTr="00847E25">
        <w:trPr>
          <w:cantSplit/>
          <w:trHeight w:val="253"/>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 xml:space="preserve">MPH-20: </w:t>
            </w:r>
            <w:r w:rsidRPr="00743A41">
              <w:rPr>
                <w:rFonts w:asciiTheme="majorHAnsi" w:hAnsiTheme="majorHAnsi" w:cstheme="majorHAnsi"/>
                <w:sz w:val="20"/>
                <w:szCs w:val="20"/>
              </w:rPr>
              <w:t>Describe the importance of cultural competence in communicating public health content</w:t>
            </w:r>
          </w:p>
        </w:tc>
      </w:tr>
      <w:tr w:rsidR="0071054A" w:rsidRPr="00743A41" w:rsidTr="00847E25">
        <w:trPr>
          <w:cantSplit/>
          <w:trHeight w:val="253"/>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pStyle w:val="Default"/>
              <w:rPr>
                <w:rFonts w:asciiTheme="majorHAnsi" w:hAnsiTheme="majorHAnsi" w:cstheme="majorHAnsi"/>
                <w:szCs w:val="20"/>
              </w:rPr>
            </w:pPr>
            <w:r w:rsidRPr="00743A41">
              <w:rPr>
                <w:rFonts w:asciiTheme="majorHAnsi" w:hAnsiTheme="majorHAnsi" w:cstheme="majorHAnsi"/>
                <w:szCs w:val="20"/>
              </w:rPr>
              <w:t>MPH-DI1: Use the Evidence Analyses Process (EAP) to review a nutrition topic and develop a nutritional intervention</w:t>
            </w:r>
          </w:p>
        </w:tc>
      </w:tr>
      <w:tr w:rsidR="0071054A" w:rsidRPr="00743A41" w:rsidTr="00847E25">
        <w:trPr>
          <w:cantSplit/>
          <w:trHeight w:val="638"/>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MPH-DI3: Communicate patient or client cases using professional nutrition standards</w:t>
            </w:r>
          </w:p>
        </w:tc>
      </w:tr>
      <w:tr w:rsidR="0071054A" w:rsidRPr="00743A41" w:rsidTr="00847E25">
        <w:trPr>
          <w:cantSplit/>
          <w:trHeight w:val="62"/>
        </w:trPr>
        <w:tc>
          <w:tcPr>
            <w:tcW w:w="2500" w:type="pct"/>
            <w:vMerge w:val="restart"/>
            <w:shd w:val="clear" w:color="auto" w:fill="auto"/>
          </w:tcPr>
          <w:p w:rsidR="0071054A" w:rsidRPr="00743A41" w:rsidRDefault="0071054A" w:rsidP="00A37ED6">
            <w:pPr>
              <w:rPr>
                <w:rFonts w:asciiTheme="majorHAnsi" w:eastAsia="Times New Roman" w:hAnsiTheme="majorHAnsi" w:cstheme="majorHAnsi"/>
                <w:color w:val="FF0000"/>
                <w:sz w:val="20"/>
                <w:szCs w:val="20"/>
              </w:rPr>
            </w:pPr>
            <w:r w:rsidRPr="00743A41">
              <w:rPr>
                <w:rFonts w:asciiTheme="majorHAnsi" w:eastAsia="Times New Roman" w:hAnsiTheme="majorHAnsi" w:cstheme="majorHAnsi"/>
                <w:sz w:val="20"/>
                <w:szCs w:val="20"/>
                <w:u w:val="single"/>
              </w:rPr>
              <w:t>MPH Health Promotion/Health Education, Dietetic Internship, Student 4</w:t>
            </w:r>
            <w:r w:rsidRPr="00743A41">
              <w:rPr>
                <w:rFonts w:asciiTheme="majorHAnsi" w:eastAsia="Times New Roman" w:hAnsiTheme="majorHAnsi" w:cstheme="majorHAnsi"/>
                <w:sz w:val="20"/>
                <w:szCs w:val="20"/>
              </w:rPr>
              <w:t>:</w:t>
            </w:r>
            <w:r w:rsidRPr="00743A41">
              <w:rPr>
                <w:rFonts w:asciiTheme="majorHAnsi" w:eastAsia="Times New Roman" w:hAnsiTheme="majorHAnsi" w:cstheme="majorHAnsi"/>
                <w:i/>
                <w:sz w:val="20"/>
                <w:szCs w:val="20"/>
              </w:rPr>
              <w:t xml:space="preserve"> </w:t>
            </w:r>
            <w:r w:rsidRPr="00743A41">
              <w:rPr>
                <w:rFonts w:asciiTheme="majorHAnsi" w:eastAsia="Times New Roman" w:hAnsiTheme="majorHAnsi" w:cstheme="majorHAnsi"/>
                <w:sz w:val="20"/>
                <w:szCs w:val="20"/>
              </w:rPr>
              <w:t>The student worked with a patient suffering from chronic obstructive pulmonary disorder, and the patient’s family and healthcare providers to determine his current nutritional status. Based on this assessment, the student developed and proposed a nutritional program to meet the patient’s health needs. She developed and presented a nutritional intervention (MPH-DI1, MPH-DI3, MPH-19). In an unrelated project, she created a guide for residential composting, a document intended for a lay audience (MPH-18, MPH-20).</w:t>
            </w: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hAnsiTheme="majorHAnsi" w:cstheme="majorHAnsi"/>
                <w:sz w:val="20"/>
                <w:szCs w:val="20"/>
              </w:rPr>
              <w:t xml:space="preserve">MPH-18: Select communication strategies for different audiences and sectors </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hAnsiTheme="majorHAnsi" w:cstheme="majorHAnsi"/>
                <w:sz w:val="20"/>
                <w:szCs w:val="20"/>
              </w:rPr>
              <w:t>MPH-19: Communicate audience-appropriate public health content, both in writing and through oral presentation</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eastAsia="Times New Roman" w:hAnsiTheme="majorHAnsi" w:cstheme="majorHAnsi"/>
                <w:sz w:val="20"/>
                <w:szCs w:val="20"/>
              </w:rPr>
              <w:t xml:space="preserve">MPH-20: </w:t>
            </w:r>
            <w:r w:rsidRPr="00743A41">
              <w:rPr>
                <w:rFonts w:asciiTheme="majorHAnsi" w:hAnsiTheme="majorHAnsi" w:cstheme="majorHAnsi"/>
                <w:sz w:val="20"/>
                <w:szCs w:val="20"/>
              </w:rPr>
              <w:t>Describe the importance of cultural competence in communicating public health content</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MPH-DI1: Use the Evidence Analyses Process (EAP) to review a nutrition topic and develop a nutritional intervention</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MPH-DI3: Communicate patient or client cases using professional nutrition standards</w:t>
            </w:r>
          </w:p>
        </w:tc>
      </w:tr>
      <w:tr w:rsidR="0071054A" w:rsidRPr="00743A41" w:rsidTr="00847E25">
        <w:trPr>
          <w:cantSplit/>
          <w:trHeight w:val="62"/>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Health Promotion/Health Education, Dietetic Internship, Student 5</w:t>
            </w:r>
            <w:r w:rsidRPr="00743A41">
              <w:rPr>
                <w:rFonts w:asciiTheme="majorHAnsi" w:eastAsia="Times New Roman" w:hAnsiTheme="majorHAnsi" w:cstheme="majorHAnsi"/>
                <w:sz w:val="20"/>
                <w:szCs w:val="20"/>
              </w:rPr>
              <w:t>:</w:t>
            </w:r>
            <w:r w:rsidRPr="00743A41">
              <w:rPr>
                <w:rFonts w:asciiTheme="majorHAnsi" w:eastAsia="Times New Roman" w:hAnsiTheme="majorHAnsi" w:cstheme="majorHAnsi"/>
                <w:i/>
                <w:sz w:val="20"/>
                <w:szCs w:val="20"/>
              </w:rPr>
              <w:t xml:space="preserve"> </w:t>
            </w:r>
            <w:r w:rsidRPr="00743A41">
              <w:rPr>
                <w:rFonts w:asciiTheme="majorHAnsi" w:eastAsia="Times New Roman" w:hAnsiTheme="majorHAnsi" w:cstheme="majorHAnsi"/>
                <w:sz w:val="20"/>
                <w:szCs w:val="20"/>
              </w:rPr>
              <w:t>The student presented a case study on gastroesophageal reflux disease to illustrate the role of the registered dietitian (MPH-DI3, MPH-DI1, MPH-19).  In the presentation, she proposes two types of nutritional intervention. She also created educational materials for a local food bank on storing and preparing vegetables (MPH-18, MPH-20).</w:t>
            </w: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MPH-DI1: Use the Evidence Analyses Process (EAP) to review a nutrition topic and develop a nutritional intervention</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hAnsiTheme="majorHAnsi" w:cstheme="majorHAnsi"/>
                <w:sz w:val="20"/>
                <w:szCs w:val="20"/>
              </w:rPr>
              <w:t>MPH-DI3: Communicate patient or client cases using professional nutrition standards</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hAnsiTheme="majorHAnsi" w:cstheme="majorHAnsi"/>
                <w:sz w:val="20"/>
                <w:szCs w:val="20"/>
              </w:rPr>
              <w:t xml:space="preserve">MPH-18: Select communication strategies for different audiences and sectors </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hAnsiTheme="majorHAnsi" w:cstheme="majorHAnsi"/>
                <w:sz w:val="20"/>
                <w:szCs w:val="20"/>
              </w:rPr>
              <w:t xml:space="preserve">MPH-19: </w:t>
            </w:r>
            <w:r w:rsidRPr="00743A41">
              <w:rPr>
                <w:rFonts w:asciiTheme="majorHAnsi" w:hAnsiTheme="majorHAnsi" w:cstheme="majorHAnsi"/>
                <w:color w:val="000000"/>
                <w:sz w:val="20"/>
                <w:szCs w:val="20"/>
              </w:rPr>
              <w:t xml:space="preserve">Communicate audience-appropriate public health content, both in writing and through oral presentation </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hAnsiTheme="majorHAnsi" w:cstheme="majorHAnsi"/>
                <w:sz w:val="20"/>
                <w:szCs w:val="20"/>
              </w:rPr>
              <w:t>MPH-20: Describe the importance of cultural competence in communicating public health content</w:t>
            </w:r>
          </w:p>
        </w:tc>
      </w:tr>
    </w:tbl>
    <w:p w:rsidR="0071054A" w:rsidRPr="00743A41" w:rsidRDefault="0071054A" w:rsidP="00A37ED6">
      <w:pPr>
        <w:rPr>
          <w:rFonts w:asciiTheme="majorHAnsi" w:hAnsiTheme="majorHAnsi" w:cstheme="majorHAnsi"/>
          <w:sz w:val="20"/>
          <w:szCs w:val="20"/>
        </w:rPr>
      </w:pPr>
    </w:p>
    <w:p w:rsidR="0071054A" w:rsidRPr="0022361E" w:rsidRDefault="0071054A" w:rsidP="00A37ED6">
      <w:pPr>
        <w:ind w:left="720"/>
        <w:rPr>
          <w:rFonts w:asciiTheme="majorHAnsi" w:eastAsia="Arial Unicode MS" w:hAnsiTheme="majorHAnsi" w:cstheme="majorHAnsi"/>
          <w:sz w:val="20"/>
          <w:szCs w:val="20"/>
        </w:rPr>
      </w:pPr>
      <w:r w:rsidRPr="0022361E">
        <w:rPr>
          <w:rFonts w:asciiTheme="majorHAnsi" w:hAnsiTheme="majorHAnsi" w:cstheme="majorHAnsi"/>
          <w:sz w:val="20"/>
          <w:szCs w:val="20"/>
        </w:rPr>
        <w:t>D.5.3.h. Practice-Based Products that Demonstrate MPH Competency Attainment, MPH in Healthcare Management</w:t>
      </w:r>
      <w:r w:rsidR="00E80C86" w:rsidRPr="0022361E">
        <w:rPr>
          <w:rFonts w:asciiTheme="majorHAnsi" w:eastAsia="Arial Unicode MS" w:hAnsiTheme="majorHAnsi" w:cstheme="majorHAnsi"/>
          <w:sz w:val="20"/>
          <w:szCs w:val="20"/>
        </w:rPr>
        <w:t xml:space="preserve"> (</w:t>
      </w:r>
      <w:r w:rsidR="00E80C86" w:rsidRPr="0022361E">
        <w:rPr>
          <w:rFonts w:asciiTheme="majorHAnsi" w:eastAsia="Arial Unicode MS" w:hAnsiTheme="majorHAnsi" w:cstheme="majorHAnsi"/>
          <w:i/>
          <w:sz w:val="20"/>
          <w:szCs w:val="20"/>
        </w:rPr>
        <w:t>ERF, D5.3. Practice-Based Products that Demonstrate MPH Competency Achievement, MPH Healthcare Management</w:t>
      </w:r>
      <w:r w:rsidR="00E80C86" w:rsidRPr="0022361E">
        <w:rPr>
          <w:rFonts w:asciiTheme="majorHAnsi" w:eastAsia="Arial Unicode MS" w:hAnsiTheme="majorHAnsi" w:cstheme="majorHAnsi"/>
          <w:sz w:val="20"/>
          <w:szCs w:val="20"/>
        </w:rPr>
        <w:t>)</w:t>
      </w: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4320"/>
      </w:tblGrid>
      <w:tr w:rsidR="0071054A" w:rsidRPr="00743A41" w:rsidTr="00847E25">
        <w:trPr>
          <w:cantSplit/>
          <w:trHeight w:val="328"/>
          <w:tblHeader/>
        </w:trPr>
        <w:tc>
          <w:tcPr>
            <w:tcW w:w="2500" w:type="pct"/>
            <w:shd w:val="clear" w:color="000000" w:fill="D9D9D9"/>
            <w:vAlign w:val="center"/>
            <w:hideMark/>
          </w:tcPr>
          <w:p w:rsidR="0071054A" w:rsidRPr="00743A41" w:rsidRDefault="0071054A"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Specific products in portfolio that demonstrate application or practice</w:t>
            </w:r>
          </w:p>
        </w:tc>
        <w:tc>
          <w:tcPr>
            <w:tcW w:w="2500" w:type="pct"/>
            <w:shd w:val="clear" w:color="000000" w:fill="D9D9D9"/>
            <w:vAlign w:val="center"/>
            <w:hideMark/>
          </w:tcPr>
          <w:p w:rsidR="0071054A" w:rsidRPr="00743A41" w:rsidRDefault="00974D1C"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 xml:space="preserve">Competency as defined in </w:t>
            </w:r>
            <w:hyperlink w:anchor="_D2._MPH_Foundational_1" w:history="1">
              <w:r w:rsidRPr="00743A41">
                <w:rPr>
                  <w:rStyle w:val="Hyperlink"/>
                  <w:rFonts w:asciiTheme="majorHAnsi" w:eastAsia="Times New Roman" w:hAnsiTheme="majorHAnsi" w:cstheme="majorHAnsi"/>
                  <w:b/>
                  <w:bCs/>
                  <w:sz w:val="20"/>
                  <w:szCs w:val="20"/>
                </w:rPr>
                <w:t>Criterion D2</w:t>
              </w:r>
            </w:hyperlink>
            <w:r w:rsidRPr="00743A41">
              <w:rPr>
                <w:rFonts w:asciiTheme="majorHAnsi" w:eastAsia="Times New Roman" w:hAnsiTheme="majorHAnsi" w:cstheme="majorHAnsi"/>
                <w:b/>
                <w:bCs/>
                <w:sz w:val="20"/>
                <w:szCs w:val="20"/>
              </w:rPr>
              <w:t xml:space="preserve"> and </w:t>
            </w:r>
            <w:hyperlink w:anchor="_D4._MPH_&amp;" w:history="1">
              <w:r w:rsidRPr="00743A41">
                <w:rPr>
                  <w:rStyle w:val="Hyperlink"/>
                  <w:rFonts w:asciiTheme="majorHAnsi" w:eastAsia="Times New Roman" w:hAnsiTheme="majorHAnsi" w:cstheme="majorHAnsi"/>
                  <w:b/>
                  <w:bCs/>
                  <w:sz w:val="20"/>
                  <w:szCs w:val="20"/>
                </w:rPr>
                <w:t>Criterion D4</w:t>
              </w:r>
            </w:hyperlink>
          </w:p>
        </w:tc>
      </w:tr>
      <w:tr w:rsidR="0071054A" w:rsidRPr="00743A41" w:rsidTr="00847E25">
        <w:trPr>
          <w:cantSplit/>
          <w:trHeight w:val="62"/>
        </w:trPr>
        <w:tc>
          <w:tcPr>
            <w:tcW w:w="2500" w:type="pct"/>
            <w:vMerge w:val="restart"/>
            <w:shd w:val="clear" w:color="auto" w:fill="auto"/>
          </w:tcPr>
          <w:p w:rsidR="0071054A" w:rsidRPr="00743A41" w:rsidRDefault="0071054A" w:rsidP="00A37ED6">
            <w:pPr>
              <w:rPr>
                <w:rFonts w:asciiTheme="majorHAnsi" w:eastAsia="Times New Roman" w:hAnsiTheme="majorHAnsi" w:cstheme="majorHAnsi"/>
                <w:i/>
                <w:sz w:val="20"/>
                <w:szCs w:val="20"/>
              </w:rPr>
            </w:pPr>
            <w:r w:rsidRPr="00743A41">
              <w:rPr>
                <w:rFonts w:asciiTheme="majorHAnsi" w:eastAsia="Times New Roman" w:hAnsiTheme="majorHAnsi" w:cstheme="majorHAnsi"/>
                <w:sz w:val="20"/>
                <w:szCs w:val="20"/>
                <w:u w:val="single"/>
              </w:rPr>
              <w:t>MPH Healthcare Management, Student 1</w:t>
            </w:r>
            <w:r w:rsidRPr="00743A41">
              <w:rPr>
                <w:rFonts w:asciiTheme="majorHAnsi" w:eastAsia="Times New Roman" w:hAnsiTheme="majorHAnsi" w:cstheme="majorHAnsi"/>
                <w:sz w:val="20"/>
                <w:szCs w:val="20"/>
              </w:rPr>
              <w:t>:</w:t>
            </w:r>
            <w:r w:rsidRPr="00743A41">
              <w:rPr>
                <w:rFonts w:asciiTheme="majorHAnsi" w:eastAsia="Times New Roman" w:hAnsiTheme="majorHAnsi" w:cstheme="majorHAnsi"/>
                <w:i/>
                <w:sz w:val="20"/>
                <w:szCs w:val="20"/>
              </w:rPr>
              <w:t xml:space="preserve"> </w:t>
            </w:r>
            <w:r w:rsidRPr="00743A41">
              <w:rPr>
                <w:rFonts w:asciiTheme="majorHAnsi" w:eastAsia="Times New Roman" w:hAnsiTheme="majorHAnsi" w:cstheme="majorHAnsi"/>
                <w:sz w:val="20"/>
                <w:szCs w:val="20"/>
              </w:rPr>
              <w:t>The student synthesized guidance documents to assist industries in complying with two federal regulations.  The first regulation is the Injury and Illness Prevention Program, a health and safety program required of employers to prevent workplace injuries and illnesses. The guidance document (Product 1) includes compliance suggestions. The second regulation, the Sunshine Act, increases the transparency around financial relationships between physicians, teaching hospitals and manufacturers. The student describes details related to Sunshine Act compliance in a guidance document (Product 2) and suggest methods to collect and report required data. The documents provides individuals and organizations with tools to manage resources, make managerial decisions, overcome organizational challenges and manage (MPH-10, MPH-M3, MPH-M2). These documents make a meaningful contribution to the field. To create these documents, the student synthesized knowledge to excel professionally with high ethical standards (MPH-M4). She wrote these documents, using different writing styles, for different audiences, demonstrating cultural competence in her communications (MPH-20).</w:t>
            </w: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MPH-10: Explain basic principles and tools of budget and resource management</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 xml:space="preserve">MPH-20: Describe the importance of cultural competence in communicating public health content </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MPH-M2: Strategic Orientation: Synthesizes organizational opportunities and challenges and defends strategies for organizational success</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MPH-M3: Evaluates and analyzes quality, safety and financial performance measures to support managerial decision making in healthcare organizations</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MPH-M4: Synthesizes knowledge and skills needed to excel professionally with high ethical standards and uses these skills while making a meaningful contribution to the field</w:t>
            </w:r>
          </w:p>
        </w:tc>
      </w:tr>
      <w:tr w:rsidR="0071054A" w:rsidRPr="00743A41" w:rsidTr="00847E25">
        <w:trPr>
          <w:cantSplit/>
          <w:trHeight w:val="80"/>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Healthcare Management, Student 2</w:t>
            </w:r>
            <w:r w:rsidRPr="00743A41">
              <w:rPr>
                <w:rFonts w:asciiTheme="majorHAnsi" w:eastAsia="Times New Roman" w:hAnsiTheme="majorHAnsi" w:cstheme="majorHAnsi"/>
                <w:sz w:val="20"/>
                <w:szCs w:val="20"/>
              </w:rPr>
              <w:t xml:space="preserve">: This student conducted her practicum at a healthcare delivery network. She rotated through the network’s administrative departments. Project 1: She conducted a needs assessment in the radiology department. She justifies the need to add a part-time radiologist by analyzing the demand for diagnostic mammograms in the county, as compared with the center’s current capacity (MPH-4, MPH-7). The student presented this needs assessment orally to a chief operating officer, as well as to healthcare providers and other audiences (MPH-19). Project 2: The student proposed a new intravenous medication program to manage and treat patients with severe pulmonary hypertension. She explains that this program will improve patient outcomes and reduce expenses (MPH-10, MPH-M2).  </w:t>
            </w: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eastAsia="Times New Roman" w:hAnsiTheme="majorHAnsi" w:cstheme="majorHAnsi"/>
                <w:color w:val="000000"/>
                <w:sz w:val="20"/>
                <w:szCs w:val="20"/>
              </w:rPr>
              <w:t>MPH-4: Interpret results of data analysis for public health research, policy or practice</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MPH-7: Assess population needs, assets and capacities that affect communities’ health</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MPH-10: Explain basic principles and tools of budget and resource management</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sdt>
          <w:sdtPr>
            <w:rPr>
              <w:rFonts w:asciiTheme="majorHAnsi" w:eastAsia="Times New Roman" w:hAnsiTheme="majorHAnsi" w:cstheme="majorHAnsi"/>
              <w:bCs/>
              <w:color w:val="000000"/>
              <w:sz w:val="20"/>
              <w:szCs w:val="20"/>
            </w:rPr>
            <w:id w:val="-1413164807"/>
            <w:placeholder>
              <w:docPart w:val="AC35C51C3DF441C4A999024F47EA559B"/>
            </w:placeholder>
            <w:dropDownList>
              <w:listItem w:value="Choose an item."/>
              <w:listItem w:displayText="MPH-1: Apply epidemiological methods to the breadth of settings and situations in public health practice" w:value="MPH-1: Apply epidemiological methods to the breadth of settings and situations in public health practice"/>
              <w:listItem w:displayText="MPH-2: Select quantitative and qualitative data collection methods appropriate for a given public health context" w:value="MPH-2: Select quantitative and qualitative data collection methods appropriate for a given public health context"/>
              <w:listItem w:displayText="MPH-3: Analyze quantitative and qualitative data using biostatistics, informatics, computer-based programming and software, as appropriate" w:value="MPH-3: Analyze quantitative and qualitative data using biostatistics, informatics, computer-based programming and software, as appropriate"/>
              <w:listItem w:displayText="MPH-4: Interpret results of data analysis for public health research, policy or practice" w:value="MPH-4: Interpret results of data analysis for public health research, policy or practice"/>
              <w:listItem w:displayText="MPH-5: Compare the organization, structure and function of health care, public health and regulatory systems across national and international settings" w:value="MPH-5: Compare the organization, structure and function of health care, public health and regulatory systems across national and international settings"/>
              <w:listItem w:displayText="MPH-6: Discuss the means by which structural bias, social inequities and racism undermine health and create challenges to achieving health equity at organizational, community and societal levels" w:value="MPH-6: Discuss the means by which structural bias, social inequities and racism undermine health and create challenges to achieving health equity at organizational, community and societal levels"/>
              <w:listItem w:displayText="MPH-7: Assess population needs, assets and capacities that affect communities’ health" w:value="MPH-7: Assess population needs, assets and capacities that affect communities’ health"/>
              <w:listItem w:displayText="MPH-8: Apply awareness of cultural values and practices to the design or  implementation of public health policies or programs" w:value="MPH-8: Apply awareness of cultural values and practices to the design or  implementation of public health policies or programs"/>
              <w:listItem w:displayText="MPH-9: Design a population-based policy, program, project or intervention" w:value="MPH-9: Design a population-based policy, program, project or intervention"/>
              <w:listItem w:displayText="MPH-10: Explain basic principles and tools of budget and resource management" w:value="MPH-10: Explain basic principles and tools of budget and resource management"/>
              <w:listItem w:displayText="MPH-11: Select methods to evaluate public health programs" w:value="MPH-11: Select methods to evaluate public health programs"/>
              <w:listItem w:displayText="MPH-12: Discuss multiple dimensions of the policy-making process, including the roles of ethics and evidence" w:value="MPH-12: Discuss multiple dimensions of the policy-making process, including the roles of ethics and evidence"/>
              <w:listItem w:displayText="MPH-13: Propose strategies to identify stakeholders and build coalitions and partnerships for influencing public health outcomes" w:value="MPH-13: Propose strategies to identify stakeholders and build coalitions and partnerships for influencing public health outcomes"/>
              <w:listItem w:displayText="MPH-14: Advocate for political, social or economic policies and programs that will improve health in diverse populations" w:value="MPH-14: Advocate for political, social or economic policies and programs that will improve health in diverse populations"/>
              <w:listItem w:displayText="MPH-15: Evaluate policies for their impact on public health and health equity" w:value="MPH-15: Evaluate policies for their impact on public health and health equity"/>
              <w:listItem w:displayText="MPH-16: Apply principles of leadership, governance and management, which include creating a vision, empowering others, fostering collaboration and guiding decision making" w:value="MPH-16: Apply principles of leadership, governance and management, which include creating a vision, empowering others, fostering collaboration and guiding decision making"/>
              <w:listItem w:displayText="MPH-17: Apply negotiation and mediation skills to address organizational or community challenges" w:value="MPH-17: Apply negotiation and mediation skills to address organizational or community challenges"/>
              <w:listItem w:displayText="MPH-18: Select communication strategies for different audiences and sectors" w:value="MPH-18: Select communication strategies for different audiences and sectors"/>
              <w:listItem w:displayText="MPH-19: Communicate audience-appropriate public health content, both in writing and through oral presentation" w:value="MPH-19: Communicate audience-appropriate public health content, both in writing and through oral presentation"/>
              <w:listItem w:displayText="MPH-20: Describe the importance of cultural competence in communicating public health content" w:value="MPH-20: Describe the importance of cultural competence in communicating public health content"/>
              <w:listItem w:displayText="MPH-21: Perform effectively on interprofessional teams" w:value="MPH-21: Perform effectively on interprofessional teams"/>
              <w:listItem w:displayText="MPH-22: Apply systems thinking tools to a public health issue" w:value="MPH-22: Apply systems thinking tools to a public health issue"/>
            </w:dropDownList>
          </w:sdtPr>
          <w:sdtEndPr/>
          <w:sdtContent>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sidDel="00CE4237">
                  <w:rPr>
                    <w:rFonts w:asciiTheme="majorHAnsi" w:eastAsia="Times New Roman" w:hAnsiTheme="majorHAnsi" w:cstheme="majorHAnsi"/>
                    <w:bCs/>
                    <w:color w:val="000000"/>
                    <w:sz w:val="20"/>
                    <w:szCs w:val="20"/>
                  </w:rPr>
                  <w:t>MPH-19: Communicate audience-appropriate public health content, both in writing and through oral presentation</w:t>
                </w:r>
                <w:r w:rsidR="00CE4237" w:rsidRPr="00743A41">
                  <w:rPr>
                    <w:rFonts w:asciiTheme="majorHAnsi" w:eastAsia="Times New Roman" w:hAnsiTheme="majorHAnsi" w:cstheme="majorHAnsi"/>
                    <w:bCs/>
                    <w:color w:val="000000"/>
                    <w:sz w:val="20"/>
                    <w:szCs w:val="20"/>
                  </w:rPr>
                  <w:t>MPH-19: Communicate audience-appropriate public health content, both in writing and through oral presentationMPH-19: Communicate audience-appropriate public health content, both in writing and through oral presentation</w:t>
                </w:r>
              </w:p>
            </w:tc>
          </w:sdtContent>
        </w:sdt>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MPH-M2: Synthesizes knowledge and skills needed to excel professionally with high ethical standards and uses these skills while making a meaningful contribution to the field</w:t>
            </w:r>
          </w:p>
        </w:tc>
      </w:tr>
      <w:tr w:rsidR="0071054A" w:rsidRPr="00743A41" w:rsidTr="00847E25">
        <w:trPr>
          <w:cantSplit/>
          <w:trHeight w:val="256"/>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Healthcare Management, Student 3</w:t>
            </w:r>
            <w:r w:rsidRPr="00743A41">
              <w:rPr>
                <w:rFonts w:asciiTheme="majorHAnsi" w:eastAsia="Times New Roman" w:hAnsiTheme="majorHAnsi" w:cstheme="majorHAnsi"/>
                <w:sz w:val="20"/>
                <w:szCs w:val="20"/>
              </w:rPr>
              <w:t>: The student assessed the needs of diabetes mellitus patients in managing their diseases (MPH-11). He analyzed published literature to determine the efficacy of h</w:t>
            </w:r>
            <w:r w:rsidRPr="00743A41">
              <w:rPr>
                <w:rFonts w:asciiTheme="majorHAnsi" w:hAnsiTheme="majorHAnsi" w:cstheme="majorHAnsi"/>
                <w:sz w:val="20"/>
                <w:szCs w:val="20"/>
              </w:rPr>
              <w:t xml:space="preserve">ealth coaching to reduce diabetes distress in primary care settings. He concludes that the relationship between HbA1c levels and diabetes distress requires an effective intervention to improve health outcomes and reduce health expenditures (MPH-1). He developed and presented a decision tree to assess cost-effectiveness of health coaching for diabetes and proposed adding a health coaching program to the family and community medicine department (MPH-M3, MPH-M4, MPH-19). </w:t>
            </w:r>
          </w:p>
        </w:tc>
        <w:tc>
          <w:tcPr>
            <w:tcW w:w="2500" w:type="pct"/>
            <w:shd w:val="clear" w:color="auto" w:fill="auto"/>
          </w:tcPr>
          <w:p w:rsidR="0071054A" w:rsidRPr="00743A41" w:rsidRDefault="0071054A" w:rsidP="00A37ED6">
            <w:pPr>
              <w:autoSpaceDE w:val="0"/>
              <w:autoSpaceDN w:val="0"/>
              <w:adjustRightInd w:val="0"/>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 xml:space="preserve">MPH-1: </w:t>
            </w:r>
            <w:r w:rsidRPr="00743A41">
              <w:rPr>
                <w:rFonts w:asciiTheme="majorHAnsi" w:hAnsiTheme="majorHAnsi" w:cstheme="majorHAnsi"/>
                <w:sz w:val="20"/>
                <w:szCs w:val="20"/>
              </w:rPr>
              <w:t>Apply epidemiological methods to the breadth of settings and situations in public health practice</w:t>
            </w:r>
          </w:p>
        </w:tc>
      </w:tr>
      <w:tr w:rsidR="0071054A" w:rsidRPr="00743A41" w:rsidTr="00847E25">
        <w:trPr>
          <w:cantSplit/>
          <w:trHeight w:val="253"/>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MPH-11: Select methods to evaluate public health programs</w:t>
            </w:r>
          </w:p>
        </w:tc>
      </w:tr>
      <w:tr w:rsidR="0071054A" w:rsidRPr="00743A41" w:rsidTr="00847E25">
        <w:trPr>
          <w:cantSplit/>
          <w:trHeight w:val="253"/>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 xml:space="preserve">MPH-19: </w:t>
            </w:r>
            <w:r w:rsidRPr="00743A41">
              <w:rPr>
                <w:rFonts w:asciiTheme="majorHAnsi" w:hAnsiTheme="majorHAnsi" w:cstheme="majorHAnsi"/>
                <w:sz w:val="20"/>
                <w:szCs w:val="20"/>
              </w:rPr>
              <w:t>Communicate audience-appropriate public health content, both in writing and through oral presentation</w:t>
            </w:r>
          </w:p>
        </w:tc>
      </w:tr>
      <w:tr w:rsidR="0071054A" w:rsidRPr="00743A41" w:rsidTr="00847E25">
        <w:trPr>
          <w:cantSplit/>
          <w:trHeight w:val="35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hAnsiTheme="majorHAnsi" w:cstheme="majorHAnsi"/>
                <w:sz w:val="20"/>
                <w:szCs w:val="20"/>
              </w:rPr>
              <w:t>MPH-M3: Evaluates and analyzes quality, safety and financial performance measures to support managerial decision making in healthcare organizations</w:t>
            </w:r>
          </w:p>
        </w:tc>
      </w:tr>
      <w:tr w:rsidR="0071054A" w:rsidRPr="00743A41" w:rsidTr="00847E25">
        <w:trPr>
          <w:cantSplit/>
          <w:trHeight w:val="35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MPH-M4: Ethics &amp; Professionalism: Synthesizes knowledge and skills needed to excel professionally with high ethical standards and uses these skills while making a meaningful contribution to the field</w:t>
            </w:r>
          </w:p>
        </w:tc>
      </w:tr>
      <w:tr w:rsidR="0071054A" w:rsidRPr="00743A41" w:rsidTr="00847E25">
        <w:trPr>
          <w:cantSplit/>
          <w:trHeight w:val="62"/>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Healthcare Management, Student 4</w:t>
            </w:r>
            <w:r w:rsidRPr="00743A41">
              <w:rPr>
                <w:rFonts w:asciiTheme="majorHAnsi" w:eastAsia="Times New Roman" w:hAnsiTheme="majorHAnsi" w:cstheme="majorHAnsi"/>
                <w:sz w:val="20"/>
                <w:szCs w:val="20"/>
              </w:rPr>
              <w:t>: The student worked with clinicians and researchers at a large hospital to characterize the microbiome of women receiving treatment for advanced cervical cancer. He describes the details of the project (Product 2) in a proposal that includes specific aims, significance, a literature review, protocols to identify participants, collect specimens, analyze the results of laboratory tests, and statistical analysis. The student’s work included assisting in the selection, determination, and implementation of appropriate data collection methods that fit the aim of the study (MPH-1, MPH-2). While collaborating with other individuals throughout the organization (MPH-M1), the student was responsible for subject identification, interpretation of statistical analysis (MPH-4), drafting the manuscript and approval of the final version (MPH-19). The final products included a detailed proposal to obtain financial support and a manuscript formatted for future publication. The student is first author of the manuscript.</w:t>
            </w: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MPH-1: Apply epidemiological methods to the breadth of settings and situations in public health practice</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MPH-2: Select quantitative and qualitative data collection methods appropriate for a given public health context</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MPH-4: Interpret results of data analysis for public health research, policy or practice</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MPH-19: Communicate audience-appropriate public health content, both in writing and through oral presentation</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MPH-M1: Collaborates with others to complete team-based assignments within healthcare organizations, adapting when needed to maximize organizational and personal success</w:t>
            </w:r>
          </w:p>
        </w:tc>
      </w:tr>
      <w:tr w:rsidR="0071054A" w:rsidRPr="00743A41" w:rsidTr="00847E25">
        <w:trPr>
          <w:cantSplit/>
          <w:trHeight w:val="62"/>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Healthcare Management, Student 5</w:t>
            </w:r>
            <w:r w:rsidRPr="00743A41">
              <w:rPr>
                <w:rFonts w:asciiTheme="majorHAnsi" w:eastAsia="Times New Roman" w:hAnsiTheme="majorHAnsi" w:cstheme="majorHAnsi"/>
                <w:sz w:val="20"/>
                <w:szCs w:val="20"/>
              </w:rPr>
              <w:t xml:space="preserve">: This student conducted her practicum at a medical clinic that delivers primary care, behavioral health services, and wellness education programs to a diverse community of races, ethnicities, and cultures; most face language and financial barriers to obtaining healthcare. The student evaluated the patient experience (primarily through direct observation), identified the clinic’s strengths and proposed opportunities for the clinic to alleviate some of the challenges faced by their patients (MPH-M3). The student developed a report and a presentation on health barriers and disparities (e.g., communication, financial, transportation, housing) faced by the clinic’s patient population (MPH-18, MPH-20). These products discuss and evaluate the services and resources that the clinic provides to their patients with the challenges and barriers that affect health (MPH-7, MPH-6). </w:t>
            </w:r>
          </w:p>
        </w:tc>
        <w:tc>
          <w:tcPr>
            <w:tcW w:w="2500" w:type="pct"/>
            <w:shd w:val="clear" w:color="auto" w:fill="auto"/>
          </w:tcPr>
          <w:p w:rsidR="0071054A" w:rsidRPr="00743A41" w:rsidRDefault="0071054A" w:rsidP="00A37ED6">
            <w:pPr>
              <w:pStyle w:val="Default"/>
              <w:rPr>
                <w:rFonts w:asciiTheme="majorHAnsi" w:hAnsiTheme="majorHAnsi" w:cstheme="majorHAnsi"/>
                <w:color w:val="auto"/>
                <w:szCs w:val="20"/>
              </w:rPr>
            </w:pPr>
            <w:r w:rsidRPr="00743A41">
              <w:rPr>
                <w:rFonts w:asciiTheme="majorHAnsi" w:hAnsiTheme="majorHAnsi" w:cstheme="majorHAnsi"/>
                <w:color w:val="auto"/>
                <w:szCs w:val="20"/>
              </w:rPr>
              <w:t xml:space="preserve">MPH-6: Discuss the means by which structural bias, social inequities and racism undermine health and create challenges to achieving health equity at organizational, community and societal levels </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pStyle w:val="Default"/>
              <w:rPr>
                <w:rFonts w:asciiTheme="majorHAnsi" w:hAnsiTheme="majorHAnsi" w:cstheme="majorHAnsi"/>
                <w:color w:val="auto"/>
                <w:szCs w:val="20"/>
              </w:rPr>
            </w:pPr>
            <w:r w:rsidRPr="00743A41">
              <w:rPr>
                <w:rFonts w:asciiTheme="majorHAnsi" w:hAnsiTheme="majorHAnsi" w:cstheme="majorHAnsi"/>
                <w:color w:val="auto"/>
                <w:szCs w:val="20"/>
              </w:rPr>
              <w:t xml:space="preserve">MPH-7: Assess population needs, assets and capacities that affect communities’ health </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pStyle w:val="Default"/>
              <w:rPr>
                <w:rFonts w:asciiTheme="majorHAnsi" w:hAnsiTheme="majorHAnsi" w:cstheme="majorHAnsi"/>
                <w:color w:val="auto"/>
                <w:szCs w:val="20"/>
              </w:rPr>
            </w:pPr>
            <w:r w:rsidRPr="00743A41">
              <w:rPr>
                <w:rFonts w:asciiTheme="majorHAnsi" w:hAnsiTheme="majorHAnsi" w:cstheme="majorHAnsi"/>
                <w:color w:val="auto"/>
                <w:szCs w:val="20"/>
              </w:rPr>
              <w:t>MPH-19: Communicate audience-appropriate public health content, both in writing and through oral presentation</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MPH-20: Describe the importance of cultural competence in communicating public health content</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MPH-M3: Evaluates and analyzes quality, safety and financial performance measures to support managerial decision making in healthcare organizations</w:t>
            </w:r>
          </w:p>
        </w:tc>
      </w:tr>
    </w:tbl>
    <w:p w:rsidR="0071054A" w:rsidRPr="00743A41" w:rsidRDefault="0071054A" w:rsidP="00A37ED6">
      <w:pPr>
        <w:rPr>
          <w:rFonts w:asciiTheme="majorHAnsi" w:hAnsiTheme="majorHAnsi" w:cstheme="majorHAnsi"/>
          <w:sz w:val="20"/>
          <w:szCs w:val="20"/>
        </w:rPr>
      </w:pPr>
    </w:p>
    <w:p w:rsidR="006B6FB4" w:rsidRPr="00743A41" w:rsidRDefault="006B6FB4" w:rsidP="00A37ED6">
      <w:pPr>
        <w:rPr>
          <w:rFonts w:asciiTheme="majorHAnsi" w:hAnsiTheme="majorHAnsi" w:cstheme="majorHAnsi"/>
          <w:sz w:val="20"/>
          <w:szCs w:val="20"/>
        </w:rPr>
      </w:pPr>
    </w:p>
    <w:p w:rsidR="006B6FB4" w:rsidRPr="00743A41" w:rsidRDefault="006B6FB4" w:rsidP="00A37ED6">
      <w:pPr>
        <w:rPr>
          <w:rFonts w:asciiTheme="majorHAnsi" w:hAnsiTheme="majorHAnsi" w:cstheme="majorHAnsi"/>
          <w:sz w:val="20"/>
          <w:szCs w:val="20"/>
        </w:rPr>
      </w:pPr>
    </w:p>
    <w:p w:rsidR="006B6FB4" w:rsidRPr="00743A41" w:rsidRDefault="006B6FB4" w:rsidP="00A37ED6">
      <w:pPr>
        <w:rPr>
          <w:rFonts w:asciiTheme="majorHAnsi" w:hAnsiTheme="majorHAnsi" w:cstheme="majorHAnsi"/>
          <w:sz w:val="20"/>
          <w:szCs w:val="20"/>
        </w:rPr>
      </w:pPr>
    </w:p>
    <w:p w:rsidR="006B6FB4" w:rsidRPr="00743A41" w:rsidRDefault="006B6FB4" w:rsidP="00A37ED6">
      <w:pPr>
        <w:rPr>
          <w:rFonts w:asciiTheme="majorHAnsi" w:hAnsiTheme="majorHAnsi" w:cstheme="majorHAnsi"/>
          <w:sz w:val="20"/>
          <w:szCs w:val="20"/>
        </w:rPr>
      </w:pPr>
    </w:p>
    <w:p w:rsidR="006B6FB4" w:rsidRPr="00743A41" w:rsidRDefault="006B6FB4" w:rsidP="00A37ED6">
      <w:pPr>
        <w:rPr>
          <w:rFonts w:asciiTheme="majorHAnsi" w:hAnsiTheme="majorHAnsi" w:cstheme="majorHAnsi"/>
          <w:sz w:val="20"/>
          <w:szCs w:val="20"/>
        </w:rPr>
      </w:pPr>
    </w:p>
    <w:p w:rsidR="006B6FB4" w:rsidRPr="00743A41" w:rsidRDefault="006B6FB4" w:rsidP="00A37ED6">
      <w:pPr>
        <w:rPr>
          <w:rFonts w:asciiTheme="majorHAnsi" w:hAnsiTheme="majorHAnsi" w:cstheme="majorHAnsi"/>
          <w:sz w:val="20"/>
          <w:szCs w:val="20"/>
        </w:rPr>
      </w:pPr>
    </w:p>
    <w:p w:rsidR="006B6FB4" w:rsidRPr="00743A41" w:rsidRDefault="006B6FB4" w:rsidP="00A37ED6">
      <w:pPr>
        <w:rPr>
          <w:rFonts w:asciiTheme="majorHAnsi" w:hAnsiTheme="majorHAnsi" w:cstheme="majorHAnsi"/>
          <w:sz w:val="20"/>
          <w:szCs w:val="20"/>
        </w:rPr>
      </w:pPr>
    </w:p>
    <w:p w:rsidR="0071054A" w:rsidRPr="00743A41" w:rsidRDefault="0071054A" w:rsidP="00A37ED6">
      <w:pPr>
        <w:ind w:left="720"/>
        <w:rPr>
          <w:rFonts w:asciiTheme="majorHAnsi" w:hAnsiTheme="majorHAnsi" w:cstheme="majorHAnsi"/>
          <w:b/>
          <w:sz w:val="20"/>
          <w:szCs w:val="20"/>
        </w:rPr>
      </w:pPr>
      <w:r w:rsidRPr="0022361E">
        <w:rPr>
          <w:rFonts w:asciiTheme="majorHAnsi" w:hAnsiTheme="majorHAnsi" w:cstheme="majorHAnsi"/>
          <w:sz w:val="20"/>
          <w:szCs w:val="20"/>
        </w:rPr>
        <w:t>D.5.3.i. Practice-Based Products that Demonstrate MPH Competency Attainment, MPH in Health Services Organizations</w:t>
      </w:r>
      <w:r w:rsidR="00DE7DC3" w:rsidRPr="0022361E">
        <w:rPr>
          <w:rFonts w:asciiTheme="majorHAnsi" w:hAnsiTheme="majorHAnsi" w:cstheme="majorHAnsi"/>
          <w:sz w:val="20"/>
          <w:szCs w:val="20"/>
        </w:rPr>
        <w:t xml:space="preserve"> (ERF, D5.3. Practice-Based Products that Demonstrate MPH Competency Achievement, MPH Health Services</w:t>
      </w:r>
      <w:r w:rsidR="00DE7DC3" w:rsidRPr="00743A41">
        <w:rPr>
          <w:rFonts w:asciiTheme="majorHAnsi" w:eastAsia="Arial Unicode MS" w:hAnsiTheme="majorHAnsi" w:cstheme="majorHAnsi"/>
          <w:i/>
          <w:sz w:val="20"/>
          <w:szCs w:val="20"/>
        </w:rPr>
        <w:t xml:space="preserve"> Organizations</w:t>
      </w:r>
      <w:r w:rsidR="00DE7DC3" w:rsidRPr="00743A41">
        <w:rPr>
          <w:rFonts w:asciiTheme="majorHAnsi" w:eastAsia="Arial Unicode MS" w:hAnsiTheme="majorHAnsi" w:cstheme="majorHAnsi"/>
          <w:sz w:val="20"/>
          <w:szCs w:val="20"/>
        </w:rPr>
        <w:t>)</w:t>
      </w: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4320"/>
      </w:tblGrid>
      <w:tr w:rsidR="0071054A" w:rsidRPr="00743A41" w:rsidTr="00847E25">
        <w:trPr>
          <w:cantSplit/>
          <w:trHeight w:val="328"/>
          <w:tblHeader/>
        </w:trPr>
        <w:tc>
          <w:tcPr>
            <w:tcW w:w="2500" w:type="pct"/>
            <w:shd w:val="clear" w:color="auto" w:fill="D9D9D9" w:themeFill="background1" w:themeFillShade="D9"/>
            <w:vAlign w:val="center"/>
            <w:hideMark/>
          </w:tcPr>
          <w:p w:rsidR="0071054A" w:rsidRPr="00743A41" w:rsidRDefault="0071054A"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Specific products in portfolio that demonstrate application or practice</w:t>
            </w:r>
          </w:p>
        </w:tc>
        <w:tc>
          <w:tcPr>
            <w:tcW w:w="2500" w:type="pct"/>
            <w:shd w:val="clear" w:color="auto" w:fill="D9D9D9" w:themeFill="background1" w:themeFillShade="D9"/>
            <w:vAlign w:val="center"/>
            <w:hideMark/>
          </w:tcPr>
          <w:p w:rsidR="0071054A" w:rsidRPr="00743A41" w:rsidRDefault="00974D1C"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 xml:space="preserve">Competency as defined in </w:t>
            </w:r>
            <w:hyperlink w:anchor="_D2._MPH_Foundational_1" w:history="1">
              <w:r w:rsidRPr="00743A41">
                <w:rPr>
                  <w:rStyle w:val="Hyperlink"/>
                  <w:rFonts w:asciiTheme="majorHAnsi" w:eastAsia="Times New Roman" w:hAnsiTheme="majorHAnsi" w:cstheme="majorHAnsi"/>
                  <w:b/>
                  <w:bCs/>
                  <w:sz w:val="20"/>
                  <w:szCs w:val="20"/>
                </w:rPr>
                <w:t>Criterion D2</w:t>
              </w:r>
            </w:hyperlink>
            <w:r w:rsidRPr="00743A41">
              <w:rPr>
                <w:rFonts w:asciiTheme="majorHAnsi" w:eastAsia="Times New Roman" w:hAnsiTheme="majorHAnsi" w:cstheme="majorHAnsi"/>
                <w:b/>
                <w:bCs/>
                <w:sz w:val="20"/>
                <w:szCs w:val="20"/>
              </w:rPr>
              <w:t xml:space="preserve"> and </w:t>
            </w:r>
            <w:hyperlink w:anchor="_D4._MPH_&amp;" w:history="1">
              <w:r w:rsidRPr="00743A41">
                <w:rPr>
                  <w:rStyle w:val="Hyperlink"/>
                  <w:rFonts w:asciiTheme="majorHAnsi" w:eastAsia="Times New Roman" w:hAnsiTheme="majorHAnsi" w:cstheme="majorHAnsi"/>
                  <w:b/>
                  <w:bCs/>
                  <w:sz w:val="20"/>
                  <w:szCs w:val="20"/>
                </w:rPr>
                <w:t>Criterion D4</w:t>
              </w:r>
            </w:hyperlink>
          </w:p>
        </w:tc>
      </w:tr>
      <w:tr w:rsidR="0071054A" w:rsidRPr="00743A41" w:rsidTr="00847E25">
        <w:trPr>
          <w:cantSplit/>
          <w:trHeight w:val="80"/>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in Health Services Organizations, Student 1</w:t>
            </w:r>
            <w:r w:rsidRPr="00743A41">
              <w:rPr>
                <w:rFonts w:asciiTheme="majorHAnsi" w:eastAsia="Times New Roman" w:hAnsiTheme="majorHAnsi" w:cstheme="majorHAnsi"/>
                <w:sz w:val="20"/>
                <w:szCs w:val="20"/>
              </w:rPr>
              <w:t xml:space="preserve">: The student investigated the distribution and assessed the risk of adverse maternal and child health outcomes in counties identified as exploratory targets for expansion of the Nurse-Family Partnership. She collected quantitative and qualitative data from a variety of sources, e.g., focus groups, state government, census, CDC, data centers. She analyzed these data to develop a community assessment report (MPH-3, MPH-4, MPH-7, MPH-S3, Product 2). This report also discusses key findings to identify counties with the poorest health outcomes and greatest need for services. The student also assisted with need assessments to support her host site’s efforts to recruit nurses from diverse backgrounds. Drawing conclusions from literature and focus group data, the student recommended ways to recruit Spanish-speaking nurses in Texas (MPH-8, Product 1). </w:t>
            </w:r>
          </w:p>
        </w:tc>
        <w:tc>
          <w:tcPr>
            <w:tcW w:w="2500" w:type="pct"/>
            <w:shd w:val="clear" w:color="auto" w:fill="auto"/>
          </w:tcPr>
          <w:p w:rsidR="0071054A" w:rsidRPr="00743A41" w:rsidRDefault="0071054A" w:rsidP="00A37ED6">
            <w:pPr>
              <w:autoSpaceDE w:val="0"/>
              <w:autoSpaceDN w:val="0"/>
              <w:adjustRightInd w:val="0"/>
              <w:rPr>
                <w:rFonts w:asciiTheme="majorHAnsi" w:eastAsia="Times New Roman" w:hAnsiTheme="majorHAnsi" w:cstheme="majorHAnsi"/>
                <w:sz w:val="20"/>
                <w:szCs w:val="20"/>
              </w:rPr>
            </w:pPr>
            <w:r w:rsidRPr="00743A41">
              <w:rPr>
                <w:rFonts w:asciiTheme="majorHAnsi" w:hAnsiTheme="majorHAnsi" w:cstheme="majorHAnsi"/>
                <w:sz w:val="20"/>
                <w:szCs w:val="20"/>
              </w:rPr>
              <w:t>MPH-3: Analyze quantitative and qualitative data using biostatistics, informatics, computer-based programming and software, as appropriate</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hAnsiTheme="majorHAnsi" w:cstheme="majorHAnsi"/>
                <w:sz w:val="20"/>
                <w:szCs w:val="20"/>
              </w:rPr>
              <w:t>MPH-4: Interpret results of data analysis for public health research, policy or practice</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MPH-7: Assess population needs, assets and capacities that affect communities’ health</w:t>
            </w:r>
          </w:p>
        </w:tc>
      </w:tr>
      <w:tr w:rsidR="0071054A" w:rsidRPr="00743A41" w:rsidTr="00847E25">
        <w:trPr>
          <w:cantSplit/>
          <w:trHeight w:val="88"/>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MPH-8: Apply awareness of cultural values and practices to the design or implementation of public health policies or programs</w:t>
            </w:r>
          </w:p>
        </w:tc>
      </w:tr>
      <w:tr w:rsidR="0071054A" w:rsidRPr="00743A41" w:rsidTr="00847E25">
        <w:trPr>
          <w:cantSplit/>
          <w:trHeight w:val="88"/>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MPH-S3: Prepare a detailed policy analysis plan to assess alternative policies for improving the effectiveness, efficiency and equity of health services</w:t>
            </w:r>
          </w:p>
        </w:tc>
      </w:tr>
      <w:tr w:rsidR="0071054A" w:rsidRPr="00743A41" w:rsidTr="00847E25">
        <w:trPr>
          <w:cantSplit/>
          <w:trHeight w:val="80"/>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in Health Services Organizations, Student 2</w:t>
            </w:r>
            <w:r w:rsidRPr="00743A41">
              <w:rPr>
                <w:rFonts w:asciiTheme="majorHAnsi" w:eastAsia="Times New Roman" w:hAnsiTheme="majorHAnsi" w:cstheme="majorHAnsi"/>
                <w:sz w:val="20"/>
                <w:szCs w:val="20"/>
              </w:rPr>
              <w:t xml:space="preserve">: This student conducted her practicum with a local clinic that provides healthcare and education to individuals with limited access to care. Her practicum focused on improving the patient’s experience and improving process efficiency by shortening wait times at the clinic (MPH-7, MPH-10). The student assessed and analyzed wait times during each step of the patient experience--from check-in to check-out—and proposed an alternative  process (MPH-4, MPH-S3) based on the electronic health record. She designed a workflow process map and a detailed policy analysis that illustrates the movements of patients throughout the clinic during a typical appointment (MPH-18). In a summary report, she suggests how the clinic can shorten wait times for their patients. </w:t>
            </w: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hAnsiTheme="majorHAnsi" w:cstheme="majorHAnsi"/>
                <w:sz w:val="20"/>
                <w:szCs w:val="20"/>
              </w:rPr>
              <w:t>MPH-4: Interpret results of data analysis for public health research, policy or practice</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MPH-7: Assess population needs, assets and capacities that affect communities’ health</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MPH-10: Explain basic principles and tools of budget and resource management</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MPH-18: Select communication strategies for different audiences and sectors</w:t>
            </w:r>
          </w:p>
        </w:tc>
      </w:tr>
      <w:tr w:rsidR="0071054A" w:rsidRPr="00743A41" w:rsidTr="00847E25">
        <w:trPr>
          <w:cantSplit/>
          <w:trHeight w:val="80"/>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MPH-S3. Prepare a detailed policy analysis plan to assess alternative policies for improving the effectiveness, efficiency and equity of health services</w:t>
            </w:r>
          </w:p>
        </w:tc>
      </w:tr>
      <w:tr w:rsidR="0071054A" w:rsidRPr="00743A41" w:rsidTr="00847E25">
        <w:trPr>
          <w:cantSplit/>
          <w:trHeight w:val="256"/>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in Health Services Organizations, Student 3</w:t>
            </w:r>
            <w:r w:rsidRPr="00743A41">
              <w:rPr>
                <w:rFonts w:asciiTheme="majorHAnsi" w:eastAsia="Times New Roman" w:hAnsiTheme="majorHAnsi" w:cstheme="majorHAnsi"/>
                <w:sz w:val="20"/>
                <w:szCs w:val="20"/>
              </w:rPr>
              <w:t xml:space="preserve">: This student conducted her practicum at a non-profit organization that provides a variety of support services to victims of human trafficking or sexual exploitation. The aim of her project was to design a nutrition program for the organization’s clients (MPH-9, MPH-8). To accomplish this goal, the student created nutritional standards and a nutrition curriculum to meet the specific needs of the population served by the organization. In an easy-to-read proposal (Product 2) and summary of methods (Product 3), the student justified why the organization should change the foods they offer to their clients at the center and described how she arrived at her recommendations. She also developed and delivered a presentation of her recommendations at a staff meeting (MPH-19, Product 1). A summary of nutrition standards and sample grocery lists document her recommendations to replace current food offerings with healthy and cost-efficient alternatives (MPH-18, Products 4-5). During the next phase of her practicum, the student designed and delivered a series of three classes on healthy eating and improving nutrition to the organization’s clients (MPH-20, Products 6-8). In a reflection, the student describes her methods and experiences as she worked to achieve the goals of her practicum (Product 9). </w:t>
            </w: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hAnsiTheme="majorHAnsi" w:cstheme="majorHAnsi"/>
                <w:sz w:val="20"/>
                <w:szCs w:val="20"/>
              </w:rPr>
              <w:t>MPH-8: Apply awareness of cultural values and practices to the design or implementation of public health policies or programs</w:t>
            </w:r>
          </w:p>
        </w:tc>
      </w:tr>
      <w:tr w:rsidR="0071054A" w:rsidRPr="00743A41" w:rsidTr="00847E25">
        <w:trPr>
          <w:cantSplit/>
          <w:trHeight w:val="253"/>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MPH-9: Design a population-based policy, program, project or intervention</w:t>
            </w:r>
          </w:p>
        </w:tc>
      </w:tr>
      <w:tr w:rsidR="0071054A" w:rsidRPr="00743A41" w:rsidTr="00847E25">
        <w:trPr>
          <w:cantSplit/>
          <w:trHeight w:val="253"/>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MPH-18: Select communication strategies for different audiences and sectors</w:t>
            </w:r>
          </w:p>
        </w:tc>
      </w:tr>
      <w:tr w:rsidR="0071054A" w:rsidRPr="00743A41" w:rsidTr="00847E25">
        <w:trPr>
          <w:cantSplit/>
          <w:trHeight w:val="253"/>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hAnsiTheme="majorHAnsi" w:cstheme="majorHAnsi"/>
                <w:sz w:val="20"/>
                <w:szCs w:val="20"/>
              </w:rPr>
              <w:t>MPH-19: Communicate audience-appropriate public health content, both in writing and through oral presentation</w:t>
            </w:r>
          </w:p>
        </w:tc>
      </w:tr>
      <w:tr w:rsidR="0071054A" w:rsidRPr="00743A41" w:rsidTr="00847E25">
        <w:trPr>
          <w:cantSplit/>
          <w:trHeight w:val="253"/>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MPH-20: Describe the importance of cultural competence in communicating public health content</w:t>
            </w:r>
          </w:p>
        </w:tc>
      </w:tr>
      <w:tr w:rsidR="0071054A" w:rsidRPr="00743A41" w:rsidTr="00847E25">
        <w:trPr>
          <w:cantSplit/>
          <w:trHeight w:val="62"/>
        </w:trPr>
        <w:tc>
          <w:tcPr>
            <w:tcW w:w="2500" w:type="pct"/>
            <w:vMerge w:val="restar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MPH in Health Services Organizations, Student 4</w:t>
            </w:r>
            <w:r w:rsidRPr="00743A41">
              <w:rPr>
                <w:rFonts w:asciiTheme="majorHAnsi" w:eastAsia="Times New Roman" w:hAnsiTheme="majorHAnsi" w:cstheme="majorHAnsi"/>
                <w:sz w:val="20"/>
                <w:szCs w:val="20"/>
              </w:rPr>
              <w:t xml:space="preserve">: This student conducted two practicum projects. She completed her first project at an academic center that studies adversity, resilience, and equity in children. </w:t>
            </w:r>
            <w:r w:rsidRPr="00743A41">
              <w:rPr>
                <w:rFonts w:asciiTheme="majorHAnsi" w:hAnsiTheme="majorHAnsi" w:cstheme="majorHAnsi"/>
                <w:sz w:val="20"/>
                <w:szCs w:val="20"/>
              </w:rPr>
              <w:t xml:space="preserve">In a review of relevant literature, the student </w:t>
            </w:r>
            <w:r w:rsidRPr="00743A41">
              <w:rPr>
                <w:rFonts w:asciiTheme="majorHAnsi" w:eastAsia="Times New Roman" w:hAnsiTheme="majorHAnsi" w:cstheme="majorHAnsi"/>
                <w:sz w:val="20"/>
                <w:szCs w:val="20"/>
              </w:rPr>
              <w:t>assesses the health needs of children in foster care and identifies difficulties encountered by foster youth in their transition to adulthood (MPH-7, Product 1). For her second practicum, the student worked at a nonprofit that promotes global vaccine development, availability and use. She designed and conducted a landscape analysis of communication strategies that influence vaccine uptake in Nigeria (Product 2).</w:t>
            </w:r>
            <w:r w:rsidRPr="00743A41">
              <w:rPr>
                <w:rFonts w:asciiTheme="majorHAnsi" w:eastAsia="Times New Roman" w:hAnsiTheme="majorHAnsi" w:cstheme="majorHAnsi"/>
                <w:i/>
                <w:sz w:val="20"/>
                <w:szCs w:val="20"/>
              </w:rPr>
              <w:t xml:space="preserve"> </w:t>
            </w:r>
            <w:r w:rsidRPr="00743A41">
              <w:rPr>
                <w:rFonts w:asciiTheme="majorHAnsi" w:eastAsia="Times New Roman" w:hAnsiTheme="majorHAnsi" w:cstheme="majorHAnsi"/>
                <w:sz w:val="20"/>
                <w:szCs w:val="20"/>
              </w:rPr>
              <w:t xml:space="preserve">To conduct her analysis, the student interpreted data </w:t>
            </w:r>
            <w:r w:rsidRPr="00743A41">
              <w:rPr>
                <w:rFonts w:asciiTheme="majorHAnsi" w:hAnsiTheme="majorHAnsi" w:cstheme="majorHAnsi"/>
                <w:sz w:val="20"/>
                <w:szCs w:val="20"/>
              </w:rPr>
              <w:t xml:space="preserve">from phone interviews with health workers in Nigeria as well as data from </w:t>
            </w:r>
            <w:r w:rsidRPr="00743A41">
              <w:rPr>
                <w:rFonts w:asciiTheme="majorHAnsi" w:eastAsia="Times New Roman" w:hAnsiTheme="majorHAnsi" w:cstheme="majorHAnsi"/>
                <w:sz w:val="20"/>
                <w:szCs w:val="20"/>
              </w:rPr>
              <w:t xml:space="preserve">the </w:t>
            </w:r>
            <w:r w:rsidRPr="00743A41">
              <w:rPr>
                <w:rFonts w:asciiTheme="majorHAnsi" w:hAnsiTheme="majorHAnsi" w:cstheme="majorHAnsi"/>
                <w:sz w:val="20"/>
                <w:szCs w:val="20"/>
              </w:rPr>
              <w:t>United Nations Children’s Fund (MPH-2, MPH-4). This landscape analysis identifies non-government and government organizations in Nigeria who could serve as potential stakeholders in improving access to vaccines and supporting vaccine education (MPH-13). The analysis further discusses gaps in vaccine access and proposes recommendations for the host organization (MPH-20).</w:t>
            </w:r>
          </w:p>
        </w:tc>
        <w:tc>
          <w:tcPr>
            <w:tcW w:w="2500" w:type="pct"/>
            <w:shd w:val="clear" w:color="auto" w:fill="auto"/>
          </w:tcPr>
          <w:p w:rsidR="0071054A" w:rsidRPr="00743A41" w:rsidRDefault="0071054A" w:rsidP="00A37ED6">
            <w:pPr>
              <w:autoSpaceDE w:val="0"/>
              <w:autoSpaceDN w:val="0"/>
              <w:adjustRightInd w:val="0"/>
              <w:rPr>
                <w:rFonts w:asciiTheme="majorHAnsi" w:eastAsia="Times New Roman" w:hAnsiTheme="majorHAnsi" w:cstheme="majorHAnsi"/>
                <w:sz w:val="20"/>
                <w:szCs w:val="20"/>
              </w:rPr>
            </w:pPr>
            <w:r w:rsidRPr="00743A41">
              <w:rPr>
                <w:rFonts w:asciiTheme="majorHAnsi" w:hAnsiTheme="majorHAnsi" w:cstheme="majorHAnsi"/>
                <w:sz w:val="20"/>
                <w:szCs w:val="20"/>
              </w:rPr>
              <w:t>MPH-2: Select quantitative and qualitative data collection methods appropriate for a given public health context</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MPH-4: Interpret results of data analysis for public health research, policy or practice</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MPH-7: Assess population needs, assets and capacities that affect communities’ health</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MPH-13: Propose strategies to identify stakeholders and build coalitions and partnerships for influencing public health outcomes</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hAnsiTheme="majorHAnsi" w:cstheme="majorHAnsi"/>
                <w:sz w:val="20"/>
                <w:szCs w:val="20"/>
              </w:rPr>
            </w:pPr>
            <w:r w:rsidRPr="00743A41">
              <w:rPr>
                <w:rFonts w:asciiTheme="majorHAnsi" w:hAnsiTheme="majorHAnsi" w:cstheme="majorHAnsi"/>
                <w:sz w:val="20"/>
                <w:szCs w:val="20"/>
              </w:rPr>
              <w:t>MPH-20: Describe the importance of cultural competence in communicating public health content</w:t>
            </w:r>
          </w:p>
        </w:tc>
      </w:tr>
      <w:tr w:rsidR="0071054A" w:rsidRPr="00743A41" w:rsidTr="00847E25">
        <w:trPr>
          <w:cantSplit/>
          <w:trHeight w:val="62"/>
        </w:trPr>
        <w:tc>
          <w:tcPr>
            <w:tcW w:w="2500" w:type="pct"/>
            <w:vMerge w:val="restart"/>
            <w:shd w:val="clear" w:color="auto" w:fill="auto"/>
          </w:tcPr>
          <w:p w:rsidR="0071054A" w:rsidRPr="00743A41" w:rsidRDefault="0071054A" w:rsidP="00A37ED6">
            <w:pPr>
              <w:rPr>
                <w:rFonts w:asciiTheme="majorHAnsi" w:eastAsia="Times New Roman" w:hAnsiTheme="majorHAnsi" w:cstheme="majorHAnsi"/>
                <w:i/>
                <w:sz w:val="20"/>
                <w:szCs w:val="20"/>
              </w:rPr>
            </w:pPr>
            <w:r w:rsidRPr="00743A41">
              <w:rPr>
                <w:rFonts w:asciiTheme="majorHAnsi" w:eastAsia="Times New Roman" w:hAnsiTheme="majorHAnsi" w:cstheme="majorHAnsi"/>
                <w:sz w:val="20"/>
                <w:szCs w:val="20"/>
                <w:u w:val="single"/>
              </w:rPr>
              <w:t>MPH in Health Services Organizations, Student 5</w:t>
            </w:r>
            <w:r w:rsidRPr="00743A41">
              <w:rPr>
                <w:rFonts w:asciiTheme="majorHAnsi" w:eastAsia="Times New Roman" w:hAnsiTheme="majorHAnsi" w:cstheme="majorHAnsi"/>
                <w:sz w:val="20"/>
                <w:szCs w:val="20"/>
              </w:rPr>
              <w:t xml:space="preserve">: For her practicum, this student worked on a national forum that promotes the development and implementation of </w:t>
            </w:r>
            <w:r w:rsidRPr="00743A41">
              <w:rPr>
                <w:rFonts w:asciiTheme="majorHAnsi" w:hAnsiTheme="majorHAnsi" w:cstheme="majorHAnsi"/>
                <w:sz w:val="20"/>
                <w:szCs w:val="20"/>
              </w:rPr>
              <w:t xml:space="preserve">programs, practices, and policies in children’s cognitive, affective, and behavioral health. The student contributed significantly to The Forum for Children’s Wellbeing, an event designed to develop evidence-based advocacy on achieving behavioral health equity for children, families, and communities. She proposed strategies to build partnerships, discussed the policy-making process and advocated for children’s health (MPH-13, MPH-12, MPH-14). The forum included critical comments and suggestions on policies to achieve health equity. </w:t>
            </w:r>
            <w:r w:rsidRPr="00743A41">
              <w:rPr>
                <w:rFonts w:asciiTheme="majorHAnsi" w:eastAsia="Times New Roman" w:hAnsiTheme="majorHAnsi" w:cstheme="majorHAnsi"/>
                <w:sz w:val="20"/>
                <w:szCs w:val="20"/>
              </w:rPr>
              <w:t>In addition, the student synthesized potential social media messaging describing school resources, parenting skills, community spotlights and others (MPH-18, MPH-20). Because the workshop proceedings have been marked as “privileged data not for circulation,” only the first few pages of the proceedings have been included in the ERF.</w:t>
            </w: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hAnsiTheme="majorHAnsi" w:cstheme="majorHAnsi"/>
                <w:sz w:val="20"/>
                <w:szCs w:val="20"/>
              </w:rPr>
              <w:t>MPH-12: Discuss multiple dimensions of the policy-making process, including the roles of ethics and evidence</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hAnsiTheme="majorHAnsi" w:cstheme="majorHAnsi"/>
                <w:sz w:val="20"/>
                <w:szCs w:val="20"/>
              </w:rPr>
              <w:t>MPH-13: Propose strategies to identify stakeholders and build coalitions and partnerships for influencing public health outcomes</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MPH-14: Advocate for political, social or economic policies and programs that will improve health in diverse populations</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autoSpaceDE w:val="0"/>
              <w:autoSpaceDN w:val="0"/>
              <w:adjustRightInd w:val="0"/>
              <w:rPr>
                <w:rFonts w:asciiTheme="majorHAnsi" w:hAnsiTheme="majorHAnsi" w:cstheme="majorHAnsi"/>
                <w:sz w:val="20"/>
                <w:szCs w:val="20"/>
              </w:rPr>
            </w:pPr>
            <w:r w:rsidRPr="00743A41">
              <w:rPr>
                <w:rFonts w:asciiTheme="majorHAnsi" w:hAnsiTheme="majorHAnsi" w:cstheme="majorHAnsi"/>
                <w:sz w:val="20"/>
                <w:szCs w:val="20"/>
              </w:rPr>
              <w:t>MPH-18: Select communication strategies for different audiences and sectors</w:t>
            </w:r>
          </w:p>
        </w:tc>
      </w:tr>
      <w:tr w:rsidR="0071054A" w:rsidRPr="00743A41" w:rsidTr="00847E25">
        <w:trPr>
          <w:cantSplit/>
          <w:trHeight w:val="62"/>
        </w:trPr>
        <w:tc>
          <w:tcPr>
            <w:tcW w:w="2500" w:type="pct"/>
            <w:vMerge/>
            <w:shd w:val="clear" w:color="auto" w:fill="auto"/>
          </w:tcPr>
          <w:p w:rsidR="0071054A" w:rsidRPr="00743A41" w:rsidRDefault="0071054A" w:rsidP="00A37ED6">
            <w:pPr>
              <w:rPr>
                <w:rFonts w:asciiTheme="majorHAnsi" w:eastAsia="Times New Roman" w:hAnsiTheme="majorHAnsi" w:cstheme="majorHAnsi"/>
                <w:sz w:val="20"/>
                <w:szCs w:val="20"/>
              </w:rPr>
            </w:pPr>
          </w:p>
        </w:tc>
        <w:tc>
          <w:tcPr>
            <w:tcW w:w="2500" w:type="pct"/>
            <w:shd w:val="clear" w:color="auto" w:fill="auto"/>
          </w:tcPr>
          <w:p w:rsidR="0071054A" w:rsidRPr="00743A41" w:rsidRDefault="0071054A"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 xml:space="preserve">MPH-20: </w:t>
            </w:r>
            <w:r w:rsidRPr="00743A41">
              <w:rPr>
                <w:rFonts w:asciiTheme="majorHAnsi" w:hAnsiTheme="majorHAnsi" w:cstheme="majorHAnsi"/>
                <w:sz w:val="20"/>
                <w:szCs w:val="20"/>
              </w:rPr>
              <w:t>Describe the importance of cultural competence in communicating public health content</w:t>
            </w:r>
          </w:p>
        </w:tc>
      </w:tr>
    </w:tbl>
    <w:p w:rsidR="0071054A" w:rsidRPr="00743A41" w:rsidRDefault="0071054A" w:rsidP="00A37ED6">
      <w:pPr>
        <w:rPr>
          <w:rFonts w:asciiTheme="majorHAnsi" w:hAnsiTheme="majorHAnsi" w:cstheme="majorHAnsi"/>
          <w:sz w:val="20"/>
          <w:szCs w:val="20"/>
        </w:rPr>
      </w:pPr>
    </w:p>
    <w:p w:rsidR="00933038" w:rsidRPr="0022361E" w:rsidRDefault="00EB2277" w:rsidP="00A37ED6">
      <w:pPr>
        <w:ind w:left="720"/>
        <w:jc w:val="both"/>
        <w:rPr>
          <w:rFonts w:asciiTheme="majorHAnsi" w:eastAsia="Arial Unicode MS" w:hAnsiTheme="majorHAnsi" w:cstheme="majorHAnsi"/>
          <w:sz w:val="20"/>
          <w:szCs w:val="20"/>
        </w:rPr>
      </w:pPr>
      <w:r w:rsidRPr="0022361E">
        <w:rPr>
          <w:rFonts w:asciiTheme="majorHAnsi" w:eastAsia="Arial Unicode MS" w:hAnsiTheme="majorHAnsi" w:cstheme="majorHAnsi"/>
          <w:sz w:val="20"/>
          <w:szCs w:val="20"/>
        </w:rPr>
        <w:t>Associated documents in the electronic resource file:</w:t>
      </w:r>
    </w:p>
    <w:p w:rsidR="00A667CF" w:rsidRPr="0022361E" w:rsidRDefault="00471953" w:rsidP="00A37ED6">
      <w:pPr>
        <w:pStyle w:val="ListParagraph"/>
        <w:numPr>
          <w:ilvl w:val="0"/>
          <w:numId w:val="130"/>
        </w:numPr>
        <w:jc w:val="both"/>
        <w:rPr>
          <w:rFonts w:asciiTheme="majorHAnsi" w:eastAsia="Arial Unicode MS" w:hAnsiTheme="majorHAnsi" w:cstheme="majorHAnsi"/>
          <w:i/>
          <w:szCs w:val="20"/>
        </w:rPr>
      </w:pPr>
      <w:r w:rsidRPr="0022361E">
        <w:rPr>
          <w:rFonts w:asciiTheme="majorHAnsi" w:eastAsia="Arial Unicode MS" w:hAnsiTheme="majorHAnsi" w:cstheme="majorHAnsi"/>
          <w:i/>
        </w:rPr>
        <w:t>D5.3. Practice-Based Products that Demonstrate MPH Competency Achievement</w:t>
      </w:r>
    </w:p>
    <w:p w:rsidR="00A667CF" w:rsidRPr="0022361E" w:rsidRDefault="00A667CF" w:rsidP="00A37ED6">
      <w:pPr>
        <w:pStyle w:val="ListParagraph"/>
        <w:numPr>
          <w:ilvl w:val="1"/>
          <w:numId w:val="130"/>
        </w:numPr>
        <w:jc w:val="both"/>
        <w:rPr>
          <w:rFonts w:asciiTheme="majorHAnsi" w:eastAsia="Arial Unicode MS" w:hAnsiTheme="majorHAnsi" w:cstheme="majorHAnsi"/>
          <w:i/>
          <w:szCs w:val="20"/>
        </w:rPr>
      </w:pPr>
      <w:r w:rsidRPr="0022361E">
        <w:rPr>
          <w:rFonts w:asciiTheme="majorHAnsi" w:eastAsia="Arial Unicode MS" w:hAnsiTheme="majorHAnsi" w:cstheme="majorHAnsi"/>
          <w:i/>
        </w:rPr>
        <w:t>MPH in Community Health Practice, Practice-Based Products</w:t>
      </w:r>
    </w:p>
    <w:p w:rsidR="00A667CF" w:rsidRPr="0022361E" w:rsidRDefault="00A667CF" w:rsidP="00A37ED6">
      <w:pPr>
        <w:pStyle w:val="ListParagraph"/>
        <w:numPr>
          <w:ilvl w:val="1"/>
          <w:numId w:val="130"/>
        </w:numPr>
        <w:jc w:val="both"/>
        <w:rPr>
          <w:rFonts w:asciiTheme="majorHAnsi" w:eastAsia="Arial Unicode MS" w:hAnsiTheme="majorHAnsi" w:cstheme="majorHAnsi"/>
          <w:i/>
          <w:szCs w:val="20"/>
        </w:rPr>
      </w:pPr>
      <w:r w:rsidRPr="0022361E">
        <w:rPr>
          <w:rFonts w:asciiTheme="majorHAnsi" w:eastAsia="Arial Unicode MS" w:hAnsiTheme="majorHAnsi" w:cstheme="majorHAnsi"/>
          <w:i/>
        </w:rPr>
        <w:t>MPH Customized, Practice-Based Products</w:t>
      </w:r>
    </w:p>
    <w:p w:rsidR="00471953" w:rsidRPr="0022361E" w:rsidRDefault="00471953" w:rsidP="00471953">
      <w:pPr>
        <w:pStyle w:val="ListParagraph"/>
        <w:numPr>
          <w:ilvl w:val="1"/>
          <w:numId w:val="130"/>
        </w:numPr>
        <w:jc w:val="both"/>
        <w:rPr>
          <w:rStyle w:val="Hyperlink"/>
          <w:rFonts w:asciiTheme="majorHAnsi" w:eastAsia="Arial Unicode MS" w:hAnsiTheme="majorHAnsi" w:cstheme="majorHAnsi"/>
          <w:i/>
          <w:color w:val="auto"/>
          <w:szCs w:val="20"/>
          <w:u w:val="none"/>
        </w:rPr>
      </w:pPr>
      <w:r w:rsidRPr="0022361E">
        <w:rPr>
          <w:rStyle w:val="Hyperlink"/>
          <w:rFonts w:asciiTheme="majorHAnsi" w:eastAsia="Arial Unicode MS" w:hAnsiTheme="majorHAnsi" w:cstheme="majorHAnsi"/>
          <w:i/>
          <w:color w:val="auto"/>
          <w:szCs w:val="20"/>
          <w:u w:val="none"/>
        </w:rPr>
        <w:t>MPH Customized, Dual Degree, Practice Based Products</w:t>
      </w:r>
    </w:p>
    <w:p w:rsidR="00471953" w:rsidRPr="0022361E" w:rsidRDefault="00471953" w:rsidP="00471953">
      <w:pPr>
        <w:pStyle w:val="ListParagraph"/>
        <w:numPr>
          <w:ilvl w:val="1"/>
          <w:numId w:val="130"/>
        </w:numPr>
        <w:jc w:val="both"/>
        <w:rPr>
          <w:rFonts w:asciiTheme="majorHAnsi" w:eastAsia="Arial Unicode MS" w:hAnsiTheme="majorHAnsi" w:cstheme="majorHAnsi"/>
          <w:i/>
        </w:rPr>
      </w:pPr>
      <w:r w:rsidRPr="0022361E">
        <w:rPr>
          <w:rFonts w:asciiTheme="majorHAnsi" w:eastAsia="Arial Unicode MS" w:hAnsiTheme="majorHAnsi" w:cstheme="majorHAnsi"/>
          <w:i/>
        </w:rPr>
        <w:t>MPH in Environmental Health, Practice-Based Products</w:t>
      </w:r>
    </w:p>
    <w:p w:rsidR="00471953" w:rsidRPr="0022361E" w:rsidRDefault="00471953" w:rsidP="00471953">
      <w:pPr>
        <w:pStyle w:val="ListParagraph"/>
        <w:numPr>
          <w:ilvl w:val="1"/>
          <w:numId w:val="130"/>
        </w:numPr>
        <w:jc w:val="both"/>
        <w:rPr>
          <w:rFonts w:asciiTheme="majorHAnsi" w:eastAsia="Arial Unicode MS" w:hAnsiTheme="majorHAnsi" w:cstheme="majorHAnsi"/>
          <w:i/>
        </w:rPr>
      </w:pPr>
      <w:r w:rsidRPr="0022361E">
        <w:rPr>
          <w:rFonts w:asciiTheme="majorHAnsi" w:eastAsia="Arial Unicode MS" w:hAnsiTheme="majorHAnsi" w:cstheme="majorHAnsi"/>
          <w:i/>
        </w:rPr>
        <w:t>MPH in Epidemiology, Practice-Based Products</w:t>
      </w:r>
    </w:p>
    <w:p w:rsidR="00A77805" w:rsidRPr="0022361E" w:rsidRDefault="00A77805" w:rsidP="00A77805">
      <w:pPr>
        <w:pStyle w:val="ListParagraph"/>
        <w:numPr>
          <w:ilvl w:val="1"/>
          <w:numId w:val="130"/>
        </w:numPr>
        <w:jc w:val="both"/>
        <w:rPr>
          <w:rFonts w:asciiTheme="majorHAnsi" w:eastAsia="Arial Unicode MS" w:hAnsiTheme="majorHAnsi" w:cstheme="majorHAnsi"/>
          <w:i/>
        </w:rPr>
      </w:pPr>
      <w:r w:rsidRPr="0022361E">
        <w:rPr>
          <w:rFonts w:asciiTheme="majorHAnsi" w:eastAsia="Arial Unicode MS" w:hAnsiTheme="majorHAnsi" w:cstheme="majorHAnsi"/>
          <w:i/>
        </w:rPr>
        <w:t>MPH in Health Promotion and Health Education, Practice-Based Products</w:t>
      </w:r>
    </w:p>
    <w:p w:rsidR="00A667CF" w:rsidRPr="0022361E" w:rsidRDefault="00A77805" w:rsidP="00A37ED6">
      <w:pPr>
        <w:pStyle w:val="ListParagraph"/>
        <w:numPr>
          <w:ilvl w:val="1"/>
          <w:numId w:val="130"/>
        </w:numPr>
        <w:jc w:val="both"/>
        <w:rPr>
          <w:rFonts w:asciiTheme="majorHAnsi" w:eastAsia="Arial Unicode MS" w:hAnsiTheme="majorHAnsi" w:cstheme="majorHAnsi"/>
          <w:i/>
          <w:szCs w:val="20"/>
        </w:rPr>
      </w:pPr>
      <w:r w:rsidRPr="0022361E">
        <w:rPr>
          <w:rFonts w:asciiTheme="majorHAnsi" w:eastAsia="Arial Unicode MS" w:hAnsiTheme="majorHAnsi" w:cstheme="majorHAnsi"/>
          <w:i/>
        </w:rPr>
        <w:t>MPH in Health Promotion and Health Education, Dietetic Internship Track, Practice-Based Products</w:t>
      </w:r>
    </w:p>
    <w:p w:rsidR="00A77805" w:rsidRPr="0022361E" w:rsidRDefault="00A77805" w:rsidP="00A77805">
      <w:pPr>
        <w:pStyle w:val="ListParagraph"/>
        <w:numPr>
          <w:ilvl w:val="1"/>
          <w:numId w:val="130"/>
        </w:numPr>
        <w:jc w:val="both"/>
        <w:rPr>
          <w:rFonts w:asciiTheme="majorHAnsi" w:eastAsia="Arial Unicode MS" w:hAnsiTheme="majorHAnsi" w:cstheme="majorHAnsi"/>
          <w:i/>
        </w:rPr>
      </w:pPr>
      <w:r w:rsidRPr="0022361E">
        <w:rPr>
          <w:rFonts w:asciiTheme="majorHAnsi" w:eastAsia="Arial Unicode MS" w:hAnsiTheme="majorHAnsi" w:cstheme="majorHAnsi"/>
          <w:i/>
        </w:rPr>
        <w:t>MPH in Healthcare Management, Practice-Based Products</w:t>
      </w:r>
    </w:p>
    <w:p w:rsidR="00A77805" w:rsidRPr="0022361E" w:rsidRDefault="00A77805" w:rsidP="00A77805">
      <w:pPr>
        <w:pStyle w:val="ListParagraph"/>
        <w:numPr>
          <w:ilvl w:val="1"/>
          <w:numId w:val="130"/>
        </w:numPr>
        <w:jc w:val="both"/>
        <w:rPr>
          <w:rFonts w:asciiTheme="majorHAnsi" w:eastAsia="Arial Unicode MS" w:hAnsiTheme="majorHAnsi" w:cstheme="majorHAnsi"/>
          <w:i/>
        </w:rPr>
      </w:pPr>
      <w:r w:rsidRPr="0022361E">
        <w:rPr>
          <w:rFonts w:asciiTheme="majorHAnsi" w:eastAsia="Arial Unicode MS" w:hAnsiTheme="majorHAnsi" w:cstheme="majorHAnsi"/>
          <w:i/>
        </w:rPr>
        <w:t>MPH in Health Services Organization, Practice-Based Products</w:t>
      </w:r>
    </w:p>
    <w:p w:rsidR="00933038" w:rsidRPr="00743A41" w:rsidRDefault="00933038" w:rsidP="00A37ED6">
      <w:pPr>
        <w:pStyle w:val="ListParagraph"/>
        <w:jc w:val="both"/>
        <w:rPr>
          <w:rFonts w:asciiTheme="majorHAnsi" w:eastAsia="Arial Unicode MS" w:hAnsiTheme="majorHAnsi" w:cstheme="majorHAnsi"/>
          <w:szCs w:val="20"/>
        </w:rPr>
      </w:pPr>
    </w:p>
    <w:p w:rsidR="00933038" w:rsidRPr="00743A41" w:rsidRDefault="00933038" w:rsidP="00A37ED6">
      <w:pPr>
        <w:pStyle w:val="ListParagraph"/>
        <w:numPr>
          <w:ilvl w:val="0"/>
          <w:numId w:val="22"/>
        </w:numPr>
        <w:ind w:left="720"/>
        <w:jc w:val="both"/>
        <w:rPr>
          <w:rFonts w:asciiTheme="majorHAnsi" w:eastAsia="Arial Unicode MS" w:hAnsiTheme="majorHAnsi" w:cstheme="majorHAnsi"/>
          <w:szCs w:val="20"/>
        </w:rPr>
      </w:pPr>
      <w:r w:rsidRPr="00743A41">
        <w:rPr>
          <w:rFonts w:asciiTheme="majorHAnsi" w:eastAsia="Arial Unicode MS" w:hAnsiTheme="majorHAnsi" w:cstheme="majorHAnsi"/>
          <w:szCs w:val="20"/>
        </w:rPr>
        <w:t xml:space="preserve">If applicable, assess strengths and weaknesses related to this criterion and plans for improvement in this area. </w:t>
      </w:r>
    </w:p>
    <w:p w:rsidR="00933038" w:rsidRPr="00743A41" w:rsidRDefault="00933038" w:rsidP="00A37ED6">
      <w:pPr>
        <w:jc w:val="both"/>
        <w:rPr>
          <w:rFonts w:asciiTheme="majorHAnsi" w:eastAsia="Arial Unicode MS" w:hAnsiTheme="majorHAnsi" w:cstheme="majorHAnsi"/>
          <w:sz w:val="20"/>
          <w:szCs w:val="20"/>
        </w:rPr>
      </w:pPr>
    </w:p>
    <w:p w:rsidR="00076438" w:rsidRPr="00743A41" w:rsidRDefault="00076438" w:rsidP="00A37ED6">
      <w:pPr>
        <w:ind w:left="720"/>
        <w:rPr>
          <w:rFonts w:asciiTheme="majorHAnsi" w:hAnsiTheme="majorHAnsi" w:cstheme="majorHAnsi"/>
          <w:b/>
          <w:sz w:val="20"/>
          <w:szCs w:val="20"/>
        </w:rPr>
      </w:pPr>
      <w:r w:rsidRPr="00743A41">
        <w:rPr>
          <w:rFonts w:asciiTheme="majorHAnsi" w:hAnsiTheme="majorHAnsi" w:cstheme="majorHAnsi"/>
          <w:b/>
          <w:sz w:val="20"/>
          <w:szCs w:val="20"/>
        </w:rPr>
        <w:t>Strengths</w:t>
      </w:r>
    </w:p>
    <w:p w:rsidR="00076438" w:rsidRPr="00743A41" w:rsidRDefault="00076438" w:rsidP="00864E8B">
      <w:pPr>
        <w:pStyle w:val="ListParagraph"/>
        <w:numPr>
          <w:ilvl w:val="0"/>
          <w:numId w:val="196"/>
        </w:numPr>
        <w:spacing w:after="120"/>
        <w:ind w:left="1440"/>
        <w:contextualSpacing/>
        <w:rPr>
          <w:rFonts w:asciiTheme="majorHAnsi" w:hAnsiTheme="majorHAnsi" w:cstheme="majorHAnsi"/>
          <w:szCs w:val="20"/>
        </w:rPr>
      </w:pPr>
      <w:r w:rsidRPr="00743A41">
        <w:rPr>
          <w:rFonts w:asciiTheme="majorHAnsi" w:hAnsiTheme="majorHAnsi" w:cstheme="majorHAnsi"/>
          <w:szCs w:val="20"/>
        </w:rPr>
        <w:t xml:space="preserve">According to our preceptor survey results, the UTHealth School of Public Health adequately prepares students for the applied practice experience. One question on the preceptor survey asks preceptors, “Do you think this student was well-prepared to conduct this practicum?” In an analysis of survey data from the last five semesters, preceptors responded affirmatively as follows: 78.1% in Fall 2017; 92.0% in Spring 2018; 88.0% in Summer 2018; 96.4% in Fall 2018; and 100% in Spring 2019 (Figure 1, Preceptor Opinion on Student Preparedness). The OPHP also asks preceptors to assess how well the school prepared students for a public health job: “Do you consider this student to be well prepared and competent enough for a public health job?” Again, over the last five semesters, preceptors responded affirmatively: 78.1% in Fall 2017; 92.5% in Spring 2018; 88.3% in Summer 2018; 96.4% in Fall 2018; and 100% in Spring 2019.  As shown, the percentage of affirmative responses to both questions has increased every semester since Fall 2017.  </w:t>
      </w:r>
    </w:p>
    <w:p w:rsidR="00076438" w:rsidRPr="00743A41" w:rsidRDefault="00076438" w:rsidP="00864E8B">
      <w:pPr>
        <w:pStyle w:val="ListParagraph"/>
        <w:numPr>
          <w:ilvl w:val="0"/>
          <w:numId w:val="196"/>
        </w:numPr>
        <w:spacing w:after="120"/>
        <w:ind w:left="1440"/>
        <w:contextualSpacing/>
        <w:rPr>
          <w:rFonts w:asciiTheme="majorHAnsi" w:hAnsiTheme="majorHAnsi" w:cstheme="majorHAnsi"/>
          <w:i/>
          <w:szCs w:val="20"/>
        </w:rPr>
      </w:pPr>
      <w:r w:rsidRPr="00743A41">
        <w:rPr>
          <w:rFonts w:asciiTheme="majorHAnsi" w:hAnsiTheme="majorHAnsi" w:cstheme="majorHAnsi"/>
          <w:szCs w:val="20"/>
        </w:rPr>
        <w:t>The UTHealth School of Public Health has six campuses located in major cities across Texas: Houston, Austin, Dallas, San Antonio, El Paso, and Brownsville. These locations provide students with a variety of opportunities in public health practice.</w:t>
      </w:r>
    </w:p>
    <w:p w:rsidR="00076438" w:rsidRPr="00743A41" w:rsidRDefault="00076438" w:rsidP="00864E8B">
      <w:pPr>
        <w:pStyle w:val="ListParagraph"/>
        <w:numPr>
          <w:ilvl w:val="0"/>
          <w:numId w:val="196"/>
        </w:numPr>
        <w:spacing w:after="160"/>
        <w:ind w:left="1440"/>
        <w:contextualSpacing/>
        <w:rPr>
          <w:rFonts w:asciiTheme="majorHAnsi" w:hAnsiTheme="majorHAnsi" w:cstheme="majorHAnsi"/>
          <w:szCs w:val="20"/>
        </w:rPr>
      </w:pPr>
      <w:r w:rsidRPr="00743A41">
        <w:rPr>
          <w:rFonts w:asciiTheme="majorHAnsi" w:hAnsiTheme="majorHAnsi" w:cstheme="majorHAnsi"/>
          <w:szCs w:val="20"/>
        </w:rPr>
        <w:t xml:space="preserve">The UTHealth School of Public Health has purchased a new system for the learning contract that will be in production during Fall 2019. Important features of the new system are that it will </w:t>
      </w:r>
      <w:r w:rsidRPr="00743A41">
        <w:rPr>
          <w:rFonts w:asciiTheme="majorHAnsi" w:hAnsiTheme="majorHAnsi" w:cstheme="majorHAnsi"/>
          <w:i/>
          <w:szCs w:val="20"/>
        </w:rPr>
        <w:t>require</w:t>
      </w:r>
      <w:r w:rsidRPr="00743A41">
        <w:rPr>
          <w:rFonts w:asciiTheme="majorHAnsi" w:hAnsiTheme="majorHAnsi" w:cstheme="majorHAnsi"/>
          <w:szCs w:val="20"/>
        </w:rPr>
        <w:t xml:space="preserve"> students to select competencies in accordance with their degree plan, and that it will track and document the approval process, the selection of competencies, and the completion of competencies.</w:t>
      </w:r>
    </w:p>
    <w:p w:rsidR="00076438" w:rsidRPr="00743A41" w:rsidRDefault="00076438" w:rsidP="00A37ED6">
      <w:pPr>
        <w:pStyle w:val="ListParagraph"/>
        <w:ind w:left="1440"/>
        <w:rPr>
          <w:rFonts w:asciiTheme="majorHAnsi" w:hAnsiTheme="majorHAnsi" w:cstheme="majorHAnsi"/>
          <w:szCs w:val="20"/>
        </w:rPr>
      </w:pPr>
    </w:p>
    <w:p w:rsidR="00076438" w:rsidRPr="00743A41" w:rsidRDefault="00076438" w:rsidP="00A37ED6">
      <w:pPr>
        <w:ind w:left="720"/>
        <w:rPr>
          <w:rFonts w:asciiTheme="majorHAnsi" w:hAnsiTheme="majorHAnsi" w:cstheme="majorHAnsi"/>
          <w:b/>
          <w:sz w:val="20"/>
          <w:szCs w:val="20"/>
        </w:rPr>
      </w:pPr>
      <w:r w:rsidRPr="00743A41">
        <w:rPr>
          <w:rFonts w:asciiTheme="majorHAnsi" w:hAnsiTheme="majorHAnsi" w:cstheme="majorHAnsi"/>
          <w:b/>
          <w:sz w:val="20"/>
          <w:szCs w:val="20"/>
        </w:rPr>
        <w:t>Weaknesses</w:t>
      </w:r>
    </w:p>
    <w:p w:rsidR="00076438" w:rsidRPr="00743A41" w:rsidRDefault="00076438" w:rsidP="00864E8B">
      <w:pPr>
        <w:pStyle w:val="ListParagraph"/>
        <w:numPr>
          <w:ilvl w:val="0"/>
          <w:numId w:val="197"/>
        </w:numPr>
        <w:spacing w:after="160"/>
        <w:ind w:left="1440"/>
        <w:contextualSpacing/>
        <w:rPr>
          <w:rFonts w:asciiTheme="majorHAnsi" w:hAnsiTheme="majorHAnsi" w:cstheme="majorHAnsi"/>
          <w:szCs w:val="20"/>
        </w:rPr>
      </w:pPr>
      <w:r w:rsidRPr="00743A41">
        <w:rPr>
          <w:rFonts w:asciiTheme="majorHAnsi" w:hAnsiTheme="majorHAnsi" w:cstheme="majorHAnsi"/>
          <w:szCs w:val="20"/>
        </w:rPr>
        <w:t xml:space="preserve">The current online practicum system does not provide a way for students to easily select competencies and explain how they plan to attain the selected competencies. To address this weakness, the UTHealth School of Public Health has purchased a new system for the learning contract. Although this system is still under development, it promises to offer many features that will ensure consistency in the learning contracts. One important feature is that the system will </w:t>
      </w:r>
      <w:r w:rsidRPr="00743A41">
        <w:rPr>
          <w:rFonts w:asciiTheme="majorHAnsi" w:hAnsiTheme="majorHAnsi" w:cstheme="majorHAnsi"/>
          <w:i/>
          <w:szCs w:val="20"/>
        </w:rPr>
        <w:t>require</w:t>
      </w:r>
      <w:r w:rsidRPr="00743A41">
        <w:rPr>
          <w:rFonts w:asciiTheme="majorHAnsi" w:hAnsiTheme="majorHAnsi" w:cstheme="majorHAnsi"/>
          <w:szCs w:val="20"/>
        </w:rPr>
        <w:t xml:space="preserve"> students to select competencies in accordance with their degree plan.</w:t>
      </w:r>
    </w:p>
    <w:p w:rsidR="00933038" w:rsidRPr="00743A41" w:rsidRDefault="00933038" w:rsidP="00A37ED6">
      <w:pPr>
        <w:rPr>
          <w:rFonts w:asciiTheme="majorHAnsi" w:hAnsiTheme="majorHAnsi" w:cstheme="majorHAnsi"/>
          <w:sz w:val="20"/>
          <w:szCs w:val="20"/>
          <w:lang w:eastAsia="x-none"/>
        </w:rPr>
      </w:pPr>
    </w:p>
    <w:p w:rsidR="00933038" w:rsidRPr="00743A41" w:rsidRDefault="00933038" w:rsidP="00A37ED6">
      <w:pPr>
        <w:rPr>
          <w:rStyle w:val="Heading1Char"/>
        </w:rPr>
      </w:pPr>
      <w:bookmarkStart w:id="81" w:name="_Toc464487872"/>
      <w:r w:rsidRPr="00743A41">
        <w:rPr>
          <w:rStyle w:val="Heading1Char"/>
        </w:rPr>
        <w:br w:type="page"/>
      </w:r>
    </w:p>
    <w:p w:rsidR="00933038" w:rsidRPr="00743A41" w:rsidRDefault="00933038" w:rsidP="007A68BE">
      <w:pPr>
        <w:pStyle w:val="Heading1"/>
      </w:pPr>
      <w:bookmarkStart w:id="82" w:name="_D6._DrPH_Applied"/>
      <w:bookmarkStart w:id="83" w:name="_Toc7118205"/>
      <w:bookmarkEnd w:id="82"/>
      <w:r w:rsidRPr="00743A41">
        <w:rPr>
          <w:rStyle w:val="Heading1Char"/>
          <w:b/>
        </w:rPr>
        <w:t>D6. DrPH Applied Practice Experience</w:t>
      </w:r>
      <w:bookmarkEnd w:id="81"/>
      <w:bookmarkEnd w:id="83"/>
      <w:r w:rsidRPr="00743A41">
        <w:t xml:space="preserve"> (if applicable)</w:t>
      </w:r>
    </w:p>
    <w:p w:rsidR="00933038" w:rsidRPr="00743A41" w:rsidRDefault="00933038" w:rsidP="00A37ED6">
      <w:pPr>
        <w:keepNext/>
        <w:shd w:val="clear" w:color="auto" w:fill="FFFFFF"/>
        <w:ind w:left="-360"/>
        <w:jc w:val="both"/>
        <w:rPr>
          <w:rFonts w:asciiTheme="majorHAnsi" w:eastAsia="Arial Unicode MS" w:hAnsiTheme="majorHAnsi" w:cstheme="majorHAnsi"/>
          <w:sz w:val="20"/>
          <w:szCs w:val="20"/>
        </w:rPr>
      </w:pPr>
    </w:p>
    <w:p w:rsidR="00933038" w:rsidRPr="00743A41" w:rsidRDefault="00933038" w:rsidP="00A37ED6">
      <w:pPr>
        <w:shd w:val="clear" w:color="auto" w:fill="FFFFFF"/>
        <w:jc w:val="both"/>
        <w:rPr>
          <w:rFonts w:asciiTheme="majorHAnsi" w:eastAsia="Arial Unicode MS" w:hAnsiTheme="majorHAnsi" w:cstheme="majorHAnsi"/>
          <w:b/>
          <w:sz w:val="20"/>
          <w:szCs w:val="20"/>
        </w:rPr>
      </w:pPr>
      <w:r w:rsidRPr="00743A41">
        <w:rPr>
          <w:rFonts w:asciiTheme="majorHAnsi" w:eastAsia="Arial Unicode MS" w:hAnsiTheme="majorHAnsi" w:cstheme="majorHAnsi"/>
          <w:b/>
          <w:sz w:val="20"/>
          <w:szCs w:val="20"/>
        </w:rPr>
        <w:t>The work product may be a single project or a set of related projects that demonstrate a depth of competence. It may be completed as a discrete experience (such as a practicum or internship) or integrated into school coursework. In either case, the deliverable must contain a reflective component that includes the student’s expression of personal and/or professional reactions to the applied practice experience. This may take the form of a journal or other written product, a professional portfolio or another deliverable as appropriate for the school.</w:t>
      </w:r>
    </w:p>
    <w:p w:rsidR="00933038" w:rsidRPr="00743A41" w:rsidRDefault="00933038" w:rsidP="00A37ED6">
      <w:pPr>
        <w:shd w:val="clear" w:color="auto" w:fill="FFFFFF"/>
        <w:jc w:val="both"/>
        <w:rPr>
          <w:rFonts w:asciiTheme="majorHAnsi" w:eastAsia="Arial Unicode MS" w:hAnsiTheme="majorHAnsi" w:cstheme="majorHAnsi"/>
          <w:b/>
          <w:iCs/>
          <w:sz w:val="20"/>
          <w:szCs w:val="20"/>
        </w:rPr>
      </w:pPr>
    </w:p>
    <w:p w:rsidR="00933038" w:rsidRPr="00743A41" w:rsidRDefault="00933038" w:rsidP="00A37ED6">
      <w:pPr>
        <w:shd w:val="clear" w:color="auto" w:fill="FFFFFF"/>
        <w:jc w:val="both"/>
        <w:rPr>
          <w:rFonts w:asciiTheme="majorHAnsi" w:eastAsia="Arial Unicode MS" w:hAnsiTheme="majorHAnsi" w:cstheme="majorHAnsi"/>
          <w:b/>
          <w:iCs/>
          <w:sz w:val="20"/>
          <w:szCs w:val="20"/>
        </w:rPr>
      </w:pPr>
      <w:r w:rsidRPr="00743A41">
        <w:rPr>
          <w:rFonts w:asciiTheme="majorHAnsi" w:eastAsia="Arial Unicode MS" w:hAnsiTheme="majorHAnsi" w:cstheme="majorHAnsi"/>
          <w:b/>
          <w:iCs/>
          <w:sz w:val="20"/>
          <w:szCs w:val="20"/>
        </w:rPr>
        <w:t>The school identifies a minimum of five foundational and/or concentration-specific competencies (as defined in Criteria D3 and D4) that are reinforced and/or assessed through application. The school may either choose at least one competency from the leadership, management and governance domain in Criterion D3 or choose a concentration-specific competency identified in Criterion D4 if it relates to leadership skills. Competencies may differ from student to student.</w:t>
      </w:r>
    </w:p>
    <w:p w:rsidR="00933038" w:rsidRPr="00743A41" w:rsidRDefault="00933038" w:rsidP="00A37ED6">
      <w:pPr>
        <w:jc w:val="both"/>
        <w:rPr>
          <w:rFonts w:asciiTheme="majorHAnsi" w:eastAsia="Arial Unicode MS" w:hAnsiTheme="majorHAnsi" w:cstheme="majorHAnsi"/>
          <w:sz w:val="20"/>
          <w:szCs w:val="20"/>
        </w:rPr>
      </w:pPr>
    </w:p>
    <w:p w:rsidR="00933038" w:rsidRPr="00743A41" w:rsidRDefault="00933038" w:rsidP="00A37ED6">
      <w:pPr>
        <w:pStyle w:val="ListParagraph"/>
        <w:numPr>
          <w:ilvl w:val="0"/>
          <w:numId w:val="23"/>
        </w:numPr>
        <w:ind w:left="720"/>
        <w:jc w:val="both"/>
        <w:rPr>
          <w:rFonts w:asciiTheme="majorHAnsi" w:eastAsia="Arial Unicode MS" w:hAnsiTheme="majorHAnsi" w:cstheme="majorHAnsi"/>
          <w:szCs w:val="20"/>
        </w:rPr>
      </w:pPr>
      <w:r w:rsidRPr="00743A41">
        <w:rPr>
          <w:rFonts w:asciiTheme="majorHAnsi" w:eastAsia="Arial Unicode MS" w:hAnsiTheme="majorHAnsi" w:cstheme="majorHAnsi"/>
          <w:szCs w:val="20"/>
        </w:rPr>
        <w:t>Briefly describe how the school identifies competencies attained in applied practice experiences for each DrPH student, including a description of any relevant policies.</w:t>
      </w:r>
    </w:p>
    <w:p w:rsidR="00933038" w:rsidRPr="00743A41" w:rsidRDefault="00933038" w:rsidP="00A37ED6">
      <w:pPr>
        <w:rPr>
          <w:rFonts w:asciiTheme="majorHAnsi" w:eastAsia="Arial Unicode MS" w:hAnsiTheme="majorHAnsi" w:cstheme="majorHAnsi"/>
          <w:i/>
          <w:sz w:val="20"/>
          <w:szCs w:val="20"/>
        </w:rPr>
      </w:pPr>
    </w:p>
    <w:p w:rsidR="00F72F10" w:rsidRPr="00743A41" w:rsidRDefault="00A81E45" w:rsidP="00A37ED6">
      <w:pPr>
        <w:ind w:left="720"/>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At </w:t>
      </w:r>
      <w:r w:rsidR="000A37E9" w:rsidRPr="00743A41">
        <w:rPr>
          <w:rFonts w:asciiTheme="majorHAnsi" w:eastAsia="Arial" w:hAnsiTheme="majorHAnsi" w:cstheme="majorHAnsi"/>
          <w:sz w:val="20"/>
          <w:szCs w:val="20"/>
        </w:rPr>
        <w:t xml:space="preserve">the </w:t>
      </w:r>
      <w:r w:rsidRPr="00743A41">
        <w:rPr>
          <w:rFonts w:asciiTheme="majorHAnsi" w:eastAsia="Arial" w:hAnsiTheme="majorHAnsi" w:cstheme="majorHAnsi"/>
          <w:sz w:val="20"/>
          <w:szCs w:val="20"/>
        </w:rPr>
        <w:t>UTHealth School of Public Health, students are introduced to the practicum requirements during orientation, and are prompted to discuss the practicum during each evaluation meeting with their faculty advisor. Students work with their faculty advisor or other faculty mentor to identify an appropriate advanced-level practicum experience that is meaningful for an organization and that advances public health practice. After a practicum site is identified, students communicate with their practicum preceptor and faculty mentor to identify potential products and five DrPH competencies</w:t>
      </w:r>
      <w:r w:rsidR="0059535B" w:rsidRPr="00743A41">
        <w:rPr>
          <w:rFonts w:asciiTheme="majorHAnsi" w:eastAsia="Arial" w:hAnsiTheme="majorHAnsi" w:cstheme="majorHAnsi"/>
          <w:sz w:val="20"/>
          <w:szCs w:val="20"/>
        </w:rPr>
        <w:t xml:space="preserve"> (cumulatively from the DrPH Foundational Competencies and DrPH major-specific competencies, as defined in </w:t>
      </w:r>
      <w:hyperlink w:anchor="_D3._DrPH_Foundational" w:history="1">
        <w:r w:rsidR="009720DF" w:rsidRPr="006E28EE">
          <w:rPr>
            <w:rStyle w:val="Hyperlink"/>
            <w:rFonts w:asciiTheme="majorHAnsi" w:eastAsia="Arial" w:hAnsiTheme="majorHAnsi" w:cstheme="majorHAnsi"/>
            <w:i/>
            <w:sz w:val="20"/>
            <w:szCs w:val="20"/>
          </w:rPr>
          <w:t>Criterion D3. DrPH Foundational Competencies</w:t>
        </w:r>
      </w:hyperlink>
      <w:r w:rsidR="0059535B" w:rsidRPr="00743A41">
        <w:rPr>
          <w:rFonts w:asciiTheme="majorHAnsi" w:eastAsia="Arial" w:hAnsiTheme="majorHAnsi" w:cstheme="majorHAnsi"/>
          <w:sz w:val="20"/>
          <w:szCs w:val="20"/>
        </w:rPr>
        <w:t xml:space="preserve"> and </w:t>
      </w:r>
      <w:hyperlink w:anchor="_D4._MPH_&amp;" w:history="1">
        <w:r w:rsidR="009720DF" w:rsidRPr="006E28EE">
          <w:rPr>
            <w:rStyle w:val="Hyperlink"/>
            <w:rFonts w:asciiTheme="majorHAnsi" w:eastAsia="Arial" w:hAnsiTheme="majorHAnsi" w:cstheme="majorHAnsi"/>
            <w:i/>
            <w:sz w:val="20"/>
            <w:szCs w:val="20"/>
          </w:rPr>
          <w:t>Criterion D4. DrPH Concentration Competencies</w:t>
        </w:r>
      </w:hyperlink>
      <w:r w:rsidR="0059535B" w:rsidRPr="00743A41">
        <w:rPr>
          <w:rFonts w:asciiTheme="majorHAnsi" w:eastAsia="Arial" w:hAnsiTheme="majorHAnsi" w:cstheme="majorHAnsi"/>
          <w:sz w:val="20"/>
          <w:szCs w:val="20"/>
        </w:rPr>
        <w:t>, respectively)</w:t>
      </w:r>
      <w:r w:rsidRPr="00743A41">
        <w:rPr>
          <w:rFonts w:asciiTheme="majorHAnsi" w:eastAsia="Arial" w:hAnsiTheme="majorHAnsi" w:cstheme="majorHAnsi"/>
          <w:sz w:val="20"/>
          <w:szCs w:val="20"/>
        </w:rPr>
        <w:t xml:space="preserve">, including </w:t>
      </w:r>
      <w:r w:rsidR="0059535B" w:rsidRPr="00743A41">
        <w:rPr>
          <w:rFonts w:asciiTheme="majorHAnsi" w:eastAsia="Arial" w:hAnsiTheme="majorHAnsi" w:cstheme="majorHAnsi"/>
          <w:sz w:val="20"/>
          <w:szCs w:val="20"/>
        </w:rPr>
        <w:t xml:space="preserve">at least </w:t>
      </w:r>
      <w:r w:rsidRPr="00743A41">
        <w:rPr>
          <w:rFonts w:asciiTheme="majorHAnsi" w:eastAsia="Arial" w:hAnsiTheme="majorHAnsi" w:cstheme="majorHAnsi"/>
          <w:sz w:val="20"/>
          <w:szCs w:val="20"/>
        </w:rPr>
        <w:t>one leadership</w:t>
      </w:r>
      <w:r w:rsidR="00F366D1" w:rsidRPr="00743A41">
        <w:rPr>
          <w:rFonts w:asciiTheme="majorHAnsi" w:eastAsia="Arial" w:hAnsiTheme="majorHAnsi" w:cstheme="majorHAnsi"/>
          <w:sz w:val="20"/>
          <w:szCs w:val="20"/>
        </w:rPr>
        <w:t>-related</w:t>
      </w:r>
      <w:r w:rsidR="0031680F" w:rsidRPr="00743A41">
        <w:rPr>
          <w:rFonts w:asciiTheme="majorHAnsi" w:eastAsia="Arial" w:hAnsiTheme="majorHAnsi" w:cstheme="majorHAnsi"/>
          <w:sz w:val="20"/>
          <w:szCs w:val="20"/>
        </w:rPr>
        <w:t xml:space="preserve"> </w:t>
      </w:r>
      <w:r w:rsidRPr="00743A41">
        <w:rPr>
          <w:rFonts w:asciiTheme="majorHAnsi" w:eastAsia="Arial" w:hAnsiTheme="majorHAnsi" w:cstheme="majorHAnsi"/>
          <w:sz w:val="20"/>
          <w:szCs w:val="20"/>
        </w:rPr>
        <w:t xml:space="preserve">competency that they will demonstrate during their practicum experience. </w:t>
      </w:r>
    </w:p>
    <w:p w:rsidR="00F72F10" w:rsidRPr="00743A41" w:rsidRDefault="00F72F10" w:rsidP="00A37ED6">
      <w:pPr>
        <w:ind w:left="720"/>
        <w:rPr>
          <w:rFonts w:asciiTheme="majorHAnsi" w:eastAsia="Arial" w:hAnsiTheme="majorHAnsi" w:cstheme="majorHAnsi"/>
          <w:sz w:val="20"/>
          <w:szCs w:val="20"/>
        </w:rPr>
      </w:pPr>
    </w:p>
    <w:p w:rsidR="00A81E45" w:rsidRPr="00743A41" w:rsidRDefault="00A81E45" w:rsidP="00A37ED6">
      <w:pPr>
        <w:ind w:left="720"/>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Students complete an online learning contract that specifies the practicum site details, the practicum preceptor, the proposed products, and the five competencies they will demonstrate. The faculty mentor and the Office of Public Health Practice (OPHP) must approve the learning contract prior to students enrolling for three (3) hours of practicum credits and beginning the practicum experience. </w:t>
      </w:r>
    </w:p>
    <w:p w:rsidR="00A81E45" w:rsidRPr="00743A41" w:rsidRDefault="00A81E45" w:rsidP="00A37ED6">
      <w:pPr>
        <w:ind w:left="720"/>
        <w:rPr>
          <w:rFonts w:asciiTheme="majorHAnsi" w:eastAsia="Arial" w:hAnsiTheme="majorHAnsi" w:cstheme="majorHAnsi"/>
          <w:sz w:val="20"/>
          <w:szCs w:val="20"/>
        </w:rPr>
      </w:pPr>
    </w:p>
    <w:p w:rsidR="0031680F" w:rsidRPr="00743A41" w:rsidRDefault="00A81E45" w:rsidP="00A37ED6">
      <w:pPr>
        <w:ind w:left="720"/>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During the practicum, students continue to meet with their faculty mentor to ensure that their products and experience allows them to demonstrate five DrPH competencies, including one leadership competency. At the end of the practicum experience, students update the learning contract with any changes in the proposed products, changes in the competencies demonstrated, and upload </w:t>
      </w:r>
      <w:r w:rsidR="006E2CB4" w:rsidRPr="00743A41">
        <w:rPr>
          <w:rFonts w:asciiTheme="majorHAnsi" w:eastAsia="Arial" w:hAnsiTheme="majorHAnsi" w:cstheme="majorHAnsi"/>
          <w:sz w:val="20"/>
          <w:szCs w:val="20"/>
        </w:rPr>
        <w:t>one (minimum)</w:t>
      </w:r>
      <w:r w:rsidRPr="00743A41">
        <w:rPr>
          <w:rFonts w:asciiTheme="majorHAnsi" w:eastAsia="Arial" w:hAnsiTheme="majorHAnsi" w:cstheme="majorHAnsi"/>
          <w:sz w:val="20"/>
          <w:szCs w:val="20"/>
        </w:rPr>
        <w:t xml:space="preserve"> final product and a reflection paper. The faculty mentor grades the final product and the reflection paper, and verifies that </w:t>
      </w:r>
      <w:r w:rsidR="00592DB0" w:rsidRPr="00743A41">
        <w:rPr>
          <w:rFonts w:asciiTheme="majorHAnsi" w:eastAsia="Arial" w:hAnsiTheme="majorHAnsi" w:cstheme="majorHAnsi"/>
          <w:sz w:val="20"/>
          <w:szCs w:val="20"/>
        </w:rPr>
        <w:t>at least</w:t>
      </w:r>
      <w:r w:rsidR="006E2CB4" w:rsidRPr="00743A41">
        <w:rPr>
          <w:rFonts w:asciiTheme="majorHAnsi" w:eastAsia="Arial" w:hAnsiTheme="majorHAnsi" w:cstheme="majorHAnsi"/>
          <w:sz w:val="20"/>
          <w:szCs w:val="20"/>
        </w:rPr>
        <w:t xml:space="preserve"> five </w:t>
      </w:r>
      <w:r w:rsidRPr="00743A41">
        <w:rPr>
          <w:rFonts w:asciiTheme="majorHAnsi" w:eastAsia="Arial" w:hAnsiTheme="majorHAnsi" w:cstheme="majorHAnsi"/>
          <w:sz w:val="20"/>
          <w:szCs w:val="20"/>
        </w:rPr>
        <w:t xml:space="preserve">competencies were demonstrated and that the final product was high quality, meaningful to the practicum site and advances public health practice. Additionally, OPHP asks preceptors to evaluate the student’s performance and the success of the project. </w:t>
      </w:r>
    </w:p>
    <w:p w:rsidR="0031680F" w:rsidRPr="00743A41" w:rsidRDefault="0031680F" w:rsidP="00A37ED6">
      <w:pPr>
        <w:ind w:left="720"/>
        <w:rPr>
          <w:rFonts w:asciiTheme="majorHAnsi" w:eastAsia="Arial" w:hAnsiTheme="majorHAnsi" w:cstheme="majorHAnsi"/>
          <w:sz w:val="20"/>
          <w:szCs w:val="20"/>
        </w:rPr>
      </w:pPr>
    </w:p>
    <w:p w:rsidR="0031680F" w:rsidRPr="00743A41" w:rsidRDefault="00A81E45" w:rsidP="00A37ED6">
      <w:pPr>
        <w:ind w:left="720"/>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Policies regarding the practicum include: </w:t>
      </w:r>
    </w:p>
    <w:p w:rsidR="0031680F" w:rsidRPr="00743A41" w:rsidRDefault="0031680F" w:rsidP="00A37ED6">
      <w:pPr>
        <w:pStyle w:val="ListParagraph"/>
        <w:numPr>
          <w:ilvl w:val="1"/>
          <w:numId w:val="198"/>
        </w:numPr>
        <w:ind w:left="1800"/>
        <w:rPr>
          <w:rFonts w:asciiTheme="majorHAnsi" w:eastAsia="Arial" w:hAnsiTheme="majorHAnsi" w:cstheme="majorHAnsi"/>
          <w:szCs w:val="20"/>
        </w:rPr>
      </w:pPr>
      <w:r w:rsidRPr="00743A41">
        <w:rPr>
          <w:rFonts w:asciiTheme="majorHAnsi" w:eastAsia="Arial" w:hAnsiTheme="majorHAnsi" w:cstheme="majorHAnsi"/>
          <w:szCs w:val="20"/>
        </w:rPr>
        <w:t>S</w:t>
      </w:r>
      <w:r w:rsidR="00A81E45" w:rsidRPr="00743A41">
        <w:rPr>
          <w:rFonts w:asciiTheme="majorHAnsi" w:eastAsia="Arial" w:hAnsiTheme="majorHAnsi" w:cstheme="majorHAnsi"/>
          <w:szCs w:val="20"/>
        </w:rPr>
        <w:t xml:space="preserve">tudents must complete at least 180 hours at one or more practicum sites; </w:t>
      </w:r>
    </w:p>
    <w:p w:rsidR="0031680F" w:rsidRPr="00743A41" w:rsidRDefault="0031680F" w:rsidP="00A37ED6">
      <w:pPr>
        <w:pStyle w:val="ListParagraph"/>
        <w:numPr>
          <w:ilvl w:val="1"/>
          <w:numId w:val="198"/>
        </w:numPr>
        <w:ind w:left="1800"/>
        <w:rPr>
          <w:rFonts w:asciiTheme="majorHAnsi" w:eastAsia="Arial" w:hAnsiTheme="majorHAnsi" w:cstheme="majorHAnsi"/>
          <w:szCs w:val="20"/>
        </w:rPr>
      </w:pPr>
      <w:r w:rsidRPr="00743A41">
        <w:rPr>
          <w:rFonts w:asciiTheme="majorHAnsi" w:eastAsia="Arial" w:hAnsiTheme="majorHAnsi" w:cstheme="majorHAnsi"/>
          <w:szCs w:val="20"/>
        </w:rPr>
        <w:t>S</w:t>
      </w:r>
      <w:r w:rsidR="00A81E45" w:rsidRPr="00743A41">
        <w:rPr>
          <w:rFonts w:asciiTheme="majorHAnsi" w:eastAsia="Arial" w:hAnsiTheme="majorHAnsi" w:cstheme="majorHAnsi"/>
          <w:szCs w:val="20"/>
        </w:rPr>
        <w:t xml:space="preserve">tudents must select a practicum site that is in a non-academic setting, unless the setting is externally facing, engaged in the community, and prior approval is obtained; </w:t>
      </w:r>
      <w:r w:rsidRPr="00743A41">
        <w:rPr>
          <w:rFonts w:asciiTheme="majorHAnsi" w:eastAsia="Arial" w:hAnsiTheme="majorHAnsi" w:cstheme="majorHAnsi"/>
          <w:szCs w:val="20"/>
        </w:rPr>
        <w:t xml:space="preserve">and </w:t>
      </w:r>
    </w:p>
    <w:p w:rsidR="00933038" w:rsidRPr="00743A41" w:rsidRDefault="0031680F" w:rsidP="00A37ED6">
      <w:pPr>
        <w:pStyle w:val="ListParagraph"/>
        <w:numPr>
          <w:ilvl w:val="1"/>
          <w:numId w:val="198"/>
        </w:numPr>
        <w:ind w:left="1800"/>
        <w:rPr>
          <w:rFonts w:asciiTheme="majorHAnsi" w:eastAsia="Arial" w:hAnsiTheme="majorHAnsi" w:cstheme="majorHAnsi"/>
          <w:szCs w:val="20"/>
        </w:rPr>
      </w:pPr>
      <w:r w:rsidRPr="00743A41">
        <w:rPr>
          <w:rFonts w:asciiTheme="majorHAnsi" w:eastAsia="Arial" w:hAnsiTheme="majorHAnsi" w:cstheme="majorHAnsi"/>
          <w:szCs w:val="20"/>
        </w:rPr>
        <w:t>S</w:t>
      </w:r>
      <w:r w:rsidR="00A81E45" w:rsidRPr="00743A41">
        <w:rPr>
          <w:rFonts w:asciiTheme="majorHAnsi" w:eastAsia="Arial" w:hAnsiTheme="majorHAnsi" w:cstheme="majorHAnsi"/>
          <w:szCs w:val="20"/>
        </w:rPr>
        <w:t xml:space="preserve">tudents must choose at least five competencies from DrPH </w:t>
      </w:r>
      <w:r w:rsidR="006C56BA" w:rsidRPr="00743A41">
        <w:rPr>
          <w:rFonts w:asciiTheme="majorHAnsi" w:eastAsia="Arial" w:hAnsiTheme="majorHAnsi" w:cstheme="majorHAnsi"/>
          <w:szCs w:val="20"/>
        </w:rPr>
        <w:t>Foundational Competencies</w:t>
      </w:r>
      <w:r w:rsidR="00A81E45" w:rsidRPr="00743A41">
        <w:rPr>
          <w:rFonts w:asciiTheme="majorHAnsi" w:eastAsia="Arial" w:hAnsiTheme="majorHAnsi" w:cstheme="majorHAnsi"/>
          <w:szCs w:val="20"/>
        </w:rPr>
        <w:t xml:space="preserve"> or </w:t>
      </w:r>
      <w:r w:rsidR="006C56BA" w:rsidRPr="00743A41">
        <w:rPr>
          <w:rFonts w:asciiTheme="majorHAnsi" w:eastAsia="Arial" w:hAnsiTheme="majorHAnsi" w:cstheme="majorHAnsi"/>
          <w:szCs w:val="20"/>
        </w:rPr>
        <w:t xml:space="preserve">DrPH </w:t>
      </w:r>
      <w:r w:rsidR="00A81E45" w:rsidRPr="00743A41">
        <w:rPr>
          <w:rFonts w:asciiTheme="majorHAnsi" w:eastAsia="Arial" w:hAnsiTheme="majorHAnsi" w:cstheme="majorHAnsi"/>
          <w:szCs w:val="20"/>
        </w:rPr>
        <w:t>major</w:t>
      </w:r>
      <w:r w:rsidR="006C56BA" w:rsidRPr="00743A41">
        <w:rPr>
          <w:rFonts w:asciiTheme="majorHAnsi" w:eastAsia="Arial" w:hAnsiTheme="majorHAnsi" w:cstheme="majorHAnsi"/>
          <w:szCs w:val="20"/>
        </w:rPr>
        <w:t>-specific</w:t>
      </w:r>
      <w:r w:rsidR="00A81E45" w:rsidRPr="00743A41">
        <w:rPr>
          <w:rFonts w:asciiTheme="majorHAnsi" w:eastAsia="Arial" w:hAnsiTheme="majorHAnsi" w:cstheme="majorHAnsi"/>
          <w:szCs w:val="20"/>
        </w:rPr>
        <w:t xml:space="preserve"> competencies</w:t>
      </w:r>
      <w:r w:rsidR="00F72F10" w:rsidRPr="00743A41">
        <w:rPr>
          <w:rFonts w:asciiTheme="majorHAnsi" w:eastAsia="Arial" w:hAnsiTheme="majorHAnsi" w:cstheme="majorHAnsi"/>
          <w:szCs w:val="20"/>
        </w:rPr>
        <w:t xml:space="preserve"> which are primarily taught and assessed in the required coursework for the given major</w:t>
      </w:r>
      <w:r w:rsidR="00A81E45" w:rsidRPr="00743A41">
        <w:rPr>
          <w:rFonts w:asciiTheme="majorHAnsi" w:eastAsia="Arial" w:hAnsiTheme="majorHAnsi" w:cstheme="majorHAnsi"/>
          <w:szCs w:val="20"/>
        </w:rPr>
        <w:t>, with at l</w:t>
      </w:r>
      <w:r w:rsidR="006C56BA" w:rsidRPr="00743A41">
        <w:rPr>
          <w:rFonts w:asciiTheme="majorHAnsi" w:eastAsia="Arial" w:hAnsiTheme="majorHAnsi" w:cstheme="majorHAnsi"/>
          <w:szCs w:val="20"/>
        </w:rPr>
        <w:t>east one leadership competency</w:t>
      </w:r>
      <w:r w:rsidR="00BC78F1" w:rsidRPr="00743A41">
        <w:rPr>
          <w:rFonts w:asciiTheme="majorHAnsi" w:eastAsia="Arial" w:hAnsiTheme="majorHAnsi" w:cstheme="majorHAnsi"/>
          <w:szCs w:val="20"/>
        </w:rPr>
        <w:t xml:space="preserve"> </w:t>
      </w:r>
      <w:r w:rsidR="00592DB0" w:rsidRPr="00743A41">
        <w:rPr>
          <w:rFonts w:asciiTheme="majorHAnsi" w:eastAsia="Arial" w:hAnsiTheme="majorHAnsi" w:cstheme="majorHAnsi"/>
          <w:szCs w:val="20"/>
        </w:rPr>
        <w:t>(</w:t>
      </w:r>
      <w:r w:rsidR="006C56BA" w:rsidRPr="00743A41">
        <w:rPr>
          <w:rFonts w:asciiTheme="majorHAnsi" w:eastAsia="Arial" w:hAnsiTheme="majorHAnsi" w:cstheme="majorHAnsi"/>
          <w:szCs w:val="20"/>
        </w:rPr>
        <w:t xml:space="preserve">defined in </w:t>
      </w:r>
      <w:hyperlink w:anchor="_D3._DrPH_Foundational" w:history="1">
        <w:r w:rsidR="00355BDF" w:rsidRPr="00743A41">
          <w:rPr>
            <w:rStyle w:val="Hyperlink"/>
            <w:rFonts w:asciiTheme="majorHAnsi" w:eastAsia="Arial" w:hAnsiTheme="majorHAnsi" w:cstheme="majorHAnsi"/>
            <w:i/>
            <w:szCs w:val="20"/>
          </w:rPr>
          <w:t>Criterion D3. DrPH Foundational Competencies</w:t>
        </w:r>
      </w:hyperlink>
      <w:r w:rsidR="00355BDF" w:rsidRPr="00743A41">
        <w:rPr>
          <w:rFonts w:asciiTheme="majorHAnsi" w:eastAsia="Arial" w:hAnsiTheme="majorHAnsi" w:cstheme="majorHAnsi"/>
          <w:szCs w:val="20"/>
        </w:rPr>
        <w:t xml:space="preserve"> and </w:t>
      </w:r>
      <w:hyperlink w:anchor="_D4._MPH_&amp;" w:history="1">
        <w:r w:rsidR="00355BDF" w:rsidRPr="00743A41">
          <w:rPr>
            <w:rStyle w:val="Hyperlink"/>
            <w:rFonts w:asciiTheme="majorHAnsi" w:eastAsia="Arial" w:hAnsiTheme="majorHAnsi" w:cstheme="majorHAnsi"/>
            <w:i/>
            <w:szCs w:val="20"/>
          </w:rPr>
          <w:t>Criterion D4. DrPH Concentration Competencies</w:t>
        </w:r>
      </w:hyperlink>
      <w:r w:rsidR="00355BDF" w:rsidRPr="00743A41">
        <w:rPr>
          <w:rFonts w:asciiTheme="majorHAnsi" w:eastAsia="Arial" w:hAnsiTheme="majorHAnsi" w:cstheme="majorHAnsi"/>
          <w:szCs w:val="20"/>
        </w:rPr>
        <w:t>)</w:t>
      </w:r>
    </w:p>
    <w:p w:rsidR="006C56BA" w:rsidRPr="00743A41" w:rsidRDefault="006C56BA" w:rsidP="00A37ED6">
      <w:pPr>
        <w:ind w:left="720"/>
        <w:rPr>
          <w:rFonts w:asciiTheme="majorHAnsi" w:eastAsia="Arial Unicode MS" w:hAnsiTheme="majorHAnsi" w:cstheme="majorHAnsi"/>
          <w:sz w:val="20"/>
          <w:szCs w:val="20"/>
        </w:rPr>
      </w:pPr>
    </w:p>
    <w:p w:rsidR="004F6232" w:rsidRPr="00743A41" w:rsidRDefault="004F6232" w:rsidP="00A37ED6">
      <w:pPr>
        <w:ind w:left="720"/>
        <w:rPr>
          <w:rFonts w:asciiTheme="majorHAnsi" w:eastAsia="Arial Unicode MS" w:hAnsiTheme="majorHAnsi" w:cstheme="majorHAnsi"/>
          <w:sz w:val="20"/>
          <w:szCs w:val="20"/>
        </w:rPr>
      </w:pPr>
    </w:p>
    <w:p w:rsidR="00937260" w:rsidRPr="00743A41" w:rsidRDefault="00937260" w:rsidP="00A37ED6">
      <w:pPr>
        <w:ind w:left="720"/>
        <w:rPr>
          <w:rFonts w:asciiTheme="majorHAnsi" w:eastAsia="Arial Unicode MS" w:hAnsiTheme="majorHAnsi" w:cstheme="majorHAnsi"/>
          <w:sz w:val="20"/>
          <w:szCs w:val="20"/>
        </w:rPr>
      </w:pPr>
    </w:p>
    <w:p w:rsidR="00933038" w:rsidRPr="00743A41" w:rsidRDefault="00933038" w:rsidP="00A37ED6">
      <w:pPr>
        <w:numPr>
          <w:ilvl w:val="0"/>
          <w:numId w:val="23"/>
        </w:numPr>
        <w:shd w:val="clear" w:color="auto" w:fill="FFFFFF"/>
        <w:ind w:left="720"/>
        <w:jc w:val="both"/>
        <w:rPr>
          <w:rFonts w:asciiTheme="majorHAnsi" w:eastAsia="Arial Unicode MS" w:hAnsiTheme="majorHAnsi" w:cstheme="majorHAnsi"/>
          <w:iCs/>
          <w:sz w:val="20"/>
          <w:szCs w:val="20"/>
        </w:rPr>
      </w:pPr>
      <w:r w:rsidRPr="00743A41">
        <w:rPr>
          <w:rFonts w:asciiTheme="majorHAnsi" w:eastAsia="Arial Unicode MS" w:hAnsiTheme="majorHAnsi" w:cstheme="majorHAnsi"/>
          <w:iCs/>
          <w:sz w:val="20"/>
          <w:szCs w:val="20"/>
        </w:rPr>
        <w:t>Explain, with references to specific deliverables or other requirements, the manner through which the school ensures that the applied practice experience requires students to demonstrate leadership competencies.</w:t>
      </w:r>
    </w:p>
    <w:p w:rsidR="00933038" w:rsidRPr="00743A41" w:rsidRDefault="00933038" w:rsidP="00A37ED6">
      <w:pPr>
        <w:shd w:val="clear" w:color="auto" w:fill="FFFFFF"/>
        <w:rPr>
          <w:rFonts w:asciiTheme="majorHAnsi" w:eastAsia="Arial Unicode MS" w:hAnsiTheme="majorHAnsi" w:cstheme="majorHAnsi"/>
          <w:iCs/>
          <w:sz w:val="20"/>
          <w:szCs w:val="20"/>
        </w:rPr>
      </w:pPr>
    </w:p>
    <w:p w:rsidR="00446C54" w:rsidRPr="00743A41" w:rsidRDefault="00446C54" w:rsidP="00A37ED6">
      <w:pPr>
        <w:shd w:val="clear" w:color="auto" w:fill="FFFFFF"/>
        <w:ind w:left="720"/>
        <w:rPr>
          <w:rFonts w:asciiTheme="majorHAnsi" w:eastAsia="Arial" w:hAnsiTheme="majorHAnsi" w:cstheme="majorHAnsi"/>
          <w:sz w:val="20"/>
          <w:szCs w:val="20"/>
        </w:rPr>
      </w:pPr>
      <w:r w:rsidRPr="00743A41">
        <w:rPr>
          <w:rFonts w:asciiTheme="majorHAnsi" w:eastAsia="Arial" w:hAnsiTheme="majorHAnsi" w:cstheme="majorHAnsi"/>
          <w:sz w:val="20"/>
          <w:szCs w:val="20"/>
        </w:rPr>
        <w:t>During the practicum planning stage, students work closely with their faculty mentor to choose an advanced applied practice experience that meet a minimum five DrPH competencies (including one leadership competency; students are specifically asked to integrate DrPH-11 into their reflection). Students complete a learning contract to specify the practicum site; the proposed project; and the competencies, which includes one focused specifically on leadership. Students work with their practicum preceptor to ensure that the proposed project and final product(s) will benefit the host organization. At the practicum completion stage, students upload their final product(s) and competencies to the online practicum portal. The OPHP verifies that the student has met all requirements, and the faculty mentor grades the final product(s) and the reflection paper.</w:t>
      </w:r>
    </w:p>
    <w:p w:rsidR="00457074" w:rsidRPr="00743A41" w:rsidRDefault="00457074" w:rsidP="00A37ED6">
      <w:pPr>
        <w:rPr>
          <w:rFonts w:asciiTheme="majorHAnsi" w:eastAsia="Arial Unicode MS" w:hAnsiTheme="majorHAnsi" w:cstheme="majorHAnsi"/>
          <w:sz w:val="20"/>
          <w:szCs w:val="20"/>
        </w:rPr>
      </w:pPr>
    </w:p>
    <w:p w:rsidR="00933038" w:rsidRPr="00743A41" w:rsidRDefault="00933038" w:rsidP="00A37ED6">
      <w:pPr>
        <w:numPr>
          <w:ilvl w:val="0"/>
          <w:numId w:val="23"/>
        </w:numPr>
        <w:shd w:val="clear" w:color="auto" w:fill="FFFFFF"/>
        <w:ind w:left="720"/>
        <w:jc w:val="both"/>
        <w:rPr>
          <w:rFonts w:asciiTheme="majorHAnsi" w:eastAsia="Arial Unicode MS" w:hAnsiTheme="majorHAnsi" w:cstheme="majorHAnsi"/>
          <w:iCs/>
          <w:sz w:val="20"/>
          <w:szCs w:val="20"/>
        </w:rPr>
      </w:pPr>
      <w:r w:rsidRPr="00743A41">
        <w:rPr>
          <w:rFonts w:asciiTheme="majorHAnsi" w:eastAsia="Arial Unicode MS" w:hAnsiTheme="majorHAnsi" w:cstheme="majorHAnsi"/>
          <w:sz w:val="20"/>
          <w:szCs w:val="20"/>
        </w:rPr>
        <w:t xml:space="preserve">Provide documentation, including syllabi and handbooks, of the official requirements through which students complete the applied practice experience. </w:t>
      </w:r>
    </w:p>
    <w:p w:rsidR="00C658E6" w:rsidRPr="00743A41" w:rsidRDefault="00C658E6" w:rsidP="00A37ED6">
      <w:pPr>
        <w:shd w:val="clear" w:color="auto" w:fill="FFFFFF"/>
        <w:ind w:left="720"/>
        <w:rPr>
          <w:rFonts w:asciiTheme="majorHAnsi" w:eastAsia="Arial" w:hAnsiTheme="majorHAnsi" w:cstheme="majorHAnsi"/>
          <w:sz w:val="20"/>
          <w:szCs w:val="20"/>
        </w:rPr>
      </w:pPr>
    </w:p>
    <w:p w:rsidR="00E26C8C" w:rsidRPr="00743A41" w:rsidRDefault="00C658E6" w:rsidP="00A37ED6">
      <w:pPr>
        <w:shd w:val="clear" w:color="auto" w:fill="FFFFFF"/>
        <w:ind w:left="720"/>
        <w:rPr>
          <w:rFonts w:asciiTheme="majorHAnsi" w:eastAsia="Arial" w:hAnsiTheme="majorHAnsi" w:cstheme="majorHAnsi"/>
          <w:sz w:val="20"/>
          <w:szCs w:val="20"/>
        </w:rPr>
      </w:pPr>
      <w:r w:rsidRPr="00743A41">
        <w:rPr>
          <w:rFonts w:asciiTheme="majorHAnsi" w:eastAsia="Arial" w:hAnsiTheme="majorHAnsi" w:cstheme="majorHAnsi"/>
          <w:sz w:val="20"/>
          <w:szCs w:val="20"/>
        </w:rPr>
        <w:t xml:space="preserve">The </w:t>
      </w:r>
      <w:r w:rsidR="00E26C8C" w:rsidRPr="00743A41">
        <w:rPr>
          <w:rFonts w:asciiTheme="majorHAnsi" w:eastAsia="Arial" w:hAnsiTheme="majorHAnsi" w:cstheme="majorHAnsi"/>
          <w:sz w:val="20"/>
          <w:szCs w:val="20"/>
        </w:rPr>
        <w:t>UTHealth School of Public Health provides an online step-by-step instructional guide that details all requirements for successful completion of the APE (</w:t>
      </w:r>
      <w:r w:rsidR="00E26C8C" w:rsidRPr="006E28EE">
        <w:rPr>
          <w:rFonts w:asciiTheme="majorHAnsi" w:eastAsia="Arial" w:hAnsiTheme="majorHAnsi" w:cstheme="majorHAnsi"/>
          <w:i/>
          <w:sz w:val="20"/>
          <w:szCs w:val="20"/>
        </w:rPr>
        <w:t>ERF</w:t>
      </w:r>
      <w:r w:rsidR="004A5E27" w:rsidRPr="00743A41">
        <w:rPr>
          <w:rFonts w:asciiTheme="majorHAnsi" w:eastAsia="Arial" w:hAnsiTheme="majorHAnsi" w:cstheme="majorHAnsi"/>
          <w:i/>
          <w:sz w:val="20"/>
          <w:szCs w:val="20"/>
        </w:rPr>
        <w:t>,</w:t>
      </w:r>
      <w:r w:rsidR="00E26C8C" w:rsidRPr="006E28EE">
        <w:rPr>
          <w:rFonts w:asciiTheme="majorHAnsi" w:eastAsia="Arial" w:hAnsiTheme="majorHAnsi" w:cstheme="majorHAnsi"/>
          <w:i/>
          <w:sz w:val="20"/>
          <w:szCs w:val="20"/>
        </w:rPr>
        <w:t xml:space="preserve"> </w:t>
      </w:r>
      <w:r w:rsidR="004A5E27" w:rsidRPr="00743A41">
        <w:rPr>
          <w:rFonts w:asciiTheme="majorHAnsi" w:eastAsia="Arial" w:hAnsiTheme="majorHAnsi" w:cstheme="majorHAnsi"/>
          <w:i/>
          <w:sz w:val="20"/>
          <w:szCs w:val="20"/>
        </w:rPr>
        <w:t>D6.2. DrPH Applied Practice Experience Documentation and Requirements</w:t>
      </w:r>
      <w:r w:rsidR="00E26C8C" w:rsidRPr="00743A41">
        <w:rPr>
          <w:rFonts w:asciiTheme="majorHAnsi" w:eastAsia="Arial" w:hAnsiTheme="majorHAnsi" w:cstheme="majorHAnsi"/>
          <w:sz w:val="20"/>
          <w:szCs w:val="20"/>
        </w:rPr>
        <w:t>). The requirements for the practicum are further promoted through a mandatory practicum orientation, through the School of Public Health newsletter and website, and through periodic information sessions for students and faculty.  The Office of Public Health Practice meets one-on-one with students and faculty, as needed, to ensure that all students are able to successfully fulfill the requirement.</w:t>
      </w:r>
    </w:p>
    <w:p w:rsidR="00E26C8C" w:rsidRPr="00743A41" w:rsidRDefault="00E26C8C" w:rsidP="00A37ED6">
      <w:pPr>
        <w:shd w:val="clear" w:color="auto" w:fill="FFFFFF"/>
        <w:jc w:val="both"/>
        <w:rPr>
          <w:rFonts w:asciiTheme="majorHAnsi" w:eastAsia="Arial Unicode MS" w:hAnsiTheme="majorHAnsi" w:cstheme="majorHAnsi"/>
          <w:sz w:val="20"/>
          <w:szCs w:val="20"/>
        </w:rPr>
      </w:pPr>
    </w:p>
    <w:p w:rsidR="00457074" w:rsidRPr="00743A41" w:rsidRDefault="00457074" w:rsidP="00A37ED6">
      <w:pPr>
        <w:ind w:left="720"/>
        <w:jc w:val="both"/>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rPr>
        <w:t>Associated documents in the electronic resource file:</w:t>
      </w:r>
    </w:p>
    <w:p w:rsidR="00EA26B1" w:rsidRPr="00B17696" w:rsidRDefault="00EA26B1" w:rsidP="00A37ED6">
      <w:pPr>
        <w:pStyle w:val="ListParagraph"/>
        <w:numPr>
          <w:ilvl w:val="0"/>
          <w:numId w:val="130"/>
        </w:numPr>
        <w:rPr>
          <w:rStyle w:val="Hyperlink"/>
          <w:rFonts w:asciiTheme="majorHAnsi" w:eastAsia="Arial Unicode MS" w:hAnsiTheme="majorHAnsi" w:cstheme="majorHAnsi"/>
          <w:i/>
          <w:color w:val="auto"/>
          <w:szCs w:val="20"/>
          <w:u w:val="none"/>
        </w:rPr>
      </w:pPr>
      <w:r w:rsidRPr="00B17696">
        <w:rPr>
          <w:rFonts w:asciiTheme="majorHAnsi" w:eastAsia="Arial Unicode MS" w:hAnsiTheme="majorHAnsi" w:cstheme="majorHAnsi"/>
          <w:i/>
        </w:rPr>
        <w:t>D6.2. DrPH Applied Practice Experience, Documentation and Requirements</w:t>
      </w:r>
      <w:r w:rsidR="000A7105" w:rsidRPr="00B17696">
        <w:rPr>
          <w:rStyle w:val="Hyperlink"/>
          <w:rFonts w:asciiTheme="majorHAnsi" w:eastAsia="Arial Unicode MS" w:hAnsiTheme="majorHAnsi" w:cstheme="majorHAnsi"/>
          <w:i/>
          <w:szCs w:val="20"/>
        </w:rPr>
        <w:t xml:space="preserve"> </w:t>
      </w:r>
    </w:p>
    <w:p w:rsidR="00457074" w:rsidRPr="00326F5C" w:rsidRDefault="00EB48EA" w:rsidP="006E28EE">
      <w:pPr>
        <w:pStyle w:val="ListParagraph"/>
        <w:numPr>
          <w:ilvl w:val="1"/>
          <w:numId w:val="188"/>
        </w:numPr>
        <w:rPr>
          <w:rFonts w:asciiTheme="majorHAnsi" w:eastAsia="Arial Unicode MS" w:hAnsiTheme="majorHAnsi" w:cstheme="majorHAnsi"/>
          <w:i/>
          <w:szCs w:val="20"/>
        </w:rPr>
      </w:pPr>
      <w:r w:rsidRPr="00326F5C">
        <w:rPr>
          <w:rFonts w:asciiTheme="majorHAnsi" w:eastAsia="Arial Unicode MS" w:hAnsiTheme="majorHAnsi" w:cstheme="majorHAnsi"/>
          <w:i/>
        </w:rPr>
        <w:t xml:space="preserve">Content </w:t>
      </w:r>
      <w:r w:rsidR="008B475D" w:rsidRPr="00326F5C">
        <w:rPr>
          <w:rFonts w:asciiTheme="majorHAnsi" w:eastAsia="Arial Unicode MS" w:hAnsiTheme="majorHAnsi" w:cstheme="majorHAnsi"/>
          <w:i/>
          <w:szCs w:val="20"/>
        </w:rPr>
        <w:t>Overview</w:t>
      </w:r>
    </w:p>
    <w:p w:rsidR="00DD6782" w:rsidRPr="00326F5C" w:rsidRDefault="00DD6782" w:rsidP="00A37ED6">
      <w:pPr>
        <w:pStyle w:val="ListParagraph"/>
        <w:numPr>
          <w:ilvl w:val="1"/>
          <w:numId w:val="188"/>
        </w:numPr>
        <w:jc w:val="both"/>
        <w:rPr>
          <w:rFonts w:asciiTheme="majorHAnsi" w:eastAsia="Arial Unicode MS" w:hAnsiTheme="majorHAnsi" w:cstheme="majorHAnsi"/>
          <w:i/>
          <w:szCs w:val="20"/>
        </w:rPr>
      </w:pPr>
      <w:r w:rsidRPr="00326F5C">
        <w:rPr>
          <w:rFonts w:asciiTheme="majorHAnsi" w:hAnsiTheme="majorHAnsi" w:cstheme="majorHAnsi"/>
          <w:i/>
        </w:rPr>
        <w:t>Practicum Overview</w:t>
      </w:r>
    </w:p>
    <w:p w:rsidR="00DD6782" w:rsidRPr="00326F5C" w:rsidRDefault="00DD6782" w:rsidP="00A37ED6">
      <w:pPr>
        <w:pStyle w:val="ListParagraph"/>
        <w:numPr>
          <w:ilvl w:val="1"/>
          <w:numId w:val="188"/>
        </w:numPr>
        <w:jc w:val="both"/>
        <w:rPr>
          <w:rFonts w:asciiTheme="majorHAnsi" w:eastAsia="Arial Unicode MS" w:hAnsiTheme="majorHAnsi" w:cstheme="majorHAnsi"/>
          <w:i/>
          <w:szCs w:val="20"/>
        </w:rPr>
      </w:pPr>
      <w:r w:rsidRPr="00326F5C">
        <w:rPr>
          <w:rFonts w:asciiTheme="majorHAnsi" w:hAnsiTheme="majorHAnsi" w:cstheme="majorHAnsi"/>
          <w:i/>
          <w:szCs w:val="20"/>
        </w:rPr>
        <w:t>MPH Step-by-Step</w:t>
      </w:r>
      <w:r w:rsidR="00A166AC" w:rsidRPr="00326F5C">
        <w:rPr>
          <w:rFonts w:asciiTheme="majorHAnsi" w:hAnsiTheme="majorHAnsi" w:cstheme="majorHAnsi"/>
          <w:i/>
          <w:szCs w:val="20"/>
        </w:rPr>
        <w:t xml:space="preserve"> (not applicable)</w:t>
      </w:r>
    </w:p>
    <w:p w:rsidR="00DD6782" w:rsidRPr="00326F5C" w:rsidRDefault="00DD6782" w:rsidP="00A37ED6">
      <w:pPr>
        <w:pStyle w:val="ListParagraph"/>
        <w:numPr>
          <w:ilvl w:val="1"/>
          <w:numId w:val="188"/>
        </w:numPr>
        <w:jc w:val="both"/>
        <w:rPr>
          <w:rFonts w:asciiTheme="majorHAnsi" w:eastAsia="Arial Unicode MS" w:hAnsiTheme="majorHAnsi" w:cstheme="majorHAnsi"/>
          <w:i/>
          <w:szCs w:val="20"/>
        </w:rPr>
      </w:pPr>
      <w:r w:rsidRPr="00326F5C">
        <w:rPr>
          <w:rFonts w:asciiTheme="majorHAnsi" w:hAnsiTheme="majorHAnsi" w:cstheme="majorHAnsi"/>
          <w:i/>
        </w:rPr>
        <w:t>DrPH Step-by-Step</w:t>
      </w:r>
    </w:p>
    <w:p w:rsidR="00DD6782" w:rsidRPr="00326F5C" w:rsidRDefault="00DD6782" w:rsidP="00A37ED6">
      <w:pPr>
        <w:pStyle w:val="ListParagraph"/>
        <w:numPr>
          <w:ilvl w:val="1"/>
          <w:numId w:val="188"/>
        </w:numPr>
        <w:jc w:val="both"/>
        <w:rPr>
          <w:rFonts w:asciiTheme="majorHAnsi" w:eastAsia="Arial Unicode MS" w:hAnsiTheme="majorHAnsi" w:cstheme="majorHAnsi"/>
          <w:i/>
          <w:szCs w:val="20"/>
        </w:rPr>
      </w:pPr>
      <w:r w:rsidRPr="00326F5C">
        <w:rPr>
          <w:rFonts w:asciiTheme="majorHAnsi" w:hAnsiTheme="majorHAnsi" w:cstheme="majorHAnsi"/>
          <w:i/>
        </w:rPr>
        <w:t>Practicum Process Overview Diagram</w:t>
      </w:r>
    </w:p>
    <w:p w:rsidR="00DD6782" w:rsidRPr="00326F5C" w:rsidRDefault="00DD6782" w:rsidP="00A37ED6">
      <w:pPr>
        <w:pStyle w:val="ListParagraph"/>
        <w:numPr>
          <w:ilvl w:val="1"/>
          <w:numId w:val="188"/>
        </w:numPr>
        <w:jc w:val="both"/>
        <w:rPr>
          <w:rFonts w:asciiTheme="majorHAnsi" w:eastAsia="Arial Unicode MS" w:hAnsiTheme="majorHAnsi" w:cstheme="majorHAnsi"/>
          <w:i/>
          <w:szCs w:val="20"/>
        </w:rPr>
      </w:pPr>
      <w:r w:rsidRPr="00326F5C">
        <w:rPr>
          <w:rFonts w:asciiTheme="majorHAnsi" w:hAnsiTheme="majorHAnsi" w:cstheme="majorHAnsi"/>
          <w:i/>
        </w:rPr>
        <w:t>Preceptor Step-by-Step</w:t>
      </w:r>
    </w:p>
    <w:p w:rsidR="007F4177" w:rsidRPr="00326F5C" w:rsidRDefault="007F4177" w:rsidP="00A37ED6">
      <w:pPr>
        <w:pStyle w:val="ListParagraph"/>
        <w:numPr>
          <w:ilvl w:val="1"/>
          <w:numId w:val="188"/>
        </w:numPr>
        <w:jc w:val="both"/>
        <w:rPr>
          <w:rFonts w:asciiTheme="majorHAnsi" w:eastAsia="Arial Unicode MS" w:hAnsiTheme="majorHAnsi" w:cstheme="majorHAnsi"/>
          <w:i/>
          <w:szCs w:val="20"/>
        </w:rPr>
      </w:pPr>
      <w:r w:rsidRPr="00326F5C">
        <w:rPr>
          <w:rFonts w:asciiTheme="majorHAnsi" w:hAnsiTheme="majorHAnsi" w:cstheme="majorHAnsi"/>
          <w:i/>
        </w:rPr>
        <w:t>Preceptor Printable Short Guide</w:t>
      </w:r>
    </w:p>
    <w:p w:rsidR="007F4177" w:rsidRPr="00326F5C" w:rsidRDefault="007F4177" w:rsidP="00A37ED6">
      <w:pPr>
        <w:pStyle w:val="ListParagraph"/>
        <w:numPr>
          <w:ilvl w:val="1"/>
          <w:numId w:val="188"/>
        </w:numPr>
        <w:jc w:val="both"/>
        <w:rPr>
          <w:rFonts w:asciiTheme="majorHAnsi" w:eastAsia="Arial Unicode MS" w:hAnsiTheme="majorHAnsi" w:cstheme="majorHAnsi"/>
          <w:i/>
          <w:szCs w:val="20"/>
        </w:rPr>
      </w:pPr>
      <w:r w:rsidRPr="00326F5C">
        <w:rPr>
          <w:rFonts w:asciiTheme="majorHAnsi" w:hAnsiTheme="majorHAnsi" w:cstheme="majorHAnsi"/>
          <w:i/>
        </w:rPr>
        <w:t>Faculty Mentors Step-by-</w:t>
      </w:r>
      <w:r w:rsidR="000A7105" w:rsidRPr="00326F5C">
        <w:rPr>
          <w:rFonts w:asciiTheme="majorHAnsi" w:hAnsiTheme="majorHAnsi" w:cstheme="majorHAnsi"/>
          <w:i/>
        </w:rPr>
        <w:t>S</w:t>
      </w:r>
      <w:r w:rsidRPr="00326F5C">
        <w:rPr>
          <w:rFonts w:asciiTheme="majorHAnsi" w:hAnsiTheme="majorHAnsi" w:cstheme="majorHAnsi"/>
          <w:i/>
        </w:rPr>
        <w:t>tep</w:t>
      </w:r>
    </w:p>
    <w:p w:rsidR="007F4177" w:rsidRPr="00326F5C" w:rsidRDefault="007F4177" w:rsidP="00A37ED6">
      <w:pPr>
        <w:pStyle w:val="ListParagraph"/>
        <w:numPr>
          <w:ilvl w:val="1"/>
          <w:numId w:val="188"/>
        </w:numPr>
        <w:jc w:val="both"/>
        <w:rPr>
          <w:rFonts w:asciiTheme="majorHAnsi" w:eastAsia="Arial Unicode MS" w:hAnsiTheme="majorHAnsi" w:cstheme="majorHAnsi"/>
          <w:i/>
          <w:szCs w:val="20"/>
        </w:rPr>
      </w:pPr>
      <w:r w:rsidRPr="00326F5C">
        <w:rPr>
          <w:rFonts w:asciiTheme="majorHAnsi" w:hAnsiTheme="majorHAnsi" w:cstheme="majorHAnsi"/>
          <w:i/>
        </w:rPr>
        <w:t>Introduction to Practicum – Presentation</w:t>
      </w:r>
    </w:p>
    <w:p w:rsidR="007F4177" w:rsidRPr="00326F5C" w:rsidRDefault="007F4177" w:rsidP="00A37ED6">
      <w:pPr>
        <w:pStyle w:val="ListParagraph"/>
        <w:numPr>
          <w:ilvl w:val="1"/>
          <w:numId w:val="188"/>
        </w:numPr>
        <w:jc w:val="both"/>
        <w:rPr>
          <w:rFonts w:asciiTheme="majorHAnsi" w:eastAsia="Arial Unicode MS" w:hAnsiTheme="majorHAnsi" w:cstheme="majorHAnsi"/>
          <w:i/>
          <w:szCs w:val="20"/>
        </w:rPr>
      </w:pPr>
      <w:r w:rsidRPr="00326F5C">
        <w:rPr>
          <w:rFonts w:asciiTheme="majorHAnsi" w:hAnsiTheme="majorHAnsi" w:cstheme="majorHAnsi"/>
          <w:i/>
        </w:rPr>
        <w:t>Final Products List</w:t>
      </w:r>
    </w:p>
    <w:p w:rsidR="007F4177" w:rsidRPr="00326F5C" w:rsidRDefault="007F4177" w:rsidP="00446142">
      <w:pPr>
        <w:pStyle w:val="ListParagraph"/>
        <w:numPr>
          <w:ilvl w:val="1"/>
          <w:numId w:val="188"/>
        </w:numPr>
        <w:ind w:hanging="450"/>
        <w:jc w:val="both"/>
        <w:rPr>
          <w:rFonts w:asciiTheme="majorHAnsi" w:eastAsia="Arial Unicode MS" w:hAnsiTheme="majorHAnsi" w:cstheme="majorHAnsi"/>
          <w:i/>
          <w:szCs w:val="20"/>
        </w:rPr>
      </w:pPr>
      <w:r w:rsidRPr="00326F5C">
        <w:rPr>
          <w:rFonts w:asciiTheme="majorHAnsi" w:hAnsiTheme="majorHAnsi" w:cstheme="majorHAnsi"/>
          <w:i/>
        </w:rPr>
        <w:t>Learning Contract Instructions</w:t>
      </w:r>
    </w:p>
    <w:p w:rsidR="007F4177" w:rsidRPr="00326F5C" w:rsidRDefault="007F4177" w:rsidP="00446142">
      <w:pPr>
        <w:pStyle w:val="ListParagraph"/>
        <w:numPr>
          <w:ilvl w:val="1"/>
          <w:numId w:val="188"/>
        </w:numPr>
        <w:ind w:hanging="450"/>
        <w:jc w:val="both"/>
        <w:rPr>
          <w:rFonts w:asciiTheme="majorHAnsi" w:eastAsia="Arial Unicode MS" w:hAnsiTheme="majorHAnsi" w:cstheme="majorHAnsi"/>
          <w:i/>
          <w:szCs w:val="20"/>
        </w:rPr>
      </w:pPr>
      <w:r w:rsidRPr="00326F5C">
        <w:rPr>
          <w:rFonts w:asciiTheme="majorHAnsi" w:hAnsiTheme="majorHAnsi" w:cstheme="majorHAnsi"/>
          <w:i/>
        </w:rPr>
        <w:t>Writing Practicum Learning Objectives</w:t>
      </w:r>
    </w:p>
    <w:p w:rsidR="007F4177" w:rsidRPr="00326F5C" w:rsidRDefault="007F4177" w:rsidP="00446142">
      <w:pPr>
        <w:pStyle w:val="ListParagraph"/>
        <w:numPr>
          <w:ilvl w:val="1"/>
          <w:numId w:val="188"/>
        </w:numPr>
        <w:ind w:hanging="450"/>
        <w:jc w:val="both"/>
        <w:rPr>
          <w:rFonts w:asciiTheme="majorHAnsi" w:eastAsia="Arial Unicode MS" w:hAnsiTheme="majorHAnsi" w:cstheme="majorHAnsi"/>
          <w:i/>
          <w:szCs w:val="20"/>
        </w:rPr>
      </w:pPr>
      <w:r w:rsidRPr="00326F5C">
        <w:rPr>
          <w:rFonts w:asciiTheme="majorHAnsi" w:hAnsiTheme="majorHAnsi" w:cstheme="majorHAnsi"/>
          <w:i/>
        </w:rPr>
        <w:t>Student Communication Emails</w:t>
      </w:r>
    </w:p>
    <w:p w:rsidR="00457074" w:rsidRPr="00326F5C" w:rsidRDefault="00457074" w:rsidP="00A37ED6">
      <w:pPr>
        <w:pStyle w:val="ListParagraph"/>
        <w:ind w:left="2160"/>
        <w:jc w:val="both"/>
        <w:rPr>
          <w:rFonts w:asciiTheme="majorHAnsi" w:eastAsia="Arial Unicode MS" w:hAnsiTheme="majorHAnsi" w:cstheme="majorHAnsi"/>
          <w:szCs w:val="20"/>
        </w:rPr>
      </w:pPr>
    </w:p>
    <w:p w:rsidR="00933038" w:rsidRPr="00743A41" w:rsidRDefault="00933038" w:rsidP="00A37ED6">
      <w:pPr>
        <w:pStyle w:val="ListParagraph"/>
        <w:numPr>
          <w:ilvl w:val="0"/>
          <w:numId w:val="23"/>
        </w:numPr>
        <w:ind w:left="720"/>
        <w:jc w:val="both"/>
        <w:rPr>
          <w:rFonts w:asciiTheme="majorHAnsi" w:eastAsia="Arial Unicode MS" w:hAnsiTheme="majorHAnsi" w:cstheme="majorHAnsi"/>
          <w:szCs w:val="20"/>
        </w:rPr>
      </w:pPr>
      <w:r w:rsidRPr="00743A41">
        <w:rPr>
          <w:rFonts w:asciiTheme="majorHAnsi" w:eastAsia="Arial Unicode MS" w:hAnsiTheme="majorHAnsi" w:cstheme="majorHAnsi"/>
          <w:szCs w:val="20"/>
        </w:rPr>
        <w:t xml:space="preserve">Provide samples of practice-related materials for individual students from each concentration or generalist degree. The school must provide samples of complete sets of materials (ie, Template D6-1 and the work products/documents that demonstrate at least five competencies) from at least five students in the last three years for each concentration or generalist degree. If the school has not produced five students for which complete samples are available, note this and provide all available samples. </w:t>
      </w:r>
    </w:p>
    <w:p w:rsidR="00933038" w:rsidRPr="00743A41" w:rsidRDefault="00933038" w:rsidP="00A37ED6">
      <w:pPr>
        <w:jc w:val="both"/>
        <w:rPr>
          <w:rFonts w:asciiTheme="majorHAnsi" w:eastAsia="Arial Unicode MS" w:hAnsiTheme="majorHAnsi" w:cstheme="majorHAnsi"/>
          <w:sz w:val="20"/>
          <w:szCs w:val="20"/>
        </w:rPr>
      </w:pPr>
    </w:p>
    <w:p w:rsidR="006C3F31" w:rsidRPr="001247EE" w:rsidRDefault="00CA3289" w:rsidP="00A37ED6">
      <w:pPr>
        <w:ind w:left="720"/>
        <w:rPr>
          <w:rFonts w:asciiTheme="majorHAnsi" w:eastAsia="Arial Unicode MS" w:hAnsiTheme="majorHAnsi" w:cstheme="majorHAnsi"/>
          <w:sz w:val="20"/>
          <w:szCs w:val="20"/>
        </w:rPr>
      </w:pPr>
      <w:r w:rsidRPr="001247EE">
        <w:rPr>
          <w:rFonts w:asciiTheme="majorHAnsi" w:eastAsia="Arial Unicode MS" w:hAnsiTheme="majorHAnsi" w:cstheme="majorHAnsi"/>
          <w:sz w:val="20"/>
          <w:szCs w:val="20"/>
        </w:rPr>
        <w:t xml:space="preserve">Samples of </w:t>
      </w:r>
      <w:r w:rsidR="006C3F31" w:rsidRPr="001247EE">
        <w:rPr>
          <w:rFonts w:asciiTheme="majorHAnsi" w:eastAsia="Arial Unicode MS" w:hAnsiTheme="majorHAnsi" w:cstheme="majorHAnsi"/>
          <w:sz w:val="20"/>
          <w:szCs w:val="20"/>
        </w:rPr>
        <w:t xml:space="preserve">DrPH applied practice-related materials </w:t>
      </w:r>
      <w:r w:rsidR="0000125A">
        <w:rPr>
          <w:rFonts w:asciiTheme="majorHAnsi" w:eastAsia="Arial Unicode MS" w:hAnsiTheme="majorHAnsi" w:cstheme="majorHAnsi"/>
          <w:sz w:val="20"/>
          <w:szCs w:val="20"/>
        </w:rPr>
        <w:t>are available in the electronic resource file</w:t>
      </w:r>
      <w:r w:rsidR="009A5B00" w:rsidRPr="001247EE">
        <w:rPr>
          <w:rFonts w:asciiTheme="majorHAnsi" w:eastAsia="Arial Unicode MS" w:hAnsiTheme="majorHAnsi" w:cstheme="majorHAnsi"/>
          <w:sz w:val="20"/>
          <w:szCs w:val="20"/>
        </w:rPr>
        <w:t xml:space="preserve"> (</w:t>
      </w:r>
      <w:r w:rsidR="009A5B00" w:rsidRPr="001247EE">
        <w:rPr>
          <w:rFonts w:asciiTheme="majorHAnsi" w:eastAsia="Arial Unicode MS" w:hAnsiTheme="majorHAnsi" w:cstheme="majorHAnsi"/>
          <w:i/>
          <w:sz w:val="20"/>
          <w:szCs w:val="20"/>
        </w:rPr>
        <w:t xml:space="preserve">ERF, </w:t>
      </w:r>
      <w:r w:rsidR="00F77CEA" w:rsidRPr="001247EE">
        <w:rPr>
          <w:rFonts w:asciiTheme="majorHAnsi" w:hAnsiTheme="majorHAnsi" w:cstheme="majorHAnsi"/>
          <w:i/>
          <w:sz w:val="20"/>
          <w:szCs w:val="20"/>
        </w:rPr>
        <w:t>D6.3. Practice-Based Products that Demonstrate DrPH Competency Achievement</w:t>
      </w:r>
      <w:r w:rsidR="009A5B00" w:rsidRPr="001247EE">
        <w:rPr>
          <w:rFonts w:asciiTheme="majorHAnsi" w:eastAsia="Arial Unicode MS" w:hAnsiTheme="majorHAnsi" w:cstheme="majorHAnsi"/>
          <w:sz w:val="20"/>
          <w:szCs w:val="20"/>
        </w:rPr>
        <w:t xml:space="preserve">). </w:t>
      </w:r>
    </w:p>
    <w:p w:rsidR="006C3F31" w:rsidRPr="00743A41" w:rsidRDefault="006C3F31" w:rsidP="00A37ED6">
      <w:pPr>
        <w:ind w:left="720"/>
        <w:jc w:val="both"/>
        <w:rPr>
          <w:rFonts w:asciiTheme="majorHAnsi" w:eastAsia="Arial Unicode MS" w:hAnsiTheme="majorHAnsi" w:cstheme="majorHAnsi"/>
          <w:sz w:val="20"/>
          <w:szCs w:val="20"/>
        </w:rPr>
      </w:pPr>
    </w:p>
    <w:p w:rsidR="004858ED" w:rsidRPr="00743A41" w:rsidRDefault="004858ED" w:rsidP="00A37ED6">
      <w:pPr>
        <w:ind w:left="720"/>
        <w:jc w:val="both"/>
        <w:rPr>
          <w:rFonts w:asciiTheme="majorHAnsi" w:eastAsia="Arial Unicode MS" w:hAnsiTheme="majorHAnsi" w:cstheme="majorHAnsi"/>
          <w:sz w:val="20"/>
          <w:szCs w:val="20"/>
        </w:rPr>
      </w:pPr>
    </w:p>
    <w:p w:rsidR="004858ED" w:rsidRPr="00743A41" w:rsidRDefault="004858ED" w:rsidP="00A37ED6">
      <w:pPr>
        <w:ind w:left="720"/>
        <w:jc w:val="both"/>
        <w:rPr>
          <w:rFonts w:asciiTheme="majorHAnsi" w:eastAsia="Arial Unicode MS" w:hAnsiTheme="majorHAnsi" w:cstheme="majorHAnsi"/>
          <w:sz w:val="20"/>
          <w:szCs w:val="20"/>
        </w:rPr>
      </w:pPr>
    </w:p>
    <w:p w:rsidR="004858ED" w:rsidRPr="00743A41" w:rsidRDefault="004858ED" w:rsidP="00A37ED6">
      <w:pPr>
        <w:ind w:left="720"/>
        <w:jc w:val="both"/>
        <w:rPr>
          <w:rFonts w:asciiTheme="majorHAnsi" w:eastAsia="Arial Unicode MS" w:hAnsiTheme="majorHAnsi" w:cstheme="majorHAnsi"/>
          <w:sz w:val="20"/>
          <w:szCs w:val="20"/>
        </w:rPr>
      </w:pPr>
    </w:p>
    <w:p w:rsidR="004858ED" w:rsidRPr="00743A41" w:rsidRDefault="004858ED" w:rsidP="00A37ED6">
      <w:pPr>
        <w:ind w:left="720"/>
        <w:jc w:val="both"/>
        <w:rPr>
          <w:rFonts w:asciiTheme="majorHAnsi" w:eastAsia="Arial Unicode MS" w:hAnsiTheme="majorHAnsi" w:cstheme="majorHAnsi"/>
          <w:sz w:val="20"/>
          <w:szCs w:val="20"/>
        </w:rPr>
      </w:pPr>
    </w:p>
    <w:p w:rsidR="004858ED" w:rsidRPr="00743A41" w:rsidRDefault="004858ED" w:rsidP="00A37ED6">
      <w:pPr>
        <w:ind w:left="720"/>
        <w:jc w:val="both"/>
        <w:rPr>
          <w:rFonts w:asciiTheme="majorHAnsi" w:eastAsia="Arial Unicode MS" w:hAnsiTheme="majorHAnsi" w:cstheme="majorHAnsi"/>
          <w:sz w:val="20"/>
          <w:szCs w:val="20"/>
        </w:rPr>
      </w:pPr>
    </w:p>
    <w:p w:rsidR="006C3F31" w:rsidRPr="00326F5C" w:rsidRDefault="006C3F31" w:rsidP="00A37ED6">
      <w:pPr>
        <w:ind w:left="720"/>
        <w:rPr>
          <w:rFonts w:asciiTheme="majorHAnsi" w:eastAsia="Arial Unicode MS" w:hAnsiTheme="majorHAnsi" w:cstheme="majorHAnsi"/>
          <w:sz w:val="20"/>
          <w:szCs w:val="20"/>
        </w:rPr>
      </w:pPr>
      <w:r w:rsidRPr="00326F5C">
        <w:rPr>
          <w:rFonts w:asciiTheme="majorHAnsi" w:hAnsiTheme="majorHAnsi" w:cstheme="majorHAnsi"/>
          <w:sz w:val="20"/>
          <w:szCs w:val="20"/>
        </w:rPr>
        <w:t>D.6.3.a. Practice-Based Products that Demonstrate DrPH Competency Attainment, DrPH in Community Health Practice</w:t>
      </w:r>
      <w:r w:rsidR="008C63ED" w:rsidRPr="00326F5C">
        <w:rPr>
          <w:rFonts w:asciiTheme="majorHAnsi" w:eastAsia="Arial Unicode MS" w:hAnsiTheme="majorHAnsi" w:cstheme="majorHAnsi"/>
          <w:sz w:val="20"/>
          <w:szCs w:val="20"/>
        </w:rPr>
        <w:t xml:space="preserve"> (</w:t>
      </w:r>
      <w:r w:rsidR="008C63ED" w:rsidRPr="00326F5C">
        <w:rPr>
          <w:rFonts w:asciiTheme="majorHAnsi" w:eastAsia="Arial Unicode MS" w:hAnsiTheme="majorHAnsi" w:cstheme="majorHAnsi"/>
          <w:i/>
          <w:sz w:val="20"/>
          <w:szCs w:val="20"/>
        </w:rPr>
        <w:t>ERF, D6.3. Practice-Based Products that Demonstrate DrPH Competency Achievement, DrPH Community Health Practice</w:t>
      </w:r>
      <w:r w:rsidR="008C63ED" w:rsidRPr="00326F5C">
        <w:rPr>
          <w:rFonts w:asciiTheme="majorHAnsi" w:eastAsia="Arial Unicode MS" w:hAnsiTheme="majorHAnsi" w:cstheme="majorHAnsi"/>
          <w:sz w:val="20"/>
          <w:szCs w:val="20"/>
        </w:rPr>
        <w:t xml:space="preserve">) </w:t>
      </w: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140"/>
      </w:tblGrid>
      <w:tr w:rsidR="006C3F31" w:rsidRPr="00743A41" w:rsidTr="00321053">
        <w:trPr>
          <w:cantSplit/>
          <w:trHeight w:val="328"/>
          <w:tblHeader/>
        </w:trPr>
        <w:tc>
          <w:tcPr>
            <w:tcW w:w="2604" w:type="pct"/>
            <w:shd w:val="clear" w:color="auto" w:fill="D9D9D9" w:themeFill="background1" w:themeFillShade="D9"/>
            <w:vAlign w:val="center"/>
            <w:hideMark/>
          </w:tcPr>
          <w:p w:rsidR="006C3F31" w:rsidRPr="00743A41" w:rsidRDefault="006C3F3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Specific products in portfolio that demonstrate application or practice</w:t>
            </w:r>
          </w:p>
        </w:tc>
        <w:tc>
          <w:tcPr>
            <w:tcW w:w="2396" w:type="pct"/>
            <w:shd w:val="clear" w:color="auto" w:fill="D9D9D9" w:themeFill="background1" w:themeFillShade="D9"/>
            <w:vAlign w:val="center"/>
            <w:hideMark/>
          </w:tcPr>
          <w:p w:rsidR="006C3F31" w:rsidRPr="00743A41" w:rsidRDefault="006C3F3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 xml:space="preserve">Competency as defined in </w:t>
            </w:r>
            <w:hyperlink w:anchor="_D3._DrPH_Foundational" w:history="1">
              <w:r w:rsidR="004178B1" w:rsidRPr="00743A41">
                <w:rPr>
                  <w:rStyle w:val="Hyperlink"/>
                  <w:rFonts w:asciiTheme="majorHAnsi" w:eastAsia="Arial" w:hAnsiTheme="majorHAnsi" w:cstheme="majorHAnsi"/>
                  <w:b/>
                  <w:sz w:val="20"/>
                  <w:szCs w:val="20"/>
                </w:rPr>
                <w:t>Criterion D3</w:t>
              </w:r>
            </w:hyperlink>
            <w:r w:rsidR="004178B1" w:rsidRPr="00743A41">
              <w:rPr>
                <w:rFonts w:asciiTheme="majorHAnsi" w:eastAsia="Arial" w:hAnsiTheme="majorHAnsi" w:cstheme="majorHAnsi"/>
                <w:b/>
                <w:sz w:val="20"/>
                <w:szCs w:val="20"/>
              </w:rPr>
              <w:t xml:space="preserve"> and </w:t>
            </w:r>
            <w:hyperlink w:anchor="_D4._MPH_&amp;" w:history="1">
              <w:r w:rsidR="004178B1" w:rsidRPr="00743A41">
                <w:rPr>
                  <w:rStyle w:val="Hyperlink"/>
                  <w:rFonts w:asciiTheme="majorHAnsi" w:eastAsia="Arial" w:hAnsiTheme="majorHAnsi" w:cstheme="majorHAnsi"/>
                  <w:b/>
                  <w:sz w:val="20"/>
                  <w:szCs w:val="20"/>
                </w:rPr>
                <w:t>Criterion D4</w:t>
              </w:r>
            </w:hyperlink>
          </w:p>
        </w:tc>
      </w:tr>
      <w:tr w:rsidR="006C3F31" w:rsidRPr="00743A41" w:rsidTr="00321053">
        <w:trPr>
          <w:trHeight w:val="80"/>
        </w:trPr>
        <w:tc>
          <w:tcPr>
            <w:tcW w:w="2604" w:type="pct"/>
            <w:vMerge w:val="restart"/>
            <w:shd w:val="clear" w:color="auto" w:fill="auto"/>
          </w:tcPr>
          <w:p w:rsidR="006C3F31" w:rsidRPr="00743A41" w:rsidRDefault="006C3F31"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DrPH Community Health Practice, Student 1</w:t>
            </w:r>
            <w:r w:rsidRPr="00743A41">
              <w:rPr>
                <w:rFonts w:asciiTheme="majorHAnsi" w:eastAsia="Times New Roman" w:hAnsiTheme="majorHAnsi" w:cstheme="majorHAnsi"/>
                <w:sz w:val="20"/>
                <w:szCs w:val="20"/>
              </w:rPr>
              <w:t>:</w:t>
            </w:r>
            <w:r w:rsidRPr="00743A41">
              <w:rPr>
                <w:rFonts w:asciiTheme="majorHAnsi" w:eastAsia="Times New Roman" w:hAnsiTheme="majorHAnsi" w:cstheme="majorHAnsi"/>
                <w:i/>
                <w:sz w:val="20"/>
                <w:szCs w:val="20"/>
              </w:rPr>
              <w:t xml:space="preserve"> </w:t>
            </w:r>
            <w:r w:rsidRPr="00743A41">
              <w:rPr>
                <w:rFonts w:asciiTheme="majorHAnsi" w:eastAsia="Times New Roman" w:hAnsiTheme="majorHAnsi" w:cstheme="majorHAnsi"/>
                <w:sz w:val="20"/>
                <w:szCs w:val="20"/>
              </w:rPr>
              <w:t>The student conducted his practicum with a community-based public health organization. The student designed pre- and post-questionnaires to evaluate a community health worker training program (DrPH-2). The questionnaire assessed the knowledge of community health workers to better understand their learning and training needs (DrPH-18). The student described the evaluation process (methods section) and conducted an analysis on the pre- and post-test data in order to provide recommendations for program improvement (DrPH-1; DrPH-C5). The student provided a reflection in which he identified his strengths, weaknesses and leadership capacities throughout the practicum experience (DrPH-11).</w:t>
            </w:r>
          </w:p>
        </w:tc>
        <w:tc>
          <w:tcPr>
            <w:tcW w:w="2396" w:type="pct"/>
            <w:shd w:val="clear" w:color="auto" w:fill="auto"/>
          </w:tcPr>
          <w:p w:rsidR="006C3F31" w:rsidRPr="00743A41" w:rsidRDefault="006C3F31"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DrPH-1: Explain qualitative, quantitative, mixed methods and policy analysis research and evaluation methods to address health issues at multiple (individual, group, organization, community and population) levels</w:t>
            </w:r>
          </w:p>
        </w:tc>
      </w:tr>
      <w:tr w:rsidR="006C3F31" w:rsidRPr="00743A41" w:rsidTr="00321053">
        <w:trPr>
          <w:trHeight w:val="80"/>
        </w:trPr>
        <w:tc>
          <w:tcPr>
            <w:tcW w:w="2604" w:type="pct"/>
            <w:vMerge/>
            <w:shd w:val="clear" w:color="auto" w:fill="auto"/>
          </w:tcPr>
          <w:p w:rsidR="006C3F31" w:rsidRPr="00743A41" w:rsidRDefault="006C3F31" w:rsidP="00A37ED6">
            <w:pPr>
              <w:rPr>
                <w:rFonts w:asciiTheme="majorHAnsi" w:eastAsia="Times New Roman" w:hAnsiTheme="majorHAnsi" w:cstheme="majorHAnsi"/>
                <w:sz w:val="20"/>
                <w:szCs w:val="20"/>
              </w:rPr>
            </w:pPr>
          </w:p>
        </w:tc>
        <w:tc>
          <w:tcPr>
            <w:tcW w:w="2396" w:type="pct"/>
            <w:shd w:val="clear" w:color="auto" w:fill="auto"/>
          </w:tcPr>
          <w:p w:rsidR="006C3F31" w:rsidRPr="00743A41" w:rsidRDefault="006C3F31"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DrPH-2: Design a qualitative, quantitative, mixed methods, policy analysis or evaluation project to address a public health issue</w:t>
            </w:r>
          </w:p>
        </w:tc>
      </w:tr>
      <w:tr w:rsidR="006C3F31" w:rsidRPr="00743A41" w:rsidTr="00321053">
        <w:trPr>
          <w:trHeight w:val="80"/>
        </w:trPr>
        <w:tc>
          <w:tcPr>
            <w:tcW w:w="2604" w:type="pct"/>
            <w:vMerge/>
            <w:shd w:val="clear" w:color="auto" w:fill="auto"/>
          </w:tcPr>
          <w:p w:rsidR="006C3F31" w:rsidRPr="00743A41" w:rsidRDefault="006C3F31" w:rsidP="00A37ED6">
            <w:pPr>
              <w:rPr>
                <w:rFonts w:asciiTheme="majorHAnsi" w:eastAsia="Times New Roman" w:hAnsiTheme="majorHAnsi" w:cstheme="majorHAnsi"/>
                <w:sz w:val="20"/>
                <w:szCs w:val="20"/>
              </w:rPr>
            </w:pPr>
          </w:p>
        </w:tc>
        <w:tc>
          <w:tcPr>
            <w:tcW w:w="2396" w:type="pct"/>
            <w:shd w:val="clear" w:color="auto" w:fill="auto"/>
          </w:tcPr>
          <w:p w:rsidR="006C3F31" w:rsidRPr="00743A41" w:rsidRDefault="006C3F31"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DrPH-11: Assess one’s own strengths and weaknesses in leadership capacities, including cultural proficiency</w:t>
            </w:r>
          </w:p>
        </w:tc>
      </w:tr>
      <w:tr w:rsidR="006C3F31" w:rsidRPr="00743A41" w:rsidTr="00321053">
        <w:trPr>
          <w:trHeight w:val="88"/>
        </w:trPr>
        <w:tc>
          <w:tcPr>
            <w:tcW w:w="2604" w:type="pct"/>
            <w:vMerge/>
            <w:shd w:val="clear" w:color="auto" w:fill="auto"/>
          </w:tcPr>
          <w:p w:rsidR="006C3F31" w:rsidRPr="00743A41" w:rsidRDefault="006C3F31" w:rsidP="00A37ED6">
            <w:pPr>
              <w:rPr>
                <w:rFonts w:asciiTheme="majorHAnsi" w:eastAsia="Times New Roman" w:hAnsiTheme="majorHAnsi" w:cstheme="majorHAnsi"/>
                <w:sz w:val="20"/>
                <w:szCs w:val="20"/>
              </w:rPr>
            </w:pPr>
          </w:p>
        </w:tc>
        <w:tc>
          <w:tcPr>
            <w:tcW w:w="2396" w:type="pct"/>
            <w:shd w:val="clear" w:color="auto" w:fill="auto"/>
          </w:tcPr>
          <w:p w:rsidR="006C3F31" w:rsidRPr="00743A41" w:rsidRDefault="006C3F31"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 xml:space="preserve"> DrPH-C5. Utilize evidence-based decision tools and pragmatic strategies to develop a health improvement plan in collaboration with a community partner.</w:t>
            </w:r>
          </w:p>
        </w:tc>
      </w:tr>
      <w:tr w:rsidR="006C3F31" w:rsidRPr="00743A41" w:rsidTr="00321053">
        <w:trPr>
          <w:trHeight w:val="88"/>
        </w:trPr>
        <w:tc>
          <w:tcPr>
            <w:tcW w:w="2604" w:type="pct"/>
            <w:vMerge/>
            <w:shd w:val="clear" w:color="auto" w:fill="auto"/>
          </w:tcPr>
          <w:p w:rsidR="006C3F31" w:rsidRPr="00743A41" w:rsidRDefault="006C3F31" w:rsidP="00A37ED6">
            <w:pPr>
              <w:rPr>
                <w:rFonts w:asciiTheme="majorHAnsi" w:eastAsia="Times New Roman" w:hAnsiTheme="majorHAnsi" w:cstheme="majorHAnsi"/>
                <w:sz w:val="20"/>
                <w:szCs w:val="20"/>
              </w:rPr>
            </w:pPr>
          </w:p>
        </w:tc>
        <w:tc>
          <w:tcPr>
            <w:tcW w:w="2396" w:type="pct"/>
            <w:shd w:val="clear" w:color="auto" w:fill="auto"/>
          </w:tcPr>
          <w:p w:rsidR="006C3F31" w:rsidRPr="00743A41" w:rsidRDefault="006C3F31"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DrPH-18: Assess an audience's knowledge and learning needs</w:t>
            </w:r>
          </w:p>
        </w:tc>
      </w:tr>
      <w:tr w:rsidR="006C3F31" w:rsidRPr="00743A41" w:rsidTr="00321053">
        <w:trPr>
          <w:trHeight w:val="80"/>
        </w:trPr>
        <w:tc>
          <w:tcPr>
            <w:tcW w:w="2604" w:type="pct"/>
            <w:vMerge w:val="restart"/>
            <w:shd w:val="clear" w:color="auto" w:fill="auto"/>
          </w:tcPr>
          <w:p w:rsidR="006C3F31" w:rsidRPr="00743A41" w:rsidRDefault="006C3F31"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DrPH Community Health Practice, Student 2</w:t>
            </w:r>
            <w:r w:rsidRPr="00743A41">
              <w:rPr>
                <w:rFonts w:asciiTheme="majorHAnsi" w:eastAsia="Times New Roman" w:hAnsiTheme="majorHAnsi" w:cstheme="majorHAnsi"/>
                <w:sz w:val="20"/>
                <w:szCs w:val="20"/>
              </w:rPr>
              <w:t>: This student worked with a non-profit center that provides services to survivors of intimate partner violence. She designed a secondary data analysis project (DrPH-1, DrPH-2) of matched mother-child adverse childhood experiences (ACEs), analyzed the data, and presented her findings in a report. Among other analyses, she compared the rates of ACEs between female adult survivors in the center with the rate in the general population (DrPH-3). She describes the similarity of scores of mothers and their children, but notes caution in the interpretation of these results due to limitations in the child’s ACE score (DrPH-C1). This student identified flaws in the center’s data collection process, resulting in an updated the process. The preceptor wrote in her evaluation that this student “has very strong communication and analytical skills.  She is very professional and personable in her demeanor.”  This student reflected on her experience in a paper and noted how the project helped her strengthened her weaknesses (DrPH-11).</w:t>
            </w:r>
          </w:p>
        </w:tc>
        <w:tc>
          <w:tcPr>
            <w:tcW w:w="2396" w:type="pct"/>
            <w:shd w:val="clear" w:color="auto" w:fill="auto"/>
          </w:tcPr>
          <w:p w:rsidR="006C3F31" w:rsidRPr="00743A41" w:rsidRDefault="006C3F31" w:rsidP="00A37ED6">
            <w:pPr>
              <w:rPr>
                <w:rFonts w:asciiTheme="majorHAnsi" w:eastAsia="Times New Roman" w:hAnsiTheme="majorHAnsi" w:cstheme="majorHAnsi"/>
                <w:sz w:val="20"/>
                <w:szCs w:val="20"/>
              </w:rPr>
            </w:pPr>
            <w:r w:rsidRPr="00743A41">
              <w:rPr>
                <w:rFonts w:asciiTheme="majorHAnsi" w:eastAsia="Times New Roman" w:hAnsiTheme="majorHAnsi" w:cstheme="majorHAnsi"/>
                <w:color w:val="000000"/>
                <w:sz w:val="20"/>
                <w:szCs w:val="20"/>
              </w:rPr>
              <w:t xml:space="preserve">DrPH-1: </w:t>
            </w:r>
            <w:r w:rsidRPr="00743A41">
              <w:rPr>
                <w:rFonts w:asciiTheme="majorHAnsi" w:eastAsia="Times New Roman" w:hAnsiTheme="majorHAnsi" w:cstheme="majorHAnsi"/>
                <w:sz w:val="20"/>
                <w:szCs w:val="20"/>
              </w:rPr>
              <w:t>Explain qualitative, quantitative, mixed methods and policy analysis research and evaluation methods to address health issues at multiple (individual, group, organization, community and population) levels</w:t>
            </w:r>
          </w:p>
        </w:tc>
      </w:tr>
      <w:tr w:rsidR="006C3F31" w:rsidRPr="00743A41" w:rsidTr="00321053">
        <w:trPr>
          <w:trHeight w:val="80"/>
        </w:trPr>
        <w:tc>
          <w:tcPr>
            <w:tcW w:w="2604" w:type="pct"/>
            <w:vMerge/>
            <w:shd w:val="clear" w:color="auto" w:fill="auto"/>
            <w:vAlign w:val="center"/>
          </w:tcPr>
          <w:p w:rsidR="006C3F31" w:rsidRPr="00743A41" w:rsidRDefault="006C3F31" w:rsidP="00A37ED6">
            <w:pPr>
              <w:rPr>
                <w:rFonts w:asciiTheme="majorHAnsi" w:eastAsia="Times New Roman" w:hAnsiTheme="majorHAnsi" w:cstheme="majorHAnsi"/>
                <w:sz w:val="20"/>
                <w:szCs w:val="20"/>
              </w:rPr>
            </w:pPr>
          </w:p>
        </w:tc>
        <w:tc>
          <w:tcPr>
            <w:tcW w:w="2396" w:type="pct"/>
            <w:shd w:val="clear" w:color="auto" w:fill="auto"/>
          </w:tcPr>
          <w:p w:rsidR="006C3F31" w:rsidRPr="00743A41" w:rsidRDefault="006C3F31" w:rsidP="00A37ED6">
            <w:pPr>
              <w:rPr>
                <w:rFonts w:asciiTheme="majorHAnsi" w:eastAsia="Times New Roman" w:hAnsiTheme="majorHAnsi" w:cstheme="majorHAnsi"/>
                <w:sz w:val="20"/>
                <w:szCs w:val="20"/>
              </w:rPr>
            </w:pPr>
            <w:r w:rsidRPr="00743A41">
              <w:rPr>
                <w:rFonts w:asciiTheme="majorHAnsi" w:eastAsia="Times New Roman" w:hAnsiTheme="majorHAnsi" w:cstheme="majorHAnsi"/>
                <w:color w:val="000000"/>
                <w:sz w:val="20"/>
                <w:szCs w:val="20"/>
              </w:rPr>
              <w:t>DrPH-2: Design a qualitative, quantitative, mixed methods, policy analysis or evaluation project to address a public health issue</w:t>
            </w:r>
          </w:p>
        </w:tc>
      </w:tr>
      <w:tr w:rsidR="006C3F31" w:rsidRPr="00743A41" w:rsidTr="00321053">
        <w:trPr>
          <w:trHeight w:val="80"/>
        </w:trPr>
        <w:tc>
          <w:tcPr>
            <w:tcW w:w="2604" w:type="pct"/>
            <w:vMerge/>
            <w:shd w:val="clear" w:color="auto" w:fill="auto"/>
            <w:vAlign w:val="center"/>
          </w:tcPr>
          <w:p w:rsidR="006C3F31" w:rsidRPr="00743A41" w:rsidRDefault="006C3F31" w:rsidP="00A37ED6">
            <w:pPr>
              <w:rPr>
                <w:rFonts w:asciiTheme="majorHAnsi" w:eastAsia="Times New Roman" w:hAnsiTheme="majorHAnsi" w:cstheme="majorHAnsi"/>
                <w:sz w:val="20"/>
                <w:szCs w:val="20"/>
              </w:rPr>
            </w:pPr>
          </w:p>
        </w:tc>
        <w:tc>
          <w:tcPr>
            <w:tcW w:w="2396" w:type="pct"/>
            <w:shd w:val="clear" w:color="auto" w:fill="auto"/>
          </w:tcPr>
          <w:p w:rsidR="006C3F31" w:rsidRPr="00743A41" w:rsidRDefault="006C3F31"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DrPH-3: Explain the use and limitations of surveillance systems and national surveys in assessing, monitoring and evaluating policies and programs and to address a population’s health</w:t>
            </w:r>
          </w:p>
        </w:tc>
      </w:tr>
      <w:tr w:rsidR="006C3F31" w:rsidRPr="00743A41" w:rsidTr="00321053">
        <w:trPr>
          <w:trHeight w:val="80"/>
        </w:trPr>
        <w:tc>
          <w:tcPr>
            <w:tcW w:w="2604" w:type="pct"/>
            <w:vMerge/>
            <w:shd w:val="clear" w:color="auto" w:fill="auto"/>
            <w:vAlign w:val="center"/>
          </w:tcPr>
          <w:p w:rsidR="006C3F31" w:rsidRPr="00743A41" w:rsidRDefault="006C3F31" w:rsidP="00A37ED6">
            <w:pPr>
              <w:rPr>
                <w:rFonts w:asciiTheme="majorHAnsi" w:eastAsia="Times New Roman" w:hAnsiTheme="majorHAnsi" w:cstheme="majorHAnsi"/>
                <w:sz w:val="20"/>
                <w:szCs w:val="20"/>
              </w:rPr>
            </w:pPr>
          </w:p>
        </w:tc>
        <w:tc>
          <w:tcPr>
            <w:tcW w:w="2396" w:type="pct"/>
            <w:shd w:val="clear" w:color="auto" w:fill="auto"/>
          </w:tcPr>
          <w:p w:rsidR="006C3F31" w:rsidRPr="00743A41" w:rsidRDefault="006C3F31" w:rsidP="00A37ED6">
            <w:pPr>
              <w:autoSpaceDE w:val="0"/>
              <w:autoSpaceDN w:val="0"/>
              <w:adjustRightInd w:val="0"/>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DrPH-11: Assess one’s own strengths and weaknesses in leadership capacities, including cultural proficiency</w:t>
            </w:r>
          </w:p>
        </w:tc>
      </w:tr>
      <w:tr w:rsidR="006C3F31" w:rsidRPr="00743A41" w:rsidTr="00321053">
        <w:trPr>
          <w:trHeight w:val="246"/>
        </w:trPr>
        <w:tc>
          <w:tcPr>
            <w:tcW w:w="2604" w:type="pct"/>
            <w:vMerge/>
            <w:shd w:val="clear" w:color="auto" w:fill="auto"/>
            <w:vAlign w:val="center"/>
          </w:tcPr>
          <w:p w:rsidR="006C3F31" w:rsidRPr="00743A41" w:rsidRDefault="006C3F31" w:rsidP="00A37ED6">
            <w:pPr>
              <w:rPr>
                <w:rFonts w:asciiTheme="majorHAnsi" w:eastAsia="Times New Roman" w:hAnsiTheme="majorHAnsi" w:cstheme="majorHAnsi"/>
                <w:sz w:val="20"/>
                <w:szCs w:val="20"/>
              </w:rPr>
            </w:pPr>
          </w:p>
        </w:tc>
        <w:tc>
          <w:tcPr>
            <w:tcW w:w="2396" w:type="pct"/>
            <w:shd w:val="clear" w:color="auto" w:fill="auto"/>
          </w:tcPr>
          <w:p w:rsidR="006C3F31" w:rsidRPr="00743A41" w:rsidRDefault="006C3F31"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DrPH-C1: Support and defend, both orally and in writing, a public health policy issue affecting vulnerable communities.</w:t>
            </w:r>
          </w:p>
        </w:tc>
      </w:tr>
      <w:tr w:rsidR="006C3F31" w:rsidRPr="00743A41" w:rsidTr="00321053">
        <w:trPr>
          <w:trHeight w:val="62"/>
        </w:trPr>
        <w:tc>
          <w:tcPr>
            <w:tcW w:w="2604" w:type="pct"/>
            <w:vMerge w:val="restart"/>
            <w:shd w:val="clear" w:color="auto" w:fill="auto"/>
          </w:tcPr>
          <w:p w:rsidR="006C3F31" w:rsidRPr="00743A41" w:rsidRDefault="006C3F31"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DrPH Community Health Practice, Student 3</w:t>
            </w:r>
            <w:r w:rsidRPr="00743A41">
              <w:rPr>
                <w:rFonts w:asciiTheme="majorHAnsi" w:eastAsia="Times New Roman" w:hAnsiTheme="majorHAnsi" w:cstheme="majorHAnsi"/>
                <w:sz w:val="20"/>
                <w:szCs w:val="20"/>
              </w:rPr>
              <w:t>: The student conducted her practicum with a local public health department.  The student served as team leader for the community engagement domain of the organization’s accreditation process. The student developed a work plan in collaboration with team members from various departments and outside organizations (DrPH-8; DrPH-12). The work plan included the allocation of human resources (DrPH-12) to complete tasks. The student developed a strategic plan in the form of a project charter (DrPH-7). The strategic plan included organizational change strategies to manage and complete the project (DrPH-9). The student wrote a reflection paper where she assessed her strengths and weaknesses as a leader (</w:t>
            </w:r>
            <w:r w:rsidRPr="00743A41">
              <w:rPr>
                <w:rFonts w:asciiTheme="majorHAnsi" w:hAnsiTheme="majorHAnsi" w:cstheme="majorHAnsi"/>
                <w:sz w:val="20"/>
                <w:szCs w:val="20"/>
              </w:rPr>
              <w:t>DrPH-11)</w:t>
            </w:r>
          </w:p>
        </w:tc>
        <w:tc>
          <w:tcPr>
            <w:tcW w:w="2396" w:type="pct"/>
            <w:shd w:val="clear" w:color="auto" w:fill="auto"/>
          </w:tcPr>
          <w:p w:rsidR="006C3F31" w:rsidRPr="00743A41" w:rsidRDefault="006C3F31" w:rsidP="00A37ED6">
            <w:pPr>
              <w:pStyle w:val="Default"/>
              <w:rPr>
                <w:rFonts w:asciiTheme="majorHAnsi" w:hAnsiTheme="majorHAnsi" w:cstheme="majorHAnsi"/>
                <w:szCs w:val="20"/>
              </w:rPr>
            </w:pPr>
            <w:r w:rsidRPr="00743A41">
              <w:rPr>
                <w:rFonts w:asciiTheme="majorHAnsi" w:hAnsiTheme="majorHAnsi" w:cstheme="majorHAnsi"/>
                <w:szCs w:val="20"/>
              </w:rPr>
              <w:t>DrPH-7: Create a strategic plan</w:t>
            </w:r>
          </w:p>
        </w:tc>
      </w:tr>
      <w:tr w:rsidR="006C3F31" w:rsidRPr="00743A41" w:rsidTr="00321053">
        <w:trPr>
          <w:trHeight w:val="62"/>
        </w:trPr>
        <w:tc>
          <w:tcPr>
            <w:tcW w:w="2604" w:type="pct"/>
            <w:vMerge/>
            <w:shd w:val="clear" w:color="auto" w:fill="auto"/>
            <w:vAlign w:val="center"/>
          </w:tcPr>
          <w:p w:rsidR="006C3F31" w:rsidRPr="00743A41" w:rsidRDefault="006C3F31" w:rsidP="00A37ED6">
            <w:pPr>
              <w:rPr>
                <w:rFonts w:asciiTheme="majorHAnsi" w:eastAsia="Times New Roman" w:hAnsiTheme="majorHAnsi" w:cstheme="majorHAnsi"/>
                <w:sz w:val="20"/>
                <w:szCs w:val="20"/>
              </w:rPr>
            </w:pPr>
          </w:p>
        </w:tc>
        <w:tc>
          <w:tcPr>
            <w:tcW w:w="2396" w:type="pct"/>
            <w:shd w:val="clear" w:color="auto" w:fill="auto"/>
          </w:tcPr>
          <w:p w:rsidR="006C3F31" w:rsidRPr="00743A41" w:rsidRDefault="006C3F31" w:rsidP="00A37ED6">
            <w:pPr>
              <w:pStyle w:val="Default"/>
              <w:rPr>
                <w:rFonts w:asciiTheme="majorHAnsi" w:hAnsiTheme="majorHAnsi" w:cstheme="majorHAnsi"/>
                <w:szCs w:val="20"/>
              </w:rPr>
            </w:pPr>
            <w:r w:rsidRPr="00743A41">
              <w:rPr>
                <w:rFonts w:asciiTheme="majorHAnsi" w:hAnsiTheme="majorHAnsi" w:cstheme="majorHAnsi"/>
                <w:szCs w:val="20"/>
              </w:rPr>
              <w:t>DrPH-8. Facilitate shared decision making through negotiation and consensus-building methods</w:t>
            </w:r>
          </w:p>
        </w:tc>
      </w:tr>
      <w:tr w:rsidR="006C3F31" w:rsidRPr="00743A41" w:rsidTr="00321053">
        <w:trPr>
          <w:trHeight w:val="62"/>
        </w:trPr>
        <w:tc>
          <w:tcPr>
            <w:tcW w:w="2604" w:type="pct"/>
            <w:vMerge/>
            <w:shd w:val="clear" w:color="auto" w:fill="auto"/>
            <w:vAlign w:val="center"/>
          </w:tcPr>
          <w:p w:rsidR="006C3F31" w:rsidRPr="00743A41" w:rsidRDefault="006C3F31" w:rsidP="00A37ED6">
            <w:pPr>
              <w:rPr>
                <w:rFonts w:asciiTheme="majorHAnsi" w:eastAsia="Times New Roman" w:hAnsiTheme="majorHAnsi" w:cstheme="majorHAnsi"/>
                <w:sz w:val="20"/>
                <w:szCs w:val="20"/>
              </w:rPr>
            </w:pPr>
          </w:p>
        </w:tc>
        <w:tc>
          <w:tcPr>
            <w:tcW w:w="2396" w:type="pct"/>
            <w:shd w:val="clear" w:color="auto" w:fill="auto"/>
          </w:tcPr>
          <w:p w:rsidR="006C3F31" w:rsidRPr="00743A41" w:rsidRDefault="006C3F31" w:rsidP="00A37ED6">
            <w:pPr>
              <w:pStyle w:val="Default"/>
              <w:rPr>
                <w:rFonts w:asciiTheme="majorHAnsi" w:hAnsiTheme="majorHAnsi" w:cstheme="majorHAnsi"/>
                <w:szCs w:val="20"/>
              </w:rPr>
            </w:pPr>
            <w:r w:rsidRPr="00743A41">
              <w:rPr>
                <w:rFonts w:asciiTheme="majorHAnsi" w:hAnsiTheme="majorHAnsi" w:cstheme="majorHAnsi"/>
                <w:szCs w:val="20"/>
              </w:rPr>
              <w:t>DrPH-9: Create organizational change strategies</w:t>
            </w:r>
          </w:p>
        </w:tc>
      </w:tr>
      <w:tr w:rsidR="006C3F31" w:rsidRPr="00743A41" w:rsidTr="00321053">
        <w:trPr>
          <w:trHeight w:val="62"/>
        </w:trPr>
        <w:tc>
          <w:tcPr>
            <w:tcW w:w="2604" w:type="pct"/>
            <w:vMerge/>
            <w:shd w:val="clear" w:color="auto" w:fill="auto"/>
            <w:vAlign w:val="center"/>
          </w:tcPr>
          <w:p w:rsidR="006C3F31" w:rsidRPr="00743A41" w:rsidRDefault="006C3F31" w:rsidP="00A37ED6">
            <w:pPr>
              <w:rPr>
                <w:rFonts w:asciiTheme="majorHAnsi" w:eastAsia="Times New Roman" w:hAnsiTheme="majorHAnsi" w:cstheme="majorHAnsi"/>
                <w:sz w:val="20"/>
                <w:szCs w:val="20"/>
              </w:rPr>
            </w:pPr>
          </w:p>
        </w:tc>
        <w:tc>
          <w:tcPr>
            <w:tcW w:w="2396" w:type="pct"/>
            <w:shd w:val="clear" w:color="auto" w:fill="auto"/>
          </w:tcPr>
          <w:p w:rsidR="006C3F31" w:rsidRPr="00743A41" w:rsidRDefault="006C3F31" w:rsidP="00A37ED6">
            <w:pPr>
              <w:pStyle w:val="BodyText"/>
              <w:spacing w:before="10"/>
              <w:ind w:left="-14" w:firstLine="14"/>
              <w:rPr>
                <w:rFonts w:asciiTheme="majorHAnsi" w:hAnsiTheme="majorHAnsi" w:cstheme="majorHAnsi"/>
              </w:rPr>
            </w:pPr>
            <w:r w:rsidRPr="00743A41">
              <w:rPr>
                <w:rFonts w:asciiTheme="majorHAnsi" w:hAnsiTheme="majorHAnsi" w:cstheme="majorHAnsi"/>
              </w:rPr>
              <w:t>DrPH-11. Assess one’s own strengths and weaknesses in leadership capacities including cultural proficiency</w:t>
            </w:r>
          </w:p>
        </w:tc>
      </w:tr>
      <w:tr w:rsidR="006C3F31" w:rsidRPr="00743A41" w:rsidTr="00321053">
        <w:trPr>
          <w:trHeight w:val="62"/>
        </w:trPr>
        <w:tc>
          <w:tcPr>
            <w:tcW w:w="2604" w:type="pct"/>
            <w:vMerge/>
            <w:shd w:val="clear" w:color="auto" w:fill="auto"/>
            <w:vAlign w:val="center"/>
          </w:tcPr>
          <w:p w:rsidR="006C3F31" w:rsidRPr="00743A41" w:rsidRDefault="006C3F31" w:rsidP="00A37ED6">
            <w:pPr>
              <w:rPr>
                <w:rFonts w:asciiTheme="majorHAnsi" w:eastAsia="Times New Roman" w:hAnsiTheme="majorHAnsi" w:cstheme="majorHAnsi"/>
                <w:sz w:val="20"/>
                <w:szCs w:val="20"/>
              </w:rPr>
            </w:pPr>
          </w:p>
        </w:tc>
        <w:tc>
          <w:tcPr>
            <w:tcW w:w="2396" w:type="pct"/>
            <w:shd w:val="clear" w:color="auto" w:fill="auto"/>
          </w:tcPr>
          <w:p w:rsidR="006C3F31" w:rsidRPr="00743A41" w:rsidRDefault="006C3F31" w:rsidP="00A37ED6">
            <w:pPr>
              <w:pStyle w:val="BodyText"/>
              <w:spacing w:before="10"/>
              <w:ind w:left="-14" w:firstLine="0"/>
              <w:rPr>
                <w:rFonts w:asciiTheme="majorHAnsi" w:hAnsiTheme="majorHAnsi" w:cstheme="majorHAnsi"/>
              </w:rPr>
            </w:pPr>
            <w:r w:rsidRPr="00743A41">
              <w:rPr>
                <w:rFonts w:asciiTheme="majorHAnsi" w:hAnsiTheme="majorHAnsi" w:cstheme="majorHAnsi"/>
              </w:rPr>
              <w:t>DrPH-12. Propose human, fiscal and other resources to achieve a strategic goal</w:t>
            </w:r>
          </w:p>
        </w:tc>
      </w:tr>
      <w:tr w:rsidR="006C3F31" w:rsidRPr="00743A41" w:rsidTr="00321053">
        <w:trPr>
          <w:cantSplit/>
          <w:trHeight w:val="62"/>
        </w:trPr>
        <w:tc>
          <w:tcPr>
            <w:tcW w:w="2604" w:type="pct"/>
            <w:vMerge w:val="restart"/>
            <w:shd w:val="clear" w:color="auto" w:fill="auto"/>
          </w:tcPr>
          <w:p w:rsidR="006C3F31" w:rsidRPr="00743A41" w:rsidRDefault="006C3F31" w:rsidP="00A37ED6">
            <w:pPr>
              <w:rPr>
                <w:rFonts w:asciiTheme="majorHAnsi" w:hAnsiTheme="majorHAnsi" w:cstheme="majorHAnsi"/>
                <w:sz w:val="20"/>
                <w:szCs w:val="20"/>
              </w:rPr>
            </w:pPr>
            <w:r w:rsidRPr="00743A41">
              <w:rPr>
                <w:rFonts w:asciiTheme="majorHAnsi" w:eastAsia="Times New Roman" w:hAnsiTheme="majorHAnsi" w:cstheme="majorHAnsi"/>
                <w:sz w:val="20"/>
                <w:szCs w:val="20"/>
                <w:u w:val="single"/>
              </w:rPr>
              <w:t>DrPH Community Health Practice, Student 4</w:t>
            </w:r>
            <w:r w:rsidRPr="00743A41">
              <w:rPr>
                <w:rFonts w:asciiTheme="majorHAnsi" w:eastAsia="Times New Roman" w:hAnsiTheme="majorHAnsi" w:cstheme="majorHAnsi"/>
                <w:sz w:val="20"/>
                <w:szCs w:val="20"/>
              </w:rPr>
              <w:t xml:space="preserve">: </w:t>
            </w:r>
            <w:r w:rsidRPr="00743A41">
              <w:rPr>
                <w:rFonts w:asciiTheme="majorHAnsi" w:hAnsiTheme="majorHAnsi" w:cstheme="majorHAnsi"/>
                <w:sz w:val="20"/>
                <w:szCs w:val="20"/>
              </w:rPr>
              <w:t>The student completed her practicum at a non-profit community organization specializing in community health assessments (CHA). She reviewed scientific evidence on CHA methodology and best practices (DrPH-6). She designed and conducted a cross-sectional study to obtain stakeholder input on the content, format, and impact of the CHA (DrPH-1, DrPH-2). Through this project, she examined the various roles stakeholders and organizations played in the CHA process (DrPH-6). She proposed strategies to promote inclusion and equity of stakeholders in the CHA process (DrPH-10). She also wrote a reflection of her experience and assessed her strengths and weaknesses as a leader (</w:t>
            </w:r>
            <w:r w:rsidRPr="00743A41">
              <w:rPr>
                <w:rFonts w:asciiTheme="majorHAnsi" w:eastAsia="Times New Roman" w:hAnsiTheme="majorHAnsi" w:cstheme="majorHAnsi"/>
                <w:sz w:val="20"/>
                <w:szCs w:val="20"/>
              </w:rPr>
              <w:t>DrPH-11)</w:t>
            </w:r>
            <w:r w:rsidRPr="00743A41">
              <w:rPr>
                <w:rFonts w:asciiTheme="majorHAnsi" w:hAnsiTheme="majorHAnsi" w:cstheme="majorHAnsi"/>
                <w:sz w:val="20"/>
                <w:szCs w:val="20"/>
              </w:rPr>
              <w:t>.</w:t>
            </w:r>
          </w:p>
        </w:tc>
        <w:tc>
          <w:tcPr>
            <w:tcW w:w="2396" w:type="pct"/>
            <w:shd w:val="clear" w:color="auto" w:fill="auto"/>
          </w:tcPr>
          <w:p w:rsidR="006C3F31" w:rsidRPr="00743A41" w:rsidRDefault="006C3F31" w:rsidP="00A37ED6">
            <w:pPr>
              <w:pStyle w:val="Default"/>
              <w:rPr>
                <w:rFonts w:asciiTheme="majorHAnsi" w:hAnsiTheme="majorHAnsi" w:cstheme="majorHAnsi"/>
                <w:szCs w:val="20"/>
              </w:rPr>
            </w:pPr>
            <w:r w:rsidRPr="00743A41">
              <w:rPr>
                <w:rFonts w:asciiTheme="majorHAnsi" w:hAnsiTheme="majorHAnsi" w:cstheme="majorHAnsi"/>
                <w:szCs w:val="20"/>
              </w:rPr>
              <w:t>DrPH-1: Explain qualitative, quantitative, mixed methods and policy analysis research and evaluation methods to address health issues at multiple (individual, group, organization, community and population) levels</w:t>
            </w:r>
          </w:p>
        </w:tc>
      </w:tr>
      <w:tr w:rsidR="006C3F31" w:rsidRPr="00743A41" w:rsidTr="00321053">
        <w:trPr>
          <w:trHeight w:val="62"/>
        </w:trPr>
        <w:tc>
          <w:tcPr>
            <w:tcW w:w="2604" w:type="pct"/>
            <w:vMerge/>
            <w:shd w:val="clear" w:color="auto" w:fill="auto"/>
            <w:vAlign w:val="center"/>
          </w:tcPr>
          <w:p w:rsidR="006C3F31" w:rsidRPr="00743A41" w:rsidRDefault="006C3F31" w:rsidP="00A37ED6">
            <w:pPr>
              <w:rPr>
                <w:rFonts w:asciiTheme="majorHAnsi" w:eastAsia="Times New Roman" w:hAnsiTheme="majorHAnsi" w:cstheme="majorHAnsi"/>
                <w:sz w:val="20"/>
                <w:szCs w:val="20"/>
              </w:rPr>
            </w:pPr>
          </w:p>
        </w:tc>
        <w:tc>
          <w:tcPr>
            <w:tcW w:w="2396" w:type="pct"/>
            <w:shd w:val="clear" w:color="auto" w:fill="auto"/>
          </w:tcPr>
          <w:p w:rsidR="006C3F31" w:rsidRPr="00743A41" w:rsidRDefault="006C3F31" w:rsidP="00A37ED6">
            <w:pPr>
              <w:pStyle w:val="Default"/>
              <w:rPr>
                <w:rFonts w:asciiTheme="majorHAnsi" w:hAnsiTheme="majorHAnsi" w:cstheme="majorHAnsi"/>
                <w:szCs w:val="20"/>
              </w:rPr>
            </w:pPr>
            <w:r w:rsidRPr="00743A41">
              <w:rPr>
                <w:rFonts w:asciiTheme="majorHAnsi" w:hAnsiTheme="majorHAnsi" w:cstheme="majorHAnsi"/>
                <w:szCs w:val="20"/>
              </w:rPr>
              <w:t>DrPH-2: Design a qualitative, quantitative, mixed methods, policy analysis or evaluation project to address a public health issue</w:t>
            </w:r>
          </w:p>
        </w:tc>
      </w:tr>
      <w:tr w:rsidR="006C3F31" w:rsidRPr="00743A41" w:rsidTr="00321053">
        <w:trPr>
          <w:trHeight w:val="62"/>
        </w:trPr>
        <w:tc>
          <w:tcPr>
            <w:tcW w:w="2604" w:type="pct"/>
            <w:vMerge/>
            <w:shd w:val="clear" w:color="auto" w:fill="auto"/>
            <w:vAlign w:val="center"/>
          </w:tcPr>
          <w:p w:rsidR="006C3F31" w:rsidRPr="00743A41" w:rsidRDefault="006C3F31" w:rsidP="00A37ED6">
            <w:pPr>
              <w:rPr>
                <w:rFonts w:asciiTheme="majorHAnsi" w:eastAsia="Times New Roman" w:hAnsiTheme="majorHAnsi" w:cstheme="majorHAnsi"/>
                <w:sz w:val="20"/>
                <w:szCs w:val="20"/>
              </w:rPr>
            </w:pPr>
          </w:p>
        </w:tc>
        <w:tc>
          <w:tcPr>
            <w:tcW w:w="2396" w:type="pct"/>
            <w:shd w:val="clear" w:color="auto" w:fill="auto"/>
          </w:tcPr>
          <w:p w:rsidR="006C3F31" w:rsidRPr="00743A41" w:rsidRDefault="006C3F31" w:rsidP="00A37ED6">
            <w:pPr>
              <w:pStyle w:val="Default"/>
              <w:rPr>
                <w:rFonts w:asciiTheme="majorHAnsi" w:hAnsiTheme="majorHAnsi" w:cstheme="majorHAnsi"/>
                <w:szCs w:val="20"/>
              </w:rPr>
            </w:pPr>
            <w:r w:rsidRPr="00743A41">
              <w:rPr>
                <w:rFonts w:asciiTheme="majorHAnsi" w:hAnsiTheme="majorHAnsi" w:cstheme="majorHAnsi"/>
                <w:szCs w:val="20"/>
              </w:rPr>
              <w:t>DrPH-6: Integrate knowledge, approaches, methods, values and potential contributions from multiple professions and systems in addressing public health problems</w:t>
            </w:r>
          </w:p>
        </w:tc>
      </w:tr>
      <w:tr w:rsidR="006C3F31" w:rsidRPr="00743A41" w:rsidTr="00321053">
        <w:trPr>
          <w:trHeight w:val="62"/>
        </w:trPr>
        <w:tc>
          <w:tcPr>
            <w:tcW w:w="2604" w:type="pct"/>
            <w:vMerge/>
            <w:shd w:val="clear" w:color="auto" w:fill="auto"/>
            <w:vAlign w:val="center"/>
          </w:tcPr>
          <w:p w:rsidR="006C3F31" w:rsidRPr="00743A41" w:rsidRDefault="006C3F31" w:rsidP="00A37ED6">
            <w:pPr>
              <w:rPr>
                <w:rFonts w:asciiTheme="majorHAnsi" w:eastAsia="Times New Roman" w:hAnsiTheme="majorHAnsi" w:cstheme="majorHAnsi"/>
                <w:sz w:val="20"/>
                <w:szCs w:val="20"/>
              </w:rPr>
            </w:pPr>
          </w:p>
        </w:tc>
        <w:tc>
          <w:tcPr>
            <w:tcW w:w="2396" w:type="pct"/>
            <w:shd w:val="clear" w:color="auto" w:fill="auto"/>
          </w:tcPr>
          <w:p w:rsidR="006C3F31" w:rsidRPr="00743A41" w:rsidRDefault="006C3F31" w:rsidP="00A37ED6">
            <w:pPr>
              <w:rPr>
                <w:rFonts w:asciiTheme="majorHAnsi" w:hAnsiTheme="majorHAnsi" w:cstheme="majorHAnsi"/>
                <w:sz w:val="20"/>
                <w:szCs w:val="20"/>
              </w:rPr>
            </w:pPr>
            <w:r w:rsidRPr="00743A41">
              <w:rPr>
                <w:rFonts w:asciiTheme="majorHAnsi" w:hAnsiTheme="majorHAnsi" w:cstheme="majorHAnsi"/>
                <w:sz w:val="20"/>
                <w:szCs w:val="20"/>
              </w:rPr>
              <w:t>DrPH-10. Propose strategies to promote inclusion and equity within public health programs, policies and systems</w:t>
            </w:r>
          </w:p>
        </w:tc>
      </w:tr>
      <w:tr w:rsidR="006C3F31" w:rsidRPr="00743A41" w:rsidTr="00321053">
        <w:trPr>
          <w:trHeight w:val="62"/>
        </w:trPr>
        <w:tc>
          <w:tcPr>
            <w:tcW w:w="2604" w:type="pct"/>
            <w:vMerge/>
            <w:shd w:val="clear" w:color="auto" w:fill="auto"/>
            <w:vAlign w:val="center"/>
          </w:tcPr>
          <w:p w:rsidR="006C3F31" w:rsidRPr="00743A41" w:rsidRDefault="006C3F31" w:rsidP="00A37ED6">
            <w:pPr>
              <w:rPr>
                <w:rFonts w:asciiTheme="majorHAnsi" w:eastAsia="Times New Roman" w:hAnsiTheme="majorHAnsi" w:cstheme="majorHAnsi"/>
                <w:sz w:val="20"/>
                <w:szCs w:val="20"/>
              </w:rPr>
            </w:pPr>
          </w:p>
        </w:tc>
        <w:tc>
          <w:tcPr>
            <w:tcW w:w="2396" w:type="pct"/>
            <w:shd w:val="clear" w:color="auto" w:fill="auto"/>
          </w:tcPr>
          <w:p w:rsidR="006C3F31" w:rsidRPr="00743A41" w:rsidRDefault="006C3F31" w:rsidP="00A37ED6">
            <w:pPr>
              <w:pStyle w:val="BodyText"/>
              <w:spacing w:before="10"/>
              <w:ind w:left="0" w:firstLine="0"/>
              <w:rPr>
                <w:rFonts w:asciiTheme="majorHAnsi" w:eastAsia="Times New Roman" w:hAnsiTheme="majorHAnsi" w:cstheme="majorHAnsi"/>
              </w:rPr>
            </w:pPr>
            <w:r w:rsidRPr="00743A41">
              <w:rPr>
                <w:rFonts w:asciiTheme="majorHAnsi" w:eastAsia="Times New Roman" w:hAnsiTheme="majorHAnsi" w:cstheme="majorHAnsi"/>
              </w:rPr>
              <w:t>DrPH-11: Assess one’s own strengths and weaknesses in leadership capacities, including cultural proficiency</w:t>
            </w:r>
          </w:p>
        </w:tc>
      </w:tr>
      <w:tr w:rsidR="006C3F31" w:rsidRPr="00743A41" w:rsidTr="00321053">
        <w:trPr>
          <w:trHeight w:val="62"/>
        </w:trPr>
        <w:tc>
          <w:tcPr>
            <w:tcW w:w="2604" w:type="pct"/>
            <w:vMerge w:val="restart"/>
            <w:shd w:val="clear" w:color="auto" w:fill="auto"/>
          </w:tcPr>
          <w:p w:rsidR="006C3F31" w:rsidRPr="00743A41" w:rsidRDefault="006C3F31"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DrPH Community Health Practice, Student 5</w:t>
            </w:r>
            <w:r w:rsidRPr="00743A41">
              <w:rPr>
                <w:rFonts w:asciiTheme="majorHAnsi" w:eastAsia="Times New Roman" w:hAnsiTheme="majorHAnsi" w:cstheme="majorHAnsi"/>
                <w:sz w:val="20"/>
                <w:szCs w:val="20"/>
              </w:rPr>
              <w:t xml:space="preserve">: </w:t>
            </w:r>
            <w:r w:rsidRPr="00743A41">
              <w:rPr>
                <w:rFonts w:asciiTheme="majorHAnsi" w:eastAsia="Times New Roman" w:hAnsiTheme="majorHAnsi" w:cstheme="majorHAnsi"/>
                <w:color w:val="000000"/>
                <w:sz w:val="20"/>
                <w:szCs w:val="20"/>
              </w:rPr>
              <w:t>The student conducted his practicum with a policy and planning office of a county health department. He conducted an analysis of the American Community and Census data to understand individual, neighborhood</w:t>
            </w:r>
            <w:r w:rsidR="00A63A85">
              <w:rPr>
                <w:rFonts w:asciiTheme="majorHAnsi" w:eastAsia="Times New Roman" w:hAnsiTheme="majorHAnsi" w:cstheme="majorHAnsi"/>
                <w:color w:val="000000"/>
                <w:sz w:val="20"/>
                <w:szCs w:val="20"/>
              </w:rPr>
              <w:t>, and community health (DrPH-1)</w:t>
            </w:r>
            <w:r w:rsidRPr="00743A41">
              <w:rPr>
                <w:rFonts w:asciiTheme="majorHAnsi" w:hAnsiTheme="majorHAnsi" w:cstheme="majorHAnsi"/>
                <w:sz w:val="20"/>
                <w:szCs w:val="20"/>
              </w:rPr>
              <w:t>. The student researched dashboards and pragmatics strategies used by other local health departments to promote transparency and health literacy (DrPH-C5). He proposed and developed an interactive dashboard to identify health disparities and promote inclusion and equity in public health programs (DrPH-10). He communicated data in compelling ways through displaying data and graphics on the dashboard that appeals to populations with low literacy for the purposes of impacting behaviors and policies (DrPH-5). In doing so, the student identified communities of need within the county health department’s service areas. His final products were a poster of his findings and a reflection (DrPH-11).</w:t>
            </w:r>
          </w:p>
        </w:tc>
        <w:tc>
          <w:tcPr>
            <w:tcW w:w="2396" w:type="pct"/>
            <w:shd w:val="clear" w:color="auto" w:fill="auto"/>
          </w:tcPr>
          <w:p w:rsidR="006C3F31" w:rsidRPr="00743A41" w:rsidRDefault="006C3F31" w:rsidP="00A37ED6">
            <w:pPr>
              <w:pStyle w:val="BodyText"/>
              <w:spacing w:before="10"/>
              <w:ind w:left="0" w:firstLine="0"/>
              <w:rPr>
                <w:rFonts w:asciiTheme="majorHAnsi" w:hAnsiTheme="majorHAnsi" w:cstheme="majorHAnsi"/>
              </w:rPr>
            </w:pPr>
            <w:r w:rsidRPr="00743A41">
              <w:rPr>
                <w:rFonts w:asciiTheme="majorHAnsi" w:hAnsiTheme="majorHAnsi" w:cstheme="majorHAnsi"/>
              </w:rPr>
              <w:t>DrPH-1.  Explain qualitative, quantitative, mixed methods and policy analysis research and evaluation methods to address health issues at multiple (individual, group, organization, community and population) levels</w:t>
            </w:r>
          </w:p>
        </w:tc>
      </w:tr>
      <w:tr w:rsidR="006C3F31" w:rsidRPr="00743A41" w:rsidTr="00321053">
        <w:trPr>
          <w:trHeight w:val="62"/>
        </w:trPr>
        <w:tc>
          <w:tcPr>
            <w:tcW w:w="2604" w:type="pct"/>
            <w:vMerge/>
            <w:shd w:val="clear" w:color="auto" w:fill="auto"/>
          </w:tcPr>
          <w:p w:rsidR="006C3F31" w:rsidRPr="00743A41" w:rsidRDefault="006C3F31" w:rsidP="00A37ED6">
            <w:pPr>
              <w:rPr>
                <w:rFonts w:asciiTheme="majorHAnsi" w:eastAsia="Times New Roman" w:hAnsiTheme="majorHAnsi" w:cstheme="majorHAnsi"/>
                <w:b/>
                <w:i/>
                <w:color w:val="000000"/>
                <w:sz w:val="20"/>
                <w:szCs w:val="20"/>
              </w:rPr>
            </w:pPr>
          </w:p>
        </w:tc>
        <w:tc>
          <w:tcPr>
            <w:tcW w:w="2396" w:type="pct"/>
            <w:shd w:val="clear" w:color="auto" w:fill="auto"/>
          </w:tcPr>
          <w:p w:rsidR="006C3F31" w:rsidRPr="00743A41" w:rsidRDefault="006C3F31" w:rsidP="00A37ED6">
            <w:pPr>
              <w:pStyle w:val="BodyText"/>
              <w:spacing w:before="10"/>
              <w:ind w:left="25" w:hanging="25"/>
              <w:rPr>
                <w:rFonts w:asciiTheme="majorHAnsi" w:hAnsiTheme="majorHAnsi" w:cstheme="majorHAnsi"/>
              </w:rPr>
            </w:pPr>
            <w:r w:rsidRPr="00743A41">
              <w:rPr>
                <w:rFonts w:asciiTheme="majorHAnsi" w:hAnsiTheme="majorHAnsi" w:cstheme="majorHAnsi"/>
              </w:rPr>
              <w:t>DrPH-5. Communicate public health science to diverse stakeholders, including individuals at all levels of health literacy, for purposes of influencing behavior and policies</w:t>
            </w:r>
          </w:p>
        </w:tc>
      </w:tr>
      <w:tr w:rsidR="006C3F31" w:rsidRPr="00743A41" w:rsidTr="00321053">
        <w:trPr>
          <w:trHeight w:val="62"/>
        </w:trPr>
        <w:tc>
          <w:tcPr>
            <w:tcW w:w="2604" w:type="pct"/>
            <w:vMerge/>
            <w:shd w:val="clear" w:color="auto" w:fill="auto"/>
          </w:tcPr>
          <w:p w:rsidR="006C3F31" w:rsidRPr="00743A41" w:rsidRDefault="006C3F31" w:rsidP="00A37ED6">
            <w:pPr>
              <w:rPr>
                <w:rFonts w:asciiTheme="majorHAnsi" w:eastAsia="Times New Roman" w:hAnsiTheme="majorHAnsi" w:cstheme="majorHAnsi"/>
                <w:i/>
                <w:color w:val="000000"/>
                <w:sz w:val="20"/>
                <w:szCs w:val="20"/>
              </w:rPr>
            </w:pPr>
          </w:p>
        </w:tc>
        <w:tc>
          <w:tcPr>
            <w:tcW w:w="2396" w:type="pct"/>
            <w:shd w:val="clear" w:color="auto" w:fill="auto"/>
          </w:tcPr>
          <w:p w:rsidR="006C3F31" w:rsidRPr="00743A41" w:rsidRDefault="006C3F31" w:rsidP="00A37ED6">
            <w:pPr>
              <w:pStyle w:val="BodyText"/>
              <w:spacing w:before="10"/>
              <w:ind w:left="25" w:hanging="25"/>
              <w:rPr>
                <w:rFonts w:asciiTheme="majorHAnsi" w:eastAsia="Times New Roman" w:hAnsiTheme="majorHAnsi" w:cstheme="majorHAnsi"/>
              </w:rPr>
            </w:pPr>
            <w:r w:rsidRPr="00743A41">
              <w:rPr>
                <w:rFonts w:asciiTheme="majorHAnsi" w:hAnsiTheme="majorHAnsi" w:cstheme="majorHAnsi"/>
              </w:rPr>
              <w:t>DrPH-10. Propose strategies to promote inclusion and equity within public health programs, policies and systems</w:t>
            </w:r>
          </w:p>
        </w:tc>
      </w:tr>
      <w:tr w:rsidR="006C3F31" w:rsidRPr="00743A41" w:rsidTr="00321053">
        <w:trPr>
          <w:trHeight w:val="62"/>
        </w:trPr>
        <w:tc>
          <w:tcPr>
            <w:tcW w:w="2604" w:type="pct"/>
            <w:vMerge/>
            <w:shd w:val="clear" w:color="auto" w:fill="auto"/>
          </w:tcPr>
          <w:p w:rsidR="006C3F31" w:rsidRPr="00743A41" w:rsidRDefault="006C3F31" w:rsidP="00A37ED6">
            <w:pPr>
              <w:rPr>
                <w:rFonts w:asciiTheme="majorHAnsi" w:eastAsia="Times New Roman" w:hAnsiTheme="majorHAnsi" w:cstheme="majorHAnsi"/>
                <w:i/>
                <w:color w:val="000000"/>
                <w:sz w:val="20"/>
                <w:szCs w:val="20"/>
              </w:rPr>
            </w:pPr>
          </w:p>
        </w:tc>
        <w:tc>
          <w:tcPr>
            <w:tcW w:w="2396" w:type="pct"/>
            <w:shd w:val="clear" w:color="auto" w:fill="auto"/>
          </w:tcPr>
          <w:p w:rsidR="006C3F31" w:rsidRPr="00743A41" w:rsidRDefault="006C3F31" w:rsidP="00A37ED6">
            <w:pPr>
              <w:pStyle w:val="Default"/>
              <w:ind w:hanging="25"/>
              <w:rPr>
                <w:rFonts w:asciiTheme="majorHAnsi" w:eastAsia="Times New Roman" w:hAnsiTheme="majorHAnsi" w:cstheme="majorHAnsi"/>
                <w:szCs w:val="20"/>
              </w:rPr>
            </w:pPr>
            <w:r w:rsidRPr="00743A41">
              <w:rPr>
                <w:rFonts w:asciiTheme="majorHAnsi" w:eastAsia="Times New Roman" w:hAnsiTheme="majorHAnsi" w:cstheme="majorHAnsi"/>
                <w:color w:val="auto"/>
                <w:szCs w:val="20"/>
              </w:rPr>
              <w:t>DrPH-11: Assess one’s own strengths and weaknesses in leadership capacities, including cultural proficiency</w:t>
            </w:r>
          </w:p>
        </w:tc>
      </w:tr>
      <w:tr w:rsidR="006C3F31" w:rsidRPr="00743A41" w:rsidTr="00321053">
        <w:trPr>
          <w:trHeight w:val="62"/>
        </w:trPr>
        <w:tc>
          <w:tcPr>
            <w:tcW w:w="2604" w:type="pct"/>
            <w:vMerge/>
            <w:shd w:val="clear" w:color="auto" w:fill="auto"/>
          </w:tcPr>
          <w:p w:rsidR="006C3F31" w:rsidRPr="00743A41" w:rsidRDefault="006C3F31" w:rsidP="00A37ED6">
            <w:pPr>
              <w:rPr>
                <w:rFonts w:asciiTheme="majorHAnsi" w:eastAsia="Times New Roman" w:hAnsiTheme="majorHAnsi" w:cstheme="majorHAnsi"/>
                <w:i/>
                <w:color w:val="000000"/>
                <w:sz w:val="20"/>
                <w:szCs w:val="20"/>
              </w:rPr>
            </w:pPr>
          </w:p>
        </w:tc>
        <w:tc>
          <w:tcPr>
            <w:tcW w:w="2396" w:type="pct"/>
            <w:shd w:val="clear" w:color="auto" w:fill="auto"/>
          </w:tcPr>
          <w:p w:rsidR="006C3F31" w:rsidRPr="00743A41" w:rsidRDefault="006C3F31" w:rsidP="00A37ED6">
            <w:pPr>
              <w:pStyle w:val="Default"/>
              <w:ind w:hanging="25"/>
              <w:rPr>
                <w:rFonts w:asciiTheme="majorHAnsi" w:eastAsia="Times New Roman" w:hAnsiTheme="majorHAnsi" w:cstheme="majorHAnsi"/>
                <w:szCs w:val="20"/>
              </w:rPr>
            </w:pPr>
            <w:r w:rsidRPr="00743A41">
              <w:rPr>
                <w:rFonts w:asciiTheme="majorHAnsi" w:eastAsia="Times New Roman" w:hAnsiTheme="majorHAnsi" w:cstheme="majorHAnsi"/>
                <w:szCs w:val="20"/>
              </w:rPr>
              <w:t>DrPH-C5: Utilize evidence-based decision tools and pragmatic strategies to develop a health improvement plan in collaboration with a community partner.</w:t>
            </w:r>
          </w:p>
        </w:tc>
      </w:tr>
    </w:tbl>
    <w:p w:rsidR="006C3F31" w:rsidRPr="00743A41" w:rsidRDefault="006C3F31" w:rsidP="00A37ED6">
      <w:pPr>
        <w:ind w:left="720"/>
        <w:jc w:val="both"/>
        <w:rPr>
          <w:rFonts w:asciiTheme="majorHAnsi" w:eastAsia="Arial Unicode MS" w:hAnsiTheme="majorHAnsi" w:cstheme="majorHAnsi"/>
          <w:sz w:val="20"/>
          <w:szCs w:val="20"/>
          <w:highlight w:val="yellow"/>
        </w:rPr>
      </w:pPr>
    </w:p>
    <w:p w:rsidR="0016468D" w:rsidRPr="00743A41" w:rsidRDefault="0016468D" w:rsidP="00A37ED6">
      <w:pPr>
        <w:ind w:left="720"/>
        <w:jc w:val="both"/>
        <w:rPr>
          <w:rFonts w:asciiTheme="majorHAnsi" w:eastAsia="Arial Unicode MS" w:hAnsiTheme="majorHAnsi" w:cstheme="majorHAnsi"/>
          <w:sz w:val="20"/>
          <w:szCs w:val="20"/>
          <w:highlight w:val="yellow"/>
        </w:rPr>
      </w:pPr>
    </w:p>
    <w:p w:rsidR="0016468D" w:rsidRPr="00743A41" w:rsidRDefault="0016468D" w:rsidP="00A37ED6">
      <w:pPr>
        <w:ind w:left="720"/>
        <w:jc w:val="both"/>
        <w:rPr>
          <w:rFonts w:asciiTheme="majorHAnsi" w:eastAsia="Arial Unicode MS" w:hAnsiTheme="majorHAnsi" w:cstheme="majorHAnsi"/>
          <w:sz w:val="20"/>
          <w:szCs w:val="20"/>
          <w:highlight w:val="yellow"/>
        </w:rPr>
      </w:pPr>
    </w:p>
    <w:p w:rsidR="0016468D" w:rsidRPr="00743A41" w:rsidRDefault="0016468D" w:rsidP="00A37ED6">
      <w:pPr>
        <w:ind w:left="720"/>
        <w:jc w:val="both"/>
        <w:rPr>
          <w:rFonts w:asciiTheme="majorHAnsi" w:eastAsia="Arial Unicode MS" w:hAnsiTheme="majorHAnsi" w:cstheme="majorHAnsi"/>
          <w:sz w:val="20"/>
          <w:szCs w:val="20"/>
          <w:highlight w:val="yellow"/>
        </w:rPr>
      </w:pPr>
    </w:p>
    <w:p w:rsidR="006C3F31" w:rsidRPr="00326F5C" w:rsidRDefault="006C3F31" w:rsidP="00A37ED6">
      <w:pPr>
        <w:ind w:left="720"/>
        <w:rPr>
          <w:rFonts w:asciiTheme="majorHAnsi" w:eastAsia="Arial Unicode MS" w:hAnsiTheme="majorHAnsi" w:cstheme="majorHAnsi"/>
          <w:sz w:val="20"/>
          <w:szCs w:val="20"/>
        </w:rPr>
      </w:pPr>
      <w:r w:rsidRPr="00326F5C">
        <w:rPr>
          <w:rFonts w:asciiTheme="majorHAnsi" w:hAnsiTheme="majorHAnsi" w:cstheme="majorHAnsi"/>
          <w:sz w:val="20"/>
          <w:szCs w:val="20"/>
        </w:rPr>
        <w:t>D.6.3.b. Practice-Based Products that Demonstrate DrPH Competency Attainment, DrPH in Health Promotion/Health Education</w:t>
      </w:r>
      <w:r w:rsidR="00B03C94" w:rsidRPr="00326F5C">
        <w:rPr>
          <w:rFonts w:asciiTheme="majorHAnsi" w:eastAsia="Arial Unicode MS" w:hAnsiTheme="majorHAnsi" w:cstheme="majorHAnsi"/>
          <w:sz w:val="20"/>
          <w:szCs w:val="20"/>
        </w:rPr>
        <w:t xml:space="preserve"> (</w:t>
      </w:r>
      <w:r w:rsidR="00B03C94" w:rsidRPr="00326F5C">
        <w:rPr>
          <w:rFonts w:asciiTheme="majorHAnsi" w:eastAsia="Arial Unicode MS" w:hAnsiTheme="majorHAnsi" w:cstheme="majorHAnsi"/>
          <w:i/>
          <w:sz w:val="20"/>
          <w:szCs w:val="20"/>
        </w:rPr>
        <w:t>ERF, D6.3. Practice-Based Products that Demonstrate DrPH Competency Achievement, DrPH Health Promotion/Health Education</w:t>
      </w:r>
      <w:r w:rsidR="00B03C94" w:rsidRPr="00326F5C">
        <w:rPr>
          <w:rFonts w:asciiTheme="majorHAnsi" w:eastAsia="Arial Unicode MS" w:hAnsiTheme="majorHAnsi" w:cstheme="majorHAnsi"/>
          <w:sz w:val="20"/>
          <w:szCs w:val="20"/>
        </w:rPr>
        <w:t>)</w:t>
      </w: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140"/>
      </w:tblGrid>
      <w:tr w:rsidR="006C3F31" w:rsidRPr="00743A41" w:rsidTr="00321053">
        <w:trPr>
          <w:cantSplit/>
          <w:trHeight w:val="328"/>
          <w:tblHeader/>
        </w:trPr>
        <w:tc>
          <w:tcPr>
            <w:tcW w:w="2604" w:type="pct"/>
            <w:shd w:val="clear" w:color="auto" w:fill="D9D9D9" w:themeFill="background1" w:themeFillShade="D9"/>
            <w:vAlign w:val="center"/>
            <w:hideMark/>
          </w:tcPr>
          <w:p w:rsidR="006C3F31" w:rsidRPr="00743A41" w:rsidRDefault="006C3F3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Specific products in portfolio that demonstrate application or practice</w:t>
            </w:r>
          </w:p>
        </w:tc>
        <w:tc>
          <w:tcPr>
            <w:tcW w:w="2396" w:type="pct"/>
            <w:shd w:val="clear" w:color="auto" w:fill="D9D9D9" w:themeFill="background1" w:themeFillShade="D9"/>
            <w:vAlign w:val="center"/>
            <w:hideMark/>
          </w:tcPr>
          <w:p w:rsidR="006C3F31" w:rsidRPr="00743A41" w:rsidRDefault="004178B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 xml:space="preserve">Competency as defined in </w:t>
            </w:r>
            <w:hyperlink w:anchor="_D3._DrPH_Foundational" w:history="1">
              <w:r w:rsidRPr="00743A41">
                <w:rPr>
                  <w:rStyle w:val="Hyperlink"/>
                  <w:rFonts w:asciiTheme="majorHAnsi" w:eastAsia="Arial" w:hAnsiTheme="majorHAnsi" w:cstheme="majorHAnsi"/>
                  <w:b/>
                  <w:sz w:val="20"/>
                  <w:szCs w:val="20"/>
                </w:rPr>
                <w:t>Criterion D3</w:t>
              </w:r>
            </w:hyperlink>
            <w:r w:rsidRPr="00743A41">
              <w:rPr>
                <w:rFonts w:asciiTheme="majorHAnsi" w:eastAsia="Arial" w:hAnsiTheme="majorHAnsi" w:cstheme="majorHAnsi"/>
                <w:b/>
                <w:sz w:val="20"/>
                <w:szCs w:val="20"/>
              </w:rPr>
              <w:t xml:space="preserve"> and </w:t>
            </w:r>
            <w:hyperlink w:anchor="_D4._MPH_&amp;" w:history="1">
              <w:r w:rsidRPr="00743A41">
                <w:rPr>
                  <w:rStyle w:val="Hyperlink"/>
                  <w:rFonts w:asciiTheme="majorHAnsi" w:eastAsia="Arial" w:hAnsiTheme="majorHAnsi" w:cstheme="majorHAnsi"/>
                  <w:b/>
                  <w:sz w:val="20"/>
                  <w:szCs w:val="20"/>
                </w:rPr>
                <w:t>Criterion D4</w:t>
              </w:r>
            </w:hyperlink>
          </w:p>
        </w:tc>
      </w:tr>
      <w:tr w:rsidR="006C3F31" w:rsidRPr="00743A41" w:rsidTr="00321053">
        <w:trPr>
          <w:cantSplit/>
          <w:trHeight w:val="80"/>
        </w:trPr>
        <w:tc>
          <w:tcPr>
            <w:tcW w:w="2604" w:type="pct"/>
            <w:vMerge w:val="restart"/>
            <w:shd w:val="clear" w:color="auto" w:fill="auto"/>
          </w:tcPr>
          <w:p w:rsidR="006C3F31" w:rsidRPr="00743A41" w:rsidRDefault="006C3F31" w:rsidP="00A37ED6">
            <w:pPr>
              <w:autoSpaceDE w:val="0"/>
              <w:autoSpaceDN w:val="0"/>
              <w:adjustRightInd w:val="0"/>
              <w:rPr>
                <w:rFonts w:asciiTheme="majorHAnsi" w:eastAsia="Times New Roman" w:hAnsiTheme="majorHAnsi" w:cstheme="majorHAnsi"/>
                <w:i/>
                <w:sz w:val="20"/>
                <w:szCs w:val="20"/>
              </w:rPr>
            </w:pPr>
            <w:r w:rsidRPr="00743A41">
              <w:rPr>
                <w:rFonts w:asciiTheme="majorHAnsi" w:eastAsia="Times New Roman" w:hAnsiTheme="majorHAnsi" w:cstheme="majorHAnsi"/>
                <w:sz w:val="20"/>
                <w:szCs w:val="20"/>
                <w:u w:val="single"/>
              </w:rPr>
              <w:t>DrPH Health Promotion/Health Education, Student 1</w:t>
            </w:r>
            <w:r w:rsidRPr="00743A41">
              <w:rPr>
                <w:rFonts w:asciiTheme="majorHAnsi" w:eastAsia="Times New Roman" w:hAnsiTheme="majorHAnsi" w:cstheme="majorHAnsi"/>
                <w:sz w:val="20"/>
                <w:szCs w:val="20"/>
              </w:rPr>
              <w:t xml:space="preserve">: The student conducted her practicum at a </w:t>
            </w:r>
            <w:r w:rsidRPr="00743A41">
              <w:rPr>
                <w:rFonts w:asciiTheme="majorHAnsi" w:eastAsia="Times New Roman" w:hAnsiTheme="majorHAnsi" w:cstheme="majorHAnsi"/>
                <w:color w:val="000000"/>
                <w:sz w:val="20"/>
                <w:szCs w:val="20"/>
              </w:rPr>
              <w:t>health and wellness center that serves uninsured and underinsured populations in Texas. The student designed a study and the survey to evaluate services delivered through the center (DrPH-2; DrPH-H1). The student collected and analyzed the data and developed a report of finding (DrPH-1). She synthesized findings and proposed strategies such as ESL classes and transportation to promote greater inclusion and equity in programs delivered by the health center (DrPH-10). The student wrote a reflection to assess her strengths and weaknesses and her leadership capacity (DrPH-11).</w:t>
            </w:r>
          </w:p>
        </w:tc>
        <w:tc>
          <w:tcPr>
            <w:tcW w:w="2396" w:type="pct"/>
            <w:shd w:val="clear" w:color="auto" w:fill="auto"/>
          </w:tcPr>
          <w:p w:rsidR="006C3F31" w:rsidRPr="00743A41" w:rsidRDefault="006C3F31" w:rsidP="00A37ED6">
            <w:pPr>
              <w:pStyle w:val="BodyText"/>
              <w:spacing w:before="10"/>
              <w:ind w:left="0" w:firstLine="0"/>
              <w:rPr>
                <w:rFonts w:asciiTheme="majorHAnsi" w:hAnsiTheme="majorHAnsi" w:cstheme="majorHAnsi"/>
              </w:rPr>
            </w:pPr>
            <w:r w:rsidRPr="00743A41">
              <w:rPr>
                <w:rFonts w:asciiTheme="majorHAnsi" w:hAnsiTheme="majorHAnsi" w:cstheme="majorHAnsi"/>
              </w:rPr>
              <w:t>DrPH-1.  Explain qualitative, quantitative, mixed methods and policy analysis research and evaluation methods to address health issues at multiple (individual, group, organization, community and population) levels</w:t>
            </w:r>
          </w:p>
        </w:tc>
      </w:tr>
      <w:tr w:rsidR="006C3F31" w:rsidRPr="00743A41" w:rsidTr="00321053">
        <w:trPr>
          <w:cantSplit/>
          <w:trHeight w:val="80"/>
        </w:trPr>
        <w:tc>
          <w:tcPr>
            <w:tcW w:w="2604" w:type="pct"/>
            <w:vMerge/>
            <w:shd w:val="clear" w:color="auto" w:fill="auto"/>
          </w:tcPr>
          <w:p w:rsidR="006C3F31" w:rsidRPr="00743A41" w:rsidRDefault="006C3F31" w:rsidP="00A37ED6">
            <w:pPr>
              <w:autoSpaceDE w:val="0"/>
              <w:autoSpaceDN w:val="0"/>
              <w:adjustRightInd w:val="0"/>
              <w:rPr>
                <w:rFonts w:asciiTheme="majorHAnsi" w:eastAsia="Times New Roman" w:hAnsiTheme="majorHAnsi" w:cstheme="majorHAnsi"/>
                <w:i/>
                <w:sz w:val="20"/>
                <w:szCs w:val="20"/>
              </w:rPr>
            </w:pPr>
          </w:p>
        </w:tc>
        <w:tc>
          <w:tcPr>
            <w:tcW w:w="2396" w:type="pct"/>
            <w:shd w:val="clear" w:color="auto" w:fill="auto"/>
          </w:tcPr>
          <w:p w:rsidR="006C3F31" w:rsidRPr="00743A41" w:rsidRDefault="006C3F31" w:rsidP="00A37ED6">
            <w:pPr>
              <w:pStyle w:val="BodyText"/>
              <w:spacing w:before="10"/>
              <w:ind w:left="0" w:firstLine="0"/>
              <w:rPr>
                <w:rFonts w:asciiTheme="majorHAnsi" w:hAnsiTheme="majorHAnsi" w:cstheme="majorHAnsi"/>
              </w:rPr>
            </w:pPr>
            <w:r w:rsidRPr="00743A41">
              <w:rPr>
                <w:rFonts w:asciiTheme="majorHAnsi" w:eastAsia="Times New Roman" w:hAnsiTheme="majorHAnsi" w:cstheme="majorHAnsi"/>
              </w:rPr>
              <w:t>DrPH-2: Design a qualitative, quantitative, mixed methods, policy analysis or evaluation project to address a public health issue</w:t>
            </w:r>
          </w:p>
        </w:tc>
      </w:tr>
      <w:tr w:rsidR="006C3F31" w:rsidRPr="00743A41" w:rsidTr="00321053">
        <w:trPr>
          <w:cantSplit/>
          <w:trHeight w:val="80"/>
        </w:trPr>
        <w:tc>
          <w:tcPr>
            <w:tcW w:w="2604" w:type="pct"/>
            <w:vMerge/>
            <w:shd w:val="clear" w:color="auto" w:fill="auto"/>
          </w:tcPr>
          <w:p w:rsidR="006C3F31" w:rsidRPr="00743A41" w:rsidRDefault="006C3F31" w:rsidP="00A37ED6">
            <w:pPr>
              <w:autoSpaceDE w:val="0"/>
              <w:autoSpaceDN w:val="0"/>
              <w:adjustRightInd w:val="0"/>
              <w:rPr>
                <w:rFonts w:asciiTheme="majorHAnsi" w:eastAsia="Times New Roman" w:hAnsiTheme="majorHAnsi" w:cstheme="majorHAnsi"/>
                <w:i/>
                <w:sz w:val="20"/>
                <w:szCs w:val="20"/>
              </w:rPr>
            </w:pPr>
          </w:p>
        </w:tc>
        <w:tc>
          <w:tcPr>
            <w:tcW w:w="2396" w:type="pct"/>
            <w:shd w:val="clear" w:color="auto" w:fill="auto"/>
          </w:tcPr>
          <w:p w:rsidR="006C3F31" w:rsidRPr="00743A41" w:rsidRDefault="006C3F31" w:rsidP="00A37ED6">
            <w:pPr>
              <w:pStyle w:val="BodyText"/>
              <w:spacing w:before="1"/>
              <w:ind w:left="0" w:firstLine="0"/>
              <w:rPr>
                <w:rFonts w:asciiTheme="majorHAnsi" w:hAnsiTheme="majorHAnsi" w:cstheme="majorHAnsi"/>
              </w:rPr>
            </w:pPr>
            <w:r w:rsidRPr="00743A41">
              <w:rPr>
                <w:rFonts w:asciiTheme="majorHAnsi" w:eastAsia="Times New Roman" w:hAnsiTheme="majorHAnsi" w:cstheme="majorHAnsi"/>
              </w:rPr>
              <w:t xml:space="preserve">DrPH-10: Propose strategies to promote inclusion and equity within public health programs, policies and systems </w:t>
            </w:r>
          </w:p>
        </w:tc>
      </w:tr>
      <w:tr w:rsidR="006C3F31" w:rsidRPr="00743A41" w:rsidTr="00321053">
        <w:trPr>
          <w:cantSplit/>
          <w:trHeight w:val="80"/>
        </w:trPr>
        <w:tc>
          <w:tcPr>
            <w:tcW w:w="2604" w:type="pct"/>
            <w:vMerge/>
            <w:shd w:val="clear" w:color="auto" w:fill="auto"/>
          </w:tcPr>
          <w:p w:rsidR="006C3F31" w:rsidRPr="00743A41" w:rsidRDefault="006C3F31" w:rsidP="00A37ED6">
            <w:pPr>
              <w:autoSpaceDE w:val="0"/>
              <w:autoSpaceDN w:val="0"/>
              <w:adjustRightInd w:val="0"/>
              <w:rPr>
                <w:rFonts w:asciiTheme="majorHAnsi" w:eastAsia="Times New Roman" w:hAnsiTheme="majorHAnsi" w:cstheme="majorHAnsi"/>
                <w:i/>
                <w:sz w:val="20"/>
                <w:szCs w:val="20"/>
              </w:rPr>
            </w:pPr>
          </w:p>
        </w:tc>
        <w:tc>
          <w:tcPr>
            <w:tcW w:w="2396" w:type="pct"/>
            <w:shd w:val="clear" w:color="auto" w:fill="auto"/>
          </w:tcPr>
          <w:p w:rsidR="006C3F31" w:rsidRPr="00743A41" w:rsidRDefault="006C3F31" w:rsidP="00A37ED6">
            <w:pPr>
              <w:rPr>
                <w:rFonts w:asciiTheme="majorHAnsi" w:hAnsiTheme="majorHAnsi" w:cstheme="majorHAnsi"/>
                <w:sz w:val="20"/>
                <w:szCs w:val="20"/>
              </w:rPr>
            </w:pPr>
            <w:r w:rsidRPr="00743A41">
              <w:rPr>
                <w:rFonts w:asciiTheme="majorHAnsi" w:eastAsia="Times New Roman" w:hAnsiTheme="majorHAnsi" w:cstheme="majorHAnsi"/>
                <w:sz w:val="20"/>
                <w:szCs w:val="20"/>
              </w:rPr>
              <w:t>DrPH-11: Assess one’s own strengths and weaknesses in leadership capacities, including cultural proficiency</w:t>
            </w:r>
          </w:p>
        </w:tc>
      </w:tr>
      <w:tr w:rsidR="006C3F31" w:rsidRPr="00743A41" w:rsidTr="00321053">
        <w:trPr>
          <w:cantSplit/>
          <w:trHeight w:val="80"/>
        </w:trPr>
        <w:tc>
          <w:tcPr>
            <w:tcW w:w="2604" w:type="pct"/>
            <w:vMerge/>
            <w:shd w:val="clear" w:color="auto" w:fill="auto"/>
          </w:tcPr>
          <w:p w:rsidR="006C3F31" w:rsidRPr="00743A41" w:rsidRDefault="006C3F31" w:rsidP="00A37ED6">
            <w:pPr>
              <w:autoSpaceDE w:val="0"/>
              <w:autoSpaceDN w:val="0"/>
              <w:adjustRightInd w:val="0"/>
              <w:rPr>
                <w:rFonts w:asciiTheme="majorHAnsi" w:eastAsia="Times New Roman" w:hAnsiTheme="majorHAnsi" w:cstheme="majorHAnsi"/>
                <w:i/>
                <w:sz w:val="20"/>
                <w:szCs w:val="20"/>
              </w:rPr>
            </w:pPr>
          </w:p>
        </w:tc>
        <w:tc>
          <w:tcPr>
            <w:tcW w:w="2396" w:type="pct"/>
            <w:shd w:val="clear" w:color="auto" w:fill="auto"/>
          </w:tcPr>
          <w:p w:rsidR="006C3F31" w:rsidRPr="00743A41" w:rsidRDefault="006C3F31" w:rsidP="00A37ED6">
            <w:pPr>
              <w:rPr>
                <w:rFonts w:asciiTheme="majorHAnsi" w:hAnsiTheme="majorHAnsi" w:cstheme="majorHAnsi"/>
                <w:sz w:val="20"/>
                <w:szCs w:val="20"/>
              </w:rPr>
            </w:pPr>
            <w:r w:rsidRPr="00743A41">
              <w:rPr>
                <w:rFonts w:asciiTheme="majorHAnsi" w:hAnsiTheme="majorHAnsi" w:cstheme="majorHAnsi"/>
                <w:sz w:val="20"/>
                <w:szCs w:val="20"/>
              </w:rPr>
              <w:t>DrPH-H1. Evaluate the appropriate use of social or behavioral sciences theory in developing and evaluating community-based interventions.</w:t>
            </w:r>
          </w:p>
        </w:tc>
      </w:tr>
      <w:tr w:rsidR="006C3F31" w:rsidRPr="00743A41" w:rsidTr="00321053">
        <w:trPr>
          <w:cantSplit/>
          <w:trHeight w:val="80"/>
        </w:trPr>
        <w:tc>
          <w:tcPr>
            <w:tcW w:w="2604" w:type="pct"/>
            <w:vMerge w:val="restart"/>
            <w:shd w:val="clear" w:color="auto" w:fill="auto"/>
          </w:tcPr>
          <w:p w:rsidR="006C3F31" w:rsidRPr="00743A41" w:rsidRDefault="006C3F31" w:rsidP="00A37ED6">
            <w:pPr>
              <w:autoSpaceDE w:val="0"/>
              <w:autoSpaceDN w:val="0"/>
              <w:adjustRightInd w:val="0"/>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DrPH Health Promotion/Health Education, Student 2:</w:t>
            </w:r>
            <w:r w:rsidRPr="00743A41">
              <w:rPr>
                <w:rFonts w:asciiTheme="majorHAnsi" w:eastAsia="Times New Roman" w:hAnsiTheme="majorHAnsi" w:cstheme="majorHAnsi"/>
                <w:sz w:val="20"/>
                <w:szCs w:val="20"/>
              </w:rPr>
              <w:t xml:space="preserve"> The student conducted her practicum with the environmental health services department of a medical school on a project analyzing the association of home-based environmental exposures with the health of its occupants. The student refined an existing research protocol, re-designing some of its elements, to improve the project’s ability to answer the research questions. She explains the new research methodology (a randomized clinical trial) in an application she drafted to the Institutional Review Board; see “Breathe Easy” section of final product (DrPH-1). The project assesses the effectiveness of the Healthy Homes intervention on reducing asthma triggers in low-income communities in two Houston-area neighborhoods. The student communicated with the researchers, data collectors and the community about the project with the goal of facilitating the reciprocal transfer of knowledge and skills between the researchers and community members (DrPH-5). She assisted in implementing the project and presented Healthy Homes training at community events using best practices (DrPH-19, DrPH-20).  Photos of events were provided, but not included in the ERF. In a reflection paper, the student describes her strengths, weaknesses and challenges during the project (DrPH-11). </w:t>
            </w:r>
          </w:p>
        </w:tc>
        <w:tc>
          <w:tcPr>
            <w:tcW w:w="2396" w:type="pct"/>
            <w:shd w:val="clear" w:color="auto" w:fill="auto"/>
          </w:tcPr>
          <w:p w:rsidR="006C3F31" w:rsidRPr="00743A41" w:rsidRDefault="006C3F31" w:rsidP="00A37ED6">
            <w:pPr>
              <w:rPr>
                <w:rFonts w:asciiTheme="majorHAnsi" w:hAnsiTheme="majorHAnsi" w:cstheme="majorHAnsi"/>
                <w:sz w:val="20"/>
                <w:szCs w:val="20"/>
              </w:rPr>
            </w:pPr>
            <w:r w:rsidRPr="00743A41">
              <w:rPr>
                <w:rFonts w:asciiTheme="majorHAnsi" w:hAnsiTheme="majorHAnsi" w:cstheme="majorHAnsi"/>
                <w:sz w:val="20"/>
                <w:szCs w:val="20"/>
              </w:rPr>
              <w:t>DrPH-1: Explain qualitative, quantitative, mixed methods and policy analysis research and evaluation methods to address health issues at multiple (individual, group, organization, community and population) levels</w:t>
            </w:r>
          </w:p>
        </w:tc>
      </w:tr>
      <w:tr w:rsidR="006C3F31" w:rsidRPr="00743A41" w:rsidTr="00321053">
        <w:trPr>
          <w:cantSplit/>
          <w:trHeight w:val="80"/>
        </w:trPr>
        <w:tc>
          <w:tcPr>
            <w:tcW w:w="2604" w:type="pct"/>
            <w:vMerge/>
            <w:shd w:val="clear" w:color="auto" w:fill="auto"/>
          </w:tcPr>
          <w:p w:rsidR="006C3F31" w:rsidRPr="00743A41" w:rsidRDefault="006C3F31" w:rsidP="00A37ED6">
            <w:pPr>
              <w:rPr>
                <w:rFonts w:asciiTheme="majorHAnsi" w:eastAsia="Times New Roman" w:hAnsiTheme="majorHAnsi" w:cstheme="majorHAnsi"/>
                <w:i/>
                <w:sz w:val="20"/>
                <w:szCs w:val="20"/>
              </w:rPr>
            </w:pPr>
          </w:p>
        </w:tc>
        <w:tc>
          <w:tcPr>
            <w:tcW w:w="2396" w:type="pct"/>
            <w:shd w:val="clear" w:color="auto" w:fill="auto"/>
          </w:tcPr>
          <w:p w:rsidR="006C3F31" w:rsidRPr="00743A41" w:rsidRDefault="006C3F31" w:rsidP="00A37ED6">
            <w:pPr>
              <w:rPr>
                <w:rFonts w:asciiTheme="majorHAnsi" w:hAnsiTheme="majorHAnsi" w:cstheme="majorHAnsi"/>
                <w:sz w:val="20"/>
                <w:szCs w:val="20"/>
              </w:rPr>
            </w:pPr>
            <w:r w:rsidRPr="00743A41">
              <w:rPr>
                <w:rFonts w:asciiTheme="majorHAnsi" w:hAnsiTheme="majorHAnsi" w:cstheme="majorHAnsi"/>
                <w:sz w:val="20"/>
                <w:szCs w:val="20"/>
              </w:rPr>
              <w:t>DrPH-5: Communicate public health science to diverse stakeholders, including individuals at all levels of health literacy, for purposes of influencing behavior and policies</w:t>
            </w:r>
          </w:p>
        </w:tc>
      </w:tr>
      <w:tr w:rsidR="006C3F31" w:rsidRPr="00743A41" w:rsidTr="00321053">
        <w:trPr>
          <w:cantSplit/>
          <w:trHeight w:val="80"/>
        </w:trPr>
        <w:tc>
          <w:tcPr>
            <w:tcW w:w="2604" w:type="pct"/>
            <w:vMerge/>
            <w:shd w:val="clear" w:color="auto" w:fill="auto"/>
          </w:tcPr>
          <w:p w:rsidR="006C3F31" w:rsidRPr="00743A41" w:rsidRDefault="006C3F31" w:rsidP="00A37ED6">
            <w:pPr>
              <w:rPr>
                <w:rFonts w:asciiTheme="majorHAnsi" w:eastAsia="Times New Roman" w:hAnsiTheme="majorHAnsi" w:cstheme="majorHAnsi"/>
                <w:i/>
                <w:sz w:val="20"/>
                <w:szCs w:val="20"/>
              </w:rPr>
            </w:pPr>
          </w:p>
        </w:tc>
        <w:tc>
          <w:tcPr>
            <w:tcW w:w="2396" w:type="pct"/>
            <w:shd w:val="clear" w:color="auto" w:fill="auto"/>
          </w:tcPr>
          <w:p w:rsidR="006C3F31" w:rsidRPr="00743A41" w:rsidRDefault="006C3F31" w:rsidP="00A37ED6">
            <w:pPr>
              <w:rPr>
                <w:rFonts w:asciiTheme="majorHAnsi" w:hAnsiTheme="majorHAnsi" w:cstheme="majorHAnsi"/>
                <w:sz w:val="20"/>
                <w:szCs w:val="20"/>
              </w:rPr>
            </w:pPr>
            <w:r w:rsidRPr="00743A41">
              <w:rPr>
                <w:rFonts w:asciiTheme="majorHAnsi" w:eastAsia="Times New Roman" w:hAnsiTheme="majorHAnsi" w:cstheme="majorHAnsi"/>
                <w:sz w:val="20"/>
                <w:szCs w:val="20"/>
              </w:rPr>
              <w:t>DrPH-11: Assess one’s own strengths and weaknesses in leadership capacities, including cultural proficiency</w:t>
            </w:r>
          </w:p>
        </w:tc>
      </w:tr>
      <w:tr w:rsidR="006C3F31" w:rsidRPr="00743A41" w:rsidTr="00321053">
        <w:trPr>
          <w:cantSplit/>
          <w:trHeight w:val="80"/>
        </w:trPr>
        <w:tc>
          <w:tcPr>
            <w:tcW w:w="2604" w:type="pct"/>
            <w:vMerge/>
            <w:shd w:val="clear" w:color="auto" w:fill="auto"/>
          </w:tcPr>
          <w:p w:rsidR="006C3F31" w:rsidRPr="00743A41" w:rsidRDefault="006C3F31" w:rsidP="00A37ED6">
            <w:pPr>
              <w:rPr>
                <w:rFonts w:asciiTheme="majorHAnsi" w:eastAsia="Times New Roman" w:hAnsiTheme="majorHAnsi" w:cstheme="majorHAnsi"/>
                <w:i/>
                <w:sz w:val="20"/>
                <w:szCs w:val="20"/>
              </w:rPr>
            </w:pPr>
          </w:p>
        </w:tc>
        <w:tc>
          <w:tcPr>
            <w:tcW w:w="2396" w:type="pct"/>
            <w:shd w:val="clear" w:color="auto" w:fill="auto"/>
          </w:tcPr>
          <w:p w:rsidR="006C3F31" w:rsidRPr="00743A41" w:rsidRDefault="006C3F31" w:rsidP="00A37ED6">
            <w:pPr>
              <w:rPr>
                <w:rFonts w:asciiTheme="majorHAnsi" w:hAnsiTheme="majorHAnsi" w:cstheme="majorHAnsi"/>
                <w:sz w:val="20"/>
                <w:szCs w:val="20"/>
              </w:rPr>
            </w:pPr>
            <w:r w:rsidRPr="00743A41">
              <w:rPr>
                <w:rFonts w:asciiTheme="majorHAnsi" w:hAnsiTheme="majorHAnsi" w:cstheme="majorHAnsi"/>
                <w:sz w:val="20"/>
                <w:szCs w:val="20"/>
              </w:rPr>
              <w:t>DrPH-19: Deliver training or educational experiences that promote learning in academic, organizational or community settings.</w:t>
            </w:r>
          </w:p>
        </w:tc>
      </w:tr>
      <w:tr w:rsidR="006C3F31" w:rsidRPr="00743A41" w:rsidTr="00321053">
        <w:trPr>
          <w:cantSplit/>
          <w:trHeight w:val="80"/>
        </w:trPr>
        <w:tc>
          <w:tcPr>
            <w:tcW w:w="2604" w:type="pct"/>
            <w:vMerge/>
            <w:shd w:val="clear" w:color="auto" w:fill="auto"/>
          </w:tcPr>
          <w:p w:rsidR="006C3F31" w:rsidRPr="00743A41" w:rsidRDefault="006C3F31" w:rsidP="00A37ED6">
            <w:pPr>
              <w:rPr>
                <w:rFonts w:asciiTheme="majorHAnsi" w:eastAsia="Times New Roman" w:hAnsiTheme="majorHAnsi" w:cstheme="majorHAnsi"/>
                <w:i/>
                <w:sz w:val="20"/>
                <w:szCs w:val="20"/>
              </w:rPr>
            </w:pPr>
          </w:p>
        </w:tc>
        <w:tc>
          <w:tcPr>
            <w:tcW w:w="2396" w:type="pct"/>
            <w:shd w:val="clear" w:color="auto" w:fill="auto"/>
          </w:tcPr>
          <w:p w:rsidR="006C3F31" w:rsidRPr="00743A41" w:rsidRDefault="006C3F31" w:rsidP="00A37ED6">
            <w:pPr>
              <w:rPr>
                <w:rFonts w:asciiTheme="majorHAnsi" w:hAnsiTheme="majorHAnsi" w:cstheme="majorHAnsi"/>
                <w:sz w:val="20"/>
                <w:szCs w:val="20"/>
              </w:rPr>
            </w:pPr>
            <w:r w:rsidRPr="00743A41">
              <w:rPr>
                <w:rFonts w:asciiTheme="majorHAnsi" w:hAnsiTheme="majorHAnsi" w:cstheme="majorHAnsi"/>
                <w:sz w:val="20"/>
                <w:szCs w:val="20"/>
              </w:rPr>
              <w:t>DrPH-20: Use best practice modalities in pedagogical practices</w:t>
            </w:r>
          </w:p>
        </w:tc>
      </w:tr>
      <w:tr w:rsidR="006C3F31" w:rsidRPr="00743A41" w:rsidTr="00321053">
        <w:trPr>
          <w:cantSplit/>
          <w:trHeight w:val="80"/>
        </w:trPr>
        <w:tc>
          <w:tcPr>
            <w:tcW w:w="2604" w:type="pct"/>
            <w:vMerge w:val="restart"/>
            <w:shd w:val="clear" w:color="auto" w:fill="auto"/>
          </w:tcPr>
          <w:p w:rsidR="006C3F31" w:rsidRPr="00743A41" w:rsidRDefault="006C3F31"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u w:val="single"/>
              </w:rPr>
              <w:t>DrPH Health Promotion/Health Education, Student 3</w:t>
            </w:r>
            <w:r w:rsidRPr="00743A41">
              <w:rPr>
                <w:rFonts w:asciiTheme="majorHAnsi" w:eastAsia="Times New Roman" w:hAnsiTheme="majorHAnsi" w:cstheme="majorHAnsi"/>
                <w:sz w:val="20"/>
                <w:szCs w:val="20"/>
              </w:rPr>
              <w:t>: The student worked with a large healthcare provider, consisting of 120 clinics, to design an evaluation of a Medication Therapy Management (MTM) program. The MTM program was composed of two components, a medication review component (to identify, resolve and prevent adverse drug events) and pharmacotherapy consults. The student designed the evaluation plan for estimating the return on investment (ROI) of the MTM intervention (DrPH-2). She assessed the outcomes of the MTM intervention by using a ROI forecasting calculator, a tool recommended for program cost evaluation. She integrated data from a variety of scientific and financial sources (DrPH-6) to identify the target population, baseline costs, cost trends, utilization changes and program costs to propose a plan to improve healthcare quality and reduce costs (DrPH-1, DrPH-12).  She also assesses her strengths, weaknesses and describes how she overcame challenges in a reflection paper (DrPH-11)</w:t>
            </w:r>
          </w:p>
        </w:tc>
        <w:tc>
          <w:tcPr>
            <w:tcW w:w="2396" w:type="pct"/>
            <w:shd w:val="clear" w:color="auto" w:fill="auto"/>
          </w:tcPr>
          <w:p w:rsidR="006C3F31" w:rsidRPr="00743A41" w:rsidRDefault="006C3F31" w:rsidP="00A37ED6">
            <w:pPr>
              <w:rPr>
                <w:rFonts w:asciiTheme="majorHAnsi" w:eastAsia="Times New Roman" w:hAnsiTheme="majorHAnsi" w:cstheme="majorHAnsi"/>
                <w:sz w:val="20"/>
                <w:szCs w:val="20"/>
              </w:rPr>
            </w:pPr>
            <w:r w:rsidRPr="00743A41">
              <w:rPr>
                <w:rFonts w:asciiTheme="majorHAnsi" w:hAnsiTheme="majorHAnsi" w:cstheme="majorHAnsi"/>
                <w:sz w:val="20"/>
                <w:szCs w:val="20"/>
              </w:rPr>
              <w:t>DrPH-1: Explain qualitative, quantitative, mixed methods and policy analysis research and evaluation methods to address health issues at multiple (individual, group, organization, community and population) levels</w:t>
            </w:r>
          </w:p>
        </w:tc>
      </w:tr>
      <w:tr w:rsidR="006C3F31" w:rsidRPr="00743A41" w:rsidTr="00321053">
        <w:trPr>
          <w:cantSplit/>
          <w:trHeight w:val="80"/>
        </w:trPr>
        <w:tc>
          <w:tcPr>
            <w:tcW w:w="2604" w:type="pct"/>
            <w:vMerge/>
            <w:shd w:val="clear" w:color="auto" w:fill="auto"/>
          </w:tcPr>
          <w:p w:rsidR="006C3F31" w:rsidRPr="00743A41" w:rsidRDefault="006C3F31" w:rsidP="00A37ED6">
            <w:pPr>
              <w:rPr>
                <w:rFonts w:asciiTheme="majorHAnsi" w:eastAsia="Times New Roman" w:hAnsiTheme="majorHAnsi" w:cstheme="majorHAnsi"/>
                <w:sz w:val="20"/>
                <w:szCs w:val="20"/>
              </w:rPr>
            </w:pPr>
          </w:p>
        </w:tc>
        <w:tc>
          <w:tcPr>
            <w:tcW w:w="2396" w:type="pct"/>
            <w:shd w:val="clear" w:color="auto" w:fill="auto"/>
          </w:tcPr>
          <w:p w:rsidR="006C3F31" w:rsidRPr="00743A41" w:rsidRDefault="006C3F31"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DrPH-2:  Design a qualitative, quantitative, mixed methods, policy analysis or evaluation project to address a public health issue</w:t>
            </w:r>
          </w:p>
        </w:tc>
      </w:tr>
      <w:tr w:rsidR="006C3F31" w:rsidRPr="00743A41" w:rsidTr="00321053">
        <w:trPr>
          <w:cantSplit/>
          <w:trHeight w:val="80"/>
        </w:trPr>
        <w:tc>
          <w:tcPr>
            <w:tcW w:w="2604" w:type="pct"/>
            <w:vMerge/>
            <w:shd w:val="clear" w:color="auto" w:fill="auto"/>
          </w:tcPr>
          <w:p w:rsidR="006C3F31" w:rsidRPr="00743A41" w:rsidRDefault="006C3F31" w:rsidP="00A37ED6">
            <w:pPr>
              <w:rPr>
                <w:rFonts w:asciiTheme="majorHAnsi" w:eastAsia="Times New Roman" w:hAnsiTheme="majorHAnsi" w:cstheme="majorHAnsi"/>
                <w:sz w:val="20"/>
                <w:szCs w:val="20"/>
              </w:rPr>
            </w:pPr>
          </w:p>
        </w:tc>
        <w:tc>
          <w:tcPr>
            <w:tcW w:w="2396" w:type="pct"/>
            <w:shd w:val="clear" w:color="auto" w:fill="auto"/>
          </w:tcPr>
          <w:p w:rsidR="006C3F31" w:rsidRPr="00743A41" w:rsidRDefault="006C3F31"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DrPH-6: Integrate knowledge, approaches, methods, values and potential contributions from multiple professions and systems in addressing public health problems</w:t>
            </w:r>
          </w:p>
        </w:tc>
      </w:tr>
      <w:tr w:rsidR="006C3F31" w:rsidRPr="00743A41" w:rsidTr="00321053">
        <w:trPr>
          <w:cantSplit/>
          <w:trHeight w:val="80"/>
        </w:trPr>
        <w:tc>
          <w:tcPr>
            <w:tcW w:w="2604" w:type="pct"/>
            <w:vMerge/>
            <w:shd w:val="clear" w:color="auto" w:fill="auto"/>
          </w:tcPr>
          <w:p w:rsidR="006C3F31" w:rsidRPr="00743A41" w:rsidRDefault="006C3F31" w:rsidP="00A37ED6">
            <w:pPr>
              <w:rPr>
                <w:rFonts w:asciiTheme="majorHAnsi" w:eastAsia="Times New Roman" w:hAnsiTheme="majorHAnsi" w:cstheme="majorHAnsi"/>
                <w:sz w:val="20"/>
                <w:szCs w:val="20"/>
              </w:rPr>
            </w:pPr>
          </w:p>
        </w:tc>
        <w:tc>
          <w:tcPr>
            <w:tcW w:w="2396" w:type="pct"/>
            <w:shd w:val="clear" w:color="auto" w:fill="auto"/>
          </w:tcPr>
          <w:p w:rsidR="006C3F31" w:rsidRPr="00743A41" w:rsidRDefault="006C3F31" w:rsidP="00A37ED6">
            <w:pPr>
              <w:rPr>
                <w:rFonts w:asciiTheme="majorHAnsi" w:eastAsia="Times New Roman" w:hAnsiTheme="majorHAnsi" w:cstheme="majorHAnsi"/>
                <w:sz w:val="20"/>
                <w:szCs w:val="20"/>
              </w:rPr>
            </w:pPr>
            <w:r w:rsidRPr="00743A41">
              <w:rPr>
                <w:rFonts w:asciiTheme="majorHAnsi" w:hAnsiTheme="majorHAnsi" w:cstheme="majorHAnsi"/>
                <w:sz w:val="20"/>
                <w:szCs w:val="20"/>
              </w:rPr>
              <w:t>DrPH-11: Assess one’s own strengths and weaknesses in leadership capacities, including cultural proficiency</w:t>
            </w:r>
          </w:p>
        </w:tc>
      </w:tr>
      <w:tr w:rsidR="006C3F31" w:rsidRPr="00743A41" w:rsidTr="00321053">
        <w:trPr>
          <w:cantSplit/>
          <w:trHeight w:val="88"/>
        </w:trPr>
        <w:tc>
          <w:tcPr>
            <w:tcW w:w="2604" w:type="pct"/>
            <w:vMerge/>
            <w:shd w:val="clear" w:color="auto" w:fill="auto"/>
          </w:tcPr>
          <w:p w:rsidR="006C3F31" w:rsidRPr="00743A41" w:rsidRDefault="006C3F31" w:rsidP="00A37ED6">
            <w:pPr>
              <w:rPr>
                <w:rFonts w:asciiTheme="majorHAnsi" w:eastAsia="Times New Roman" w:hAnsiTheme="majorHAnsi" w:cstheme="majorHAnsi"/>
                <w:sz w:val="20"/>
                <w:szCs w:val="20"/>
              </w:rPr>
            </w:pPr>
          </w:p>
        </w:tc>
        <w:tc>
          <w:tcPr>
            <w:tcW w:w="2396" w:type="pct"/>
            <w:shd w:val="clear" w:color="auto" w:fill="auto"/>
          </w:tcPr>
          <w:p w:rsidR="006C3F31" w:rsidRPr="00743A41" w:rsidRDefault="006C3F31" w:rsidP="00A37ED6">
            <w:pPr>
              <w:rPr>
                <w:rFonts w:asciiTheme="majorHAnsi" w:eastAsia="Times New Roman" w:hAnsiTheme="majorHAnsi" w:cstheme="majorHAnsi"/>
                <w:sz w:val="20"/>
                <w:szCs w:val="20"/>
              </w:rPr>
            </w:pPr>
            <w:r w:rsidRPr="00743A41">
              <w:rPr>
                <w:rFonts w:asciiTheme="majorHAnsi" w:eastAsia="Times New Roman" w:hAnsiTheme="majorHAnsi" w:cstheme="majorHAnsi"/>
                <w:sz w:val="20"/>
                <w:szCs w:val="20"/>
              </w:rPr>
              <w:t>DrPH-12: Propose human, fiscal and other resources to achieve a strategic goal</w:t>
            </w:r>
          </w:p>
        </w:tc>
      </w:tr>
      <w:tr w:rsidR="006C3F31" w:rsidRPr="00743A41" w:rsidTr="00321053">
        <w:trPr>
          <w:trHeight w:val="62"/>
        </w:trPr>
        <w:tc>
          <w:tcPr>
            <w:tcW w:w="2604" w:type="pct"/>
            <w:vMerge w:val="restart"/>
            <w:shd w:val="clear" w:color="auto" w:fill="auto"/>
          </w:tcPr>
          <w:p w:rsidR="006C3F31" w:rsidRPr="00743A41" w:rsidRDefault="006C3F31" w:rsidP="00A37ED6">
            <w:pPr>
              <w:rPr>
                <w:rFonts w:asciiTheme="majorHAnsi" w:eastAsia="Times New Roman" w:hAnsiTheme="majorHAnsi" w:cstheme="majorHAnsi"/>
                <w:i/>
                <w:strike/>
                <w:color w:val="000000"/>
                <w:sz w:val="20"/>
                <w:szCs w:val="20"/>
              </w:rPr>
            </w:pPr>
            <w:r w:rsidRPr="00743A41">
              <w:rPr>
                <w:rFonts w:asciiTheme="majorHAnsi" w:eastAsia="Times New Roman" w:hAnsiTheme="majorHAnsi" w:cstheme="majorHAnsi"/>
                <w:sz w:val="20"/>
                <w:szCs w:val="20"/>
                <w:u w:val="single"/>
              </w:rPr>
              <w:t>DrPH Health Promotion/Health Education, Student 4</w:t>
            </w:r>
            <w:r w:rsidRPr="00743A41">
              <w:rPr>
                <w:rFonts w:asciiTheme="majorHAnsi" w:eastAsia="Times New Roman" w:hAnsiTheme="majorHAnsi" w:cstheme="majorHAnsi"/>
                <w:sz w:val="20"/>
                <w:szCs w:val="20"/>
              </w:rPr>
              <w:t xml:space="preserve">: </w:t>
            </w:r>
            <w:r w:rsidRPr="00743A41">
              <w:rPr>
                <w:rFonts w:asciiTheme="majorHAnsi" w:eastAsia="Times New Roman" w:hAnsiTheme="majorHAnsi" w:cstheme="majorHAnsi"/>
                <w:color w:val="000000"/>
                <w:sz w:val="20"/>
                <w:szCs w:val="20"/>
              </w:rPr>
              <w:t xml:space="preserve">The student worked with a local health department. </w:t>
            </w:r>
            <w:r w:rsidRPr="00743A41">
              <w:rPr>
                <w:rFonts w:asciiTheme="majorHAnsi" w:hAnsiTheme="majorHAnsi" w:cstheme="majorHAnsi"/>
                <w:sz w:val="20"/>
                <w:szCs w:val="20"/>
              </w:rPr>
              <w:t xml:space="preserve">The student proposed study designs and methods to evaluate a summer obesity reduction program for teens (DrPH-1, DrPH-2). The student proposed intervention and implementation strategies included ways to improve inclusion, equity, and integrate cultural values and practices into the intervention (DrPH-15, DrPH-10). </w:t>
            </w:r>
            <w:r w:rsidRPr="00743A41">
              <w:rPr>
                <w:rFonts w:asciiTheme="majorHAnsi" w:eastAsia="Times New Roman" w:hAnsiTheme="majorHAnsi" w:cstheme="majorHAnsi"/>
                <w:color w:val="000000"/>
                <w:sz w:val="20"/>
                <w:szCs w:val="20"/>
              </w:rPr>
              <w:t>The student wrote a reflection to assess her strengths and weaknesses and her leadership capacity (DrPH-11).</w:t>
            </w:r>
          </w:p>
        </w:tc>
        <w:tc>
          <w:tcPr>
            <w:tcW w:w="2396" w:type="pct"/>
            <w:shd w:val="clear" w:color="auto" w:fill="auto"/>
          </w:tcPr>
          <w:p w:rsidR="006C3F31" w:rsidRPr="00743A41" w:rsidRDefault="006C3F31" w:rsidP="00A37ED6">
            <w:pPr>
              <w:pStyle w:val="Default"/>
              <w:rPr>
                <w:rFonts w:asciiTheme="majorHAnsi" w:eastAsia="Times New Roman" w:hAnsiTheme="majorHAnsi" w:cstheme="majorHAnsi"/>
                <w:strike/>
                <w:color w:val="auto"/>
                <w:szCs w:val="20"/>
              </w:rPr>
            </w:pPr>
            <w:r w:rsidRPr="00743A41">
              <w:rPr>
                <w:rFonts w:asciiTheme="majorHAnsi" w:eastAsia="Times New Roman" w:hAnsiTheme="majorHAnsi" w:cstheme="majorHAnsi"/>
                <w:color w:val="auto"/>
                <w:szCs w:val="20"/>
              </w:rPr>
              <w:t>DrPH-1: Explain qualitative, quantitative, mixed methods and policy analysis research and evaluation methods to address health issues at multiple (individual, group, organization, community and population) levels</w:t>
            </w:r>
          </w:p>
        </w:tc>
      </w:tr>
      <w:tr w:rsidR="006C3F31" w:rsidRPr="00743A41" w:rsidTr="00321053">
        <w:trPr>
          <w:trHeight w:val="62"/>
        </w:trPr>
        <w:tc>
          <w:tcPr>
            <w:tcW w:w="2604" w:type="pct"/>
            <w:vMerge/>
            <w:shd w:val="clear" w:color="auto" w:fill="auto"/>
          </w:tcPr>
          <w:p w:rsidR="006C3F31" w:rsidRPr="00743A41" w:rsidRDefault="006C3F31" w:rsidP="00A37ED6">
            <w:pPr>
              <w:rPr>
                <w:rFonts w:asciiTheme="majorHAnsi" w:eastAsia="Times New Roman" w:hAnsiTheme="majorHAnsi" w:cstheme="majorHAnsi"/>
                <w:i/>
                <w:strike/>
                <w:color w:val="000000"/>
                <w:sz w:val="20"/>
                <w:szCs w:val="20"/>
              </w:rPr>
            </w:pPr>
          </w:p>
        </w:tc>
        <w:tc>
          <w:tcPr>
            <w:tcW w:w="2396" w:type="pct"/>
            <w:shd w:val="clear" w:color="auto" w:fill="auto"/>
          </w:tcPr>
          <w:p w:rsidR="006C3F31" w:rsidRPr="00743A41" w:rsidRDefault="006C3F31" w:rsidP="00A37ED6">
            <w:pPr>
              <w:pStyle w:val="Default"/>
              <w:rPr>
                <w:rFonts w:asciiTheme="majorHAnsi" w:eastAsia="Times New Roman" w:hAnsiTheme="majorHAnsi" w:cstheme="majorHAnsi"/>
                <w:strike/>
                <w:color w:val="auto"/>
                <w:szCs w:val="20"/>
              </w:rPr>
            </w:pPr>
            <w:r w:rsidRPr="00743A41">
              <w:rPr>
                <w:rFonts w:asciiTheme="majorHAnsi" w:eastAsia="Times New Roman" w:hAnsiTheme="majorHAnsi" w:cstheme="majorHAnsi"/>
                <w:color w:val="auto"/>
                <w:szCs w:val="20"/>
              </w:rPr>
              <w:t>DrPH-2: Design a qualitative, quantitative, mixed methods, policy analysis or evaluation project to address a public health issue</w:t>
            </w:r>
          </w:p>
        </w:tc>
      </w:tr>
      <w:tr w:rsidR="006C3F31" w:rsidRPr="00743A41" w:rsidTr="00321053">
        <w:trPr>
          <w:trHeight w:val="62"/>
        </w:trPr>
        <w:tc>
          <w:tcPr>
            <w:tcW w:w="2604" w:type="pct"/>
            <w:vMerge/>
            <w:shd w:val="clear" w:color="auto" w:fill="auto"/>
          </w:tcPr>
          <w:p w:rsidR="006C3F31" w:rsidRPr="00743A41" w:rsidRDefault="006C3F31" w:rsidP="00A37ED6">
            <w:pPr>
              <w:rPr>
                <w:rFonts w:asciiTheme="majorHAnsi" w:eastAsia="Times New Roman" w:hAnsiTheme="majorHAnsi" w:cstheme="majorHAnsi"/>
                <w:i/>
                <w:strike/>
                <w:color w:val="000000"/>
                <w:sz w:val="20"/>
                <w:szCs w:val="20"/>
              </w:rPr>
            </w:pPr>
          </w:p>
        </w:tc>
        <w:tc>
          <w:tcPr>
            <w:tcW w:w="2396" w:type="pct"/>
            <w:shd w:val="clear" w:color="auto" w:fill="auto"/>
          </w:tcPr>
          <w:p w:rsidR="006C3F31" w:rsidRPr="00743A41" w:rsidRDefault="006C3F31" w:rsidP="00A37ED6">
            <w:pPr>
              <w:pStyle w:val="Default"/>
              <w:rPr>
                <w:rFonts w:asciiTheme="majorHAnsi" w:eastAsia="Times New Roman" w:hAnsiTheme="majorHAnsi" w:cstheme="majorHAnsi"/>
                <w:strike/>
                <w:color w:val="auto"/>
                <w:szCs w:val="20"/>
              </w:rPr>
            </w:pPr>
            <w:r w:rsidRPr="00743A41">
              <w:rPr>
                <w:rFonts w:asciiTheme="majorHAnsi" w:hAnsiTheme="majorHAnsi" w:cstheme="majorHAnsi"/>
                <w:szCs w:val="20"/>
              </w:rPr>
              <w:t>DrPH-10. Propose strategies to promote inclusion and equity within public health programs, policies and systems</w:t>
            </w:r>
            <w:r w:rsidRPr="00743A41" w:rsidDel="002037F1">
              <w:rPr>
                <w:rFonts w:asciiTheme="majorHAnsi" w:hAnsiTheme="majorHAnsi" w:cstheme="majorHAnsi"/>
                <w:szCs w:val="20"/>
              </w:rPr>
              <w:t xml:space="preserve"> </w:t>
            </w:r>
          </w:p>
        </w:tc>
      </w:tr>
      <w:tr w:rsidR="006C3F31" w:rsidRPr="00743A41" w:rsidTr="00321053">
        <w:trPr>
          <w:trHeight w:val="62"/>
        </w:trPr>
        <w:tc>
          <w:tcPr>
            <w:tcW w:w="2604" w:type="pct"/>
            <w:vMerge/>
            <w:shd w:val="clear" w:color="auto" w:fill="auto"/>
          </w:tcPr>
          <w:p w:rsidR="006C3F31" w:rsidRPr="00743A41" w:rsidRDefault="006C3F31" w:rsidP="00A37ED6">
            <w:pPr>
              <w:rPr>
                <w:rFonts w:asciiTheme="majorHAnsi" w:eastAsia="Times New Roman" w:hAnsiTheme="majorHAnsi" w:cstheme="majorHAnsi"/>
                <w:i/>
                <w:strike/>
                <w:color w:val="000000"/>
                <w:sz w:val="20"/>
                <w:szCs w:val="20"/>
              </w:rPr>
            </w:pPr>
          </w:p>
        </w:tc>
        <w:tc>
          <w:tcPr>
            <w:tcW w:w="2396" w:type="pct"/>
            <w:shd w:val="clear" w:color="auto" w:fill="auto"/>
          </w:tcPr>
          <w:p w:rsidR="006C3F31" w:rsidRPr="00743A41" w:rsidRDefault="006C3F31" w:rsidP="00A37ED6">
            <w:pPr>
              <w:pStyle w:val="Default"/>
              <w:rPr>
                <w:rFonts w:asciiTheme="majorHAnsi" w:eastAsia="Times New Roman" w:hAnsiTheme="majorHAnsi" w:cstheme="majorHAnsi"/>
                <w:strike/>
                <w:color w:val="auto"/>
                <w:szCs w:val="20"/>
              </w:rPr>
            </w:pPr>
            <w:r w:rsidRPr="00743A41">
              <w:rPr>
                <w:rFonts w:asciiTheme="majorHAnsi" w:hAnsiTheme="majorHAnsi" w:cstheme="majorHAnsi"/>
                <w:szCs w:val="20"/>
              </w:rPr>
              <w:t>DrPH-11: Assess one’s own strengths and weaknesses in leadership capacities, including cultural proficiency</w:t>
            </w:r>
          </w:p>
        </w:tc>
      </w:tr>
      <w:tr w:rsidR="006C3F31" w:rsidRPr="00743A41" w:rsidTr="00321053">
        <w:trPr>
          <w:trHeight w:val="62"/>
        </w:trPr>
        <w:tc>
          <w:tcPr>
            <w:tcW w:w="2604" w:type="pct"/>
            <w:vMerge/>
            <w:shd w:val="clear" w:color="auto" w:fill="auto"/>
          </w:tcPr>
          <w:p w:rsidR="006C3F31" w:rsidRPr="00743A41" w:rsidRDefault="006C3F31" w:rsidP="00A37ED6">
            <w:pPr>
              <w:rPr>
                <w:rFonts w:asciiTheme="majorHAnsi" w:eastAsia="Times New Roman" w:hAnsiTheme="majorHAnsi" w:cstheme="majorHAnsi"/>
                <w:i/>
                <w:strike/>
                <w:color w:val="000000"/>
                <w:sz w:val="20"/>
                <w:szCs w:val="20"/>
              </w:rPr>
            </w:pPr>
          </w:p>
        </w:tc>
        <w:tc>
          <w:tcPr>
            <w:tcW w:w="2396" w:type="pct"/>
            <w:shd w:val="clear" w:color="auto" w:fill="auto"/>
          </w:tcPr>
          <w:p w:rsidR="006C3F31" w:rsidRPr="00743A41" w:rsidRDefault="006C3F31" w:rsidP="00A37ED6">
            <w:pPr>
              <w:pStyle w:val="BodyText"/>
              <w:spacing w:before="10"/>
              <w:ind w:left="-14" w:firstLine="14"/>
              <w:rPr>
                <w:rFonts w:asciiTheme="majorHAnsi" w:eastAsia="Times New Roman" w:hAnsiTheme="majorHAnsi" w:cstheme="majorHAnsi"/>
                <w:strike/>
              </w:rPr>
            </w:pPr>
            <w:r w:rsidRPr="00743A41">
              <w:rPr>
                <w:rFonts w:asciiTheme="majorHAnsi" w:hAnsiTheme="majorHAnsi" w:cstheme="majorHAnsi"/>
              </w:rPr>
              <w:t>DrPH-15. Integrate knowledge of cultural values and practices in the design of public health policies and programs</w:t>
            </w:r>
          </w:p>
        </w:tc>
      </w:tr>
      <w:tr w:rsidR="006C3F31" w:rsidRPr="00743A41" w:rsidTr="00321053">
        <w:trPr>
          <w:trHeight w:val="62"/>
        </w:trPr>
        <w:tc>
          <w:tcPr>
            <w:tcW w:w="2604" w:type="pct"/>
            <w:vMerge w:val="restart"/>
            <w:shd w:val="clear" w:color="auto" w:fill="auto"/>
          </w:tcPr>
          <w:p w:rsidR="006C3F31" w:rsidRPr="00743A41" w:rsidRDefault="006C3F31" w:rsidP="00A37ED6">
            <w:pPr>
              <w:rPr>
                <w:rFonts w:asciiTheme="majorHAnsi" w:eastAsia="Times New Roman" w:hAnsiTheme="majorHAnsi" w:cstheme="majorHAnsi"/>
                <w:i/>
                <w:color w:val="000000"/>
                <w:sz w:val="20"/>
                <w:szCs w:val="20"/>
              </w:rPr>
            </w:pPr>
            <w:r w:rsidRPr="00743A41">
              <w:rPr>
                <w:rFonts w:asciiTheme="majorHAnsi" w:eastAsia="Times New Roman" w:hAnsiTheme="majorHAnsi" w:cstheme="majorHAnsi"/>
                <w:sz w:val="20"/>
                <w:szCs w:val="20"/>
                <w:u w:val="single"/>
              </w:rPr>
              <w:t>DrPH Health Promotion/Health Education, Student 5</w:t>
            </w:r>
            <w:r w:rsidRPr="00743A41">
              <w:rPr>
                <w:rFonts w:asciiTheme="majorHAnsi" w:eastAsia="Times New Roman" w:hAnsiTheme="majorHAnsi" w:cstheme="majorHAnsi"/>
                <w:sz w:val="20"/>
                <w:szCs w:val="20"/>
              </w:rPr>
              <w:t>:</w:t>
            </w:r>
            <w:r w:rsidRPr="00743A41">
              <w:rPr>
                <w:rFonts w:asciiTheme="majorHAnsi" w:eastAsia="Times New Roman" w:hAnsiTheme="majorHAnsi" w:cstheme="majorHAnsi"/>
                <w:i/>
                <w:sz w:val="20"/>
                <w:szCs w:val="20"/>
              </w:rPr>
              <w:t xml:space="preserve"> </w:t>
            </w:r>
            <w:r w:rsidRPr="00743A41">
              <w:rPr>
                <w:rFonts w:asciiTheme="majorHAnsi" w:eastAsia="Times New Roman" w:hAnsiTheme="majorHAnsi" w:cstheme="majorHAnsi"/>
                <w:sz w:val="20"/>
                <w:szCs w:val="20"/>
              </w:rPr>
              <w:t>The student conducted his practicum a family health center to examine patients who test positive for HIV/AIDS or Hepatitis C in El Paso, Southern New Mexico, and Ciudad Juarez. The student analyzed data to determine the prevalence of Hepatitis C along the Texas-Mexico border and determine treatment compliance (DrPH-1,</w:t>
            </w:r>
            <w:r w:rsidRPr="00743A41">
              <w:rPr>
                <w:rFonts w:asciiTheme="majorHAnsi" w:hAnsiTheme="majorHAnsi" w:cstheme="majorHAnsi"/>
                <w:sz w:val="20"/>
                <w:szCs w:val="20"/>
              </w:rPr>
              <w:t xml:space="preserve"> DrPH-H4</w:t>
            </w:r>
            <w:r w:rsidRPr="00743A41">
              <w:rPr>
                <w:rFonts w:asciiTheme="majorHAnsi" w:eastAsia="Times New Roman" w:hAnsiTheme="majorHAnsi" w:cstheme="majorHAnsi"/>
                <w:sz w:val="20"/>
                <w:szCs w:val="20"/>
              </w:rPr>
              <w:t xml:space="preserve">). The student designed and conducted a qualitative study with patients to examine the effectiveness of PrEP services (DrPH-1, DrPH-H1). </w:t>
            </w:r>
            <w:r w:rsidRPr="00743A41">
              <w:rPr>
                <w:rFonts w:asciiTheme="majorHAnsi" w:eastAsia="Times New Roman" w:hAnsiTheme="majorHAnsi" w:cstheme="majorHAnsi"/>
                <w:color w:val="000000"/>
                <w:sz w:val="20"/>
                <w:szCs w:val="20"/>
              </w:rPr>
              <w:t>The student wrote a reflection to assess his strengths and weaknesses and his leadership capacity (DrPH-11).</w:t>
            </w:r>
          </w:p>
        </w:tc>
        <w:tc>
          <w:tcPr>
            <w:tcW w:w="2396" w:type="pct"/>
            <w:shd w:val="clear" w:color="auto" w:fill="auto"/>
          </w:tcPr>
          <w:p w:rsidR="006C3F31" w:rsidRPr="00743A41" w:rsidRDefault="006C3F31" w:rsidP="00A37ED6">
            <w:pPr>
              <w:pStyle w:val="Default"/>
              <w:ind w:left="-14" w:firstLine="14"/>
              <w:rPr>
                <w:rFonts w:asciiTheme="majorHAnsi" w:eastAsia="Times New Roman" w:hAnsiTheme="majorHAnsi" w:cstheme="majorHAnsi"/>
                <w:color w:val="auto"/>
                <w:szCs w:val="20"/>
              </w:rPr>
            </w:pPr>
            <w:r w:rsidRPr="00743A41">
              <w:rPr>
                <w:rFonts w:asciiTheme="majorHAnsi" w:hAnsiTheme="majorHAnsi" w:cstheme="majorHAnsi"/>
                <w:szCs w:val="20"/>
              </w:rPr>
              <w:t>DrPH-1: Explain qualitative, quantitative, mixed methods and policy analysis research and evaluation methods to address health issues at multiple (individual, group, organization, community and population) levels</w:t>
            </w:r>
          </w:p>
        </w:tc>
      </w:tr>
      <w:tr w:rsidR="006C3F31" w:rsidRPr="00743A41" w:rsidTr="00321053">
        <w:trPr>
          <w:trHeight w:val="62"/>
        </w:trPr>
        <w:tc>
          <w:tcPr>
            <w:tcW w:w="2604" w:type="pct"/>
            <w:vMerge/>
            <w:shd w:val="clear" w:color="auto" w:fill="auto"/>
          </w:tcPr>
          <w:p w:rsidR="006C3F31" w:rsidRPr="00743A41" w:rsidRDefault="006C3F31" w:rsidP="00A37ED6">
            <w:pPr>
              <w:rPr>
                <w:rFonts w:asciiTheme="majorHAnsi" w:eastAsia="Times New Roman" w:hAnsiTheme="majorHAnsi" w:cstheme="majorHAnsi"/>
                <w:i/>
                <w:color w:val="000000"/>
                <w:sz w:val="20"/>
                <w:szCs w:val="20"/>
              </w:rPr>
            </w:pPr>
          </w:p>
        </w:tc>
        <w:tc>
          <w:tcPr>
            <w:tcW w:w="2396" w:type="pct"/>
            <w:shd w:val="clear" w:color="auto" w:fill="auto"/>
          </w:tcPr>
          <w:p w:rsidR="006C3F31" w:rsidRPr="00743A41" w:rsidRDefault="006C3F31" w:rsidP="00A37ED6">
            <w:pPr>
              <w:pStyle w:val="Default"/>
              <w:ind w:left="-14" w:firstLine="14"/>
              <w:rPr>
                <w:rFonts w:asciiTheme="majorHAnsi" w:eastAsia="Times New Roman" w:hAnsiTheme="majorHAnsi" w:cstheme="majorHAnsi"/>
                <w:color w:val="auto"/>
                <w:szCs w:val="20"/>
              </w:rPr>
            </w:pPr>
            <w:r w:rsidRPr="00743A41">
              <w:rPr>
                <w:rFonts w:asciiTheme="majorHAnsi" w:hAnsiTheme="majorHAnsi" w:cstheme="majorHAnsi"/>
                <w:szCs w:val="20"/>
              </w:rPr>
              <w:t>DrPH-2: Design a qualitative, quantitative, mixed methods, policy analysis or evaluation project to address a public health issue</w:t>
            </w:r>
          </w:p>
        </w:tc>
      </w:tr>
      <w:tr w:rsidR="006C3F31" w:rsidRPr="00743A41" w:rsidTr="00321053">
        <w:trPr>
          <w:trHeight w:val="62"/>
        </w:trPr>
        <w:tc>
          <w:tcPr>
            <w:tcW w:w="2604" w:type="pct"/>
            <w:vMerge/>
            <w:shd w:val="clear" w:color="auto" w:fill="auto"/>
          </w:tcPr>
          <w:p w:rsidR="006C3F31" w:rsidRPr="00743A41" w:rsidRDefault="006C3F31" w:rsidP="00A37ED6">
            <w:pPr>
              <w:rPr>
                <w:rFonts w:asciiTheme="majorHAnsi" w:eastAsia="Times New Roman" w:hAnsiTheme="majorHAnsi" w:cstheme="majorHAnsi"/>
                <w:i/>
                <w:color w:val="000000"/>
                <w:sz w:val="20"/>
                <w:szCs w:val="20"/>
              </w:rPr>
            </w:pPr>
          </w:p>
        </w:tc>
        <w:tc>
          <w:tcPr>
            <w:tcW w:w="2396" w:type="pct"/>
            <w:shd w:val="clear" w:color="auto" w:fill="auto"/>
          </w:tcPr>
          <w:p w:rsidR="006C3F31" w:rsidRPr="00743A41" w:rsidRDefault="006C3F31" w:rsidP="00A37ED6">
            <w:pPr>
              <w:pStyle w:val="Default"/>
              <w:ind w:left="-14" w:firstLine="14"/>
              <w:rPr>
                <w:rFonts w:asciiTheme="majorHAnsi" w:hAnsiTheme="majorHAnsi" w:cstheme="majorHAnsi"/>
                <w:szCs w:val="20"/>
              </w:rPr>
            </w:pPr>
            <w:r w:rsidRPr="00743A41">
              <w:rPr>
                <w:rFonts w:asciiTheme="majorHAnsi" w:hAnsiTheme="majorHAnsi" w:cstheme="majorHAnsi"/>
                <w:szCs w:val="20"/>
              </w:rPr>
              <w:t>DrPH-11: Assess one’s own strengths and weaknesses in leadership capacities, including cultural proficiency</w:t>
            </w:r>
          </w:p>
        </w:tc>
      </w:tr>
      <w:tr w:rsidR="006C3F31" w:rsidRPr="00743A41" w:rsidTr="00321053">
        <w:trPr>
          <w:trHeight w:val="62"/>
        </w:trPr>
        <w:tc>
          <w:tcPr>
            <w:tcW w:w="2604" w:type="pct"/>
            <w:vMerge/>
            <w:shd w:val="clear" w:color="auto" w:fill="auto"/>
          </w:tcPr>
          <w:p w:rsidR="006C3F31" w:rsidRPr="00743A41" w:rsidRDefault="006C3F31" w:rsidP="00A37ED6">
            <w:pPr>
              <w:rPr>
                <w:rFonts w:asciiTheme="majorHAnsi" w:eastAsia="Times New Roman" w:hAnsiTheme="majorHAnsi" w:cstheme="majorHAnsi"/>
                <w:i/>
                <w:color w:val="000000"/>
                <w:sz w:val="20"/>
                <w:szCs w:val="20"/>
              </w:rPr>
            </w:pPr>
          </w:p>
        </w:tc>
        <w:tc>
          <w:tcPr>
            <w:tcW w:w="2396" w:type="pct"/>
            <w:shd w:val="clear" w:color="auto" w:fill="auto"/>
          </w:tcPr>
          <w:p w:rsidR="006C3F31" w:rsidRPr="00743A41" w:rsidRDefault="006C3F31" w:rsidP="00A37ED6">
            <w:pPr>
              <w:pStyle w:val="BodyText"/>
              <w:spacing w:before="1"/>
              <w:ind w:left="-14" w:firstLine="14"/>
              <w:rPr>
                <w:rFonts w:asciiTheme="majorHAnsi" w:eastAsia="Times New Roman" w:hAnsiTheme="majorHAnsi" w:cstheme="majorHAnsi"/>
              </w:rPr>
            </w:pPr>
            <w:r w:rsidRPr="00743A41">
              <w:rPr>
                <w:rFonts w:asciiTheme="majorHAnsi" w:hAnsiTheme="majorHAnsi" w:cstheme="majorHAnsi"/>
              </w:rPr>
              <w:t>DrPH-H4. Analyze data from non-randomized research designs using advanced statistical methods</w:t>
            </w:r>
          </w:p>
        </w:tc>
      </w:tr>
      <w:tr w:rsidR="006C3F31" w:rsidRPr="00743A41" w:rsidTr="00321053">
        <w:trPr>
          <w:trHeight w:val="62"/>
        </w:trPr>
        <w:tc>
          <w:tcPr>
            <w:tcW w:w="2604" w:type="pct"/>
            <w:vMerge/>
            <w:shd w:val="clear" w:color="auto" w:fill="auto"/>
          </w:tcPr>
          <w:p w:rsidR="006C3F31" w:rsidRPr="00743A41" w:rsidRDefault="006C3F31" w:rsidP="00A37ED6">
            <w:pPr>
              <w:rPr>
                <w:rFonts w:asciiTheme="majorHAnsi" w:eastAsia="Times New Roman" w:hAnsiTheme="majorHAnsi" w:cstheme="majorHAnsi"/>
                <w:i/>
                <w:color w:val="000000"/>
                <w:sz w:val="20"/>
                <w:szCs w:val="20"/>
              </w:rPr>
            </w:pPr>
          </w:p>
        </w:tc>
        <w:tc>
          <w:tcPr>
            <w:tcW w:w="2396" w:type="pct"/>
            <w:shd w:val="clear" w:color="auto" w:fill="auto"/>
          </w:tcPr>
          <w:p w:rsidR="006C3F31" w:rsidRPr="00743A41" w:rsidRDefault="006C3F31" w:rsidP="00A37ED6">
            <w:pPr>
              <w:pStyle w:val="BodyText"/>
              <w:spacing w:before="1"/>
              <w:ind w:left="-14" w:firstLine="0"/>
              <w:rPr>
                <w:rFonts w:asciiTheme="majorHAnsi" w:eastAsia="Times New Roman" w:hAnsiTheme="majorHAnsi" w:cstheme="majorHAnsi"/>
              </w:rPr>
            </w:pPr>
            <w:r w:rsidRPr="00743A41">
              <w:rPr>
                <w:rFonts w:asciiTheme="majorHAnsi" w:hAnsiTheme="majorHAnsi" w:cstheme="majorHAnsi"/>
              </w:rPr>
              <w:t>DrPH-H1. Evaluate the appropriate use of social or behavioral sciences theory in developing and evaluating community-based interventions.</w:t>
            </w:r>
          </w:p>
        </w:tc>
      </w:tr>
    </w:tbl>
    <w:p w:rsidR="006C3F31" w:rsidRPr="00743A41" w:rsidRDefault="006C3F31" w:rsidP="00A37ED6">
      <w:pPr>
        <w:ind w:left="720"/>
        <w:jc w:val="both"/>
        <w:rPr>
          <w:rFonts w:asciiTheme="majorHAnsi" w:eastAsia="Arial Unicode MS" w:hAnsiTheme="majorHAnsi" w:cstheme="majorHAnsi"/>
          <w:sz w:val="20"/>
          <w:szCs w:val="20"/>
          <w:highlight w:val="yellow"/>
        </w:rPr>
      </w:pPr>
    </w:p>
    <w:p w:rsidR="00457074" w:rsidRPr="00743A41" w:rsidRDefault="00457074" w:rsidP="00A37ED6">
      <w:pPr>
        <w:ind w:left="720"/>
        <w:jc w:val="both"/>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rPr>
        <w:t>Associated documents in the electronic resource file:</w:t>
      </w:r>
    </w:p>
    <w:p w:rsidR="00C92928" w:rsidRPr="00326F5C" w:rsidRDefault="00C92928" w:rsidP="00C92928">
      <w:pPr>
        <w:pStyle w:val="ListParagraph"/>
        <w:numPr>
          <w:ilvl w:val="0"/>
          <w:numId w:val="130"/>
        </w:numPr>
        <w:jc w:val="both"/>
        <w:rPr>
          <w:rFonts w:asciiTheme="majorHAnsi" w:eastAsia="Arial Unicode MS" w:hAnsiTheme="majorHAnsi" w:cstheme="majorHAnsi"/>
          <w:i/>
        </w:rPr>
      </w:pPr>
      <w:r w:rsidRPr="00326F5C">
        <w:rPr>
          <w:rFonts w:asciiTheme="majorHAnsi" w:eastAsia="Arial Unicode MS" w:hAnsiTheme="majorHAnsi" w:cstheme="majorHAnsi"/>
          <w:i/>
        </w:rPr>
        <w:t>D6.3. Practice-Based Products that Demonstrate DrPH Competency Achievement</w:t>
      </w:r>
    </w:p>
    <w:p w:rsidR="00C92928" w:rsidRPr="00326F5C" w:rsidRDefault="00C92928" w:rsidP="00C92928">
      <w:pPr>
        <w:pStyle w:val="ListParagraph"/>
        <w:numPr>
          <w:ilvl w:val="1"/>
          <w:numId w:val="130"/>
        </w:numPr>
        <w:jc w:val="both"/>
        <w:rPr>
          <w:rFonts w:asciiTheme="majorHAnsi" w:eastAsia="Arial Unicode MS" w:hAnsiTheme="majorHAnsi" w:cstheme="majorHAnsi"/>
          <w:i/>
        </w:rPr>
      </w:pPr>
      <w:r w:rsidRPr="00326F5C">
        <w:rPr>
          <w:rFonts w:asciiTheme="majorHAnsi" w:eastAsia="Arial Unicode MS" w:hAnsiTheme="majorHAnsi" w:cstheme="majorHAnsi"/>
          <w:i/>
        </w:rPr>
        <w:t>DrPH in Community Health Practice, Practice-Based Products</w:t>
      </w:r>
    </w:p>
    <w:p w:rsidR="00C92928" w:rsidRPr="00326F5C" w:rsidRDefault="00C92928" w:rsidP="00C92928">
      <w:pPr>
        <w:pStyle w:val="ListParagraph"/>
        <w:numPr>
          <w:ilvl w:val="1"/>
          <w:numId w:val="130"/>
        </w:numPr>
        <w:jc w:val="both"/>
        <w:rPr>
          <w:rFonts w:asciiTheme="majorHAnsi" w:eastAsia="Arial Unicode MS" w:hAnsiTheme="majorHAnsi" w:cstheme="majorHAnsi"/>
          <w:i/>
        </w:rPr>
      </w:pPr>
      <w:r w:rsidRPr="00326F5C">
        <w:rPr>
          <w:rFonts w:asciiTheme="majorHAnsi" w:eastAsia="Arial Unicode MS" w:hAnsiTheme="majorHAnsi" w:cstheme="majorHAnsi"/>
          <w:i/>
        </w:rPr>
        <w:t>DrPH in Health Promotion and Health Education, Practice-Based Products</w:t>
      </w:r>
    </w:p>
    <w:p w:rsidR="00933038" w:rsidRPr="00743A41" w:rsidRDefault="00933038" w:rsidP="00A37ED6">
      <w:pPr>
        <w:shd w:val="clear" w:color="auto" w:fill="FFFFFF"/>
        <w:ind w:left="720"/>
        <w:jc w:val="both"/>
        <w:rPr>
          <w:rFonts w:asciiTheme="majorHAnsi" w:eastAsia="Arial Unicode MS" w:hAnsiTheme="majorHAnsi" w:cstheme="majorHAnsi"/>
          <w:iCs/>
          <w:sz w:val="20"/>
          <w:szCs w:val="20"/>
        </w:rPr>
      </w:pPr>
    </w:p>
    <w:p w:rsidR="00933038" w:rsidRPr="00743A41" w:rsidRDefault="00933038" w:rsidP="00A37ED6">
      <w:pPr>
        <w:numPr>
          <w:ilvl w:val="0"/>
          <w:numId w:val="23"/>
        </w:numPr>
        <w:shd w:val="clear" w:color="auto" w:fill="FFFFFF"/>
        <w:ind w:left="720"/>
        <w:jc w:val="both"/>
        <w:rPr>
          <w:rFonts w:asciiTheme="majorHAnsi" w:hAnsiTheme="majorHAnsi" w:cstheme="majorHAnsi"/>
          <w:sz w:val="20"/>
          <w:szCs w:val="20"/>
        </w:rPr>
      </w:pPr>
      <w:r w:rsidRPr="00743A41">
        <w:rPr>
          <w:rFonts w:asciiTheme="majorHAnsi" w:eastAsia="Arial Unicode MS" w:hAnsiTheme="majorHAnsi" w:cstheme="majorHAnsi"/>
          <w:iCs/>
          <w:sz w:val="20"/>
          <w:szCs w:val="20"/>
        </w:rPr>
        <w:t xml:space="preserve">If applicable, assess strengths and weaknesses related to this criterion and plans for improvement in this area. </w:t>
      </w:r>
    </w:p>
    <w:p w:rsidR="00933038" w:rsidRPr="00743A41" w:rsidRDefault="00933038" w:rsidP="00A37ED6">
      <w:pPr>
        <w:shd w:val="clear" w:color="auto" w:fill="FFFFFF"/>
        <w:jc w:val="both"/>
        <w:rPr>
          <w:rFonts w:asciiTheme="majorHAnsi" w:eastAsia="Arial Unicode MS" w:hAnsiTheme="majorHAnsi" w:cstheme="majorHAnsi"/>
          <w:iCs/>
          <w:sz w:val="20"/>
          <w:szCs w:val="20"/>
        </w:rPr>
      </w:pPr>
    </w:p>
    <w:p w:rsidR="00896E99" w:rsidRPr="00743A41" w:rsidRDefault="00896E99" w:rsidP="00A37ED6">
      <w:pPr>
        <w:ind w:left="720"/>
        <w:rPr>
          <w:rFonts w:asciiTheme="majorHAnsi" w:hAnsiTheme="majorHAnsi" w:cstheme="majorHAnsi"/>
          <w:b/>
          <w:sz w:val="20"/>
          <w:szCs w:val="20"/>
        </w:rPr>
      </w:pPr>
      <w:r w:rsidRPr="00743A41">
        <w:rPr>
          <w:rFonts w:asciiTheme="majorHAnsi" w:hAnsiTheme="majorHAnsi" w:cstheme="majorHAnsi"/>
          <w:b/>
          <w:sz w:val="20"/>
          <w:szCs w:val="20"/>
        </w:rPr>
        <w:t>Strengths</w:t>
      </w:r>
    </w:p>
    <w:p w:rsidR="00896E99" w:rsidRPr="00743A41" w:rsidRDefault="00896E99" w:rsidP="00A37ED6">
      <w:pPr>
        <w:pStyle w:val="ListParagraph"/>
        <w:numPr>
          <w:ilvl w:val="0"/>
          <w:numId w:val="190"/>
        </w:numPr>
        <w:spacing w:after="160"/>
        <w:contextualSpacing/>
        <w:rPr>
          <w:rFonts w:asciiTheme="majorHAnsi" w:hAnsiTheme="majorHAnsi" w:cstheme="majorHAnsi"/>
          <w:szCs w:val="20"/>
        </w:rPr>
      </w:pPr>
      <w:r w:rsidRPr="00743A41">
        <w:rPr>
          <w:rFonts w:asciiTheme="majorHAnsi" w:hAnsiTheme="majorHAnsi" w:cstheme="majorHAnsi"/>
          <w:szCs w:val="20"/>
        </w:rPr>
        <w:t xml:space="preserve">The UTHealth School of Public Health has purchased a new system for the learning contract that will be in production during Fall 2019. Important features of the new system are that it will </w:t>
      </w:r>
      <w:r w:rsidRPr="00743A41">
        <w:rPr>
          <w:rFonts w:asciiTheme="majorHAnsi" w:hAnsiTheme="majorHAnsi" w:cstheme="majorHAnsi"/>
          <w:i/>
          <w:szCs w:val="20"/>
        </w:rPr>
        <w:t>require</w:t>
      </w:r>
      <w:r w:rsidRPr="00743A41">
        <w:rPr>
          <w:rFonts w:asciiTheme="majorHAnsi" w:hAnsiTheme="majorHAnsi" w:cstheme="majorHAnsi"/>
          <w:szCs w:val="20"/>
        </w:rPr>
        <w:t xml:space="preserve"> students to select competencies in accordance with their degree plan, and that it will track and document the approval process, the selection of competencies, and the completion of competencies.</w:t>
      </w:r>
    </w:p>
    <w:p w:rsidR="00896E99" w:rsidRPr="00743A41" w:rsidRDefault="00896E99" w:rsidP="00A37ED6">
      <w:pPr>
        <w:pStyle w:val="ListParagraph"/>
        <w:numPr>
          <w:ilvl w:val="0"/>
          <w:numId w:val="190"/>
        </w:numPr>
        <w:spacing w:after="160"/>
        <w:contextualSpacing/>
        <w:rPr>
          <w:rFonts w:asciiTheme="majorHAnsi" w:hAnsiTheme="majorHAnsi" w:cstheme="majorHAnsi"/>
          <w:i/>
          <w:szCs w:val="20"/>
        </w:rPr>
      </w:pPr>
      <w:r w:rsidRPr="00743A41">
        <w:rPr>
          <w:rFonts w:asciiTheme="majorHAnsi" w:hAnsiTheme="majorHAnsi" w:cstheme="majorHAnsi"/>
          <w:szCs w:val="20"/>
        </w:rPr>
        <w:t>The UTHealth School of Public Health has six campuses located in major cities across Texas: Houston, Austin, Dallas, San Antonio, El Paso, and Brownsville. These locations provide students with a variety of opportunities in public health practice.</w:t>
      </w:r>
    </w:p>
    <w:p w:rsidR="00896E99" w:rsidRPr="00743A41" w:rsidRDefault="00896E99" w:rsidP="00A37ED6">
      <w:pPr>
        <w:ind w:left="720"/>
        <w:rPr>
          <w:rFonts w:asciiTheme="majorHAnsi" w:hAnsiTheme="majorHAnsi" w:cstheme="majorHAnsi"/>
          <w:b/>
          <w:sz w:val="20"/>
          <w:szCs w:val="20"/>
        </w:rPr>
      </w:pPr>
      <w:r w:rsidRPr="00743A41">
        <w:rPr>
          <w:rFonts w:asciiTheme="majorHAnsi" w:hAnsiTheme="majorHAnsi" w:cstheme="majorHAnsi"/>
          <w:b/>
          <w:sz w:val="20"/>
          <w:szCs w:val="20"/>
        </w:rPr>
        <w:t>Weaknesses</w:t>
      </w:r>
    </w:p>
    <w:p w:rsidR="00896E99" w:rsidRPr="00743A41" w:rsidRDefault="00896E99" w:rsidP="00A37ED6">
      <w:pPr>
        <w:pStyle w:val="ListParagraph"/>
        <w:numPr>
          <w:ilvl w:val="0"/>
          <w:numId w:val="191"/>
        </w:numPr>
        <w:spacing w:after="160"/>
        <w:contextualSpacing/>
        <w:rPr>
          <w:rFonts w:asciiTheme="majorHAnsi" w:hAnsiTheme="majorHAnsi" w:cstheme="majorHAnsi"/>
          <w:szCs w:val="20"/>
        </w:rPr>
      </w:pPr>
      <w:r w:rsidRPr="00743A41">
        <w:rPr>
          <w:rFonts w:asciiTheme="majorHAnsi" w:hAnsiTheme="majorHAnsi" w:cstheme="majorHAnsi"/>
          <w:szCs w:val="20"/>
        </w:rPr>
        <w:t xml:space="preserve">The format of the final reflection paper is inconsistent across students. To ensure consistency in this deliverable across students, the OPHP will develop a template for students to use as they reflect on their practicum experiences. </w:t>
      </w:r>
    </w:p>
    <w:p w:rsidR="00933038" w:rsidRPr="00743A41" w:rsidRDefault="00933038" w:rsidP="00A37ED6">
      <w:pPr>
        <w:shd w:val="clear" w:color="auto" w:fill="FFFFFF"/>
        <w:ind w:left="720"/>
        <w:jc w:val="both"/>
        <w:rPr>
          <w:rFonts w:asciiTheme="majorHAnsi" w:eastAsia="Arial Unicode MS" w:hAnsiTheme="majorHAnsi" w:cstheme="majorHAnsi"/>
          <w:i/>
          <w:iCs/>
          <w:sz w:val="20"/>
          <w:szCs w:val="20"/>
        </w:rPr>
      </w:pPr>
    </w:p>
    <w:p w:rsidR="00933038" w:rsidRPr="00743A41" w:rsidRDefault="00933038" w:rsidP="00A37ED6">
      <w:pPr>
        <w:rPr>
          <w:rFonts w:asciiTheme="majorHAnsi" w:eastAsia="Arial Unicode MS" w:hAnsiTheme="majorHAnsi" w:cstheme="majorHAnsi"/>
          <w:b/>
          <w:bCs/>
          <w:kern w:val="32"/>
          <w:sz w:val="20"/>
          <w:szCs w:val="20"/>
          <w:lang w:eastAsia="x-none"/>
        </w:rPr>
      </w:pPr>
      <w:r w:rsidRPr="00743A41">
        <w:rPr>
          <w:rFonts w:asciiTheme="majorHAnsi" w:hAnsiTheme="majorHAnsi" w:cstheme="majorHAnsi"/>
          <w:sz w:val="20"/>
          <w:szCs w:val="20"/>
        </w:rPr>
        <w:br w:type="page"/>
      </w:r>
    </w:p>
    <w:p w:rsidR="00933038" w:rsidRPr="00743A41" w:rsidRDefault="00933038" w:rsidP="007A68BE">
      <w:pPr>
        <w:pStyle w:val="Heading1"/>
      </w:pPr>
      <w:bookmarkStart w:id="84" w:name="_D7._MPH_Integrative"/>
      <w:bookmarkStart w:id="85" w:name="_Toc7118206"/>
      <w:bookmarkEnd w:id="84"/>
      <w:r w:rsidRPr="00743A41">
        <w:t>D7. MPH Integrative Learning Experience</w:t>
      </w:r>
      <w:bookmarkEnd w:id="85"/>
    </w:p>
    <w:p w:rsidR="00933038" w:rsidRPr="00743A41" w:rsidRDefault="00933038" w:rsidP="00A37ED6">
      <w:pPr>
        <w:shd w:val="clear" w:color="auto" w:fill="FFFFFF"/>
        <w:ind w:left="360"/>
        <w:jc w:val="both"/>
        <w:rPr>
          <w:rFonts w:asciiTheme="majorHAnsi" w:eastAsia="Arial Unicode MS" w:hAnsiTheme="majorHAnsi" w:cstheme="majorHAnsi"/>
          <w:sz w:val="20"/>
          <w:szCs w:val="20"/>
        </w:rPr>
      </w:pPr>
    </w:p>
    <w:p w:rsidR="00933038" w:rsidRPr="00743A41" w:rsidRDefault="00933038" w:rsidP="00A37ED6">
      <w:pPr>
        <w:shd w:val="clear" w:color="auto" w:fill="FFFFFF"/>
        <w:jc w:val="both"/>
        <w:rPr>
          <w:rFonts w:asciiTheme="majorHAnsi" w:eastAsia="Arial Unicode MS" w:hAnsiTheme="majorHAnsi" w:cstheme="majorHAnsi"/>
          <w:b/>
          <w:sz w:val="20"/>
          <w:szCs w:val="20"/>
        </w:rPr>
      </w:pPr>
      <w:r w:rsidRPr="00743A41">
        <w:rPr>
          <w:rFonts w:asciiTheme="majorHAnsi" w:eastAsia="Arial Unicode MS" w:hAnsiTheme="majorHAnsi" w:cstheme="majorHAnsi"/>
          <w:b/>
          <w:sz w:val="20"/>
          <w:szCs w:val="20"/>
        </w:rPr>
        <w:t xml:space="preserve">MPH students complete an integrative learning experience (ILE) that demonstrates synthesis of foundational and concentration competencies. Students in consultation with faculty select foundational and concentration-specific competencies appropriate to the student’s educational and professional goals. </w:t>
      </w:r>
    </w:p>
    <w:p w:rsidR="00933038" w:rsidRPr="00743A41" w:rsidRDefault="00933038" w:rsidP="00A37ED6">
      <w:pPr>
        <w:shd w:val="clear" w:color="auto" w:fill="FFFFFF"/>
        <w:jc w:val="both"/>
        <w:rPr>
          <w:rFonts w:asciiTheme="majorHAnsi" w:eastAsia="Arial Unicode MS" w:hAnsiTheme="majorHAnsi" w:cstheme="majorHAnsi"/>
          <w:b/>
          <w:sz w:val="20"/>
          <w:szCs w:val="20"/>
        </w:rPr>
      </w:pPr>
    </w:p>
    <w:p w:rsidR="00933038" w:rsidRPr="00743A41" w:rsidRDefault="00933038" w:rsidP="00A37ED6">
      <w:pPr>
        <w:shd w:val="clear" w:color="auto" w:fill="FFFFFF"/>
        <w:jc w:val="both"/>
        <w:rPr>
          <w:rFonts w:asciiTheme="majorHAnsi" w:eastAsia="Arial Unicode MS" w:hAnsiTheme="majorHAnsi" w:cstheme="majorHAnsi"/>
          <w:b/>
          <w:sz w:val="20"/>
          <w:szCs w:val="20"/>
        </w:rPr>
      </w:pPr>
      <w:r w:rsidRPr="00743A41">
        <w:rPr>
          <w:rFonts w:asciiTheme="majorHAnsi" w:eastAsia="Arial Unicode MS" w:hAnsiTheme="majorHAnsi" w:cstheme="majorHAnsi"/>
          <w:b/>
          <w:sz w:val="20"/>
          <w:szCs w:val="20"/>
        </w:rPr>
        <w:t>Professional certification exams (eg, CPH, CHES/MCHES, REHS, RHIA) may serve as an element of the ILE, but are not in and of themselves sufficient to satisfy this criterion.</w:t>
      </w:r>
    </w:p>
    <w:p w:rsidR="00933038" w:rsidRPr="00743A41" w:rsidRDefault="00933038" w:rsidP="00A37ED6">
      <w:pPr>
        <w:shd w:val="clear" w:color="auto" w:fill="FFFFFF"/>
        <w:jc w:val="both"/>
        <w:rPr>
          <w:rFonts w:asciiTheme="majorHAnsi" w:eastAsia="Arial Unicode MS" w:hAnsiTheme="majorHAnsi" w:cstheme="majorHAnsi"/>
          <w:b/>
          <w:sz w:val="20"/>
          <w:szCs w:val="20"/>
        </w:rPr>
      </w:pPr>
    </w:p>
    <w:p w:rsidR="00933038" w:rsidRPr="00743A41" w:rsidRDefault="00933038" w:rsidP="00A37ED6">
      <w:pPr>
        <w:shd w:val="clear" w:color="auto" w:fill="FFFFFF"/>
        <w:jc w:val="both"/>
        <w:rPr>
          <w:rFonts w:asciiTheme="majorHAnsi" w:eastAsia="Arial Unicode MS" w:hAnsiTheme="majorHAnsi" w:cstheme="majorHAnsi"/>
          <w:b/>
          <w:sz w:val="20"/>
          <w:szCs w:val="20"/>
        </w:rPr>
      </w:pPr>
      <w:r w:rsidRPr="00743A41">
        <w:rPr>
          <w:rFonts w:asciiTheme="majorHAnsi" w:eastAsia="Arial Unicode MS" w:hAnsiTheme="majorHAnsi" w:cstheme="majorHAnsi"/>
          <w:b/>
          <w:sz w:val="20"/>
          <w:szCs w:val="20"/>
        </w:rPr>
        <w:t>The school identifies assessment methods that ensure that at least one faculty member reviews each student’s performance in the ILE and ensures that the experience addresses the selected foundational and concentration-specific competencies. Faculty assessment may be supplemented with assessments from other qualified individuals (eg, preceptors).</w:t>
      </w:r>
    </w:p>
    <w:p w:rsidR="00933038" w:rsidRPr="00743A41" w:rsidRDefault="00933038" w:rsidP="00A37ED6">
      <w:pPr>
        <w:shd w:val="clear" w:color="auto" w:fill="FFFFFF"/>
        <w:jc w:val="both"/>
        <w:rPr>
          <w:rFonts w:asciiTheme="majorHAnsi" w:eastAsia="Arial Unicode MS" w:hAnsiTheme="majorHAnsi" w:cstheme="majorHAnsi"/>
          <w:sz w:val="20"/>
          <w:szCs w:val="20"/>
        </w:rPr>
      </w:pPr>
    </w:p>
    <w:p w:rsidR="00933038" w:rsidRPr="00743A41" w:rsidRDefault="00933038" w:rsidP="00A37ED6">
      <w:pPr>
        <w:numPr>
          <w:ilvl w:val="0"/>
          <w:numId w:val="24"/>
        </w:numPr>
        <w:shd w:val="clear" w:color="auto" w:fill="FFFFFF"/>
        <w:ind w:left="720"/>
        <w:jc w:val="both"/>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rPr>
        <w:t xml:space="preserve">List, in the format of Template D7-1, the integrative learning experience for each MPH concentration, generalist degree or combined degree option that includes the MPH. The template also requires the school to explain, for each experience, how it ensures that the experience demonstrates synthesis of competencies. </w:t>
      </w:r>
    </w:p>
    <w:p w:rsidR="00547032" w:rsidRPr="00743A41" w:rsidRDefault="00547032" w:rsidP="00A37ED6">
      <w:pPr>
        <w:shd w:val="clear" w:color="auto" w:fill="FFFFFF"/>
        <w:ind w:left="720"/>
        <w:rPr>
          <w:rFonts w:asciiTheme="majorHAnsi" w:eastAsia="Arial Unicode MS" w:hAnsiTheme="majorHAnsi" w:cstheme="majorHAnsi"/>
          <w:sz w:val="20"/>
          <w:szCs w:val="20"/>
        </w:rPr>
      </w:pPr>
    </w:p>
    <w:p w:rsidR="00547032" w:rsidRPr="00326F5C" w:rsidRDefault="006E3D5E" w:rsidP="00A37ED6">
      <w:pPr>
        <w:ind w:left="720"/>
        <w:rPr>
          <w:rFonts w:asciiTheme="majorHAnsi" w:eastAsia="Arial Unicode MS" w:hAnsiTheme="majorHAnsi" w:cstheme="majorHAnsi"/>
          <w:sz w:val="20"/>
          <w:szCs w:val="20"/>
        </w:rPr>
      </w:pPr>
      <w:hyperlink w:anchor="D71a" w:history="1">
        <w:r w:rsidR="00547032" w:rsidRPr="00371AD4">
          <w:rPr>
            <w:rStyle w:val="Hyperlink"/>
            <w:rFonts w:asciiTheme="majorHAnsi" w:eastAsia="Arial Unicode MS" w:hAnsiTheme="majorHAnsi" w:cstheme="majorHAnsi"/>
            <w:sz w:val="20"/>
            <w:szCs w:val="20"/>
          </w:rPr>
          <w:t>Table</w:t>
        </w:r>
        <w:r w:rsidR="0009719F" w:rsidRPr="00371AD4">
          <w:rPr>
            <w:rStyle w:val="Hyperlink"/>
            <w:rFonts w:asciiTheme="majorHAnsi" w:eastAsia="Arial Unicode MS" w:hAnsiTheme="majorHAnsi" w:cstheme="majorHAnsi"/>
            <w:sz w:val="20"/>
            <w:szCs w:val="20"/>
          </w:rPr>
          <w:t xml:space="preserve"> D.7.1.a.</w:t>
        </w:r>
      </w:hyperlink>
      <w:r w:rsidR="0009719F">
        <w:rPr>
          <w:rFonts w:asciiTheme="majorHAnsi" w:eastAsia="Arial Unicode MS" w:hAnsiTheme="majorHAnsi" w:cstheme="majorHAnsi"/>
          <w:sz w:val="20"/>
          <w:szCs w:val="20"/>
        </w:rPr>
        <w:t xml:space="preserve"> details</w:t>
      </w:r>
      <w:r w:rsidR="00547032" w:rsidRPr="00326F5C">
        <w:rPr>
          <w:rFonts w:asciiTheme="majorHAnsi" w:eastAsia="Arial Unicode MS" w:hAnsiTheme="majorHAnsi" w:cstheme="majorHAnsi"/>
          <w:sz w:val="20"/>
          <w:szCs w:val="20"/>
        </w:rPr>
        <w:t xml:space="preserve"> the specific integrative learning experiences available to </w:t>
      </w:r>
      <w:r w:rsidR="00D60DA2">
        <w:rPr>
          <w:rFonts w:asciiTheme="majorHAnsi" w:eastAsia="Arial Unicode MS" w:hAnsiTheme="majorHAnsi" w:cstheme="majorHAnsi"/>
          <w:sz w:val="20"/>
          <w:szCs w:val="20"/>
        </w:rPr>
        <w:t xml:space="preserve">students in </w:t>
      </w:r>
      <w:r w:rsidR="00547032" w:rsidRPr="00326F5C">
        <w:rPr>
          <w:rFonts w:asciiTheme="majorHAnsi" w:eastAsia="Arial Unicode MS" w:hAnsiTheme="majorHAnsi" w:cstheme="majorHAnsi"/>
          <w:sz w:val="20"/>
          <w:szCs w:val="20"/>
        </w:rPr>
        <w:t xml:space="preserve">each MPH. </w:t>
      </w:r>
      <w:r w:rsidR="00501E99" w:rsidRPr="00326F5C">
        <w:rPr>
          <w:rFonts w:asciiTheme="majorHAnsi" w:eastAsia="Arial Unicode MS" w:hAnsiTheme="majorHAnsi" w:cstheme="majorHAnsi"/>
          <w:sz w:val="20"/>
          <w:szCs w:val="20"/>
        </w:rPr>
        <w:t xml:space="preserve">Descriptions of how students in each major synthesized competencies through the integrative learning experience, including final products, can be found in </w:t>
      </w:r>
      <w:hyperlink w:anchor="D75" w:history="1">
        <w:r w:rsidR="00501E99" w:rsidRPr="00326F5C">
          <w:rPr>
            <w:rStyle w:val="Hyperlink"/>
            <w:rFonts w:asciiTheme="majorHAnsi" w:eastAsia="Arial Unicode MS" w:hAnsiTheme="majorHAnsi" w:cstheme="majorHAnsi"/>
            <w:sz w:val="20"/>
            <w:szCs w:val="20"/>
          </w:rPr>
          <w:t>Tables D.7.5.a – D7.5.i</w:t>
        </w:r>
      </w:hyperlink>
      <w:r w:rsidR="00501E99" w:rsidRPr="00326F5C">
        <w:rPr>
          <w:rFonts w:asciiTheme="majorHAnsi" w:eastAsia="Arial Unicode MS" w:hAnsiTheme="majorHAnsi" w:cstheme="majorHAnsi"/>
          <w:sz w:val="20"/>
          <w:szCs w:val="20"/>
        </w:rPr>
        <w:t xml:space="preserve">. </w:t>
      </w:r>
    </w:p>
    <w:p w:rsidR="00547032" w:rsidRPr="00326F5C" w:rsidRDefault="00547032" w:rsidP="00A37ED6">
      <w:pPr>
        <w:shd w:val="clear" w:color="auto" w:fill="FFFFFF"/>
        <w:ind w:left="720"/>
        <w:rPr>
          <w:rFonts w:asciiTheme="majorHAnsi" w:eastAsia="Arial Unicode MS" w:hAnsiTheme="majorHAnsi" w:cstheme="majorHAnsi"/>
          <w:sz w:val="20"/>
          <w:szCs w:val="20"/>
        </w:rPr>
      </w:pPr>
    </w:p>
    <w:p w:rsidR="00D27661" w:rsidRPr="00326F5C" w:rsidRDefault="00D27661" w:rsidP="00A37ED6">
      <w:pPr>
        <w:shd w:val="clear" w:color="auto" w:fill="FFFFFF"/>
        <w:ind w:left="720"/>
        <w:rPr>
          <w:rFonts w:asciiTheme="majorHAnsi" w:eastAsia="Arial Unicode MS" w:hAnsiTheme="majorHAnsi" w:cstheme="majorHAnsi"/>
          <w:sz w:val="20"/>
          <w:szCs w:val="20"/>
        </w:rPr>
      </w:pPr>
      <w:r w:rsidRPr="00326F5C">
        <w:rPr>
          <w:rFonts w:asciiTheme="majorHAnsi" w:eastAsia="Arial Unicode MS" w:hAnsiTheme="majorHAnsi" w:cstheme="majorHAnsi"/>
          <w:sz w:val="20"/>
          <w:szCs w:val="20"/>
        </w:rPr>
        <w:t xml:space="preserve">As described in the </w:t>
      </w:r>
      <w:r w:rsidR="00D8625D" w:rsidRPr="00326F5C">
        <w:rPr>
          <w:rFonts w:asciiTheme="majorHAnsi" w:hAnsiTheme="majorHAnsi" w:cstheme="majorHAnsi"/>
          <w:sz w:val="20"/>
          <w:szCs w:val="20"/>
        </w:rPr>
        <w:t>MPH Integrative Learning Experience Guide and Instructions</w:t>
      </w:r>
      <w:r w:rsidR="00D8625D" w:rsidRPr="00326F5C">
        <w:rPr>
          <w:rFonts w:asciiTheme="majorHAnsi" w:eastAsia="Arial Unicode MS" w:hAnsiTheme="majorHAnsi" w:cstheme="majorHAnsi"/>
          <w:sz w:val="20"/>
          <w:szCs w:val="20"/>
        </w:rPr>
        <w:t xml:space="preserve"> (</w:t>
      </w:r>
      <w:r w:rsidR="00D8625D" w:rsidRPr="00326F5C">
        <w:rPr>
          <w:rFonts w:asciiTheme="majorHAnsi" w:eastAsia="Arial Unicode MS" w:hAnsiTheme="majorHAnsi" w:cstheme="majorHAnsi"/>
          <w:i/>
          <w:sz w:val="20"/>
          <w:szCs w:val="20"/>
        </w:rPr>
        <w:t>ERF, D7. MPH Integrative Learning Experience,</w:t>
      </w:r>
      <w:r w:rsidR="00E91CC8" w:rsidRPr="00326F5C">
        <w:rPr>
          <w:rFonts w:asciiTheme="majorHAnsi" w:eastAsia="Arial Unicode MS" w:hAnsiTheme="majorHAnsi" w:cstheme="majorHAnsi"/>
          <w:i/>
          <w:sz w:val="20"/>
          <w:szCs w:val="20"/>
        </w:rPr>
        <w:t xml:space="preserve"> Guide MPH Capstone ILE Options</w:t>
      </w:r>
      <w:r w:rsidR="00D8625D" w:rsidRPr="00326F5C">
        <w:rPr>
          <w:rFonts w:asciiTheme="majorHAnsi" w:eastAsia="Arial Unicode MS" w:hAnsiTheme="majorHAnsi" w:cstheme="majorHAnsi"/>
          <w:sz w:val="20"/>
          <w:szCs w:val="20"/>
        </w:rPr>
        <w:t>)</w:t>
      </w:r>
      <w:r w:rsidRPr="00326F5C">
        <w:rPr>
          <w:rFonts w:asciiTheme="majorHAnsi" w:eastAsia="Arial Unicode MS" w:hAnsiTheme="majorHAnsi" w:cstheme="majorHAnsi"/>
          <w:sz w:val="20"/>
          <w:szCs w:val="20"/>
        </w:rPr>
        <w:t>, UTHealth School of Public Health MPH students can satisfy the ILE by completing one of the following three options</w:t>
      </w:r>
      <w:r w:rsidR="00200674" w:rsidRPr="00326F5C">
        <w:rPr>
          <w:rFonts w:asciiTheme="majorHAnsi" w:eastAsia="Arial Unicode MS" w:hAnsiTheme="majorHAnsi" w:cstheme="majorHAnsi"/>
          <w:sz w:val="20"/>
          <w:szCs w:val="20"/>
        </w:rPr>
        <w:t xml:space="preserve">. </w:t>
      </w:r>
      <w:hyperlink w:anchor="D71a" w:history="1">
        <w:r w:rsidR="00200674" w:rsidRPr="00326F5C">
          <w:rPr>
            <w:rStyle w:val="Hyperlink"/>
            <w:rFonts w:asciiTheme="majorHAnsi" w:eastAsia="Arial Unicode MS" w:hAnsiTheme="majorHAnsi" w:cstheme="majorHAnsi"/>
            <w:sz w:val="20"/>
            <w:szCs w:val="20"/>
          </w:rPr>
          <w:t>Table D</w:t>
        </w:r>
        <w:r w:rsidR="00A95E64" w:rsidRPr="00326F5C">
          <w:rPr>
            <w:rStyle w:val="Hyperlink"/>
            <w:rFonts w:asciiTheme="majorHAnsi" w:eastAsia="Arial Unicode MS" w:hAnsiTheme="majorHAnsi" w:cstheme="majorHAnsi"/>
            <w:sz w:val="20"/>
            <w:szCs w:val="20"/>
          </w:rPr>
          <w:t>.</w:t>
        </w:r>
        <w:r w:rsidR="00200674" w:rsidRPr="00326F5C">
          <w:rPr>
            <w:rStyle w:val="Hyperlink"/>
            <w:rFonts w:asciiTheme="majorHAnsi" w:eastAsia="Arial Unicode MS" w:hAnsiTheme="majorHAnsi" w:cstheme="majorHAnsi"/>
            <w:sz w:val="20"/>
            <w:szCs w:val="20"/>
          </w:rPr>
          <w:t>7.1</w:t>
        </w:r>
        <w:r w:rsidR="00A95E64" w:rsidRPr="00326F5C">
          <w:rPr>
            <w:rStyle w:val="Hyperlink"/>
            <w:rFonts w:asciiTheme="majorHAnsi" w:eastAsia="Arial Unicode MS" w:hAnsiTheme="majorHAnsi" w:cstheme="majorHAnsi"/>
            <w:sz w:val="20"/>
            <w:szCs w:val="20"/>
          </w:rPr>
          <w:t>.</w:t>
        </w:r>
        <w:r w:rsidR="00200674" w:rsidRPr="00326F5C">
          <w:rPr>
            <w:rStyle w:val="Hyperlink"/>
            <w:rFonts w:asciiTheme="majorHAnsi" w:eastAsia="Arial Unicode MS" w:hAnsiTheme="majorHAnsi" w:cstheme="majorHAnsi"/>
            <w:sz w:val="20"/>
            <w:szCs w:val="20"/>
          </w:rPr>
          <w:t>a.</w:t>
        </w:r>
      </w:hyperlink>
      <w:r w:rsidR="00200674" w:rsidRPr="00326F5C">
        <w:rPr>
          <w:rFonts w:asciiTheme="majorHAnsi" w:eastAsia="Arial Unicode MS" w:hAnsiTheme="majorHAnsi" w:cstheme="majorHAnsi"/>
          <w:sz w:val="20"/>
          <w:szCs w:val="20"/>
        </w:rPr>
        <w:t xml:space="preserve"> displays the available ILE options for each MPH major.</w:t>
      </w:r>
    </w:p>
    <w:p w:rsidR="00D27661" w:rsidRPr="00743A41" w:rsidRDefault="00D27661" w:rsidP="00A37ED6">
      <w:pPr>
        <w:pStyle w:val="ListParagraph"/>
        <w:numPr>
          <w:ilvl w:val="0"/>
          <w:numId w:val="182"/>
        </w:numPr>
        <w:shd w:val="clear" w:color="auto" w:fill="FFFFFF"/>
        <w:rPr>
          <w:rFonts w:asciiTheme="majorHAnsi" w:eastAsia="Arial Unicode MS" w:hAnsiTheme="majorHAnsi" w:cstheme="majorHAnsi"/>
          <w:szCs w:val="20"/>
        </w:rPr>
      </w:pPr>
      <w:r w:rsidRPr="00743A41">
        <w:rPr>
          <w:rFonts w:asciiTheme="majorHAnsi" w:eastAsia="Arial Unicode MS" w:hAnsiTheme="majorHAnsi" w:cstheme="majorHAnsi"/>
          <w:szCs w:val="20"/>
        </w:rPr>
        <w:t>An approved capstone course for their major</w:t>
      </w:r>
    </w:p>
    <w:p w:rsidR="00D27661" w:rsidRPr="00743A41" w:rsidRDefault="00D27661" w:rsidP="00A37ED6">
      <w:pPr>
        <w:pStyle w:val="ListParagraph"/>
        <w:numPr>
          <w:ilvl w:val="0"/>
          <w:numId w:val="182"/>
        </w:numPr>
        <w:shd w:val="clear" w:color="auto" w:fill="FFFFFF"/>
        <w:rPr>
          <w:rFonts w:asciiTheme="majorHAnsi" w:eastAsia="Arial Unicode MS" w:hAnsiTheme="majorHAnsi" w:cstheme="majorHAnsi"/>
          <w:szCs w:val="20"/>
        </w:rPr>
      </w:pPr>
      <w:r w:rsidRPr="00743A41">
        <w:rPr>
          <w:rFonts w:asciiTheme="majorHAnsi" w:eastAsia="Arial Unicode MS" w:hAnsiTheme="majorHAnsi" w:cstheme="majorHAnsi"/>
          <w:szCs w:val="20"/>
        </w:rPr>
        <w:t xml:space="preserve">An </w:t>
      </w:r>
      <w:r w:rsidR="00B4110A" w:rsidRPr="00743A41">
        <w:rPr>
          <w:rFonts w:asciiTheme="majorHAnsi" w:eastAsia="Arial Unicode MS" w:hAnsiTheme="majorHAnsi" w:cstheme="majorHAnsi"/>
          <w:szCs w:val="20"/>
        </w:rPr>
        <w:t>independent</w:t>
      </w:r>
      <w:r w:rsidRPr="00743A41">
        <w:rPr>
          <w:rFonts w:asciiTheme="majorHAnsi" w:eastAsia="Arial Unicode MS" w:hAnsiTheme="majorHAnsi" w:cstheme="majorHAnsi"/>
          <w:szCs w:val="20"/>
        </w:rPr>
        <w:t xml:space="preserve"> ILE:</w:t>
      </w:r>
    </w:p>
    <w:p w:rsidR="00D27661" w:rsidRPr="00743A41" w:rsidRDefault="00D27661" w:rsidP="00A37ED6">
      <w:pPr>
        <w:pStyle w:val="ListParagraph"/>
        <w:numPr>
          <w:ilvl w:val="1"/>
          <w:numId w:val="182"/>
        </w:numPr>
        <w:shd w:val="clear" w:color="auto" w:fill="FFFFFF"/>
        <w:rPr>
          <w:rFonts w:asciiTheme="majorHAnsi" w:eastAsia="Arial Unicode MS" w:hAnsiTheme="majorHAnsi" w:cstheme="majorHAnsi"/>
          <w:szCs w:val="20"/>
        </w:rPr>
      </w:pPr>
      <w:r w:rsidRPr="00743A41">
        <w:rPr>
          <w:rFonts w:asciiTheme="majorHAnsi" w:eastAsia="Arial Unicode MS" w:hAnsiTheme="majorHAnsi" w:cstheme="majorHAnsi"/>
          <w:szCs w:val="20"/>
        </w:rPr>
        <w:t>An independent ILE with a faculty member</w:t>
      </w:r>
    </w:p>
    <w:p w:rsidR="00D27661" w:rsidRPr="00743A41" w:rsidRDefault="00D27661" w:rsidP="00A37ED6">
      <w:pPr>
        <w:pStyle w:val="ListParagraph"/>
        <w:numPr>
          <w:ilvl w:val="1"/>
          <w:numId w:val="182"/>
        </w:numPr>
        <w:shd w:val="clear" w:color="auto" w:fill="FFFFFF"/>
        <w:rPr>
          <w:rFonts w:asciiTheme="majorHAnsi" w:eastAsia="Arial Unicode MS" w:hAnsiTheme="majorHAnsi" w:cstheme="majorHAnsi"/>
          <w:szCs w:val="20"/>
        </w:rPr>
      </w:pPr>
      <w:r w:rsidRPr="00743A41">
        <w:rPr>
          <w:rFonts w:asciiTheme="majorHAnsi" w:eastAsia="Arial Unicode MS" w:hAnsiTheme="majorHAnsi" w:cstheme="majorHAnsi"/>
          <w:szCs w:val="20"/>
        </w:rPr>
        <w:t>A traditional academic thesis</w:t>
      </w:r>
    </w:p>
    <w:p w:rsidR="000C47C1" w:rsidRPr="00743A41" w:rsidRDefault="000C47C1" w:rsidP="00A37ED6">
      <w:pPr>
        <w:shd w:val="clear" w:color="auto" w:fill="FFFFFF"/>
        <w:jc w:val="both"/>
        <w:rPr>
          <w:rFonts w:asciiTheme="majorHAnsi" w:eastAsia="Arial Unicode MS" w:hAnsiTheme="majorHAnsi" w:cstheme="majorHAnsi"/>
          <w:sz w:val="20"/>
          <w:szCs w:val="20"/>
        </w:rPr>
      </w:pPr>
    </w:p>
    <w:p w:rsidR="00D27661" w:rsidRPr="00326F5C" w:rsidRDefault="00D27661" w:rsidP="00A37ED6">
      <w:pPr>
        <w:shd w:val="clear" w:color="auto" w:fill="FFFFFF"/>
        <w:ind w:left="720"/>
        <w:jc w:val="both"/>
        <w:rPr>
          <w:rFonts w:asciiTheme="majorHAnsi" w:eastAsia="Arial Unicode MS" w:hAnsiTheme="majorHAnsi" w:cstheme="majorHAnsi"/>
          <w:i/>
          <w:sz w:val="20"/>
          <w:szCs w:val="20"/>
        </w:rPr>
      </w:pPr>
      <w:bookmarkStart w:id="86" w:name="D71a"/>
      <w:r w:rsidRPr="00326F5C">
        <w:rPr>
          <w:rFonts w:asciiTheme="majorHAnsi" w:hAnsiTheme="majorHAnsi" w:cstheme="majorHAnsi"/>
          <w:sz w:val="20"/>
          <w:szCs w:val="20"/>
        </w:rPr>
        <w:t>Table D</w:t>
      </w:r>
      <w:r w:rsidR="001C6D21" w:rsidRPr="00326F5C">
        <w:rPr>
          <w:rFonts w:asciiTheme="majorHAnsi" w:hAnsiTheme="majorHAnsi" w:cstheme="majorHAnsi"/>
          <w:sz w:val="20"/>
          <w:szCs w:val="20"/>
        </w:rPr>
        <w:t>.</w:t>
      </w:r>
      <w:r w:rsidRPr="00326F5C">
        <w:rPr>
          <w:rFonts w:asciiTheme="majorHAnsi" w:hAnsiTheme="majorHAnsi" w:cstheme="majorHAnsi"/>
          <w:sz w:val="20"/>
          <w:szCs w:val="20"/>
        </w:rPr>
        <w:t>7.1</w:t>
      </w:r>
      <w:r w:rsidR="00A95E64" w:rsidRPr="00326F5C">
        <w:rPr>
          <w:rFonts w:asciiTheme="majorHAnsi" w:hAnsiTheme="majorHAnsi" w:cstheme="majorHAnsi"/>
          <w:sz w:val="20"/>
          <w:szCs w:val="20"/>
        </w:rPr>
        <w:t>.</w:t>
      </w:r>
      <w:r w:rsidRPr="00326F5C">
        <w:rPr>
          <w:rFonts w:asciiTheme="majorHAnsi" w:hAnsiTheme="majorHAnsi" w:cstheme="majorHAnsi"/>
          <w:sz w:val="20"/>
          <w:szCs w:val="20"/>
        </w:rPr>
        <w:t xml:space="preserve">a. </w:t>
      </w:r>
      <w:bookmarkEnd w:id="86"/>
      <w:r w:rsidRPr="00326F5C">
        <w:rPr>
          <w:rFonts w:asciiTheme="majorHAnsi" w:hAnsiTheme="majorHAnsi" w:cstheme="majorHAnsi"/>
          <w:sz w:val="20"/>
          <w:szCs w:val="20"/>
        </w:rPr>
        <w:t>Integrative Learning Experience Options for MPH Students</w:t>
      </w: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1265"/>
        <w:gridCol w:w="1253"/>
        <w:gridCol w:w="1082"/>
      </w:tblGrid>
      <w:tr w:rsidR="00D27661" w:rsidRPr="00743A41" w:rsidTr="00847E25">
        <w:trPr>
          <w:trHeight w:val="237"/>
        </w:trPr>
        <w:tc>
          <w:tcPr>
            <w:tcW w:w="2916" w:type="pct"/>
            <w:shd w:val="clear" w:color="000000" w:fill="D9D9D9"/>
            <w:vAlign w:val="center"/>
            <w:hideMark/>
          </w:tcPr>
          <w:p w:rsidR="00D27661" w:rsidRPr="00743A41" w:rsidRDefault="00D27661" w:rsidP="00A37ED6">
            <w:pPr>
              <w:jc w:val="center"/>
              <w:rPr>
                <w:rFonts w:asciiTheme="majorHAnsi" w:eastAsia="Times New Roman" w:hAnsiTheme="majorHAnsi" w:cstheme="majorHAnsi"/>
                <w:b/>
                <w:bCs/>
                <w:sz w:val="20"/>
                <w:szCs w:val="20"/>
              </w:rPr>
            </w:pPr>
            <w:r w:rsidRPr="00743A41">
              <w:rPr>
                <w:rFonts w:asciiTheme="majorHAnsi" w:eastAsia="Times New Roman" w:hAnsiTheme="majorHAnsi" w:cstheme="majorHAnsi"/>
                <w:b/>
                <w:bCs/>
                <w:sz w:val="20"/>
                <w:szCs w:val="20"/>
              </w:rPr>
              <w:t xml:space="preserve">MPH Integrative Learning Experience Options </w:t>
            </w:r>
          </w:p>
          <w:p w:rsidR="00D27661" w:rsidRPr="00743A41" w:rsidRDefault="00D2766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
                <w:bCs/>
                <w:sz w:val="20"/>
                <w:szCs w:val="20"/>
              </w:rPr>
              <w:t>by Academic Major</w:t>
            </w:r>
          </w:p>
        </w:tc>
        <w:tc>
          <w:tcPr>
            <w:tcW w:w="732" w:type="pct"/>
            <w:shd w:val="clear" w:color="000000" w:fill="D9D9D9"/>
            <w:vAlign w:val="center"/>
            <w:hideMark/>
          </w:tcPr>
          <w:p w:rsidR="00D27661" w:rsidRPr="00743A41" w:rsidRDefault="00D2766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
                <w:bCs/>
                <w:sz w:val="20"/>
                <w:szCs w:val="20"/>
              </w:rPr>
              <w:t>Capstone Course</w:t>
            </w:r>
          </w:p>
        </w:tc>
        <w:tc>
          <w:tcPr>
            <w:tcW w:w="725" w:type="pct"/>
            <w:shd w:val="clear" w:color="000000" w:fill="D9D9D9"/>
            <w:vAlign w:val="center"/>
          </w:tcPr>
          <w:p w:rsidR="00D27661" w:rsidRPr="00743A41" w:rsidRDefault="00D2766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
                <w:bCs/>
                <w:sz w:val="20"/>
                <w:szCs w:val="20"/>
              </w:rPr>
              <w:t>Independent ILE</w:t>
            </w:r>
          </w:p>
        </w:tc>
        <w:tc>
          <w:tcPr>
            <w:tcW w:w="626" w:type="pct"/>
            <w:shd w:val="clear" w:color="000000" w:fill="D9D9D9"/>
            <w:vAlign w:val="center"/>
          </w:tcPr>
          <w:p w:rsidR="00D27661" w:rsidRPr="00743A41" w:rsidRDefault="00D2766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
                <w:bCs/>
                <w:sz w:val="20"/>
                <w:szCs w:val="20"/>
              </w:rPr>
              <w:t xml:space="preserve">Traditional </w:t>
            </w:r>
            <w:r w:rsidRPr="00743A41">
              <w:rPr>
                <w:rFonts w:asciiTheme="majorHAnsi" w:eastAsia="Times New Roman" w:hAnsiTheme="majorHAnsi" w:cstheme="majorHAnsi"/>
                <w:b/>
                <w:bCs/>
                <w:sz w:val="20"/>
                <w:szCs w:val="20"/>
              </w:rPr>
              <w:br/>
              <w:t>Academic Thesis</w:t>
            </w:r>
          </w:p>
        </w:tc>
      </w:tr>
      <w:tr w:rsidR="00D27661" w:rsidRPr="00743A41" w:rsidTr="00847E25">
        <w:trPr>
          <w:cantSplit/>
          <w:trHeight w:val="237"/>
        </w:trPr>
        <w:tc>
          <w:tcPr>
            <w:tcW w:w="2916" w:type="pct"/>
            <w:shd w:val="clear" w:color="auto" w:fill="auto"/>
          </w:tcPr>
          <w:p w:rsidR="00D27661" w:rsidRPr="00743A41" w:rsidRDefault="00D27661"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sz w:val="20"/>
                <w:szCs w:val="20"/>
              </w:rPr>
              <w:t>Community Health Practice</w:t>
            </w:r>
          </w:p>
        </w:tc>
        <w:tc>
          <w:tcPr>
            <w:tcW w:w="732" w:type="pct"/>
            <w:shd w:val="clear" w:color="auto" w:fill="auto"/>
          </w:tcPr>
          <w:p w:rsidR="00D27661" w:rsidRPr="00743A41" w:rsidRDefault="00D2766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sz w:val="20"/>
                <w:szCs w:val="20"/>
              </w:rPr>
              <w:t>PHM 3996L</w:t>
            </w:r>
          </w:p>
        </w:tc>
        <w:tc>
          <w:tcPr>
            <w:tcW w:w="725" w:type="pct"/>
          </w:tcPr>
          <w:p w:rsidR="00D27661" w:rsidRPr="00743A41" w:rsidRDefault="00D27661" w:rsidP="00A37ED6">
            <w:pPr>
              <w:jc w:val="center"/>
              <w:rPr>
                <w:rFonts w:asciiTheme="majorHAnsi" w:eastAsia="Times New Roman" w:hAnsiTheme="majorHAnsi" w:cstheme="majorHAnsi"/>
                <w:bCs/>
                <w:i/>
                <w:color w:val="000000"/>
                <w:sz w:val="20"/>
                <w:szCs w:val="20"/>
              </w:rPr>
            </w:pPr>
            <w:r w:rsidRPr="00743A41">
              <w:rPr>
                <w:rFonts w:asciiTheme="majorHAnsi" w:eastAsia="Times New Roman" w:hAnsiTheme="majorHAnsi" w:cstheme="majorHAnsi"/>
                <w:iCs/>
                <w:sz w:val="20"/>
                <w:szCs w:val="20"/>
              </w:rPr>
              <w:t>PHM 9998</w:t>
            </w:r>
          </w:p>
        </w:tc>
        <w:tc>
          <w:tcPr>
            <w:tcW w:w="626" w:type="pct"/>
          </w:tcPr>
          <w:p w:rsidR="00D27661" w:rsidRPr="00743A41" w:rsidRDefault="00D27661" w:rsidP="00A37ED6">
            <w:pPr>
              <w:jc w:val="center"/>
              <w:rPr>
                <w:rFonts w:asciiTheme="majorHAnsi" w:eastAsia="Times New Roman" w:hAnsiTheme="majorHAnsi" w:cstheme="majorHAnsi"/>
                <w:bCs/>
                <w:i/>
                <w:color w:val="000000"/>
                <w:sz w:val="20"/>
                <w:szCs w:val="20"/>
              </w:rPr>
            </w:pPr>
            <w:r w:rsidRPr="00743A41">
              <w:rPr>
                <w:rFonts w:asciiTheme="majorHAnsi" w:eastAsia="Times New Roman" w:hAnsiTheme="majorHAnsi" w:cstheme="majorHAnsi"/>
                <w:bCs/>
                <w:sz w:val="20"/>
                <w:szCs w:val="20"/>
              </w:rPr>
              <w:t>PHM 9998</w:t>
            </w:r>
          </w:p>
        </w:tc>
      </w:tr>
      <w:tr w:rsidR="00D27661" w:rsidRPr="00743A41" w:rsidTr="00847E25">
        <w:trPr>
          <w:cantSplit/>
          <w:trHeight w:val="237"/>
        </w:trPr>
        <w:tc>
          <w:tcPr>
            <w:tcW w:w="2916" w:type="pct"/>
            <w:shd w:val="clear" w:color="auto" w:fill="auto"/>
          </w:tcPr>
          <w:p w:rsidR="00D27661" w:rsidRPr="00743A41" w:rsidRDefault="00D27661"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sz w:val="20"/>
                <w:szCs w:val="20"/>
              </w:rPr>
              <w:t>Environmental Science</w:t>
            </w:r>
          </w:p>
        </w:tc>
        <w:tc>
          <w:tcPr>
            <w:tcW w:w="732" w:type="pct"/>
            <w:shd w:val="clear" w:color="auto" w:fill="auto"/>
          </w:tcPr>
          <w:p w:rsidR="00D27661" w:rsidRPr="00743A41" w:rsidRDefault="00D2766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sz w:val="20"/>
                <w:szCs w:val="20"/>
              </w:rPr>
              <w:t>PHWM 2496</w:t>
            </w:r>
          </w:p>
        </w:tc>
        <w:tc>
          <w:tcPr>
            <w:tcW w:w="725" w:type="pct"/>
          </w:tcPr>
          <w:p w:rsidR="00D27661" w:rsidRPr="00743A41" w:rsidRDefault="00D27661" w:rsidP="00A37ED6">
            <w:pPr>
              <w:jc w:val="center"/>
              <w:rPr>
                <w:rFonts w:asciiTheme="majorHAnsi" w:eastAsia="Times New Roman" w:hAnsiTheme="majorHAnsi" w:cstheme="majorHAnsi"/>
                <w:bCs/>
                <w:i/>
                <w:color w:val="000000"/>
                <w:sz w:val="20"/>
                <w:szCs w:val="20"/>
              </w:rPr>
            </w:pPr>
            <w:r w:rsidRPr="00743A41">
              <w:rPr>
                <w:rFonts w:asciiTheme="majorHAnsi" w:eastAsia="Times New Roman" w:hAnsiTheme="majorHAnsi" w:cstheme="majorHAnsi"/>
                <w:iCs/>
                <w:sz w:val="20"/>
                <w:szCs w:val="20"/>
              </w:rPr>
              <w:t>PHM 9998</w:t>
            </w:r>
          </w:p>
        </w:tc>
        <w:tc>
          <w:tcPr>
            <w:tcW w:w="626" w:type="pct"/>
          </w:tcPr>
          <w:p w:rsidR="00D27661" w:rsidRPr="00743A41" w:rsidRDefault="00D27661" w:rsidP="00A37ED6">
            <w:pPr>
              <w:jc w:val="center"/>
              <w:rPr>
                <w:rFonts w:asciiTheme="majorHAnsi" w:eastAsia="Times New Roman" w:hAnsiTheme="majorHAnsi" w:cstheme="majorHAnsi"/>
                <w:bCs/>
                <w:i/>
                <w:color w:val="000000"/>
                <w:sz w:val="20"/>
                <w:szCs w:val="20"/>
              </w:rPr>
            </w:pPr>
            <w:r w:rsidRPr="00743A41">
              <w:rPr>
                <w:rFonts w:asciiTheme="majorHAnsi" w:eastAsia="Times New Roman" w:hAnsiTheme="majorHAnsi" w:cstheme="majorHAnsi"/>
                <w:bCs/>
                <w:sz w:val="20"/>
                <w:szCs w:val="20"/>
              </w:rPr>
              <w:t>PHM 9998</w:t>
            </w:r>
          </w:p>
        </w:tc>
      </w:tr>
      <w:tr w:rsidR="00D27661" w:rsidRPr="00743A41" w:rsidTr="00847E25">
        <w:trPr>
          <w:cantSplit/>
          <w:trHeight w:val="237"/>
        </w:trPr>
        <w:tc>
          <w:tcPr>
            <w:tcW w:w="2916" w:type="pct"/>
            <w:shd w:val="clear" w:color="auto" w:fill="auto"/>
          </w:tcPr>
          <w:p w:rsidR="00D27661" w:rsidRPr="00743A41" w:rsidRDefault="00D27661"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sz w:val="20"/>
                <w:szCs w:val="20"/>
              </w:rPr>
              <w:t>Epidemiology</w:t>
            </w:r>
          </w:p>
        </w:tc>
        <w:tc>
          <w:tcPr>
            <w:tcW w:w="732" w:type="pct"/>
            <w:shd w:val="clear" w:color="auto" w:fill="auto"/>
          </w:tcPr>
          <w:p w:rsidR="00D27661" w:rsidRPr="00743A41" w:rsidRDefault="00D2766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sz w:val="20"/>
                <w:szCs w:val="20"/>
              </w:rPr>
              <w:t>PHWM 2996</w:t>
            </w:r>
          </w:p>
        </w:tc>
        <w:tc>
          <w:tcPr>
            <w:tcW w:w="725" w:type="pct"/>
          </w:tcPr>
          <w:p w:rsidR="00D27661" w:rsidRPr="00743A41" w:rsidRDefault="00D27661" w:rsidP="00A37ED6">
            <w:pPr>
              <w:jc w:val="center"/>
              <w:rPr>
                <w:rFonts w:asciiTheme="majorHAnsi" w:eastAsia="Times New Roman" w:hAnsiTheme="majorHAnsi" w:cstheme="majorHAnsi"/>
                <w:bCs/>
                <w:i/>
                <w:color w:val="000000"/>
                <w:sz w:val="20"/>
                <w:szCs w:val="20"/>
              </w:rPr>
            </w:pPr>
            <w:r w:rsidRPr="00743A41">
              <w:rPr>
                <w:rFonts w:asciiTheme="majorHAnsi" w:eastAsia="Times New Roman" w:hAnsiTheme="majorHAnsi" w:cstheme="majorHAnsi"/>
                <w:iCs/>
                <w:sz w:val="20"/>
                <w:szCs w:val="20"/>
              </w:rPr>
              <w:t>PHM 9998</w:t>
            </w:r>
          </w:p>
        </w:tc>
        <w:tc>
          <w:tcPr>
            <w:tcW w:w="626" w:type="pct"/>
          </w:tcPr>
          <w:p w:rsidR="00D27661" w:rsidRPr="00743A41" w:rsidRDefault="00D27661" w:rsidP="00A37ED6">
            <w:pPr>
              <w:jc w:val="center"/>
              <w:rPr>
                <w:rFonts w:asciiTheme="majorHAnsi" w:eastAsia="Times New Roman" w:hAnsiTheme="majorHAnsi" w:cstheme="majorHAnsi"/>
                <w:bCs/>
                <w:i/>
                <w:color w:val="000000"/>
                <w:sz w:val="20"/>
                <w:szCs w:val="20"/>
              </w:rPr>
            </w:pPr>
            <w:r w:rsidRPr="00743A41">
              <w:rPr>
                <w:rFonts w:asciiTheme="majorHAnsi" w:eastAsia="Times New Roman" w:hAnsiTheme="majorHAnsi" w:cstheme="majorHAnsi"/>
                <w:bCs/>
                <w:sz w:val="20"/>
                <w:szCs w:val="20"/>
              </w:rPr>
              <w:t>PHM 9998</w:t>
            </w:r>
          </w:p>
        </w:tc>
      </w:tr>
      <w:tr w:rsidR="00D27661" w:rsidRPr="00743A41" w:rsidTr="00847E25">
        <w:trPr>
          <w:cantSplit/>
          <w:trHeight w:val="237"/>
        </w:trPr>
        <w:tc>
          <w:tcPr>
            <w:tcW w:w="2916" w:type="pct"/>
            <w:shd w:val="clear" w:color="auto" w:fill="auto"/>
          </w:tcPr>
          <w:p w:rsidR="00D27661" w:rsidRPr="00743A41" w:rsidRDefault="00D27661"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sz w:val="20"/>
                <w:szCs w:val="20"/>
              </w:rPr>
              <w:t>Health Promotion/Health Education</w:t>
            </w:r>
          </w:p>
        </w:tc>
        <w:tc>
          <w:tcPr>
            <w:tcW w:w="732" w:type="pct"/>
            <w:shd w:val="clear" w:color="auto" w:fill="auto"/>
          </w:tcPr>
          <w:p w:rsidR="00D27661" w:rsidRPr="00743A41" w:rsidRDefault="00D2766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sz w:val="20"/>
                <w:szCs w:val="20"/>
              </w:rPr>
              <w:t>PHM 1496</w:t>
            </w:r>
          </w:p>
        </w:tc>
        <w:tc>
          <w:tcPr>
            <w:tcW w:w="725" w:type="pct"/>
          </w:tcPr>
          <w:p w:rsidR="00D27661" w:rsidRPr="00743A41" w:rsidRDefault="00D27661" w:rsidP="00A37ED6">
            <w:pPr>
              <w:jc w:val="center"/>
              <w:rPr>
                <w:rFonts w:asciiTheme="majorHAnsi" w:eastAsia="Times New Roman" w:hAnsiTheme="majorHAnsi" w:cstheme="majorHAnsi"/>
                <w:bCs/>
                <w:i/>
                <w:color w:val="000000"/>
                <w:sz w:val="20"/>
                <w:szCs w:val="20"/>
              </w:rPr>
            </w:pPr>
            <w:r w:rsidRPr="00743A41">
              <w:rPr>
                <w:rFonts w:asciiTheme="majorHAnsi" w:eastAsia="Times New Roman" w:hAnsiTheme="majorHAnsi" w:cstheme="majorHAnsi"/>
                <w:iCs/>
                <w:sz w:val="20"/>
                <w:szCs w:val="20"/>
              </w:rPr>
              <w:t>PHM 9998</w:t>
            </w:r>
          </w:p>
        </w:tc>
        <w:tc>
          <w:tcPr>
            <w:tcW w:w="626" w:type="pct"/>
          </w:tcPr>
          <w:p w:rsidR="00D27661" w:rsidRPr="00743A41" w:rsidRDefault="00D27661" w:rsidP="00A37ED6">
            <w:pPr>
              <w:jc w:val="center"/>
              <w:rPr>
                <w:rFonts w:asciiTheme="majorHAnsi" w:eastAsia="Times New Roman" w:hAnsiTheme="majorHAnsi" w:cstheme="majorHAnsi"/>
                <w:bCs/>
                <w:i/>
                <w:color w:val="000000"/>
                <w:sz w:val="20"/>
                <w:szCs w:val="20"/>
              </w:rPr>
            </w:pPr>
            <w:r w:rsidRPr="00743A41">
              <w:rPr>
                <w:rFonts w:asciiTheme="majorHAnsi" w:eastAsia="Times New Roman" w:hAnsiTheme="majorHAnsi" w:cstheme="majorHAnsi"/>
                <w:bCs/>
                <w:sz w:val="20"/>
                <w:szCs w:val="20"/>
              </w:rPr>
              <w:t>PHM 9998</w:t>
            </w:r>
          </w:p>
        </w:tc>
      </w:tr>
      <w:tr w:rsidR="00D27661" w:rsidRPr="00743A41" w:rsidTr="00847E25">
        <w:trPr>
          <w:cantSplit/>
          <w:trHeight w:val="237"/>
        </w:trPr>
        <w:tc>
          <w:tcPr>
            <w:tcW w:w="2916" w:type="pct"/>
            <w:shd w:val="clear" w:color="auto" w:fill="auto"/>
          </w:tcPr>
          <w:p w:rsidR="00D27661" w:rsidRPr="00743A41" w:rsidRDefault="00D27661"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sz w:val="20"/>
                <w:szCs w:val="20"/>
              </w:rPr>
              <w:t xml:space="preserve">Health Promotion/Health Education, Dietetic Internship </w:t>
            </w:r>
          </w:p>
        </w:tc>
        <w:tc>
          <w:tcPr>
            <w:tcW w:w="732" w:type="pct"/>
            <w:shd w:val="clear" w:color="auto" w:fill="auto"/>
          </w:tcPr>
          <w:p w:rsidR="00D27661" w:rsidRPr="00743A41" w:rsidRDefault="00D2766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sz w:val="20"/>
                <w:szCs w:val="20"/>
              </w:rPr>
              <w:t>PHM 1496</w:t>
            </w:r>
          </w:p>
        </w:tc>
        <w:tc>
          <w:tcPr>
            <w:tcW w:w="725" w:type="pct"/>
          </w:tcPr>
          <w:p w:rsidR="00D27661" w:rsidRPr="00743A41" w:rsidRDefault="00D27661" w:rsidP="00A37ED6">
            <w:pPr>
              <w:jc w:val="center"/>
              <w:rPr>
                <w:rFonts w:asciiTheme="majorHAnsi" w:eastAsia="Times New Roman" w:hAnsiTheme="majorHAnsi" w:cstheme="majorHAnsi"/>
                <w:bCs/>
                <w:i/>
                <w:color w:val="000000"/>
                <w:sz w:val="20"/>
                <w:szCs w:val="20"/>
              </w:rPr>
            </w:pPr>
            <w:r w:rsidRPr="00743A41">
              <w:rPr>
                <w:rFonts w:asciiTheme="majorHAnsi" w:eastAsia="Times New Roman" w:hAnsiTheme="majorHAnsi" w:cstheme="majorHAnsi"/>
                <w:iCs/>
                <w:sz w:val="20"/>
                <w:szCs w:val="20"/>
              </w:rPr>
              <w:t>PHM 9998</w:t>
            </w:r>
          </w:p>
        </w:tc>
        <w:tc>
          <w:tcPr>
            <w:tcW w:w="626" w:type="pct"/>
          </w:tcPr>
          <w:p w:rsidR="00D27661" w:rsidRPr="00743A41" w:rsidRDefault="00D27661" w:rsidP="00A37ED6">
            <w:pPr>
              <w:jc w:val="center"/>
              <w:rPr>
                <w:rFonts w:asciiTheme="majorHAnsi" w:eastAsia="Times New Roman" w:hAnsiTheme="majorHAnsi" w:cstheme="majorHAnsi"/>
                <w:bCs/>
                <w:i/>
                <w:color w:val="000000"/>
                <w:sz w:val="20"/>
                <w:szCs w:val="20"/>
              </w:rPr>
            </w:pPr>
            <w:r w:rsidRPr="00743A41">
              <w:rPr>
                <w:rFonts w:asciiTheme="majorHAnsi" w:eastAsia="Times New Roman" w:hAnsiTheme="majorHAnsi" w:cstheme="majorHAnsi"/>
                <w:bCs/>
                <w:sz w:val="20"/>
                <w:szCs w:val="20"/>
              </w:rPr>
              <w:t>PHM 9998</w:t>
            </w:r>
          </w:p>
        </w:tc>
      </w:tr>
      <w:tr w:rsidR="00D27661" w:rsidRPr="00743A41" w:rsidTr="00847E25">
        <w:trPr>
          <w:cantSplit/>
          <w:trHeight w:val="237"/>
        </w:trPr>
        <w:tc>
          <w:tcPr>
            <w:tcW w:w="2916" w:type="pct"/>
            <w:shd w:val="clear" w:color="auto" w:fill="auto"/>
          </w:tcPr>
          <w:p w:rsidR="00D27661" w:rsidRPr="00743A41" w:rsidRDefault="00D27661"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sz w:val="20"/>
                <w:szCs w:val="20"/>
              </w:rPr>
              <w:t>Health Services Organization</w:t>
            </w:r>
          </w:p>
        </w:tc>
        <w:tc>
          <w:tcPr>
            <w:tcW w:w="732" w:type="pct"/>
            <w:shd w:val="clear" w:color="auto" w:fill="auto"/>
          </w:tcPr>
          <w:p w:rsidR="00D27661" w:rsidRPr="00743A41" w:rsidRDefault="00D2766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sz w:val="20"/>
                <w:szCs w:val="20"/>
              </w:rPr>
              <w:t>PHM 3996L</w:t>
            </w:r>
          </w:p>
        </w:tc>
        <w:tc>
          <w:tcPr>
            <w:tcW w:w="725" w:type="pct"/>
          </w:tcPr>
          <w:p w:rsidR="00D27661" w:rsidRPr="00743A41" w:rsidRDefault="00D27661" w:rsidP="00A37ED6">
            <w:pPr>
              <w:jc w:val="center"/>
              <w:rPr>
                <w:rFonts w:asciiTheme="majorHAnsi" w:eastAsia="Times New Roman" w:hAnsiTheme="majorHAnsi" w:cstheme="majorHAnsi"/>
                <w:bCs/>
                <w:i/>
                <w:color w:val="000000"/>
                <w:sz w:val="20"/>
                <w:szCs w:val="20"/>
              </w:rPr>
            </w:pPr>
            <w:r w:rsidRPr="00743A41">
              <w:rPr>
                <w:rFonts w:asciiTheme="majorHAnsi" w:eastAsia="Times New Roman" w:hAnsiTheme="majorHAnsi" w:cstheme="majorHAnsi"/>
                <w:iCs/>
                <w:sz w:val="20"/>
                <w:szCs w:val="20"/>
              </w:rPr>
              <w:t>PHM 9998</w:t>
            </w:r>
          </w:p>
        </w:tc>
        <w:tc>
          <w:tcPr>
            <w:tcW w:w="626" w:type="pct"/>
          </w:tcPr>
          <w:p w:rsidR="00D27661" w:rsidRPr="00743A41" w:rsidRDefault="00D27661" w:rsidP="00A37ED6">
            <w:pPr>
              <w:jc w:val="center"/>
              <w:rPr>
                <w:rFonts w:asciiTheme="majorHAnsi" w:eastAsia="Times New Roman" w:hAnsiTheme="majorHAnsi" w:cstheme="majorHAnsi"/>
                <w:bCs/>
                <w:i/>
                <w:color w:val="000000"/>
                <w:sz w:val="20"/>
                <w:szCs w:val="20"/>
              </w:rPr>
            </w:pPr>
            <w:r w:rsidRPr="00743A41">
              <w:rPr>
                <w:rFonts w:asciiTheme="majorHAnsi" w:eastAsia="Times New Roman" w:hAnsiTheme="majorHAnsi" w:cstheme="majorHAnsi"/>
                <w:bCs/>
                <w:sz w:val="20"/>
                <w:szCs w:val="20"/>
              </w:rPr>
              <w:t>PHM 9998</w:t>
            </w:r>
          </w:p>
        </w:tc>
      </w:tr>
      <w:tr w:rsidR="00D27661" w:rsidRPr="00743A41" w:rsidTr="00847E25">
        <w:trPr>
          <w:cantSplit/>
          <w:trHeight w:val="237"/>
        </w:trPr>
        <w:tc>
          <w:tcPr>
            <w:tcW w:w="2916" w:type="pct"/>
            <w:shd w:val="clear" w:color="auto" w:fill="auto"/>
          </w:tcPr>
          <w:p w:rsidR="00D27661" w:rsidRPr="00743A41" w:rsidRDefault="00D27661"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sz w:val="20"/>
                <w:szCs w:val="20"/>
              </w:rPr>
              <w:t>Healthcare Management</w:t>
            </w:r>
          </w:p>
        </w:tc>
        <w:tc>
          <w:tcPr>
            <w:tcW w:w="732" w:type="pct"/>
            <w:shd w:val="clear" w:color="auto" w:fill="auto"/>
          </w:tcPr>
          <w:p w:rsidR="00D27661" w:rsidRPr="00743A41" w:rsidRDefault="00D2766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sz w:val="20"/>
                <w:szCs w:val="20"/>
              </w:rPr>
              <w:t>PHM 3996L</w:t>
            </w:r>
          </w:p>
        </w:tc>
        <w:tc>
          <w:tcPr>
            <w:tcW w:w="725" w:type="pct"/>
          </w:tcPr>
          <w:p w:rsidR="00D27661" w:rsidRPr="00743A41" w:rsidRDefault="00D27661" w:rsidP="00A37ED6">
            <w:pPr>
              <w:jc w:val="center"/>
              <w:rPr>
                <w:rFonts w:asciiTheme="majorHAnsi" w:eastAsia="Times New Roman" w:hAnsiTheme="majorHAnsi" w:cstheme="majorHAnsi"/>
                <w:bCs/>
                <w:i/>
                <w:color w:val="000000"/>
                <w:sz w:val="20"/>
                <w:szCs w:val="20"/>
              </w:rPr>
            </w:pPr>
            <w:r w:rsidRPr="00743A41">
              <w:rPr>
                <w:rFonts w:asciiTheme="majorHAnsi" w:eastAsia="Times New Roman" w:hAnsiTheme="majorHAnsi" w:cstheme="majorHAnsi"/>
                <w:iCs/>
                <w:sz w:val="20"/>
                <w:szCs w:val="20"/>
              </w:rPr>
              <w:t>PHM 9998</w:t>
            </w:r>
          </w:p>
        </w:tc>
        <w:tc>
          <w:tcPr>
            <w:tcW w:w="626" w:type="pct"/>
          </w:tcPr>
          <w:p w:rsidR="00D27661" w:rsidRPr="00743A41" w:rsidRDefault="00D27661" w:rsidP="00A37ED6">
            <w:pPr>
              <w:jc w:val="center"/>
              <w:rPr>
                <w:rFonts w:asciiTheme="majorHAnsi" w:eastAsia="Times New Roman" w:hAnsiTheme="majorHAnsi" w:cstheme="majorHAnsi"/>
                <w:bCs/>
                <w:i/>
                <w:color w:val="000000"/>
                <w:sz w:val="20"/>
                <w:szCs w:val="20"/>
              </w:rPr>
            </w:pPr>
            <w:r w:rsidRPr="00743A41">
              <w:rPr>
                <w:rFonts w:asciiTheme="majorHAnsi" w:eastAsia="Times New Roman" w:hAnsiTheme="majorHAnsi" w:cstheme="majorHAnsi"/>
                <w:bCs/>
                <w:sz w:val="20"/>
                <w:szCs w:val="20"/>
              </w:rPr>
              <w:t>PHM 9998</w:t>
            </w:r>
          </w:p>
        </w:tc>
      </w:tr>
      <w:tr w:rsidR="00D27661" w:rsidRPr="00743A41" w:rsidTr="00847E25">
        <w:trPr>
          <w:cantSplit/>
          <w:trHeight w:val="237"/>
        </w:trPr>
        <w:tc>
          <w:tcPr>
            <w:tcW w:w="2916" w:type="pct"/>
            <w:shd w:val="clear" w:color="auto" w:fill="auto"/>
          </w:tcPr>
          <w:p w:rsidR="00D27661" w:rsidRPr="00743A41" w:rsidRDefault="00D27661" w:rsidP="00A37ED6">
            <w:pP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bCs/>
                <w:sz w:val="20"/>
                <w:szCs w:val="20"/>
              </w:rPr>
              <w:t>Customized (General and Dual-Degree Students)</w:t>
            </w:r>
            <w:r w:rsidR="00321D6D" w:rsidRPr="00743A41">
              <w:rPr>
                <w:rFonts w:asciiTheme="majorHAnsi" w:eastAsia="Times New Roman" w:hAnsiTheme="majorHAnsi" w:cstheme="majorHAnsi"/>
                <w:bCs/>
                <w:sz w:val="20"/>
                <w:szCs w:val="20"/>
              </w:rPr>
              <w:t>*</w:t>
            </w:r>
          </w:p>
        </w:tc>
        <w:tc>
          <w:tcPr>
            <w:tcW w:w="732" w:type="pct"/>
            <w:shd w:val="clear" w:color="auto" w:fill="auto"/>
          </w:tcPr>
          <w:p w:rsidR="00D27661" w:rsidRPr="00743A41" w:rsidRDefault="00D27661" w:rsidP="00A37ED6">
            <w:pPr>
              <w:jc w:val="center"/>
              <w:rPr>
                <w:rFonts w:asciiTheme="majorHAnsi" w:eastAsia="Times New Roman" w:hAnsiTheme="majorHAnsi" w:cstheme="majorHAnsi"/>
                <w:bCs/>
                <w:color w:val="000000"/>
                <w:sz w:val="20"/>
                <w:szCs w:val="20"/>
              </w:rPr>
            </w:pPr>
            <w:r w:rsidRPr="00743A41">
              <w:rPr>
                <w:rFonts w:asciiTheme="majorHAnsi" w:eastAsia="Times New Roman" w:hAnsiTheme="majorHAnsi" w:cstheme="majorHAnsi"/>
                <w:sz w:val="20"/>
                <w:szCs w:val="20"/>
              </w:rPr>
              <w:t>PHM 5096</w:t>
            </w:r>
          </w:p>
        </w:tc>
        <w:tc>
          <w:tcPr>
            <w:tcW w:w="725" w:type="pct"/>
          </w:tcPr>
          <w:p w:rsidR="00D27661" w:rsidRPr="00743A41" w:rsidRDefault="00D27661" w:rsidP="00A37ED6">
            <w:pPr>
              <w:jc w:val="center"/>
              <w:rPr>
                <w:rFonts w:asciiTheme="majorHAnsi" w:eastAsia="Times New Roman" w:hAnsiTheme="majorHAnsi" w:cstheme="majorHAnsi"/>
                <w:bCs/>
                <w:i/>
                <w:color w:val="000000"/>
                <w:sz w:val="20"/>
                <w:szCs w:val="20"/>
              </w:rPr>
            </w:pPr>
            <w:r w:rsidRPr="00743A41">
              <w:rPr>
                <w:rFonts w:asciiTheme="majorHAnsi" w:eastAsia="Times New Roman" w:hAnsiTheme="majorHAnsi" w:cstheme="majorHAnsi"/>
                <w:iCs/>
                <w:sz w:val="20"/>
                <w:szCs w:val="20"/>
              </w:rPr>
              <w:t>PHM 9998</w:t>
            </w:r>
          </w:p>
        </w:tc>
        <w:tc>
          <w:tcPr>
            <w:tcW w:w="626" w:type="pct"/>
          </w:tcPr>
          <w:p w:rsidR="00D27661" w:rsidRPr="00743A41" w:rsidRDefault="00D27661" w:rsidP="00A37ED6">
            <w:pPr>
              <w:jc w:val="center"/>
              <w:rPr>
                <w:rFonts w:asciiTheme="majorHAnsi" w:eastAsia="Times New Roman" w:hAnsiTheme="majorHAnsi" w:cstheme="majorHAnsi"/>
                <w:bCs/>
                <w:i/>
                <w:color w:val="000000"/>
                <w:sz w:val="20"/>
                <w:szCs w:val="20"/>
              </w:rPr>
            </w:pPr>
            <w:r w:rsidRPr="00743A41">
              <w:rPr>
                <w:rFonts w:asciiTheme="majorHAnsi" w:eastAsia="Times New Roman" w:hAnsiTheme="majorHAnsi" w:cstheme="majorHAnsi"/>
                <w:bCs/>
                <w:sz w:val="20"/>
                <w:szCs w:val="20"/>
              </w:rPr>
              <w:t>PHM 9998</w:t>
            </w:r>
          </w:p>
        </w:tc>
      </w:tr>
    </w:tbl>
    <w:p w:rsidR="00D27661" w:rsidRPr="00743A41" w:rsidRDefault="00321D6D" w:rsidP="00A37ED6">
      <w:pPr>
        <w:shd w:val="clear" w:color="auto" w:fill="FFFFFF"/>
        <w:ind w:left="720"/>
        <w:rPr>
          <w:rFonts w:asciiTheme="majorHAnsi" w:eastAsia="Arial" w:hAnsiTheme="majorHAnsi" w:cstheme="majorHAnsi"/>
          <w:i/>
          <w:sz w:val="20"/>
          <w:szCs w:val="20"/>
        </w:rPr>
      </w:pPr>
      <w:r w:rsidRPr="00743A41">
        <w:rPr>
          <w:rFonts w:asciiTheme="majorHAnsi" w:eastAsia="Arial Unicode MS" w:hAnsiTheme="majorHAnsi" w:cstheme="majorHAnsi"/>
          <w:i/>
          <w:sz w:val="20"/>
          <w:szCs w:val="20"/>
        </w:rPr>
        <w:t>*</w:t>
      </w:r>
      <w:r w:rsidRPr="00743A41">
        <w:rPr>
          <w:rFonts w:asciiTheme="majorHAnsi" w:eastAsia="Arial" w:hAnsiTheme="majorHAnsi" w:cstheme="majorHAnsi"/>
          <w:i/>
          <w:sz w:val="20"/>
          <w:szCs w:val="20"/>
        </w:rPr>
        <w:t xml:space="preserve"> Dual-degree students </w:t>
      </w:r>
      <w:r w:rsidR="00870D47" w:rsidRPr="00743A41">
        <w:rPr>
          <w:rFonts w:asciiTheme="majorHAnsi" w:eastAsia="Arial" w:hAnsiTheme="majorHAnsi" w:cstheme="majorHAnsi"/>
          <w:i/>
          <w:sz w:val="20"/>
          <w:szCs w:val="20"/>
        </w:rPr>
        <w:t>are encouraged</w:t>
      </w:r>
      <w:r w:rsidRPr="00743A41">
        <w:rPr>
          <w:rFonts w:asciiTheme="majorHAnsi" w:eastAsia="Arial" w:hAnsiTheme="majorHAnsi" w:cstheme="majorHAnsi"/>
          <w:i/>
          <w:sz w:val="20"/>
          <w:szCs w:val="20"/>
        </w:rPr>
        <w:t xml:space="preserve"> with their faculty mentors and advisors from both degree programs so that they can incorporate their learning from both degree programs to create a meaningful experience.</w:t>
      </w:r>
    </w:p>
    <w:p w:rsidR="00321D6D" w:rsidRPr="00743A41" w:rsidRDefault="00321D6D" w:rsidP="00A37ED6">
      <w:pPr>
        <w:shd w:val="clear" w:color="auto" w:fill="FFFFFF"/>
        <w:ind w:left="720"/>
        <w:jc w:val="both"/>
        <w:rPr>
          <w:rFonts w:asciiTheme="majorHAnsi" w:eastAsia="Arial Unicode MS" w:hAnsiTheme="majorHAnsi" w:cstheme="majorHAnsi"/>
          <w:i/>
          <w:sz w:val="20"/>
          <w:szCs w:val="20"/>
        </w:rPr>
      </w:pPr>
    </w:p>
    <w:p w:rsidR="00933038" w:rsidRPr="00743A41" w:rsidRDefault="00933038" w:rsidP="00A37ED6">
      <w:pPr>
        <w:numPr>
          <w:ilvl w:val="0"/>
          <w:numId w:val="24"/>
        </w:numPr>
        <w:shd w:val="clear" w:color="auto" w:fill="FFFFFF"/>
        <w:ind w:left="720"/>
        <w:jc w:val="both"/>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rPr>
        <w:t xml:space="preserve">Briefly summarize the process, expectations and assessment for each integrative learning experience. </w:t>
      </w:r>
    </w:p>
    <w:p w:rsidR="00933038" w:rsidRPr="00743A41" w:rsidRDefault="00933038" w:rsidP="00A37ED6">
      <w:pPr>
        <w:shd w:val="clear" w:color="auto" w:fill="FFFFFF"/>
        <w:jc w:val="both"/>
        <w:rPr>
          <w:rFonts w:asciiTheme="majorHAnsi" w:eastAsia="Arial Unicode MS" w:hAnsiTheme="majorHAnsi" w:cstheme="majorHAnsi"/>
          <w:sz w:val="20"/>
          <w:szCs w:val="20"/>
        </w:rPr>
      </w:pPr>
    </w:p>
    <w:p w:rsidR="000C5EA3" w:rsidRPr="00326F5C" w:rsidRDefault="000C5EA3" w:rsidP="00A37ED6">
      <w:pPr>
        <w:shd w:val="clear" w:color="auto" w:fill="FFFFFF"/>
        <w:ind w:left="720"/>
        <w:rPr>
          <w:rFonts w:asciiTheme="majorHAnsi" w:eastAsia="Arial Unicode MS" w:hAnsiTheme="majorHAnsi" w:cstheme="majorHAnsi"/>
          <w:sz w:val="20"/>
          <w:szCs w:val="20"/>
        </w:rPr>
      </w:pPr>
      <w:r w:rsidRPr="00743A41">
        <w:rPr>
          <w:rFonts w:asciiTheme="majorHAnsi" w:eastAsia="Arial Unicode MS" w:hAnsiTheme="majorHAnsi" w:cstheme="majorHAnsi"/>
          <w:sz w:val="20"/>
          <w:szCs w:val="20"/>
          <w:u w:val="single"/>
        </w:rPr>
        <w:t>Capstone Course</w:t>
      </w:r>
      <w:r w:rsidRPr="00743A41">
        <w:rPr>
          <w:rFonts w:asciiTheme="majorHAnsi" w:eastAsia="Arial Unicode MS" w:hAnsiTheme="majorHAnsi" w:cstheme="majorHAnsi"/>
          <w:sz w:val="20"/>
          <w:szCs w:val="20"/>
        </w:rPr>
        <w:t xml:space="preserve">: </w:t>
      </w:r>
      <w:r w:rsidRPr="00743A41">
        <w:rPr>
          <w:rFonts w:asciiTheme="majorHAnsi" w:eastAsia="Times New Roman" w:hAnsiTheme="majorHAnsi" w:cstheme="majorHAnsi"/>
          <w:bCs/>
          <w:color w:val="000000"/>
          <w:sz w:val="20"/>
          <w:szCs w:val="20"/>
        </w:rPr>
        <w:t xml:space="preserve">MPH students may elect to complete a major-specific capstone course </w:t>
      </w:r>
      <w:r w:rsidR="00A95E64" w:rsidRPr="00743A41">
        <w:rPr>
          <w:rFonts w:asciiTheme="majorHAnsi" w:eastAsia="Times New Roman" w:hAnsiTheme="majorHAnsi" w:cstheme="majorHAnsi"/>
          <w:bCs/>
          <w:color w:val="000000"/>
          <w:sz w:val="20"/>
          <w:szCs w:val="20"/>
        </w:rPr>
        <w:t xml:space="preserve">(availability indicated in </w:t>
      </w:r>
      <w:hyperlink w:anchor="tabled71b" w:history="1">
        <w:r w:rsidR="00B92CB3">
          <w:rPr>
            <w:rStyle w:val="Hyperlink"/>
            <w:rFonts w:asciiTheme="majorHAnsi" w:eastAsia="Times New Roman" w:hAnsiTheme="majorHAnsi" w:cstheme="majorHAnsi"/>
            <w:bCs/>
            <w:sz w:val="20"/>
            <w:szCs w:val="20"/>
          </w:rPr>
          <w:t>Table D.7.1.b.</w:t>
        </w:r>
      </w:hyperlink>
      <w:r w:rsidR="00A95E64" w:rsidRPr="00743A41">
        <w:rPr>
          <w:rFonts w:asciiTheme="majorHAnsi" w:eastAsia="Times New Roman" w:hAnsiTheme="majorHAnsi" w:cstheme="majorHAnsi"/>
          <w:bCs/>
          <w:color w:val="000000"/>
          <w:sz w:val="20"/>
          <w:szCs w:val="20"/>
        </w:rPr>
        <w:t xml:space="preserve">) </w:t>
      </w:r>
      <w:r w:rsidRPr="00743A41">
        <w:rPr>
          <w:rFonts w:asciiTheme="majorHAnsi" w:eastAsia="Times New Roman" w:hAnsiTheme="majorHAnsi" w:cstheme="majorHAnsi"/>
          <w:bCs/>
          <w:color w:val="000000"/>
          <w:sz w:val="20"/>
          <w:szCs w:val="20"/>
        </w:rPr>
        <w:t xml:space="preserve">under the supervision of a faculty member as means to satisfy the ILE requirement; students must complete the capstone course for their respective MPH major. The </w:t>
      </w:r>
      <w:r w:rsidRPr="00326F5C">
        <w:rPr>
          <w:rFonts w:asciiTheme="majorHAnsi" w:eastAsia="Times New Roman" w:hAnsiTheme="majorHAnsi" w:cstheme="majorHAnsi"/>
          <w:bCs/>
          <w:color w:val="000000"/>
          <w:sz w:val="20"/>
          <w:szCs w:val="20"/>
        </w:rPr>
        <w:t>competencies synthesized in the capstone courses are predetermined by the faculty member teaching the course</w:t>
      </w:r>
      <w:r w:rsidR="00CA3298" w:rsidRPr="00326F5C">
        <w:rPr>
          <w:rFonts w:asciiTheme="majorHAnsi" w:eastAsia="Times New Roman" w:hAnsiTheme="majorHAnsi" w:cstheme="majorHAnsi"/>
          <w:bCs/>
          <w:color w:val="000000"/>
          <w:sz w:val="20"/>
          <w:szCs w:val="20"/>
        </w:rPr>
        <w:t xml:space="preserve"> and are indicated in the syllabi for each course (</w:t>
      </w:r>
      <w:r w:rsidR="00CA3298" w:rsidRPr="00326F5C">
        <w:rPr>
          <w:rFonts w:asciiTheme="majorHAnsi" w:eastAsia="Times New Roman" w:hAnsiTheme="majorHAnsi" w:cstheme="majorHAnsi"/>
          <w:bCs/>
          <w:i/>
          <w:color w:val="000000"/>
          <w:sz w:val="20"/>
          <w:szCs w:val="20"/>
        </w:rPr>
        <w:t>ERF, D7.3. MPH ILE Course Syllabi</w:t>
      </w:r>
      <w:r w:rsidR="00CA3298" w:rsidRPr="00326F5C">
        <w:rPr>
          <w:rFonts w:asciiTheme="majorHAnsi" w:eastAsia="Times New Roman" w:hAnsiTheme="majorHAnsi" w:cstheme="majorHAnsi"/>
          <w:bCs/>
          <w:color w:val="000000"/>
          <w:sz w:val="20"/>
          <w:szCs w:val="20"/>
        </w:rPr>
        <w:t>)</w:t>
      </w:r>
      <w:r w:rsidRPr="00326F5C">
        <w:rPr>
          <w:rFonts w:asciiTheme="majorHAnsi" w:eastAsia="Times New Roman" w:hAnsiTheme="majorHAnsi" w:cstheme="majorHAnsi"/>
          <w:bCs/>
          <w:color w:val="000000"/>
          <w:sz w:val="20"/>
          <w:szCs w:val="20"/>
        </w:rPr>
        <w:t>. Students will complete individual assessments throughout each course to demonstrate competency attainment and the ability to synthesize the defined course competencies. MPH c</w:t>
      </w:r>
      <w:r w:rsidRPr="00326F5C">
        <w:rPr>
          <w:rFonts w:asciiTheme="majorHAnsi" w:eastAsia="Arial Unicode MS" w:hAnsiTheme="majorHAnsi" w:cstheme="majorHAnsi"/>
          <w:sz w:val="20"/>
          <w:szCs w:val="20"/>
        </w:rPr>
        <w:t xml:space="preserve">ustomized students may enroll in major-specific capstone courses if the competencies from their selected </w:t>
      </w:r>
      <w:r w:rsidRPr="00326F5C">
        <w:rPr>
          <w:rFonts w:asciiTheme="majorHAnsi" w:hAnsiTheme="majorHAnsi" w:cstheme="majorHAnsi"/>
          <w:sz w:val="20"/>
          <w:szCs w:val="20"/>
        </w:rPr>
        <w:t>Advanced Public Health Coursework</w:t>
      </w:r>
      <w:r w:rsidR="00D64966" w:rsidRPr="00326F5C">
        <w:rPr>
          <w:rFonts w:asciiTheme="majorHAnsi" w:eastAsia="Arial Unicode MS" w:hAnsiTheme="majorHAnsi" w:cstheme="majorHAnsi"/>
          <w:sz w:val="20"/>
          <w:szCs w:val="20"/>
        </w:rPr>
        <w:t xml:space="preserve"> (</w:t>
      </w:r>
      <w:r w:rsidR="00D64966" w:rsidRPr="00326F5C">
        <w:rPr>
          <w:rFonts w:asciiTheme="majorHAnsi" w:eastAsia="Arial Unicode MS" w:hAnsiTheme="majorHAnsi" w:cstheme="majorHAnsi"/>
          <w:i/>
          <w:sz w:val="20"/>
          <w:szCs w:val="20"/>
        </w:rPr>
        <w:t>ERF, D4.2. MPH Customized Documentation, Approved Advanced Public Health Coursework</w:t>
      </w:r>
      <w:r w:rsidR="00D64966" w:rsidRPr="00326F5C">
        <w:rPr>
          <w:rFonts w:asciiTheme="majorHAnsi" w:eastAsia="Arial Unicode MS" w:hAnsiTheme="majorHAnsi" w:cstheme="majorHAnsi"/>
          <w:sz w:val="20"/>
          <w:szCs w:val="20"/>
        </w:rPr>
        <w:t>)</w:t>
      </w:r>
      <w:r w:rsidRPr="00326F5C">
        <w:rPr>
          <w:rFonts w:asciiTheme="majorHAnsi" w:eastAsia="Arial Unicode MS" w:hAnsiTheme="majorHAnsi" w:cstheme="majorHAnsi"/>
          <w:sz w:val="20"/>
          <w:szCs w:val="20"/>
        </w:rPr>
        <w:t xml:space="preserve"> align with those taught and assessed in the course</w:t>
      </w:r>
      <w:r w:rsidR="00977495" w:rsidRPr="00326F5C">
        <w:rPr>
          <w:rFonts w:asciiTheme="majorHAnsi" w:eastAsia="Arial Unicode MS" w:hAnsiTheme="majorHAnsi" w:cstheme="majorHAnsi"/>
          <w:sz w:val="20"/>
          <w:szCs w:val="20"/>
        </w:rPr>
        <w:t>.</w:t>
      </w:r>
    </w:p>
    <w:p w:rsidR="000C5EA3" w:rsidRPr="00326F5C" w:rsidRDefault="000C5EA3" w:rsidP="00A37ED6">
      <w:pPr>
        <w:shd w:val="clear" w:color="auto" w:fill="FFFFFF"/>
        <w:jc w:val="both"/>
        <w:rPr>
          <w:rFonts w:asciiTheme="majorHAnsi" w:eastAsia="Arial Unicode MS" w:hAnsiTheme="majorHAnsi" w:cstheme="majorHAnsi"/>
          <w:sz w:val="20"/>
          <w:szCs w:val="20"/>
        </w:rPr>
      </w:pPr>
    </w:p>
    <w:p w:rsidR="000C5EA3" w:rsidRPr="00326F5C" w:rsidRDefault="000C5EA3" w:rsidP="006E28EE">
      <w:pPr>
        <w:shd w:val="clear" w:color="auto" w:fill="FFFFFF"/>
        <w:ind w:left="720" w:hanging="720"/>
        <w:rPr>
          <w:rFonts w:asciiTheme="majorHAnsi" w:eastAsia="Arial Unicode MS" w:hAnsiTheme="majorHAnsi" w:cstheme="majorHAnsi"/>
          <w:sz w:val="20"/>
          <w:szCs w:val="20"/>
        </w:rPr>
      </w:pPr>
      <w:r w:rsidRPr="00326F5C">
        <w:rPr>
          <w:rFonts w:asciiTheme="majorHAnsi" w:eastAsia="Arial Unicode MS" w:hAnsiTheme="majorHAnsi" w:cstheme="majorHAnsi"/>
          <w:sz w:val="20"/>
          <w:szCs w:val="20"/>
        </w:rPr>
        <w:tab/>
      </w:r>
      <w:bookmarkStart w:id="87" w:name="tabled71b"/>
      <w:r w:rsidRPr="00326F5C">
        <w:rPr>
          <w:rFonts w:asciiTheme="majorHAnsi" w:hAnsiTheme="majorHAnsi" w:cstheme="majorHAnsi"/>
          <w:sz w:val="20"/>
          <w:szCs w:val="20"/>
        </w:rPr>
        <w:t>Table D</w:t>
      </w:r>
      <w:r w:rsidR="00A95E64" w:rsidRPr="00326F5C">
        <w:rPr>
          <w:rFonts w:asciiTheme="majorHAnsi" w:hAnsiTheme="majorHAnsi" w:cstheme="majorHAnsi"/>
          <w:sz w:val="20"/>
          <w:szCs w:val="20"/>
        </w:rPr>
        <w:t>.</w:t>
      </w:r>
      <w:r w:rsidRPr="00326F5C">
        <w:rPr>
          <w:rFonts w:asciiTheme="majorHAnsi" w:hAnsiTheme="majorHAnsi" w:cstheme="majorHAnsi"/>
          <w:sz w:val="20"/>
          <w:szCs w:val="20"/>
        </w:rPr>
        <w:t>7.1</w:t>
      </w:r>
      <w:r w:rsidR="00A95E64" w:rsidRPr="00326F5C">
        <w:rPr>
          <w:rFonts w:asciiTheme="majorHAnsi" w:hAnsiTheme="majorHAnsi" w:cstheme="majorHAnsi"/>
          <w:sz w:val="20"/>
          <w:szCs w:val="20"/>
        </w:rPr>
        <w:t>.</w:t>
      </w:r>
      <w:r w:rsidRPr="00326F5C">
        <w:rPr>
          <w:rFonts w:asciiTheme="majorHAnsi" w:hAnsiTheme="majorHAnsi" w:cstheme="majorHAnsi"/>
          <w:sz w:val="20"/>
          <w:szCs w:val="20"/>
        </w:rPr>
        <w:t>b. I</w:t>
      </w:r>
      <w:bookmarkEnd w:id="87"/>
      <w:r w:rsidRPr="00326F5C">
        <w:rPr>
          <w:rFonts w:asciiTheme="majorHAnsi" w:hAnsiTheme="majorHAnsi" w:cstheme="majorHAnsi"/>
          <w:sz w:val="20"/>
          <w:szCs w:val="20"/>
        </w:rPr>
        <w:t>ntegrative Learning Experience for MPH Students, Capstone Course Options by Major</w:t>
      </w:r>
      <w:r w:rsidR="00B71213" w:rsidRPr="00326F5C">
        <w:rPr>
          <w:rFonts w:asciiTheme="majorHAnsi" w:eastAsia="Arial Unicode MS" w:hAnsiTheme="majorHAnsi" w:cstheme="majorHAnsi"/>
          <w:sz w:val="20"/>
          <w:szCs w:val="20"/>
        </w:rPr>
        <w:t xml:space="preserve"> (</w:t>
      </w:r>
      <w:r w:rsidR="00B71213" w:rsidRPr="00326F5C">
        <w:rPr>
          <w:rFonts w:asciiTheme="majorHAnsi" w:eastAsia="Arial Unicode MS" w:hAnsiTheme="majorHAnsi" w:cstheme="majorHAnsi"/>
          <w:i/>
          <w:sz w:val="20"/>
          <w:szCs w:val="20"/>
        </w:rPr>
        <w:t>ERF, D7.3. MPH ILE Course Syllabi</w:t>
      </w:r>
      <w:r w:rsidR="00B71213" w:rsidRPr="00326F5C">
        <w:rPr>
          <w:rFonts w:asciiTheme="majorHAnsi" w:eastAsia="Arial Unicode MS" w:hAnsiTheme="majorHAnsi" w:cstheme="majorHAnsi"/>
          <w:sz w:val="20"/>
          <w:szCs w:val="20"/>
        </w:rPr>
        <w:t>)</w:t>
      </w: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4"/>
        <w:gridCol w:w="1963"/>
        <w:gridCol w:w="2053"/>
        <w:gridCol w:w="3039"/>
      </w:tblGrid>
      <w:tr w:rsidR="000C5EA3" w:rsidRPr="00326F5C" w:rsidTr="002C0642">
        <w:trPr>
          <w:trHeight w:val="288"/>
        </w:trPr>
        <w:tc>
          <w:tcPr>
            <w:tcW w:w="917" w:type="pct"/>
            <w:shd w:val="clear" w:color="auto" w:fill="D9D9D9" w:themeFill="background1" w:themeFillShade="D9"/>
            <w:tcMar>
              <w:top w:w="0" w:type="dxa"/>
              <w:left w:w="108" w:type="dxa"/>
              <w:bottom w:w="0" w:type="dxa"/>
              <w:right w:w="108" w:type="dxa"/>
            </w:tcMar>
            <w:vAlign w:val="center"/>
            <w:hideMark/>
          </w:tcPr>
          <w:p w:rsidR="000C5EA3" w:rsidRPr="00326F5C" w:rsidRDefault="000C5EA3" w:rsidP="00A37ED6">
            <w:pPr>
              <w:spacing w:before="100" w:beforeAutospacing="1" w:after="100" w:afterAutospacing="1"/>
              <w:jc w:val="center"/>
              <w:rPr>
                <w:rFonts w:asciiTheme="majorHAnsi" w:eastAsia="Times New Roman" w:hAnsiTheme="majorHAnsi" w:cstheme="majorHAnsi"/>
                <w:b/>
                <w:sz w:val="20"/>
                <w:szCs w:val="20"/>
              </w:rPr>
            </w:pPr>
            <w:r w:rsidRPr="00326F5C">
              <w:rPr>
                <w:rFonts w:asciiTheme="majorHAnsi" w:eastAsia="Times New Roman" w:hAnsiTheme="majorHAnsi" w:cstheme="majorHAnsi"/>
                <w:b/>
                <w:bCs/>
                <w:sz w:val="20"/>
                <w:szCs w:val="20"/>
              </w:rPr>
              <w:t>Couse Number and Name</w:t>
            </w:r>
          </w:p>
        </w:tc>
        <w:tc>
          <w:tcPr>
            <w:tcW w:w="1136" w:type="pct"/>
            <w:shd w:val="clear" w:color="auto" w:fill="D9D9D9" w:themeFill="background1" w:themeFillShade="D9"/>
            <w:vAlign w:val="center"/>
          </w:tcPr>
          <w:p w:rsidR="000C5EA3" w:rsidRPr="00326F5C" w:rsidRDefault="000C5EA3" w:rsidP="00A37ED6">
            <w:pPr>
              <w:spacing w:before="100" w:beforeAutospacing="1" w:after="100" w:afterAutospacing="1"/>
              <w:jc w:val="center"/>
              <w:rPr>
                <w:rFonts w:asciiTheme="majorHAnsi" w:eastAsia="Times New Roman" w:hAnsiTheme="majorHAnsi" w:cstheme="majorHAnsi"/>
                <w:b/>
                <w:bCs/>
                <w:sz w:val="20"/>
                <w:szCs w:val="20"/>
              </w:rPr>
            </w:pPr>
            <w:r w:rsidRPr="00326F5C">
              <w:rPr>
                <w:rFonts w:asciiTheme="majorHAnsi" w:eastAsia="Times New Roman" w:hAnsiTheme="majorHAnsi" w:cstheme="majorHAnsi"/>
                <w:b/>
                <w:bCs/>
                <w:sz w:val="20"/>
                <w:szCs w:val="20"/>
              </w:rPr>
              <w:t>Available to:</w:t>
            </w:r>
          </w:p>
        </w:tc>
        <w:tc>
          <w:tcPr>
            <w:tcW w:w="1188" w:type="pct"/>
            <w:shd w:val="clear" w:color="auto" w:fill="D9D9D9" w:themeFill="background1" w:themeFillShade="D9"/>
            <w:tcMar>
              <w:top w:w="0" w:type="dxa"/>
              <w:left w:w="108" w:type="dxa"/>
              <w:bottom w:w="0" w:type="dxa"/>
              <w:right w:w="108" w:type="dxa"/>
            </w:tcMar>
            <w:vAlign w:val="center"/>
            <w:hideMark/>
          </w:tcPr>
          <w:p w:rsidR="000C5EA3" w:rsidRPr="00326F5C" w:rsidRDefault="000C5EA3" w:rsidP="00A37ED6">
            <w:pPr>
              <w:spacing w:before="100" w:beforeAutospacing="1" w:after="100" w:afterAutospacing="1"/>
              <w:jc w:val="center"/>
              <w:rPr>
                <w:rFonts w:asciiTheme="majorHAnsi" w:eastAsia="Times New Roman" w:hAnsiTheme="majorHAnsi" w:cstheme="majorHAnsi"/>
                <w:b/>
                <w:sz w:val="20"/>
                <w:szCs w:val="20"/>
              </w:rPr>
            </w:pPr>
            <w:r w:rsidRPr="00326F5C">
              <w:rPr>
                <w:rFonts w:asciiTheme="majorHAnsi" w:eastAsia="Times New Roman" w:hAnsiTheme="majorHAnsi" w:cstheme="majorHAnsi"/>
                <w:b/>
                <w:bCs/>
                <w:sz w:val="20"/>
                <w:szCs w:val="20"/>
              </w:rPr>
              <w:t>Course-Specific Prerequisites</w:t>
            </w:r>
          </w:p>
        </w:tc>
        <w:tc>
          <w:tcPr>
            <w:tcW w:w="1759" w:type="pct"/>
            <w:shd w:val="clear" w:color="auto" w:fill="D9D9D9" w:themeFill="background1" w:themeFillShade="D9"/>
            <w:vAlign w:val="center"/>
          </w:tcPr>
          <w:p w:rsidR="000C5EA3" w:rsidRPr="00326F5C" w:rsidRDefault="000C5EA3" w:rsidP="00A37ED6">
            <w:pPr>
              <w:spacing w:before="100" w:beforeAutospacing="1" w:after="100" w:afterAutospacing="1"/>
              <w:jc w:val="center"/>
              <w:rPr>
                <w:rFonts w:asciiTheme="majorHAnsi" w:eastAsia="Times New Roman" w:hAnsiTheme="majorHAnsi" w:cstheme="majorHAnsi"/>
                <w:b/>
                <w:bCs/>
                <w:sz w:val="20"/>
                <w:szCs w:val="20"/>
              </w:rPr>
            </w:pPr>
            <w:r w:rsidRPr="00326F5C">
              <w:rPr>
                <w:rFonts w:asciiTheme="majorHAnsi" w:eastAsia="Times New Roman" w:hAnsiTheme="majorHAnsi" w:cstheme="majorHAnsi"/>
                <w:b/>
                <w:bCs/>
                <w:sz w:val="20"/>
                <w:szCs w:val="20"/>
              </w:rPr>
              <w:t xml:space="preserve">Competency as defined in </w:t>
            </w:r>
            <w:hyperlink w:anchor="_D2._MPH_Foundational_1" w:history="1">
              <w:r w:rsidRPr="00326F5C">
                <w:rPr>
                  <w:rStyle w:val="Hyperlink"/>
                  <w:rFonts w:asciiTheme="majorHAnsi" w:eastAsia="Times New Roman" w:hAnsiTheme="majorHAnsi" w:cstheme="majorHAnsi"/>
                  <w:b/>
                  <w:bCs/>
                  <w:sz w:val="20"/>
                  <w:szCs w:val="20"/>
                </w:rPr>
                <w:t>Criterion D2</w:t>
              </w:r>
            </w:hyperlink>
            <w:r w:rsidRPr="00326F5C">
              <w:rPr>
                <w:rFonts w:asciiTheme="majorHAnsi" w:eastAsia="Times New Roman" w:hAnsiTheme="majorHAnsi" w:cstheme="majorHAnsi"/>
                <w:b/>
                <w:bCs/>
                <w:sz w:val="20"/>
                <w:szCs w:val="20"/>
              </w:rPr>
              <w:t xml:space="preserve"> and </w:t>
            </w:r>
            <w:hyperlink w:anchor="_D4._MPH_&amp;" w:history="1">
              <w:r w:rsidRPr="00326F5C">
                <w:rPr>
                  <w:rStyle w:val="Hyperlink"/>
                  <w:rFonts w:asciiTheme="majorHAnsi" w:eastAsia="Times New Roman" w:hAnsiTheme="majorHAnsi" w:cstheme="majorHAnsi"/>
                  <w:b/>
                  <w:bCs/>
                  <w:sz w:val="20"/>
                  <w:szCs w:val="20"/>
                </w:rPr>
                <w:t>Criterion D4</w:t>
              </w:r>
            </w:hyperlink>
          </w:p>
        </w:tc>
      </w:tr>
      <w:tr w:rsidR="000C5EA3" w:rsidRPr="00326F5C" w:rsidTr="002C0642">
        <w:trPr>
          <w:trHeight w:val="288"/>
        </w:trPr>
        <w:tc>
          <w:tcPr>
            <w:tcW w:w="917" w:type="pct"/>
            <w:shd w:val="clear" w:color="auto" w:fill="auto"/>
            <w:tcMar>
              <w:top w:w="0" w:type="dxa"/>
              <w:left w:w="108" w:type="dxa"/>
              <w:bottom w:w="0" w:type="dxa"/>
              <w:right w:w="108" w:type="dxa"/>
            </w:tcMar>
            <w:vAlign w:val="center"/>
          </w:tcPr>
          <w:p w:rsidR="000C5EA3" w:rsidRPr="00326F5C" w:rsidRDefault="000C5EA3" w:rsidP="00A37ED6">
            <w:pPr>
              <w:spacing w:before="100" w:beforeAutospacing="1" w:after="100" w:afterAutospacing="1"/>
              <w:jc w:val="center"/>
              <w:rPr>
                <w:rFonts w:asciiTheme="majorHAnsi" w:eastAsia="Times New Roman" w:hAnsiTheme="majorHAnsi" w:cstheme="majorHAnsi"/>
                <w:bCs/>
                <w:sz w:val="20"/>
                <w:szCs w:val="20"/>
              </w:rPr>
            </w:pPr>
            <w:r w:rsidRPr="001247EE">
              <w:rPr>
                <w:rFonts w:asciiTheme="majorHAnsi" w:hAnsiTheme="majorHAnsi" w:cstheme="majorHAnsi"/>
                <w:b/>
                <w:sz w:val="20"/>
                <w:szCs w:val="20"/>
              </w:rPr>
              <w:t>PHM 1496</w:t>
            </w:r>
            <w:r w:rsidRPr="00326F5C">
              <w:rPr>
                <w:rFonts w:asciiTheme="majorHAnsi" w:hAnsiTheme="majorHAnsi" w:cstheme="majorHAnsi"/>
                <w:sz w:val="20"/>
                <w:szCs w:val="20"/>
              </w:rPr>
              <w:t xml:space="preserve"> Capstone Course for HPBS Students</w:t>
            </w:r>
          </w:p>
        </w:tc>
        <w:tc>
          <w:tcPr>
            <w:tcW w:w="1136" w:type="pct"/>
            <w:vAlign w:val="center"/>
          </w:tcPr>
          <w:p w:rsidR="000C5EA3" w:rsidRPr="00326F5C" w:rsidRDefault="000C5EA3" w:rsidP="00A37ED6">
            <w:pPr>
              <w:spacing w:before="100" w:beforeAutospacing="1"/>
              <w:ind w:left="91"/>
              <w:rPr>
                <w:rFonts w:asciiTheme="majorHAnsi" w:eastAsia="Times New Roman" w:hAnsiTheme="majorHAnsi" w:cstheme="majorHAnsi"/>
                <w:bCs/>
                <w:sz w:val="20"/>
                <w:szCs w:val="20"/>
              </w:rPr>
            </w:pPr>
            <w:r w:rsidRPr="00326F5C">
              <w:rPr>
                <w:rFonts w:asciiTheme="majorHAnsi" w:eastAsia="Times New Roman" w:hAnsiTheme="majorHAnsi" w:cstheme="majorHAnsi"/>
                <w:iCs/>
                <w:sz w:val="20"/>
                <w:szCs w:val="20"/>
              </w:rPr>
              <w:t xml:space="preserve">MPH Health Promotion/Health Education </w:t>
            </w:r>
            <w:r w:rsidRPr="00326F5C">
              <w:rPr>
                <w:rFonts w:asciiTheme="majorHAnsi" w:eastAsia="Times New Roman" w:hAnsiTheme="majorHAnsi" w:cstheme="majorHAnsi"/>
                <w:bCs/>
                <w:sz w:val="20"/>
                <w:szCs w:val="20"/>
              </w:rPr>
              <w:t>students</w:t>
            </w:r>
          </w:p>
          <w:p w:rsidR="000C5EA3" w:rsidRPr="00326F5C" w:rsidRDefault="000C5EA3" w:rsidP="00A37ED6">
            <w:pPr>
              <w:spacing w:after="100" w:afterAutospacing="1"/>
              <w:ind w:left="91"/>
              <w:rPr>
                <w:rFonts w:asciiTheme="majorHAnsi" w:eastAsia="Times New Roman" w:hAnsiTheme="majorHAnsi" w:cstheme="majorHAnsi"/>
                <w:bCs/>
                <w:i/>
                <w:sz w:val="20"/>
                <w:szCs w:val="20"/>
              </w:rPr>
            </w:pPr>
            <w:r w:rsidRPr="00326F5C">
              <w:rPr>
                <w:rFonts w:asciiTheme="majorHAnsi" w:eastAsia="Times New Roman" w:hAnsiTheme="majorHAnsi" w:cstheme="majorHAnsi"/>
                <w:bCs/>
                <w:i/>
                <w:sz w:val="20"/>
                <w:szCs w:val="20"/>
              </w:rPr>
              <w:t>Customized students*</w:t>
            </w:r>
          </w:p>
        </w:tc>
        <w:tc>
          <w:tcPr>
            <w:tcW w:w="1188" w:type="pct"/>
            <w:tcMar>
              <w:top w:w="0" w:type="dxa"/>
              <w:left w:w="108" w:type="dxa"/>
              <w:bottom w:w="0" w:type="dxa"/>
              <w:right w:w="108" w:type="dxa"/>
            </w:tcMar>
            <w:vAlign w:val="center"/>
          </w:tcPr>
          <w:p w:rsidR="000C5EA3" w:rsidRPr="00326F5C" w:rsidRDefault="000C5EA3" w:rsidP="00A37ED6">
            <w:pPr>
              <w:spacing w:before="100" w:beforeAutospacing="1" w:after="100" w:afterAutospacing="1"/>
              <w:rPr>
                <w:rFonts w:asciiTheme="majorHAnsi" w:eastAsia="Times New Roman" w:hAnsiTheme="majorHAnsi" w:cstheme="majorHAnsi"/>
                <w:i/>
                <w:iCs/>
                <w:sz w:val="20"/>
                <w:szCs w:val="20"/>
              </w:rPr>
            </w:pPr>
            <w:r w:rsidRPr="00326F5C">
              <w:rPr>
                <w:rFonts w:asciiTheme="majorHAnsi" w:eastAsia="Times New Roman" w:hAnsiTheme="majorHAnsi" w:cstheme="majorHAnsi"/>
                <w:i/>
                <w:iCs/>
                <w:sz w:val="20"/>
                <w:szCs w:val="20"/>
              </w:rPr>
              <w:t>Completion of PHM 1111L and PHM 1112L and [PHM 1113L or PHM 1120L]</w:t>
            </w:r>
          </w:p>
        </w:tc>
        <w:tc>
          <w:tcPr>
            <w:tcW w:w="1759" w:type="pct"/>
            <w:vAlign w:val="center"/>
          </w:tcPr>
          <w:p w:rsidR="000C5EA3" w:rsidRPr="00326F5C" w:rsidRDefault="000C5EA3" w:rsidP="00A37ED6">
            <w:pPr>
              <w:spacing w:before="100" w:beforeAutospacing="1" w:after="100" w:afterAutospacing="1"/>
              <w:rPr>
                <w:rFonts w:asciiTheme="majorHAnsi" w:eastAsia="Times New Roman" w:hAnsiTheme="majorHAnsi" w:cstheme="majorHAnsi"/>
                <w:bCs/>
                <w:sz w:val="20"/>
                <w:szCs w:val="20"/>
              </w:rPr>
            </w:pPr>
            <w:r w:rsidRPr="00326F5C">
              <w:rPr>
                <w:rFonts w:asciiTheme="majorHAnsi" w:eastAsia="Times New Roman" w:hAnsiTheme="majorHAnsi" w:cstheme="majorHAnsi"/>
                <w:bCs/>
                <w:sz w:val="20"/>
                <w:szCs w:val="20"/>
                <w:u w:val="single"/>
              </w:rPr>
              <w:t>MPH Foundational Competencies</w:t>
            </w:r>
            <w:r w:rsidRPr="00326F5C">
              <w:rPr>
                <w:rFonts w:asciiTheme="majorHAnsi" w:eastAsia="Times New Roman" w:hAnsiTheme="majorHAnsi" w:cstheme="majorHAnsi"/>
                <w:bCs/>
                <w:sz w:val="20"/>
                <w:szCs w:val="20"/>
              </w:rPr>
              <w:t xml:space="preserve">: </w:t>
            </w:r>
            <w:r w:rsidRPr="00326F5C">
              <w:rPr>
                <w:rFonts w:asciiTheme="majorHAnsi" w:eastAsia="Times New Roman" w:hAnsiTheme="majorHAnsi" w:cstheme="majorHAnsi"/>
                <w:bCs/>
                <w:sz w:val="20"/>
                <w:szCs w:val="20"/>
              </w:rPr>
              <w:br/>
              <w:t>MPH-10, MPH-19</w:t>
            </w:r>
            <w:r w:rsidRPr="00326F5C">
              <w:rPr>
                <w:rFonts w:asciiTheme="majorHAnsi" w:eastAsia="Times New Roman" w:hAnsiTheme="majorHAnsi" w:cstheme="majorHAnsi"/>
                <w:bCs/>
                <w:sz w:val="20"/>
                <w:szCs w:val="20"/>
              </w:rPr>
              <w:br/>
            </w:r>
            <w:r w:rsidRPr="00326F5C">
              <w:rPr>
                <w:rFonts w:asciiTheme="majorHAnsi" w:eastAsia="Times New Roman" w:hAnsiTheme="majorHAnsi" w:cstheme="majorHAnsi"/>
                <w:bCs/>
                <w:sz w:val="20"/>
                <w:szCs w:val="20"/>
                <w:u w:val="single"/>
              </w:rPr>
              <w:t>MPH Health Promotion/Health Education Competencies</w:t>
            </w:r>
            <w:r w:rsidRPr="00326F5C">
              <w:rPr>
                <w:rFonts w:asciiTheme="majorHAnsi" w:eastAsia="Times New Roman" w:hAnsiTheme="majorHAnsi" w:cstheme="majorHAnsi"/>
                <w:bCs/>
                <w:sz w:val="20"/>
                <w:szCs w:val="20"/>
              </w:rPr>
              <w:t>: MPH-H2, MPH-H5</w:t>
            </w:r>
          </w:p>
        </w:tc>
      </w:tr>
      <w:tr w:rsidR="000C5EA3" w:rsidRPr="00326F5C" w:rsidTr="002C0642">
        <w:trPr>
          <w:trHeight w:val="288"/>
        </w:trPr>
        <w:tc>
          <w:tcPr>
            <w:tcW w:w="917" w:type="pct"/>
            <w:shd w:val="clear" w:color="auto" w:fill="auto"/>
            <w:tcMar>
              <w:top w:w="0" w:type="dxa"/>
              <w:left w:w="108" w:type="dxa"/>
              <w:bottom w:w="0" w:type="dxa"/>
              <w:right w:w="108" w:type="dxa"/>
            </w:tcMar>
            <w:vAlign w:val="center"/>
          </w:tcPr>
          <w:p w:rsidR="000C5EA3" w:rsidRPr="00326F5C" w:rsidRDefault="000C5EA3" w:rsidP="00A37ED6">
            <w:pPr>
              <w:spacing w:before="100" w:beforeAutospacing="1" w:after="100" w:afterAutospacing="1"/>
              <w:jc w:val="center"/>
              <w:rPr>
                <w:rFonts w:asciiTheme="majorHAnsi" w:eastAsia="Times New Roman" w:hAnsiTheme="majorHAnsi" w:cstheme="majorHAnsi"/>
                <w:bCs/>
                <w:i/>
                <w:sz w:val="20"/>
                <w:szCs w:val="20"/>
              </w:rPr>
            </w:pPr>
            <w:r w:rsidRPr="00326F5C">
              <w:rPr>
                <w:rFonts w:asciiTheme="majorHAnsi" w:eastAsia="Times New Roman" w:hAnsiTheme="majorHAnsi" w:cstheme="majorHAnsi"/>
                <w:b/>
                <w:bCs/>
                <w:sz w:val="20"/>
                <w:szCs w:val="20"/>
              </w:rPr>
              <w:t>PHM 1496</w:t>
            </w:r>
            <w:r w:rsidRPr="00326F5C">
              <w:rPr>
                <w:rFonts w:asciiTheme="majorHAnsi" w:eastAsia="Times New Roman" w:hAnsiTheme="majorHAnsi" w:cstheme="majorHAnsi"/>
                <w:bCs/>
                <w:sz w:val="20"/>
                <w:szCs w:val="20"/>
              </w:rPr>
              <w:t xml:space="preserve"> Capstone Course for HPBS Students (</w:t>
            </w:r>
            <w:r w:rsidRPr="00326F5C">
              <w:rPr>
                <w:rFonts w:asciiTheme="majorHAnsi" w:eastAsia="Times New Roman" w:hAnsiTheme="majorHAnsi" w:cstheme="majorHAnsi"/>
                <w:bCs/>
                <w:i/>
                <w:sz w:val="20"/>
                <w:szCs w:val="20"/>
              </w:rPr>
              <w:t>sections 800/850)</w:t>
            </w:r>
          </w:p>
        </w:tc>
        <w:tc>
          <w:tcPr>
            <w:tcW w:w="1136" w:type="pct"/>
            <w:vAlign w:val="center"/>
          </w:tcPr>
          <w:p w:rsidR="000C5EA3" w:rsidRPr="00326F5C" w:rsidRDefault="000C5EA3" w:rsidP="00A37ED6">
            <w:pPr>
              <w:spacing w:before="100" w:beforeAutospacing="1" w:after="100" w:afterAutospacing="1"/>
              <w:ind w:left="91"/>
              <w:rPr>
                <w:rFonts w:asciiTheme="majorHAnsi" w:eastAsia="Times New Roman" w:hAnsiTheme="majorHAnsi" w:cstheme="majorHAnsi"/>
                <w:iCs/>
                <w:sz w:val="20"/>
                <w:szCs w:val="20"/>
              </w:rPr>
            </w:pPr>
            <w:r w:rsidRPr="00326F5C">
              <w:rPr>
                <w:rFonts w:asciiTheme="majorHAnsi" w:eastAsia="Times New Roman" w:hAnsiTheme="majorHAnsi" w:cstheme="majorHAnsi"/>
                <w:iCs/>
                <w:sz w:val="20"/>
                <w:szCs w:val="20"/>
              </w:rPr>
              <w:t xml:space="preserve">MPH Health Promotion/Health Education, Dietetic Internship students </w:t>
            </w:r>
          </w:p>
        </w:tc>
        <w:tc>
          <w:tcPr>
            <w:tcW w:w="1188" w:type="pct"/>
            <w:tcMar>
              <w:top w:w="0" w:type="dxa"/>
              <w:left w:w="108" w:type="dxa"/>
              <w:bottom w:w="0" w:type="dxa"/>
              <w:right w:w="108" w:type="dxa"/>
            </w:tcMar>
            <w:vAlign w:val="center"/>
          </w:tcPr>
          <w:p w:rsidR="000C5EA3" w:rsidRPr="00326F5C" w:rsidRDefault="000C5EA3" w:rsidP="00A37ED6">
            <w:pPr>
              <w:spacing w:before="100" w:beforeAutospacing="1" w:after="100" w:afterAutospacing="1"/>
              <w:rPr>
                <w:rFonts w:asciiTheme="majorHAnsi" w:eastAsia="Times New Roman" w:hAnsiTheme="majorHAnsi" w:cstheme="majorHAnsi"/>
                <w:i/>
                <w:iCs/>
                <w:sz w:val="20"/>
                <w:szCs w:val="20"/>
              </w:rPr>
            </w:pPr>
            <w:r w:rsidRPr="00326F5C">
              <w:rPr>
                <w:rFonts w:asciiTheme="majorHAnsi" w:eastAsia="Times New Roman" w:hAnsiTheme="majorHAnsi" w:cstheme="majorHAnsi"/>
                <w:i/>
                <w:iCs/>
                <w:sz w:val="20"/>
                <w:szCs w:val="20"/>
              </w:rPr>
              <w:t>Must be a dietetic intern</w:t>
            </w:r>
          </w:p>
        </w:tc>
        <w:tc>
          <w:tcPr>
            <w:tcW w:w="1759" w:type="pct"/>
            <w:vAlign w:val="center"/>
          </w:tcPr>
          <w:p w:rsidR="000C5EA3" w:rsidRPr="00326F5C" w:rsidRDefault="000C5EA3" w:rsidP="00677BAA">
            <w:pPr>
              <w:spacing w:before="100" w:beforeAutospacing="1" w:after="100" w:afterAutospacing="1"/>
              <w:rPr>
                <w:rFonts w:asciiTheme="majorHAnsi" w:eastAsia="Times New Roman" w:hAnsiTheme="majorHAnsi" w:cstheme="majorHAnsi"/>
                <w:i/>
                <w:iCs/>
                <w:sz w:val="20"/>
                <w:szCs w:val="20"/>
              </w:rPr>
            </w:pPr>
            <w:r w:rsidRPr="00326F5C">
              <w:rPr>
                <w:rFonts w:asciiTheme="majorHAnsi" w:eastAsia="Times New Roman" w:hAnsiTheme="majorHAnsi" w:cstheme="majorHAnsi"/>
                <w:i/>
                <w:iCs/>
                <w:sz w:val="20"/>
                <w:szCs w:val="20"/>
              </w:rPr>
              <w:t xml:space="preserve">Students must complete the Independent ILE Approval and Completion Forms to indicate competencies </w:t>
            </w:r>
            <w:r w:rsidR="00957E25" w:rsidRPr="00326F5C">
              <w:rPr>
                <w:rFonts w:asciiTheme="majorHAnsi" w:eastAsia="Times New Roman" w:hAnsiTheme="majorHAnsi" w:cstheme="majorHAnsi"/>
                <w:i/>
                <w:iCs/>
                <w:sz w:val="20"/>
                <w:szCs w:val="20"/>
              </w:rPr>
              <w:t xml:space="preserve">synthesized. </w:t>
            </w:r>
          </w:p>
        </w:tc>
      </w:tr>
      <w:tr w:rsidR="000C5EA3" w:rsidRPr="00326F5C" w:rsidTr="002C0642">
        <w:trPr>
          <w:trHeight w:val="288"/>
        </w:trPr>
        <w:tc>
          <w:tcPr>
            <w:tcW w:w="917" w:type="pct"/>
            <w:tcMar>
              <w:top w:w="0" w:type="dxa"/>
              <w:left w:w="108" w:type="dxa"/>
              <w:bottom w:w="0" w:type="dxa"/>
              <w:right w:w="108" w:type="dxa"/>
            </w:tcMar>
            <w:vAlign w:val="center"/>
          </w:tcPr>
          <w:p w:rsidR="000C5EA3" w:rsidRPr="00326F5C" w:rsidRDefault="000C5EA3" w:rsidP="00A37ED6">
            <w:pPr>
              <w:spacing w:before="100" w:beforeAutospacing="1" w:after="100" w:afterAutospacing="1"/>
              <w:jc w:val="center"/>
              <w:rPr>
                <w:rFonts w:asciiTheme="majorHAnsi" w:eastAsia="Times New Roman" w:hAnsiTheme="majorHAnsi" w:cstheme="majorHAnsi"/>
                <w:sz w:val="20"/>
                <w:szCs w:val="20"/>
              </w:rPr>
            </w:pPr>
            <w:r w:rsidRPr="001247EE">
              <w:rPr>
                <w:rFonts w:asciiTheme="majorHAnsi" w:hAnsiTheme="majorHAnsi" w:cstheme="majorHAnsi"/>
                <w:b/>
                <w:sz w:val="20"/>
                <w:szCs w:val="20"/>
              </w:rPr>
              <w:t>PHWM 2496</w:t>
            </w:r>
            <w:r w:rsidRPr="00326F5C">
              <w:rPr>
                <w:rFonts w:asciiTheme="majorHAnsi" w:hAnsiTheme="majorHAnsi" w:cstheme="majorHAnsi"/>
                <w:sz w:val="20"/>
                <w:szCs w:val="20"/>
              </w:rPr>
              <w:t xml:space="preserve"> Capstone for EOHS Students</w:t>
            </w:r>
          </w:p>
        </w:tc>
        <w:tc>
          <w:tcPr>
            <w:tcW w:w="1136" w:type="pct"/>
            <w:vAlign w:val="center"/>
          </w:tcPr>
          <w:p w:rsidR="000C5EA3" w:rsidRPr="00326F5C" w:rsidRDefault="000C5EA3" w:rsidP="00A37ED6">
            <w:pPr>
              <w:ind w:left="91"/>
              <w:rPr>
                <w:rFonts w:asciiTheme="majorHAnsi" w:eastAsia="Times New Roman" w:hAnsiTheme="majorHAnsi" w:cstheme="majorHAnsi"/>
                <w:bCs/>
                <w:sz w:val="20"/>
                <w:szCs w:val="20"/>
              </w:rPr>
            </w:pPr>
            <w:r w:rsidRPr="00326F5C">
              <w:rPr>
                <w:rFonts w:asciiTheme="majorHAnsi" w:eastAsia="Times New Roman" w:hAnsiTheme="majorHAnsi" w:cstheme="majorHAnsi"/>
                <w:bCs/>
                <w:sz w:val="20"/>
                <w:szCs w:val="20"/>
              </w:rPr>
              <w:t>MPH Environmental Health students</w:t>
            </w:r>
          </w:p>
          <w:p w:rsidR="000C5EA3" w:rsidRPr="00326F5C" w:rsidRDefault="000C5EA3" w:rsidP="00A37ED6">
            <w:pPr>
              <w:spacing w:after="100" w:afterAutospacing="1"/>
              <w:ind w:left="91"/>
              <w:rPr>
                <w:rFonts w:asciiTheme="majorHAnsi" w:eastAsia="Times New Roman" w:hAnsiTheme="majorHAnsi" w:cstheme="majorHAnsi"/>
                <w:bCs/>
                <w:i/>
                <w:sz w:val="20"/>
                <w:szCs w:val="20"/>
              </w:rPr>
            </w:pPr>
            <w:r w:rsidRPr="00326F5C">
              <w:rPr>
                <w:rFonts w:asciiTheme="majorHAnsi" w:eastAsia="Times New Roman" w:hAnsiTheme="majorHAnsi" w:cstheme="majorHAnsi"/>
                <w:bCs/>
                <w:i/>
                <w:sz w:val="20"/>
                <w:szCs w:val="20"/>
              </w:rPr>
              <w:t>Customized students*</w:t>
            </w:r>
          </w:p>
        </w:tc>
        <w:tc>
          <w:tcPr>
            <w:tcW w:w="1188" w:type="pct"/>
            <w:tcMar>
              <w:top w:w="0" w:type="dxa"/>
              <w:left w:w="108" w:type="dxa"/>
              <w:bottom w:w="0" w:type="dxa"/>
              <w:right w:w="108" w:type="dxa"/>
            </w:tcMar>
            <w:vAlign w:val="center"/>
          </w:tcPr>
          <w:p w:rsidR="000C5EA3" w:rsidRPr="00326F5C" w:rsidRDefault="000C5EA3" w:rsidP="00A37ED6">
            <w:pPr>
              <w:spacing w:before="100" w:beforeAutospacing="1" w:after="100" w:afterAutospacing="1"/>
              <w:rPr>
                <w:rFonts w:asciiTheme="majorHAnsi" w:eastAsia="Times New Roman" w:hAnsiTheme="majorHAnsi" w:cstheme="majorHAnsi"/>
                <w:bCs/>
                <w:i/>
                <w:sz w:val="20"/>
                <w:szCs w:val="20"/>
              </w:rPr>
            </w:pPr>
            <w:r w:rsidRPr="00326F5C">
              <w:rPr>
                <w:rFonts w:asciiTheme="majorHAnsi" w:eastAsia="Times New Roman" w:hAnsiTheme="majorHAnsi" w:cstheme="majorHAnsi"/>
                <w:bCs/>
                <w:i/>
                <w:sz w:val="20"/>
                <w:szCs w:val="20"/>
              </w:rPr>
              <w:t>Completion of or concurrent enrollment in PH 2175L and PHM 2135L</w:t>
            </w:r>
          </w:p>
        </w:tc>
        <w:tc>
          <w:tcPr>
            <w:tcW w:w="1759" w:type="pct"/>
            <w:vAlign w:val="center"/>
          </w:tcPr>
          <w:p w:rsidR="000C5EA3" w:rsidRPr="00326F5C" w:rsidRDefault="000C5EA3" w:rsidP="00A37ED6">
            <w:pPr>
              <w:spacing w:before="100" w:beforeAutospacing="1" w:after="100" w:afterAutospacing="1"/>
              <w:rPr>
                <w:rFonts w:asciiTheme="majorHAnsi" w:eastAsia="Times New Roman" w:hAnsiTheme="majorHAnsi" w:cstheme="majorHAnsi"/>
                <w:bCs/>
                <w:sz w:val="20"/>
                <w:szCs w:val="20"/>
              </w:rPr>
            </w:pPr>
            <w:r w:rsidRPr="00326F5C">
              <w:rPr>
                <w:rFonts w:asciiTheme="majorHAnsi" w:eastAsia="Times New Roman" w:hAnsiTheme="majorHAnsi" w:cstheme="majorHAnsi"/>
                <w:bCs/>
                <w:sz w:val="20"/>
                <w:szCs w:val="20"/>
                <w:u w:val="single"/>
              </w:rPr>
              <w:t>MPH Foundational Competencies</w:t>
            </w:r>
            <w:r w:rsidRPr="00326F5C">
              <w:rPr>
                <w:rFonts w:asciiTheme="majorHAnsi" w:eastAsia="Times New Roman" w:hAnsiTheme="majorHAnsi" w:cstheme="majorHAnsi"/>
                <w:bCs/>
                <w:sz w:val="20"/>
                <w:szCs w:val="20"/>
              </w:rPr>
              <w:t xml:space="preserve">: </w:t>
            </w:r>
            <w:r w:rsidRPr="00326F5C">
              <w:rPr>
                <w:rFonts w:asciiTheme="majorHAnsi" w:eastAsia="Times New Roman" w:hAnsiTheme="majorHAnsi" w:cstheme="majorHAnsi"/>
                <w:bCs/>
                <w:sz w:val="20"/>
                <w:szCs w:val="20"/>
              </w:rPr>
              <w:br/>
              <w:t xml:space="preserve">MPH-1, MPH-19 </w:t>
            </w:r>
            <w:r w:rsidRPr="00326F5C">
              <w:rPr>
                <w:rFonts w:asciiTheme="majorHAnsi" w:eastAsia="Times New Roman" w:hAnsiTheme="majorHAnsi" w:cstheme="majorHAnsi"/>
                <w:bCs/>
                <w:sz w:val="20"/>
                <w:szCs w:val="20"/>
              </w:rPr>
              <w:br/>
            </w:r>
            <w:r w:rsidRPr="00326F5C">
              <w:rPr>
                <w:rFonts w:asciiTheme="majorHAnsi" w:eastAsia="Times New Roman" w:hAnsiTheme="majorHAnsi" w:cstheme="majorHAnsi"/>
                <w:bCs/>
                <w:sz w:val="20"/>
                <w:szCs w:val="20"/>
                <w:u w:val="single"/>
              </w:rPr>
              <w:t>MPH Environmental Health Competencies</w:t>
            </w:r>
            <w:r w:rsidRPr="00326F5C">
              <w:rPr>
                <w:rFonts w:asciiTheme="majorHAnsi" w:eastAsia="Times New Roman" w:hAnsiTheme="majorHAnsi" w:cstheme="majorHAnsi"/>
                <w:bCs/>
                <w:sz w:val="20"/>
                <w:szCs w:val="20"/>
              </w:rPr>
              <w:t>: MPH-O1, MPH-O2</w:t>
            </w:r>
          </w:p>
        </w:tc>
      </w:tr>
      <w:tr w:rsidR="000C5EA3" w:rsidRPr="00326F5C" w:rsidTr="002C0642">
        <w:trPr>
          <w:trHeight w:val="1030"/>
        </w:trPr>
        <w:tc>
          <w:tcPr>
            <w:tcW w:w="917" w:type="pct"/>
            <w:tcMar>
              <w:top w:w="0" w:type="dxa"/>
              <w:left w:w="108" w:type="dxa"/>
              <w:bottom w:w="0" w:type="dxa"/>
              <w:right w:w="108" w:type="dxa"/>
            </w:tcMar>
            <w:vAlign w:val="center"/>
          </w:tcPr>
          <w:p w:rsidR="000C5EA3" w:rsidRPr="00326F5C" w:rsidRDefault="000C5EA3" w:rsidP="00A37ED6">
            <w:pPr>
              <w:spacing w:before="100" w:beforeAutospacing="1" w:after="100" w:afterAutospacing="1"/>
              <w:jc w:val="center"/>
              <w:rPr>
                <w:rFonts w:asciiTheme="majorHAnsi" w:eastAsia="Times New Roman" w:hAnsiTheme="majorHAnsi" w:cstheme="majorHAnsi"/>
                <w:bCs/>
                <w:i/>
                <w:sz w:val="20"/>
                <w:szCs w:val="20"/>
              </w:rPr>
            </w:pPr>
            <w:r w:rsidRPr="001247EE">
              <w:rPr>
                <w:rFonts w:asciiTheme="majorHAnsi" w:hAnsiTheme="majorHAnsi" w:cstheme="majorHAnsi"/>
                <w:b/>
                <w:sz w:val="20"/>
                <w:szCs w:val="20"/>
              </w:rPr>
              <w:t>PHWM 2996</w:t>
            </w:r>
            <w:r w:rsidRPr="00326F5C">
              <w:rPr>
                <w:rFonts w:asciiTheme="majorHAnsi" w:hAnsiTheme="majorHAnsi" w:cstheme="majorHAnsi"/>
                <w:sz w:val="20"/>
                <w:szCs w:val="20"/>
              </w:rPr>
              <w:t xml:space="preserve"> Capstone Course for EPI Students</w:t>
            </w:r>
          </w:p>
        </w:tc>
        <w:tc>
          <w:tcPr>
            <w:tcW w:w="1136" w:type="pct"/>
            <w:vAlign w:val="center"/>
          </w:tcPr>
          <w:p w:rsidR="000C5EA3" w:rsidRPr="00326F5C" w:rsidRDefault="000C5EA3" w:rsidP="00A37ED6">
            <w:pPr>
              <w:ind w:left="91"/>
              <w:rPr>
                <w:rFonts w:asciiTheme="majorHAnsi" w:eastAsia="Times New Roman" w:hAnsiTheme="majorHAnsi" w:cstheme="majorHAnsi"/>
                <w:bCs/>
                <w:i/>
                <w:sz w:val="20"/>
                <w:szCs w:val="20"/>
              </w:rPr>
            </w:pPr>
            <w:r w:rsidRPr="00326F5C">
              <w:rPr>
                <w:rFonts w:asciiTheme="majorHAnsi" w:eastAsia="Times New Roman" w:hAnsiTheme="majorHAnsi" w:cstheme="majorHAnsi"/>
                <w:bCs/>
                <w:sz w:val="20"/>
                <w:szCs w:val="20"/>
              </w:rPr>
              <w:t>MPH Epidemiology students</w:t>
            </w:r>
          </w:p>
          <w:p w:rsidR="000C5EA3" w:rsidRPr="00326F5C" w:rsidRDefault="000C5EA3" w:rsidP="00A37ED6">
            <w:pPr>
              <w:spacing w:after="100" w:afterAutospacing="1"/>
              <w:ind w:left="91"/>
              <w:rPr>
                <w:rFonts w:asciiTheme="majorHAnsi" w:eastAsia="Times New Roman" w:hAnsiTheme="majorHAnsi" w:cstheme="majorHAnsi"/>
                <w:bCs/>
                <w:sz w:val="20"/>
                <w:szCs w:val="20"/>
              </w:rPr>
            </w:pPr>
            <w:r w:rsidRPr="00326F5C">
              <w:rPr>
                <w:rFonts w:asciiTheme="majorHAnsi" w:eastAsia="Times New Roman" w:hAnsiTheme="majorHAnsi" w:cstheme="majorHAnsi"/>
                <w:bCs/>
                <w:i/>
                <w:sz w:val="20"/>
                <w:szCs w:val="20"/>
              </w:rPr>
              <w:t>Customized students*</w:t>
            </w:r>
          </w:p>
        </w:tc>
        <w:tc>
          <w:tcPr>
            <w:tcW w:w="1188" w:type="pct"/>
            <w:tcMar>
              <w:top w:w="0" w:type="dxa"/>
              <w:left w:w="108" w:type="dxa"/>
              <w:bottom w:w="0" w:type="dxa"/>
              <w:right w:w="108" w:type="dxa"/>
            </w:tcMar>
            <w:vAlign w:val="center"/>
          </w:tcPr>
          <w:p w:rsidR="000C5EA3" w:rsidRPr="00326F5C" w:rsidRDefault="000C5EA3" w:rsidP="00A37ED6">
            <w:pPr>
              <w:spacing w:before="100" w:beforeAutospacing="1" w:after="100" w:afterAutospacing="1"/>
              <w:rPr>
                <w:rFonts w:asciiTheme="majorHAnsi" w:eastAsia="Times New Roman" w:hAnsiTheme="majorHAnsi" w:cstheme="majorHAnsi"/>
                <w:bCs/>
                <w:i/>
                <w:sz w:val="20"/>
                <w:szCs w:val="20"/>
              </w:rPr>
            </w:pPr>
            <w:r w:rsidRPr="00326F5C">
              <w:rPr>
                <w:rFonts w:asciiTheme="majorHAnsi" w:eastAsia="Times New Roman" w:hAnsiTheme="majorHAnsi" w:cstheme="majorHAnsi"/>
                <w:bCs/>
                <w:i/>
                <w:sz w:val="20"/>
                <w:szCs w:val="20"/>
              </w:rPr>
              <w:t xml:space="preserve">Completed: </w:t>
            </w:r>
            <w:r w:rsidRPr="00326F5C">
              <w:rPr>
                <w:rFonts w:asciiTheme="majorHAnsi" w:eastAsia="Times New Roman" w:hAnsiTheme="majorHAnsi" w:cstheme="majorHAnsi"/>
                <w:bCs/>
                <w:i/>
                <w:sz w:val="20"/>
                <w:szCs w:val="20"/>
              </w:rPr>
              <w:br/>
              <w:t>PH 2615L</w:t>
            </w:r>
          </w:p>
        </w:tc>
        <w:tc>
          <w:tcPr>
            <w:tcW w:w="1759" w:type="pct"/>
            <w:vAlign w:val="center"/>
          </w:tcPr>
          <w:p w:rsidR="000C5EA3" w:rsidRPr="00326F5C" w:rsidRDefault="000C5EA3" w:rsidP="00A37ED6">
            <w:pPr>
              <w:spacing w:before="100" w:beforeAutospacing="1" w:after="100" w:afterAutospacing="1"/>
              <w:rPr>
                <w:rFonts w:asciiTheme="majorHAnsi" w:eastAsia="Times New Roman" w:hAnsiTheme="majorHAnsi" w:cstheme="majorHAnsi"/>
                <w:bCs/>
                <w:sz w:val="20"/>
                <w:szCs w:val="20"/>
              </w:rPr>
            </w:pPr>
            <w:r w:rsidRPr="00326F5C">
              <w:rPr>
                <w:rFonts w:asciiTheme="majorHAnsi" w:eastAsia="Times New Roman" w:hAnsiTheme="majorHAnsi" w:cstheme="majorHAnsi"/>
                <w:bCs/>
                <w:sz w:val="20"/>
                <w:szCs w:val="20"/>
                <w:u w:val="single"/>
              </w:rPr>
              <w:t>MPH Foundational Competencies</w:t>
            </w:r>
            <w:r w:rsidRPr="00326F5C">
              <w:rPr>
                <w:rFonts w:asciiTheme="majorHAnsi" w:eastAsia="Times New Roman" w:hAnsiTheme="majorHAnsi" w:cstheme="majorHAnsi"/>
                <w:bCs/>
                <w:sz w:val="20"/>
                <w:szCs w:val="20"/>
              </w:rPr>
              <w:t xml:space="preserve">: </w:t>
            </w:r>
            <w:r w:rsidRPr="00326F5C">
              <w:rPr>
                <w:rFonts w:asciiTheme="majorHAnsi" w:eastAsia="Times New Roman" w:hAnsiTheme="majorHAnsi" w:cstheme="majorHAnsi"/>
                <w:bCs/>
                <w:sz w:val="20"/>
                <w:szCs w:val="20"/>
              </w:rPr>
              <w:br/>
              <w:t>MPH-1, MPH-19</w:t>
            </w:r>
            <w:r w:rsidRPr="00326F5C">
              <w:rPr>
                <w:rFonts w:asciiTheme="majorHAnsi" w:eastAsia="Times New Roman" w:hAnsiTheme="majorHAnsi" w:cstheme="majorHAnsi"/>
                <w:bCs/>
                <w:sz w:val="20"/>
                <w:szCs w:val="20"/>
              </w:rPr>
              <w:br/>
            </w:r>
            <w:r w:rsidRPr="00326F5C">
              <w:rPr>
                <w:rFonts w:asciiTheme="majorHAnsi" w:eastAsia="Times New Roman" w:hAnsiTheme="majorHAnsi" w:cstheme="majorHAnsi"/>
                <w:bCs/>
                <w:sz w:val="20"/>
                <w:szCs w:val="20"/>
                <w:u w:val="single"/>
              </w:rPr>
              <w:t>MPH Epidemiology Competencies</w:t>
            </w:r>
            <w:r w:rsidRPr="00326F5C">
              <w:rPr>
                <w:rFonts w:asciiTheme="majorHAnsi" w:eastAsia="Times New Roman" w:hAnsiTheme="majorHAnsi" w:cstheme="majorHAnsi"/>
                <w:bCs/>
                <w:sz w:val="20"/>
                <w:szCs w:val="20"/>
              </w:rPr>
              <w:t xml:space="preserve">: </w:t>
            </w:r>
            <w:r w:rsidRPr="00326F5C">
              <w:rPr>
                <w:rFonts w:asciiTheme="majorHAnsi" w:eastAsia="Times New Roman" w:hAnsiTheme="majorHAnsi" w:cstheme="majorHAnsi"/>
                <w:bCs/>
                <w:sz w:val="20"/>
                <w:szCs w:val="20"/>
              </w:rPr>
              <w:br/>
              <w:t>MPH-E3, MPH-E2</w:t>
            </w:r>
          </w:p>
        </w:tc>
      </w:tr>
      <w:tr w:rsidR="000C5EA3" w:rsidRPr="00326F5C" w:rsidTr="002C0642">
        <w:trPr>
          <w:trHeight w:val="288"/>
        </w:trPr>
        <w:tc>
          <w:tcPr>
            <w:tcW w:w="917" w:type="pct"/>
            <w:vMerge w:val="restart"/>
            <w:tcMar>
              <w:top w:w="0" w:type="dxa"/>
              <w:left w:w="108" w:type="dxa"/>
              <w:bottom w:w="0" w:type="dxa"/>
              <w:right w:w="108" w:type="dxa"/>
            </w:tcMar>
            <w:vAlign w:val="center"/>
          </w:tcPr>
          <w:p w:rsidR="000C5EA3" w:rsidRPr="00326F5C" w:rsidRDefault="000C5EA3" w:rsidP="00A37ED6">
            <w:pPr>
              <w:jc w:val="center"/>
              <w:rPr>
                <w:rFonts w:asciiTheme="majorHAnsi" w:eastAsia="Times New Roman" w:hAnsiTheme="majorHAnsi" w:cstheme="majorHAnsi"/>
                <w:bCs/>
                <w:sz w:val="20"/>
                <w:szCs w:val="20"/>
              </w:rPr>
            </w:pPr>
            <w:r w:rsidRPr="00326F5C">
              <w:rPr>
                <w:rFonts w:asciiTheme="majorHAnsi" w:eastAsia="Times New Roman" w:hAnsiTheme="majorHAnsi" w:cstheme="majorHAnsi"/>
                <w:b/>
                <w:bCs/>
                <w:sz w:val="20"/>
                <w:szCs w:val="20"/>
              </w:rPr>
              <w:t>PHM 3996L</w:t>
            </w:r>
            <w:r w:rsidRPr="00326F5C">
              <w:rPr>
                <w:rFonts w:asciiTheme="majorHAnsi" w:eastAsia="Times New Roman" w:hAnsiTheme="majorHAnsi" w:cstheme="majorHAnsi"/>
                <w:bCs/>
                <w:sz w:val="20"/>
                <w:szCs w:val="20"/>
              </w:rPr>
              <w:t xml:space="preserve"> – </w:t>
            </w:r>
            <w:r w:rsidRPr="00326F5C">
              <w:rPr>
                <w:rFonts w:asciiTheme="majorHAnsi" w:hAnsiTheme="majorHAnsi" w:cstheme="majorHAnsi"/>
                <w:sz w:val="20"/>
                <w:szCs w:val="20"/>
              </w:rPr>
              <w:t>A Case Experience</w:t>
            </w:r>
            <w:r w:rsidR="00AB2FED" w:rsidRPr="00326F5C">
              <w:rPr>
                <w:rFonts w:asciiTheme="majorHAnsi" w:eastAsia="Times New Roman" w:hAnsiTheme="majorHAnsi" w:cstheme="majorHAnsi"/>
                <w:bCs/>
                <w:sz w:val="20"/>
                <w:szCs w:val="20"/>
              </w:rPr>
              <w:t xml:space="preserve"> </w:t>
            </w:r>
            <w:r w:rsidRPr="00326F5C">
              <w:rPr>
                <w:rFonts w:asciiTheme="majorHAnsi" w:eastAsia="Times New Roman" w:hAnsiTheme="majorHAnsi" w:cstheme="majorHAnsi"/>
                <w:bCs/>
                <w:sz w:val="20"/>
                <w:szCs w:val="20"/>
              </w:rPr>
              <w:t xml:space="preserve">or </w:t>
            </w:r>
            <w:r w:rsidRPr="00326F5C">
              <w:rPr>
                <w:rFonts w:asciiTheme="majorHAnsi" w:hAnsiTheme="majorHAnsi" w:cstheme="majorHAnsi"/>
                <w:sz w:val="20"/>
                <w:szCs w:val="20"/>
              </w:rPr>
              <w:t>Public Health Interprofessional Education</w:t>
            </w:r>
          </w:p>
        </w:tc>
        <w:tc>
          <w:tcPr>
            <w:tcW w:w="1136" w:type="pct"/>
            <w:vAlign w:val="center"/>
          </w:tcPr>
          <w:p w:rsidR="000C5EA3" w:rsidRPr="00326F5C" w:rsidRDefault="000C5EA3" w:rsidP="00A37ED6">
            <w:pPr>
              <w:ind w:left="91"/>
              <w:rPr>
                <w:rFonts w:asciiTheme="majorHAnsi" w:eastAsia="Times New Roman" w:hAnsiTheme="majorHAnsi" w:cstheme="majorHAnsi"/>
                <w:bCs/>
                <w:i/>
                <w:sz w:val="20"/>
                <w:szCs w:val="20"/>
              </w:rPr>
            </w:pPr>
            <w:r w:rsidRPr="00326F5C">
              <w:rPr>
                <w:rFonts w:asciiTheme="majorHAnsi" w:eastAsia="Times New Roman" w:hAnsiTheme="majorHAnsi" w:cstheme="majorHAnsi"/>
                <w:bCs/>
                <w:sz w:val="20"/>
                <w:szCs w:val="20"/>
              </w:rPr>
              <w:t>MPH Community Health Practice students</w:t>
            </w:r>
          </w:p>
          <w:p w:rsidR="000C5EA3" w:rsidRPr="00326F5C" w:rsidRDefault="000C5EA3" w:rsidP="00A37ED6">
            <w:pPr>
              <w:ind w:left="91"/>
              <w:rPr>
                <w:rFonts w:asciiTheme="majorHAnsi" w:eastAsia="Times New Roman" w:hAnsiTheme="majorHAnsi" w:cstheme="majorHAnsi"/>
                <w:bCs/>
                <w:sz w:val="20"/>
                <w:szCs w:val="20"/>
              </w:rPr>
            </w:pPr>
            <w:r w:rsidRPr="00326F5C">
              <w:rPr>
                <w:rFonts w:asciiTheme="majorHAnsi" w:eastAsia="Times New Roman" w:hAnsiTheme="majorHAnsi" w:cstheme="majorHAnsi"/>
                <w:bCs/>
                <w:i/>
                <w:sz w:val="20"/>
                <w:szCs w:val="20"/>
              </w:rPr>
              <w:t>Customized students*</w:t>
            </w:r>
          </w:p>
        </w:tc>
        <w:tc>
          <w:tcPr>
            <w:tcW w:w="1188" w:type="pct"/>
            <w:tcMar>
              <w:top w:w="0" w:type="dxa"/>
              <w:left w:w="108" w:type="dxa"/>
              <w:bottom w:w="0" w:type="dxa"/>
              <w:right w:w="108" w:type="dxa"/>
            </w:tcMar>
            <w:vAlign w:val="center"/>
          </w:tcPr>
          <w:p w:rsidR="000C5EA3" w:rsidRPr="00326F5C" w:rsidRDefault="000C5EA3" w:rsidP="00A37ED6">
            <w:pPr>
              <w:rPr>
                <w:rFonts w:asciiTheme="majorHAnsi" w:eastAsia="Times New Roman" w:hAnsiTheme="majorHAnsi" w:cstheme="majorHAnsi"/>
                <w:bCs/>
                <w:i/>
                <w:sz w:val="20"/>
                <w:szCs w:val="20"/>
              </w:rPr>
            </w:pPr>
            <w:r w:rsidRPr="00326F5C">
              <w:rPr>
                <w:rFonts w:asciiTheme="majorHAnsi" w:eastAsia="Times New Roman" w:hAnsiTheme="majorHAnsi" w:cstheme="majorHAnsi"/>
                <w:bCs/>
                <w:i/>
                <w:sz w:val="20"/>
                <w:szCs w:val="20"/>
              </w:rPr>
              <w:t>None</w:t>
            </w:r>
          </w:p>
        </w:tc>
        <w:tc>
          <w:tcPr>
            <w:tcW w:w="1759" w:type="pct"/>
            <w:vAlign w:val="center"/>
          </w:tcPr>
          <w:p w:rsidR="000C5EA3" w:rsidRPr="00326F5C" w:rsidRDefault="000C5EA3" w:rsidP="00A37ED6">
            <w:pPr>
              <w:rPr>
                <w:rFonts w:asciiTheme="majorHAnsi" w:eastAsia="Times New Roman" w:hAnsiTheme="majorHAnsi" w:cstheme="majorHAnsi"/>
                <w:bCs/>
                <w:sz w:val="20"/>
                <w:szCs w:val="20"/>
              </w:rPr>
            </w:pPr>
            <w:r w:rsidRPr="00326F5C">
              <w:rPr>
                <w:rFonts w:asciiTheme="majorHAnsi" w:eastAsia="Times New Roman" w:hAnsiTheme="majorHAnsi" w:cstheme="majorHAnsi"/>
                <w:bCs/>
                <w:sz w:val="20"/>
                <w:szCs w:val="20"/>
                <w:u w:val="single"/>
              </w:rPr>
              <w:t>MPH Foundational Competencies</w:t>
            </w:r>
            <w:r w:rsidRPr="00326F5C">
              <w:rPr>
                <w:rFonts w:asciiTheme="majorHAnsi" w:eastAsia="Times New Roman" w:hAnsiTheme="majorHAnsi" w:cstheme="majorHAnsi"/>
                <w:bCs/>
                <w:sz w:val="20"/>
                <w:szCs w:val="20"/>
              </w:rPr>
              <w:t xml:space="preserve">: </w:t>
            </w:r>
            <w:r w:rsidRPr="00326F5C">
              <w:rPr>
                <w:rFonts w:asciiTheme="majorHAnsi" w:eastAsia="Times New Roman" w:hAnsiTheme="majorHAnsi" w:cstheme="majorHAnsi"/>
                <w:bCs/>
                <w:sz w:val="20"/>
                <w:szCs w:val="20"/>
              </w:rPr>
              <w:br/>
              <w:t>MPH-3, MPH-4, MPH-22</w:t>
            </w:r>
            <w:r w:rsidRPr="00326F5C">
              <w:rPr>
                <w:rFonts w:asciiTheme="majorHAnsi" w:eastAsia="Times New Roman" w:hAnsiTheme="majorHAnsi" w:cstheme="majorHAnsi"/>
                <w:bCs/>
                <w:sz w:val="20"/>
                <w:szCs w:val="20"/>
              </w:rPr>
              <w:br/>
            </w:r>
            <w:r w:rsidRPr="00326F5C">
              <w:rPr>
                <w:rFonts w:asciiTheme="majorHAnsi" w:eastAsia="Times New Roman" w:hAnsiTheme="majorHAnsi" w:cstheme="majorHAnsi"/>
                <w:bCs/>
                <w:sz w:val="20"/>
                <w:szCs w:val="20"/>
                <w:u w:val="single"/>
              </w:rPr>
              <w:t>MPH Community Health Practice Competencies</w:t>
            </w:r>
            <w:r w:rsidRPr="00326F5C">
              <w:rPr>
                <w:rFonts w:asciiTheme="majorHAnsi" w:eastAsia="Times New Roman" w:hAnsiTheme="majorHAnsi" w:cstheme="majorHAnsi"/>
                <w:bCs/>
                <w:sz w:val="20"/>
                <w:szCs w:val="20"/>
              </w:rPr>
              <w:t>: MPH-C1, MPH-C5</w:t>
            </w:r>
          </w:p>
        </w:tc>
      </w:tr>
      <w:tr w:rsidR="000C5EA3" w:rsidRPr="00326F5C" w:rsidTr="002C0642">
        <w:trPr>
          <w:trHeight w:val="288"/>
        </w:trPr>
        <w:tc>
          <w:tcPr>
            <w:tcW w:w="917" w:type="pct"/>
            <w:vMerge/>
            <w:tcMar>
              <w:top w:w="0" w:type="dxa"/>
              <w:left w:w="108" w:type="dxa"/>
              <w:bottom w:w="0" w:type="dxa"/>
              <w:right w:w="108" w:type="dxa"/>
            </w:tcMar>
            <w:vAlign w:val="center"/>
          </w:tcPr>
          <w:p w:rsidR="000C5EA3" w:rsidRPr="00326F5C" w:rsidRDefault="000C5EA3" w:rsidP="00A37ED6">
            <w:pPr>
              <w:jc w:val="center"/>
              <w:rPr>
                <w:rFonts w:asciiTheme="majorHAnsi" w:eastAsia="Times New Roman" w:hAnsiTheme="majorHAnsi" w:cstheme="majorHAnsi"/>
                <w:bCs/>
                <w:sz w:val="20"/>
                <w:szCs w:val="20"/>
              </w:rPr>
            </w:pPr>
          </w:p>
        </w:tc>
        <w:tc>
          <w:tcPr>
            <w:tcW w:w="1136" w:type="pct"/>
            <w:vAlign w:val="center"/>
          </w:tcPr>
          <w:p w:rsidR="000C5EA3" w:rsidRPr="00326F5C" w:rsidRDefault="000C5EA3" w:rsidP="00A37ED6">
            <w:pPr>
              <w:ind w:left="91"/>
              <w:rPr>
                <w:rFonts w:asciiTheme="majorHAnsi" w:eastAsia="Times New Roman" w:hAnsiTheme="majorHAnsi" w:cstheme="majorHAnsi"/>
                <w:bCs/>
                <w:i/>
                <w:sz w:val="20"/>
                <w:szCs w:val="20"/>
              </w:rPr>
            </w:pPr>
            <w:r w:rsidRPr="00326F5C">
              <w:rPr>
                <w:rFonts w:asciiTheme="majorHAnsi" w:eastAsia="Times New Roman" w:hAnsiTheme="majorHAnsi" w:cstheme="majorHAnsi"/>
                <w:bCs/>
                <w:sz w:val="20"/>
                <w:szCs w:val="20"/>
              </w:rPr>
              <w:t>MPH Healthcare Management students</w:t>
            </w:r>
          </w:p>
          <w:p w:rsidR="000C5EA3" w:rsidRPr="00326F5C" w:rsidRDefault="000C5EA3" w:rsidP="00A37ED6">
            <w:pPr>
              <w:ind w:left="91"/>
              <w:rPr>
                <w:rFonts w:asciiTheme="majorHAnsi" w:eastAsia="Times New Roman" w:hAnsiTheme="majorHAnsi" w:cstheme="majorHAnsi"/>
                <w:bCs/>
                <w:sz w:val="20"/>
                <w:szCs w:val="20"/>
              </w:rPr>
            </w:pPr>
            <w:r w:rsidRPr="00326F5C">
              <w:rPr>
                <w:rFonts w:asciiTheme="majorHAnsi" w:eastAsia="Times New Roman" w:hAnsiTheme="majorHAnsi" w:cstheme="majorHAnsi"/>
                <w:bCs/>
                <w:i/>
                <w:sz w:val="20"/>
                <w:szCs w:val="20"/>
              </w:rPr>
              <w:t>Customized students*</w:t>
            </w:r>
          </w:p>
        </w:tc>
        <w:tc>
          <w:tcPr>
            <w:tcW w:w="1188" w:type="pct"/>
            <w:tcMar>
              <w:top w:w="0" w:type="dxa"/>
              <w:left w:w="108" w:type="dxa"/>
              <w:bottom w:w="0" w:type="dxa"/>
              <w:right w:w="108" w:type="dxa"/>
            </w:tcMar>
            <w:vAlign w:val="center"/>
          </w:tcPr>
          <w:p w:rsidR="000C5EA3" w:rsidRPr="00326F5C" w:rsidRDefault="000C5EA3" w:rsidP="00A37ED6">
            <w:pPr>
              <w:rPr>
                <w:rFonts w:asciiTheme="majorHAnsi" w:eastAsia="Times New Roman" w:hAnsiTheme="majorHAnsi" w:cstheme="majorHAnsi"/>
                <w:bCs/>
                <w:i/>
                <w:sz w:val="20"/>
                <w:szCs w:val="20"/>
              </w:rPr>
            </w:pPr>
            <w:r w:rsidRPr="00326F5C">
              <w:rPr>
                <w:rFonts w:asciiTheme="majorHAnsi" w:eastAsia="Times New Roman" w:hAnsiTheme="majorHAnsi" w:cstheme="majorHAnsi"/>
                <w:bCs/>
                <w:i/>
                <w:sz w:val="20"/>
                <w:szCs w:val="20"/>
              </w:rPr>
              <w:t>None</w:t>
            </w:r>
          </w:p>
        </w:tc>
        <w:tc>
          <w:tcPr>
            <w:tcW w:w="1759" w:type="pct"/>
            <w:vAlign w:val="center"/>
          </w:tcPr>
          <w:p w:rsidR="000C5EA3" w:rsidRPr="00326F5C" w:rsidRDefault="000C5EA3" w:rsidP="00A37ED6">
            <w:pPr>
              <w:rPr>
                <w:rFonts w:asciiTheme="majorHAnsi" w:eastAsia="Times New Roman" w:hAnsiTheme="majorHAnsi" w:cstheme="majorHAnsi"/>
                <w:bCs/>
                <w:sz w:val="20"/>
                <w:szCs w:val="20"/>
              </w:rPr>
            </w:pPr>
            <w:r w:rsidRPr="00326F5C">
              <w:rPr>
                <w:rFonts w:asciiTheme="majorHAnsi" w:eastAsia="Times New Roman" w:hAnsiTheme="majorHAnsi" w:cstheme="majorHAnsi"/>
                <w:bCs/>
                <w:sz w:val="20"/>
                <w:szCs w:val="20"/>
                <w:u w:val="single"/>
              </w:rPr>
              <w:t>MPH Foundational Competencies</w:t>
            </w:r>
            <w:r w:rsidRPr="00326F5C">
              <w:rPr>
                <w:rFonts w:asciiTheme="majorHAnsi" w:eastAsia="Times New Roman" w:hAnsiTheme="majorHAnsi" w:cstheme="majorHAnsi"/>
                <w:bCs/>
                <w:sz w:val="20"/>
                <w:szCs w:val="20"/>
              </w:rPr>
              <w:t xml:space="preserve">: </w:t>
            </w:r>
            <w:r w:rsidRPr="00326F5C">
              <w:rPr>
                <w:rFonts w:asciiTheme="majorHAnsi" w:eastAsia="Times New Roman" w:hAnsiTheme="majorHAnsi" w:cstheme="majorHAnsi"/>
                <w:bCs/>
                <w:sz w:val="20"/>
                <w:szCs w:val="20"/>
              </w:rPr>
              <w:br/>
              <w:t>MPH-3, MPH-4, MPH-22</w:t>
            </w:r>
            <w:r w:rsidRPr="00326F5C">
              <w:rPr>
                <w:rFonts w:asciiTheme="majorHAnsi" w:eastAsia="Times New Roman" w:hAnsiTheme="majorHAnsi" w:cstheme="majorHAnsi"/>
                <w:bCs/>
                <w:sz w:val="20"/>
                <w:szCs w:val="20"/>
              </w:rPr>
              <w:br/>
            </w:r>
            <w:r w:rsidRPr="00326F5C">
              <w:rPr>
                <w:rFonts w:asciiTheme="majorHAnsi" w:eastAsia="Times New Roman" w:hAnsiTheme="majorHAnsi" w:cstheme="majorHAnsi"/>
                <w:bCs/>
                <w:sz w:val="20"/>
                <w:szCs w:val="20"/>
                <w:u w:val="single"/>
              </w:rPr>
              <w:t>MPH Healthcare Management Competencies</w:t>
            </w:r>
            <w:r w:rsidRPr="00326F5C">
              <w:rPr>
                <w:rFonts w:asciiTheme="majorHAnsi" w:eastAsia="Times New Roman" w:hAnsiTheme="majorHAnsi" w:cstheme="majorHAnsi"/>
                <w:bCs/>
                <w:sz w:val="20"/>
                <w:szCs w:val="20"/>
              </w:rPr>
              <w:t>: MPH-M2, MPH-M3, MPH-M4</w:t>
            </w:r>
          </w:p>
        </w:tc>
      </w:tr>
      <w:tr w:rsidR="000C5EA3" w:rsidRPr="00326F5C" w:rsidTr="002C0642">
        <w:trPr>
          <w:trHeight w:val="288"/>
        </w:trPr>
        <w:tc>
          <w:tcPr>
            <w:tcW w:w="917" w:type="pct"/>
            <w:vMerge/>
            <w:tcMar>
              <w:top w:w="0" w:type="dxa"/>
              <w:left w:w="108" w:type="dxa"/>
              <w:bottom w:w="0" w:type="dxa"/>
              <w:right w:w="108" w:type="dxa"/>
            </w:tcMar>
            <w:vAlign w:val="center"/>
          </w:tcPr>
          <w:p w:rsidR="000C5EA3" w:rsidRPr="00326F5C" w:rsidRDefault="000C5EA3" w:rsidP="00A37ED6">
            <w:pPr>
              <w:jc w:val="center"/>
              <w:rPr>
                <w:rFonts w:asciiTheme="majorHAnsi" w:eastAsia="Times New Roman" w:hAnsiTheme="majorHAnsi" w:cstheme="majorHAnsi"/>
                <w:bCs/>
                <w:sz w:val="20"/>
                <w:szCs w:val="20"/>
              </w:rPr>
            </w:pPr>
          </w:p>
        </w:tc>
        <w:tc>
          <w:tcPr>
            <w:tcW w:w="1136" w:type="pct"/>
            <w:vAlign w:val="center"/>
          </w:tcPr>
          <w:p w:rsidR="000C5EA3" w:rsidRPr="00326F5C" w:rsidRDefault="000C5EA3" w:rsidP="00A37ED6">
            <w:pPr>
              <w:ind w:left="91"/>
              <w:rPr>
                <w:rFonts w:asciiTheme="majorHAnsi" w:eastAsia="Times New Roman" w:hAnsiTheme="majorHAnsi" w:cstheme="majorHAnsi"/>
                <w:bCs/>
                <w:sz w:val="20"/>
                <w:szCs w:val="20"/>
              </w:rPr>
            </w:pPr>
            <w:r w:rsidRPr="00326F5C">
              <w:rPr>
                <w:rFonts w:asciiTheme="majorHAnsi" w:eastAsia="Times New Roman" w:hAnsiTheme="majorHAnsi" w:cstheme="majorHAnsi"/>
                <w:bCs/>
                <w:sz w:val="20"/>
                <w:szCs w:val="20"/>
              </w:rPr>
              <w:t>MPH Health Services Organizations students</w:t>
            </w:r>
          </w:p>
          <w:p w:rsidR="000C5EA3" w:rsidRPr="00326F5C" w:rsidRDefault="000C5EA3" w:rsidP="00A37ED6">
            <w:pPr>
              <w:ind w:left="91"/>
              <w:rPr>
                <w:rFonts w:asciiTheme="majorHAnsi" w:eastAsia="Times New Roman" w:hAnsiTheme="majorHAnsi" w:cstheme="majorHAnsi"/>
                <w:bCs/>
                <w:sz w:val="20"/>
                <w:szCs w:val="20"/>
              </w:rPr>
            </w:pPr>
            <w:r w:rsidRPr="00326F5C">
              <w:rPr>
                <w:rFonts w:asciiTheme="majorHAnsi" w:eastAsia="Times New Roman" w:hAnsiTheme="majorHAnsi" w:cstheme="majorHAnsi"/>
                <w:bCs/>
                <w:i/>
                <w:sz w:val="20"/>
                <w:szCs w:val="20"/>
              </w:rPr>
              <w:t>Customized students*</w:t>
            </w:r>
          </w:p>
        </w:tc>
        <w:tc>
          <w:tcPr>
            <w:tcW w:w="1188" w:type="pct"/>
            <w:tcMar>
              <w:top w:w="0" w:type="dxa"/>
              <w:left w:w="108" w:type="dxa"/>
              <w:bottom w:w="0" w:type="dxa"/>
              <w:right w:w="108" w:type="dxa"/>
            </w:tcMar>
            <w:vAlign w:val="center"/>
          </w:tcPr>
          <w:p w:rsidR="000C5EA3" w:rsidRPr="00326F5C" w:rsidRDefault="000C5EA3" w:rsidP="00A37ED6">
            <w:pPr>
              <w:rPr>
                <w:rFonts w:asciiTheme="majorHAnsi" w:eastAsia="Times New Roman" w:hAnsiTheme="majorHAnsi" w:cstheme="majorHAnsi"/>
                <w:bCs/>
                <w:i/>
                <w:sz w:val="20"/>
                <w:szCs w:val="20"/>
              </w:rPr>
            </w:pPr>
            <w:r w:rsidRPr="00326F5C">
              <w:rPr>
                <w:rFonts w:asciiTheme="majorHAnsi" w:eastAsia="Times New Roman" w:hAnsiTheme="majorHAnsi" w:cstheme="majorHAnsi"/>
                <w:bCs/>
                <w:i/>
                <w:sz w:val="20"/>
                <w:szCs w:val="20"/>
              </w:rPr>
              <w:t>None</w:t>
            </w:r>
          </w:p>
        </w:tc>
        <w:tc>
          <w:tcPr>
            <w:tcW w:w="1759" w:type="pct"/>
            <w:vAlign w:val="center"/>
          </w:tcPr>
          <w:p w:rsidR="000C5EA3" w:rsidRPr="00326F5C" w:rsidRDefault="000C5EA3" w:rsidP="00A37ED6">
            <w:pPr>
              <w:rPr>
                <w:rFonts w:asciiTheme="majorHAnsi" w:eastAsia="Times New Roman" w:hAnsiTheme="majorHAnsi" w:cstheme="majorHAnsi"/>
                <w:bCs/>
                <w:sz w:val="20"/>
                <w:szCs w:val="20"/>
              </w:rPr>
            </w:pPr>
            <w:r w:rsidRPr="00326F5C">
              <w:rPr>
                <w:rFonts w:asciiTheme="majorHAnsi" w:eastAsia="Times New Roman" w:hAnsiTheme="majorHAnsi" w:cstheme="majorHAnsi"/>
                <w:bCs/>
                <w:sz w:val="20"/>
                <w:szCs w:val="20"/>
                <w:u w:val="single"/>
              </w:rPr>
              <w:t>MPH Foundational Competencies</w:t>
            </w:r>
            <w:r w:rsidRPr="00326F5C">
              <w:rPr>
                <w:rFonts w:asciiTheme="majorHAnsi" w:eastAsia="Times New Roman" w:hAnsiTheme="majorHAnsi" w:cstheme="majorHAnsi"/>
                <w:bCs/>
                <w:sz w:val="20"/>
                <w:szCs w:val="20"/>
              </w:rPr>
              <w:t xml:space="preserve">: </w:t>
            </w:r>
            <w:r w:rsidRPr="00326F5C">
              <w:rPr>
                <w:rFonts w:asciiTheme="majorHAnsi" w:eastAsia="Times New Roman" w:hAnsiTheme="majorHAnsi" w:cstheme="majorHAnsi"/>
                <w:bCs/>
                <w:sz w:val="20"/>
                <w:szCs w:val="20"/>
              </w:rPr>
              <w:br/>
              <w:t>MPH-3, MPH-4, MPH-22</w:t>
            </w:r>
            <w:r w:rsidRPr="00326F5C">
              <w:rPr>
                <w:rFonts w:asciiTheme="majorHAnsi" w:eastAsia="Times New Roman" w:hAnsiTheme="majorHAnsi" w:cstheme="majorHAnsi"/>
                <w:bCs/>
                <w:sz w:val="20"/>
                <w:szCs w:val="20"/>
              </w:rPr>
              <w:br/>
            </w:r>
            <w:r w:rsidRPr="00326F5C">
              <w:rPr>
                <w:rFonts w:asciiTheme="majorHAnsi" w:eastAsia="Times New Roman" w:hAnsiTheme="majorHAnsi" w:cstheme="majorHAnsi"/>
                <w:bCs/>
                <w:sz w:val="20"/>
                <w:szCs w:val="20"/>
                <w:u w:val="single"/>
              </w:rPr>
              <w:t>MPH Health Services Organizations</w:t>
            </w:r>
            <w:r w:rsidRPr="00326F5C">
              <w:rPr>
                <w:rFonts w:asciiTheme="majorHAnsi" w:eastAsia="Times New Roman" w:hAnsiTheme="majorHAnsi" w:cstheme="majorHAnsi"/>
                <w:bCs/>
                <w:sz w:val="20"/>
                <w:szCs w:val="20"/>
              </w:rPr>
              <w:t xml:space="preserve">: </w:t>
            </w:r>
            <w:r w:rsidRPr="00326F5C">
              <w:rPr>
                <w:rFonts w:asciiTheme="majorHAnsi" w:eastAsia="Times New Roman" w:hAnsiTheme="majorHAnsi" w:cstheme="majorHAnsi"/>
                <w:bCs/>
                <w:sz w:val="20"/>
                <w:szCs w:val="20"/>
              </w:rPr>
              <w:br/>
              <w:t>MPH-S3, MPH-S4</w:t>
            </w:r>
          </w:p>
        </w:tc>
      </w:tr>
      <w:tr w:rsidR="000C5EA3" w:rsidRPr="00326F5C" w:rsidTr="002C0642">
        <w:trPr>
          <w:trHeight w:val="288"/>
        </w:trPr>
        <w:tc>
          <w:tcPr>
            <w:tcW w:w="917" w:type="pct"/>
            <w:tcMar>
              <w:top w:w="0" w:type="dxa"/>
              <w:left w:w="108" w:type="dxa"/>
              <w:bottom w:w="0" w:type="dxa"/>
              <w:right w:w="108" w:type="dxa"/>
            </w:tcMar>
            <w:vAlign w:val="center"/>
            <w:hideMark/>
          </w:tcPr>
          <w:p w:rsidR="000C5EA3" w:rsidRPr="001247EE" w:rsidRDefault="000C5EA3" w:rsidP="00A37ED6">
            <w:pPr>
              <w:spacing w:before="100" w:beforeAutospacing="1" w:after="100" w:afterAutospacing="1"/>
              <w:jc w:val="center"/>
              <w:rPr>
                <w:rFonts w:asciiTheme="majorHAnsi" w:eastAsia="Times New Roman" w:hAnsiTheme="majorHAnsi" w:cstheme="majorHAnsi"/>
                <w:b/>
                <w:sz w:val="20"/>
                <w:szCs w:val="20"/>
              </w:rPr>
            </w:pPr>
            <w:r w:rsidRPr="001247EE">
              <w:rPr>
                <w:rFonts w:asciiTheme="majorHAnsi" w:eastAsia="Times New Roman" w:hAnsiTheme="majorHAnsi" w:cstheme="majorHAnsi"/>
                <w:b/>
                <w:sz w:val="20"/>
                <w:szCs w:val="20"/>
              </w:rPr>
              <w:t>PHM 5096</w:t>
            </w:r>
          </w:p>
        </w:tc>
        <w:tc>
          <w:tcPr>
            <w:tcW w:w="1136" w:type="pct"/>
            <w:vAlign w:val="center"/>
          </w:tcPr>
          <w:p w:rsidR="000C5EA3" w:rsidRPr="00326F5C" w:rsidRDefault="000C5EA3" w:rsidP="00A37ED6">
            <w:pPr>
              <w:spacing w:before="100" w:beforeAutospacing="1" w:after="100" w:afterAutospacing="1"/>
              <w:ind w:left="91"/>
              <w:rPr>
                <w:rFonts w:asciiTheme="majorHAnsi" w:eastAsia="Times New Roman" w:hAnsiTheme="majorHAnsi" w:cstheme="majorHAnsi"/>
                <w:i/>
                <w:iCs/>
                <w:sz w:val="20"/>
                <w:szCs w:val="20"/>
              </w:rPr>
            </w:pPr>
            <w:r w:rsidRPr="00326F5C">
              <w:rPr>
                <w:rFonts w:asciiTheme="majorHAnsi" w:eastAsia="Times New Roman" w:hAnsiTheme="majorHAnsi" w:cstheme="majorHAnsi"/>
                <w:i/>
                <w:iCs/>
                <w:sz w:val="20"/>
                <w:szCs w:val="20"/>
              </w:rPr>
              <w:t xml:space="preserve">Varies by campus and </w:t>
            </w:r>
            <w:r w:rsidRPr="00326F5C">
              <w:rPr>
                <w:rFonts w:asciiTheme="majorHAnsi" w:eastAsia="Times New Roman" w:hAnsiTheme="majorHAnsi" w:cstheme="majorHAnsi"/>
                <w:i/>
                <w:iCs/>
                <w:sz w:val="20"/>
                <w:szCs w:val="20"/>
              </w:rPr>
              <w:br/>
              <w:t>course offering</w:t>
            </w:r>
          </w:p>
        </w:tc>
        <w:tc>
          <w:tcPr>
            <w:tcW w:w="1188" w:type="pct"/>
            <w:tcMar>
              <w:top w:w="0" w:type="dxa"/>
              <w:left w:w="108" w:type="dxa"/>
              <w:bottom w:w="0" w:type="dxa"/>
              <w:right w:w="108" w:type="dxa"/>
            </w:tcMar>
            <w:vAlign w:val="center"/>
          </w:tcPr>
          <w:p w:rsidR="000C5EA3" w:rsidRPr="00326F5C" w:rsidRDefault="000C5EA3" w:rsidP="00A37ED6">
            <w:pPr>
              <w:spacing w:before="100" w:beforeAutospacing="1" w:after="100" w:afterAutospacing="1"/>
              <w:rPr>
                <w:rFonts w:asciiTheme="majorHAnsi" w:eastAsia="Times New Roman" w:hAnsiTheme="majorHAnsi" w:cstheme="majorHAnsi"/>
                <w:i/>
                <w:iCs/>
                <w:sz w:val="20"/>
                <w:szCs w:val="20"/>
              </w:rPr>
            </w:pPr>
            <w:r w:rsidRPr="00326F5C">
              <w:rPr>
                <w:rFonts w:asciiTheme="majorHAnsi" w:eastAsia="Times New Roman" w:hAnsiTheme="majorHAnsi" w:cstheme="majorHAnsi"/>
                <w:i/>
                <w:iCs/>
                <w:sz w:val="20"/>
                <w:szCs w:val="20"/>
              </w:rPr>
              <w:t xml:space="preserve">Varies by campus and </w:t>
            </w:r>
            <w:r w:rsidRPr="00326F5C">
              <w:rPr>
                <w:rFonts w:asciiTheme="majorHAnsi" w:eastAsia="Times New Roman" w:hAnsiTheme="majorHAnsi" w:cstheme="majorHAnsi"/>
                <w:i/>
                <w:iCs/>
                <w:sz w:val="20"/>
                <w:szCs w:val="20"/>
              </w:rPr>
              <w:br/>
              <w:t>course offering</w:t>
            </w:r>
          </w:p>
        </w:tc>
        <w:tc>
          <w:tcPr>
            <w:tcW w:w="1759" w:type="pct"/>
            <w:vAlign w:val="center"/>
          </w:tcPr>
          <w:p w:rsidR="000C5EA3" w:rsidRPr="00326F5C" w:rsidRDefault="000C5EA3" w:rsidP="00A37ED6">
            <w:pPr>
              <w:spacing w:before="100" w:beforeAutospacing="1" w:after="100" w:afterAutospacing="1"/>
              <w:rPr>
                <w:rFonts w:asciiTheme="majorHAnsi" w:eastAsia="Times New Roman" w:hAnsiTheme="majorHAnsi" w:cstheme="majorHAnsi"/>
                <w:i/>
                <w:iCs/>
                <w:sz w:val="20"/>
                <w:szCs w:val="20"/>
              </w:rPr>
            </w:pPr>
            <w:r w:rsidRPr="00326F5C">
              <w:rPr>
                <w:rFonts w:asciiTheme="majorHAnsi" w:eastAsia="Times New Roman" w:hAnsiTheme="majorHAnsi" w:cstheme="majorHAnsi"/>
                <w:i/>
                <w:iCs/>
                <w:sz w:val="20"/>
                <w:szCs w:val="20"/>
              </w:rPr>
              <w:t>Varies by course</w:t>
            </w:r>
          </w:p>
        </w:tc>
      </w:tr>
    </w:tbl>
    <w:p w:rsidR="000C5EA3" w:rsidRPr="00326F5C" w:rsidRDefault="000C5EA3" w:rsidP="00A37ED6">
      <w:pPr>
        <w:shd w:val="clear" w:color="auto" w:fill="FFFFFF"/>
        <w:jc w:val="both"/>
        <w:rPr>
          <w:rFonts w:asciiTheme="majorHAnsi" w:eastAsia="Arial Unicode MS" w:hAnsiTheme="majorHAnsi" w:cstheme="majorHAnsi"/>
          <w:sz w:val="20"/>
          <w:szCs w:val="20"/>
        </w:rPr>
      </w:pPr>
    </w:p>
    <w:p w:rsidR="000C5EA3" w:rsidRPr="00326F5C" w:rsidRDefault="000C5EA3" w:rsidP="00A37ED6">
      <w:pPr>
        <w:ind w:left="720"/>
        <w:rPr>
          <w:rFonts w:asciiTheme="majorHAnsi" w:eastAsia="Times New Roman" w:hAnsiTheme="majorHAnsi" w:cstheme="majorHAnsi"/>
          <w:bCs/>
          <w:color w:val="000000"/>
          <w:sz w:val="20"/>
          <w:szCs w:val="20"/>
        </w:rPr>
      </w:pPr>
      <w:r w:rsidRPr="00326F5C">
        <w:rPr>
          <w:rFonts w:asciiTheme="majorHAnsi" w:eastAsia="Times New Roman" w:hAnsiTheme="majorHAnsi" w:cstheme="majorHAnsi"/>
          <w:bCs/>
          <w:color w:val="000000"/>
          <w:sz w:val="20"/>
          <w:szCs w:val="20"/>
          <w:u w:val="single"/>
        </w:rPr>
        <w:t>Independent ILE</w:t>
      </w:r>
      <w:r w:rsidRPr="00326F5C">
        <w:rPr>
          <w:rFonts w:asciiTheme="majorHAnsi" w:eastAsia="Times New Roman" w:hAnsiTheme="majorHAnsi" w:cstheme="majorHAnsi"/>
          <w:bCs/>
          <w:color w:val="000000"/>
          <w:sz w:val="20"/>
          <w:szCs w:val="20"/>
        </w:rPr>
        <w:t xml:space="preserve">: MPH students may elect to complete an independent integrative learning experience under the supervision of a faculty member as means to satisfy the ILE requirement. Students self-identify competencies (a minimum of two MPH Foundational Knowledge competencies and two major-specific competencies as defined in </w:t>
      </w:r>
      <w:hyperlink w:anchor="_D2._MPH_Foundational_1" w:history="1">
        <w:r w:rsidR="00185789" w:rsidRPr="00326F5C">
          <w:rPr>
            <w:rStyle w:val="Hyperlink"/>
            <w:rFonts w:asciiTheme="majorHAnsi" w:eastAsia="Times New Roman" w:hAnsiTheme="majorHAnsi" w:cstheme="majorHAnsi"/>
            <w:bCs/>
            <w:i/>
            <w:sz w:val="20"/>
            <w:szCs w:val="20"/>
          </w:rPr>
          <w:t>Criterion D2. MPH Foundational Knowledge</w:t>
        </w:r>
      </w:hyperlink>
      <w:r w:rsidRPr="00326F5C">
        <w:rPr>
          <w:rFonts w:asciiTheme="majorHAnsi" w:eastAsia="Times New Roman" w:hAnsiTheme="majorHAnsi" w:cstheme="majorHAnsi"/>
          <w:bCs/>
          <w:color w:val="000000"/>
          <w:sz w:val="20"/>
          <w:szCs w:val="20"/>
        </w:rPr>
        <w:t xml:space="preserve"> and </w:t>
      </w:r>
      <w:hyperlink w:anchor="_D4._MPH_&amp;" w:history="1">
        <w:r w:rsidR="00185789" w:rsidRPr="00326F5C">
          <w:rPr>
            <w:rStyle w:val="Hyperlink"/>
            <w:rFonts w:asciiTheme="majorHAnsi" w:eastAsia="Times New Roman" w:hAnsiTheme="majorHAnsi" w:cstheme="majorHAnsi"/>
            <w:bCs/>
            <w:i/>
            <w:sz w:val="20"/>
            <w:szCs w:val="20"/>
          </w:rPr>
          <w:t>Criterion D4. MPH &amp; DrPH Concentration Competencies</w:t>
        </w:r>
      </w:hyperlink>
      <w:r w:rsidR="00C109F3" w:rsidRPr="00326F5C">
        <w:rPr>
          <w:rStyle w:val="Hyperlink"/>
          <w:rFonts w:asciiTheme="majorHAnsi" w:eastAsia="Times New Roman" w:hAnsiTheme="majorHAnsi" w:cstheme="majorHAnsi"/>
          <w:bCs/>
          <w:color w:val="auto"/>
          <w:sz w:val="20"/>
          <w:szCs w:val="20"/>
          <w:u w:val="none"/>
        </w:rPr>
        <w:t>, respectively)</w:t>
      </w:r>
      <w:r w:rsidRPr="00326F5C">
        <w:rPr>
          <w:rFonts w:asciiTheme="majorHAnsi" w:eastAsia="Times New Roman" w:hAnsiTheme="majorHAnsi" w:cstheme="majorHAnsi"/>
          <w:bCs/>
          <w:color w:val="000000"/>
          <w:sz w:val="20"/>
          <w:szCs w:val="20"/>
        </w:rPr>
        <w:t xml:space="preserve"> and propose an ILE project to be supervised by a faculty member using the </w:t>
      </w:r>
      <w:r w:rsidRPr="00326F5C">
        <w:rPr>
          <w:rFonts w:asciiTheme="majorHAnsi" w:hAnsiTheme="majorHAnsi" w:cstheme="majorHAnsi"/>
          <w:sz w:val="20"/>
          <w:szCs w:val="20"/>
        </w:rPr>
        <w:t>MPH Integrative Learning Experience Guide and Instructions</w:t>
      </w:r>
      <w:r w:rsidR="006E19C3" w:rsidRPr="00326F5C">
        <w:rPr>
          <w:rFonts w:asciiTheme="majorHAnsi" w:eastAsia="Times New Roman" w:hAnsiTheme="majorHAnsi" w:cstheme="majorHAnsi"/>
          <w:bCs/>
          <w:color w:val="000000"/>
          <w:sz w:val="20"/>
          <w:szCs w:val="20"/>
        </w:rPr>
        <w:t xml:space="preserve"> (</w:t>
      </w:r>
      <w:r w:rsidR="00E91CC8" w:rsidRPr="00326F5C">
        <w:rPr>
          <w:rFonts w:asciiTheme="majorHAnsi" w:eastAsia="Arial Unicode MS" w:hAnsiTheme="majorHAnsi" w:cstheme="majorHAnsi"/>
          <w:i/>
          <w:sz w:val="20"/>
          <w:szCs w:val="20"/>
        </w:rPr>
        <w:t>ERF, D7. MPH Integrative Learning Experience, Guide MPH Capstone ILE Options</w:t>
      </w:r>
      <w:r w:rsidR="00E91CC8" w:rsidRPr="00326F5C">
        <w:rPr>
          <w:rFonts w:asciiTheme="majorHAnsi" w:eastAsia="Times New Roman" w:hAnsiTheme="majorHAnsi" w:cstheme="majorHAnsi"/>
          <w:bCs/>
          <w:color w:val="000000"/>
          <w:sz w:val="20"/>
          <w:szCs w:val="20"/>
        </w:rPr>
        <w:t xml:space="preserve">) </w:t>
      </w:r>
      <w:r w:rsidR="00646BBE" w:rsidRPr="00326F5C">
        <w:rPr>
          <w:rFonts w:asciiTheme="majorHAnsi" w:eastAsia="Times New Roman" w:hAnsiTheme="majorHAnsi" w:cstheme="majorHAnsi"/>
          <w:bCs/>
          <w:color w:val="000000"/>
          <w:sz w:val="20"/>
          <w:szCs w:val="20"/>
        </w:rPr>
        <w:t>as a reference to subsequently</w:t>
      </w:r>
      <w:r w:rsidRPr="00326F5C">
        <w:rPr>
          <w:rFonts w:asciiTheme="majorHAnsi" w:eastAsia="Times New Roman" w:hAnsiTheme="majorHAnsi" w:cstheme="majorHAnsi"/>
          <w:bCs/>
          <w:color w:val="000000"/>
          <w:sz w:val="20"/>
          <w:szCs w:val="20"/>
        </w:rPr>
        <w:t xml:space="preserve"> complete the </w:t>
      </w:r>
      <w:r w:rsidRPr="00326F5C">
        <w:rPr>
          <w:rFonts w:asciiTheme="majorHAnsi" w:hAnsiTheme="majorHAnsi" w:cstheme="majorHAnsi"/>
          <w:sz w:val="20"/>
          <w:szCs w:val="20"/>
        </w:rPr>
        <w:t>MPH Independent ILE Approval Form</w:t>
      </w:r>
      <w:r w:rsidR="00677BAA" w:rsidRPr="00326F5C">
        <w:rPr>
          <w:rFonts w:asciiTheme="majorHAnsi" w:eastAsia="Times New Roman" w:hAnsiTheme="majorHAnsi" w:cstheme="majorHAnsi"/>
          <w:bCs/>
          <w:color w:val="000000"/>
          <w:sz w:val="20"/>
          <w:szCs w:val="20"/>
        </w:rPr>
        <w:t xml:space="preserve"> (</w:t>
      </w:r>
      <w:r w:rsidR="00677BAA" w:rsidRPr="00326F5C">
        <w:rPr>
          <w:rFonts w:asciiTheme="majorHAnsi" w:eastAsia="Arial Unicode MS" w:hAnsiTheme="majorHAnsi" w:cstheme="majorHAnsi"/>
          <w:i/>
          <w:sz w:val="20"/>
          <w:szCs w:val="20"/>
        </w:rPr>
        <w:t xml:space="preserve">ERF, D7. MPH Integrative Learning Experience, </w:t>
      </w:r>
      <w:r w:rsidR="00B04CA4" w:rsidRPr="00326F5C">
        <w:rPr>
          <w:rFonts w:asciiTheme="majorHAnsi" w:eastAsia="Arial Unicode MS" w:hAnsiTheme="majorHAnsi" w:cstheme="majorHAnsi"/>
          <w:i/>
          <w:sz w:val="20"/>
          <w:szCs w:val="20"/>
        </w:rPr>
        <w:t>MPH ILE Enrollment Approval</w:t>
      </w:r>
      <w:r w:rsidR="00677BAA" w:rsidRPr="00326F5C">
        <w:rPr>
          <w:rFonts w:asciiTheme="majorHAnsi" w:eastAsia="Arial Unicode MS" w:hAnsiTheme="majorHAnsi" w:cstheme="majorHAnsi"/>
          <w:i/>
          <w:sz w:val="20"/>
          <w:szCs w:val="20"/>
        </w:rPr>
        <w:t>)</w:t>
      </w:r>
      <w:r w:rsidRPr="00326F5C">
        <w:rPr>
          <w:rFonts w:asciiTheme="majorHAnsi" w:eastAsia="Times New Roman" w:hAnsiTheme="majorHAnsi" w:cstheme="majorHAnsi"/>
          <w:bCs/>
          <w:color w:val="000000"/>
          <w:sz w:val="20"/>
          <w:szCs w:val="20"/>
        </w:rPr>
        <w:t xml:space="preserve">. Once the supervising faculty member reviews and approves the proposed project and identified competencies, the student completes the ILE within one semester. Upon completion, the student submits the </w:t>
      </w:r>
      <w:r w:rsidRPr="00326F5C">
        <w:rPr>
          <w:rFonts w:asciiTheme="majorHAnsi" w:hAnsiTheme="majorHAnsi" w:cstheme="majorHAnsi"/>
          <w:sz w:val="20"/>
          <w:szCs w:val="20"/>
        </w:rPr>
        <w:t>MPH Independent ILE Completion Form</w:t>
      </w:r>
      <w:r w:rsidR="00B04CA4" w:rsidRPr="00326F5C">
        <w:rPr>
          <w:rFonts w:asciiTheme="majorHAnsi" w:eastAsia="Times New Roman" w:hAnsiTheme="majorHAnsi" w:cstheme="majorHAnsi"/>
          <w:bCs/>
          <w:color w:val="000000"/>
          <w:sz w:val="20"/>
          <w:szCs w:val="20"/>
        </w:rPr>
        <w:t xml:space="preserve"> (</w:t>
      </w:r>
      <w:r w:rsidR="00B04CA4" w:rsidRPr="00326F5C">
        <w:rPr>
          <w:rFonts w:asciiTheme="majorHAnsi" w:eastAsia="Times New Roman" w:hAnsiTheme="majorHAnsi" w:cstheme="majorHAnsi"/>
          <w:bCs/>
          <w:i/>
          <w:color w:val="000000"/>
          <w:sz w:val="20"/>
          <w:szCs w:val="20"/>
        </w:rPr>
        <w:t>ERF, D7. MPH Integrative Learning Experience, MPH ILE Statement of Completion</w:t>
      </w:r>
      <w:r w:rsidR="00B04CA4" w:rsidRPr="00326F5C">
        <w:rPr>
          <w:rFonts w:asciiTheme="majorHAnsi" w:eastAsia="Times New Roman" w:hAnsiTheme="majorHAnsi" w:cstheme="majorHAnsi"/>
          <w:bCs/>
          <w:color w:val="000000"/>
          <w:sz w:val="20"/>
          <w:szCs w:val="20"/>
        </w:rPr>
        <w:t>)</w:t>
      </w:r>
      <w:r w:rsidRPr="00326F5C">
        <w:rPr>
          <w:rFonts w:asciiTheme="majorHAnsi" w:eastAsia="Times New Roman" w:hAnsiTheme="majorHAnsi" w:cstheme="majorHAnsi"/>
          <w:bCs/>
          <w:color w:val="000000"/>
          <w:sz w:val="20"/>
          <w:szCs w:val="20"/>
        </w:rPr>
        <w:t xml:space="preserve"> that further describes how the student synthesized the identified competencies through the experience. The supervising faculty reads and grades the final product and ensures that the student demonstrated synthesis and integration of the selected competencies. </w:t>
      </w:r>
    </w:p>
    <w:p w:rsidR="000C5EA3" w:rsidRPr="00326F5C" w:rsidRDefault="000C5EA3" w:rsidP="00A37ED6">
      <w:pPr>
        <w:shd w:val="clear" w:color="auto" w:fill="FFFFFF"/>
        <w:ind w:left="720"/>
        <w:rPr>
          <w:rFonts w:asciiTheme="majorHAnsi" w:eastAsia="Arial Unicode MS" w:hAnsiTheme="majorHAnsi" w:cstheme="majorHAnsi"/>
          <w:sz w:val="20"/>
          <w:szCs w:val="20"/>
        </w:rPr>
      </w:pPr>
    </w:p>
    <w:p w:rsidR="000C5EA3" w:rsidRPr="00326F5C" w:rsidRDefault="000C5EA3" w:rsidP="00A37ED6">
      <w:pPr>
        <w:ind w:left="720"/>
        <w:rPr>
          <w:rFonts w:asciiTheme="majorHAnsi" w:hAnsiTheme="majorHAnsi" w:cstheme="majorHAnsi"/>
          <w:sz w:val="20"/>
          <w:szCs w:val="20"/>
        </w:rPr>
      </w:pPr>
      <w:r w:rsidRPr="00326F5C">
        <w:rPr>
          <w:rFonts w:asciiTheme="majorHAnsi" w:eastAsia="Times New Roman" w:hAnsiTheme="majorHAnsi" w:cstheme="majorHAnsi"/>
          <w:bCs/>
          <w:color w:val="000000"/>
          <w:sz w:val="20"/>
          <w:szCs w:val="20"/>
          <w:u w:val="single"/>
        </w:rPr>
        <w:t>Academic Thesis</w:t>
      </w:r>
      <w:r w:rsidRPr="00326F5C">
        <w:rPr>
          <w:rFonts w:asciiTheme="majorHAnsi" w:eastAsia="Times New Roman" w:hAnsiTheme="majorHAnsi" w:cstheme="majorHAnsi"/>
          <w:bCs/>
          <w:color w:val="000000"/>
          <w:sz w:val="20"/>
          <w:szCs w:val="20"/>
        </w:rPr>
        <w:t xml:space="preserve">: MPH students may elect to complete a traditional academic thesis as means to satisfy the ILE requirement. Students self-identify competencies (a minimum of two MPH Foundational Knowledge competencies and two major-specific competencies as defined in </w:t>
      </w:r>
      <w:hyperlink w:anchor="_D2._MPH_Foundational_1" w:history="1">
        <w:r w:rsidR="00244534" w:rsidRPr="00326F5C">
          <w:rPr>
            <w:rStyle w:val="Hyperlink"/>
            <w:rFonts w:asciiTheme="majorHAnsi" w:eastAsia="Times New Roman" w:hAnsiTheme="majorHAnsi" w:cstheme="majorHAnsi"/>
            <w:bCs/>
            <w:i/>
            <w:sz w:val="20"/>
            <w:szCs w:val="20"/>
          </w:rPr>
          <w:t>Criterion D2. MPH Foundational Knowledge</w:t>
        </w:r>
      </w:hyperlink>
      <w:r w:rsidR="00244534" w:rsidRPr="00326F5C">
        <w:rPr>
          <w:rFonts w:asciiTheme="majorHAnsi" w:eastAsia="Times New Roman" w:hAnsiTheme="majorHAnsi" w:cstheme="majorHAnsi"/>
          <w:bCs/>
          <w:color w:val="000000"/>
          <w:sz w:val="20"/>
          <w:szCs w:val="20"/>
        </w:rPr>
        <w:t xml:space="preserve"> and </w:t>
      </w:r>
      <w:hyperlink w:anchor="_D4._MPH_&amp;" w:history="1">
        <w:r w:rsidR="00244534" w:rsidRPr="00326F5C">
          <w:rPr>
            <w:rStyle w:val="Hyperlink"/>
            <w:rFonts w:asciiTheme="majorHAnsi" w:eastAsia="Times New Roman" w:hAnsiTheme="majorHAnsi" w:cstheme="majorHAnsi"/>
            <w:bCs/>
            <w:i/>
            <w:sz w:val="20"/>
            <w:szCs w:val="20"/>
          </w:rPr>
          <w:t>Criterion D4. MPH &amp; DrPH Concentration Competencies</w:t>
        </w:r>
      </w:hyperlink>
      <w:r w:rsidR="000A4563" w:rsidRPr="00326F5C">
        <w:rPr>
          <w:rFonts w:asciiTheme="majorHAnsi" w:eastAsia="Times New Roman" w:hAnsiTheme="majorHAnsi" w:cstheme="majorHAnsi"/>
          <w:bCs/>
          <w:color w:val="000000"/>
          <w:sz w:val="20"/>
          <w:szCs w:val="20"/>
        </w:rPr>
        <w:t>, respectively)</w:t>
      </w:r>
      <w:r w:rsidR="00981334" w:rsidRPr="00326F5C">
        <w:rPr>
          <w:rFonts w:asciiTheme="majorHAnsi" w:eastAsia="Times New Roman" w:hAnsiTheme="majorHAnsi" w:cstheme="majorHAnsi"/>
          <w:bCs/>
          <w:color w:val="000000"/>
          <w:sz w:val="20"/>
          <w:szCs w:val="20"/>
        </w:rPr>
        <w:t xml:space="preserve"> </w:t>
      </w:r>
      <w:r w:rsidRPr="00326F5C">
        <w:rPr>
          <w:rFonts w:asciiTheme="majorHAnsi" w:eastAsia="Times New Roman" w:hAnsiTheme="majorHAnsi" w:cstheme="majorHAnsi"/>
          <w:bCs/>
          <w:color w:val="000000"/>
          <w:sz w:val="20"/>
          <w:szCs w:val="20"/>
        </w:rPr>
        <w:t xml:space="preserve">and propose an ILE project to be supervised by a faculty member using the </w:t>
      </w:r>
      <w:r w:rsidRPr="00326F5C">
        <w:rPr>
          <w:rFonts w:asciiTheme="majorHAnsi" w:hAnsiTheme="majorHAnsi" w:cstheme="majorHAnsi"/>
          <w:sz w:val="20"/>
          <w:szCs w:val="20"/>
        </w:rPr>
        <w:t>MPH Integrative Learning Experience Guide and Instructions</w:t>
      </w:r>
      <w:r w:rsidR="00B91541" w:rsidRPr="00326F5C">
        <w:rPr>
          <w:rFonts w:asciiTheme="majorHAnsi" w:eastAsia="Times New Roman" w:hAnsiTheme="majorHAnsi" w:cstheme="majorHAnsi"/>
          <w:bCs/>
          <w:color w:val="000000"/>
          <w:sz w:val="20"/>
          <w:szCs w:val="20"/>
        </w:rPr>
        <w:t xml:space="preserve"> (</w:t>
      </w:r>
      <w:r w:rsidR="00B91541" w:rsidRPr="00326F5C">
        <w:rPr>
          <w:rFonts w:asciiTheme="majorHAnsi" w:eastAsia="Arial Unicode MS" w:hAnsiTheme="majorHAnsi" w:cstheme="majorHAnsi"/>
          <w:i/>
          <w:sz w:val="20"/>
          <w:szCs w:val="20"/>
        </w:rPr>
        <w:t>ERF, D7. MPH Integrative Learning Experience, Guide MPH Capstone ILE Options</w:t>
      </w:r>
      <w:r w:rsidR="00B91541" w:rsidRPr="00326F5C">
        <w:rPr>
          <w:rFonts w:asciiTheme="majorHAnsi" w:eastAsia="Times New Roman" w:hAnsiTheme="majorHAnsi" w:cstheme="majorHAnsi"/>
          <w:bCs/>
          <w:color w:val="000000"/>
          <w:sz w:val="20"/>
          <w:szCs w:val="20"/>
        </w:rPr>
        <w:t>)</w:t>
      </w:r>
      <w:r w:rsidRPr="00326F5C">
        <w:rPr>
          <w:rFonts w:asciiTheme="majorHAnsi" w:eastAsia="Times New Roman" w:hAnsiTheme="majorHAnsi" w:cstheme="majorHAnsi"/>
          <w:bCs/>
          <w:color w:val="000000"/>
          <w:sz w:val="20"/>
          <w:szCs w:val="20"/>
        </w:rPr>
        <w:t xml:space="preserve"> and must complete the </w:t>
      </w:r>
      <w:r w:rsidRPr="00326F5C">
        <w:rPr>
          <w:rFonts w:asciiTheme="majorHAnsi" w:hAnsiTheme="majorHAnsi" w:cstheme="majorHAnsi"/>
          <w:sz w:val="20"/>
          <w:szCs w:val="20"/>
        </w:rPr>
        <w:t>MPH Independent ILE Approval Form</w:t>
      </w:r>
      <w:r w:rsidR="00B91541" w:rsidRPr="00326F5C">
        <w:rPr>
          <w:rFonts w:asciiTheme="majorHAnsi" w:eastAsia="Times New Roman" w:hAnsiTheme="majorHAnsi" w:cstheme="majorHAnsi"/>
          <w:bCs/>
          <w:color w:val="000000"/>
          <w:sz w:val="20"/>
          <w:szCs w:val="20"/>
        </w:rPr>
        <w:t xml:space="preserve"> (</w:t>
      </w:r>
      <w:r w:rsidR="00B91541" w:rsidRPr="00326F5C">
        <w:rPr>
          <w:rFonts w:asciiTheme="majorHAnsi" w:eastAsia="Arial Unicode MS" w:hAnsiTheme="majorHAnsi" w:cstheme="majorHAnsi"/>
          <w:i/>
          <w:sz w:val="20"/>
          <w:szCs w:val="20"/>
        </w:rPr>
        <w:t>ERF, D7. MPH Integrative Learning Experience, MPH ILE Enrollment Approval)</w:t>
      </w:r>
      <w:r w:rsidRPr="00326F5C">
        <w:rPr>
          <w:rFonts w:asciiTheme="majorHAnsi" w:eastAsia="Times New Roman" w:hAnsiTheme="majorHAnsi" w:cstheme="majorHAnsi"/>
          <w:bCs/>
          <w:color w:val="000000"/>
          <w:sz w:val="20"/>
          <w:szCs w:val="20"/>
        </w:rPr>
        <w:t xml:space="preserve">. Students who elect to complete a traditional academic thesis must also adhere to all Student Research Requirements and should reference the </w:t>
      </w:r>
      <w:r w:rsidRPr="00326F5C">
        <w:rPr>
          <w:rFonts w:asciiTheme="majorHAnsi" w:hAnsiTheme="majorHAnsi" w:cstheme="majorHAnsi"/>
          <w:sz w:val="20"/>
          <w:szCs w:val="20"/>
        </w:rPr>
        <w:t>Thesis Research Guide</w:t>
      </w:r>
      <w:r w:rsidR="003530CF" w:rsidRPr="00326F5C">
        <w:rPr>
          <w:rFonts w:asciiTheme="majorHAnsi" w:eastAsia="Times New Roman" w:hAnsiTheme="majorHAnsi" w:cstheme="majorHAnsi"/>
          <w:bCs/>
          <w:sz w:val="20"/>
          <w:szCs w:val="20"/>
        </w:rPr>
        <w:t xml:space="preserve"> (</w:t>
      </w:r>
      <w:r w:rsidR="003530CF" w:rsidRPr="00326F5C">
        <w:rPr>
          <w:rFonts w:asciiTheme="majorHAnsi" w:eastAsia="Times New Roman" w:hAnsiTheme="majorHAnsi" w:cstheme="majorHAnsi"/>
          <w:bCs/>
          <w:i/>
          <w:sz w:val="20"/>
          <w:szCs w:val="20"/>
        </w:rPr>
        <w:t>ERF, D7. MPH Integrative Learning Experience, MPH Traditional Thesis Guide</w:t>
      </w:r>
      <w:r w:rsidR="003530CF" w:rsidRPr="00326F5C">
        <w:rPr>
          <w:rFonts w:asciiTheme="majorHAnsi" w:eastAsia="Times New Roman" w:hAnsiTheme="majorHAnsi" w:cstheme="majorHAnsi"/>
          <w:bCs/>
          <w:sz w:val="20"/>
          <w:szCs w:val="20"/>
        </w:rPr>
        <w:t>)</w:t>
      </w:r>
      <w:r w:rsidRPr="00326F5C">
        <w:rPr>
          <w:rFonts w:asciiTheme="majorHAnsi" w:eastAsia="Times New Roman" w:hAnsiTheme="majorHAnsi" w:cstheme="majorHAnsi"/>
          <w:bCs/>
          <w:color w:val="000000"/>
          <w:sz w:val="20"/>
          <w:szCs w:val="20"/>
        </w:rPr>
        <w:t xml:space="preserve">. Students complete academic research thesis, in collaboration with a committee of supervising faculty (and must adhere to all policies and procedures defined by the Office of Student Research, including </w:t>
      </w:r>
      <w:r w:rsidRPr="00326F5C">
        <w:rPr>
          <w:rFonts w:asciiTheme="majorHAnsi" w:hAnsiTheme="majorHAnsi" w:cstheme="majorHAnsi"/>
          <w:sz w:val="20"/>
          <w:szCs w:val="20"/>
        </w:rPr>
        <w:t>Policy 104, MPH and MS Committee Structures</w:t>
      </w:r>
      <w:r w:rsidRPr="00326F5C">
        <w:rPr>
          <w:rStyle w:val="Hyperlink"/>
          <w:rFonts w:asciiTheme="majorHAnsi" w:eastAsia="Times New Roman" w:hAnsiTheme="majorHAnsi" w:cstheme="majorHAnsi"/>
          <w:bCs/>
          <w:color w:val="auto"/>
          <w:sz w:val="20"/>
          <w:szCs w:val="20"/>
          <w:u w:val="none"/>
        </w:rPr>
        <w:t>;</w:t>
      </w:r>
      <w:r w:rsidRPr="00326F5C">
        <w:rPr>
          <w:rStyle w:val="Hyperlink"/>
          <w:rFonts w:asciiTheme="majorHAnsi" w:eastAsia="Times New Roman" w:hAnsiTheme="majorHAnsi" w:cstheme="majorHAnsi"/>
          <w:bCs/>
          <w:sz w:val="20"/>
          <w:szCs w:val="20"/>
          <w:u w:val="none"/>
        </w:rPr>
        <w:t xml:space="preserve"> </w:t>
      </w:r>
      <w:r w:rsidRPr="00326F5C">
        <w:rPr>
          <w:rFonts w:asciiTheme="majorHAnsi" w:hAnsiTheme="majorHAnsi" w:cstheme="majorHAnsi"/>
          <w:sz w:val="20"/>
          <w:szCs w:val="20"/>
        </w:rPr>
        <w:t>Policy 106, Thesis and Dissertation Data &amp; Publication Authorship</w:t>
      </w:r>
      <w:r w:rsidRPr="00326F5C">
        <w:rPr>
          <w:rStyle w:val="Hyperlink"/>
          <w:rFonts w:asciiTheme="majorHAnsi" w:eastAsia="Times New Roman" w:hAnsiTheme="majorHAnsi" w:cstheme="majorHAnsi"/>
          <w:bCs/>
          <w:color w:val="auto"/>
          <w:sz w:val="20"/>
          <w:szCs w:val="20"/>
          <w:u w:val="none"/>
        </w:rPr>
        <w:t xml:space="preserve">; and </w:t>
      </w:r>
      <w:r w:rsidRPr="00326F5C">
        <w:rPr>
          <w:rFonts w:asciiTheme="majorHAnsi" w:hAnsiTheme="majorHAnsi" w:cstheme="majorHAnsi"/>
          <w:sz w:val="20"/>
          <w:szCs w:val="20"/>
        </w:rPr>
        <w:t>Policy 109 Student Research Thesis and Dissertation Proposal</w:t>
      </w:r>
      <w:r w:rsidR="00AA2855" w:rsidRPr="00326F5C">
        <w:rPr>
          <w:rFonts w:asciiTheme="majorHAnsi" w:eastAsia="Times New Roman" w:hAnsiTheme="majorHAnsi" w:cstheme="majorHAnsi"/>
          <w:bCs/>
          <w:color w:val="000000"/>
          <w:sz w:val="20"/>
          <w:szCs w:val="20"/>
        </w:rPr>
        <w:t xml:space="preserve">; </w:t>
      </w:r>
      <w:r w:rsidR="00AA2855" w:rsidRPr="00326F5C">
        <w:rPr>
          <w:rFonts w:asciiTheme="majorHAnsi" w:eastAsia="Times New Roman" w:hAnsiTheme="majorHAnsi" w:cstheme="majorHAnsi"/>
          <w:bCs/>
          <w:i/>
          <w:color w:val="000000"/>
          <w:sz w:val="20"/>
          <w:szCs w:val="20"/>
        </w:rPr>
        <w:t>ERF, D7. MPH Integrative Learning Experience</w:t>
      </w:r>
      <w:r w:rsidRPr="00326F5C">
        <w:rPr>
          <w:rFonts w:asciiTheme="majorHAnsi" w:eastAsia="Times New Roman" w:hAnsiTheme="majorHAnsi" w:cstheme="majorHAnsi"/>
          <w:bCs/>
          <w:color w:val="000000"/>
          <w:sz w:val="20"/>
          <w:szCs w:val="20"/>
        </w:rPr>
        <w:t xml:space="preserve">), over multiple semesters and register for PHM 9998 Thesis Research during each semester that they are actively working on the thesis. </w:t>
      </w:r>
      <w:r w:rsidRPr="00326F5C">
        <w:rPr>
          <w:rFonts w:asciiTheme="majorHAnsi" w:hAnsiTheme="majorHAnsi" w:cstheme="majorHAnsi"/>
          <w:sz w:val="20"/>
          <w:szCs w:val="20"/>
        </w:rPr>
        <w:t xml:space="preserve">Students work with their committee to develop a thesis proposal that goes through extensive vetting and approval by their committee members. Students continue to work with their committee through the research process until completion of the final product. </w:t>
      </w:r>
      <w:r w:rsidRPr="00326F5C">
        <w:rPr>
          <w:rFonts w:asciiTheme="majorHAnsi" w:eastAsia="Times New Roman" w:hAnsiTheme="majorHAnsi" w:cstheme="majorHAnsi"/>
          <w:bCs/>
          <w:color w:val="000000"/>
          <w:sz w:val="20"/>
          <w:szCs w:val="20"/>
        </w:rPr>
        <w:t xml:space="preserve">Upon completion, the student submits the </w:t>
      </w:r>
      <w:r w:rsidRPr="00326F5C">
        <w:rPr>
          <w:rFonts w:asciiTheme="majorHAnsi" w:hAnsiTheme="majorHAnsi" w:cstheme="majorHAnsi"/>
          <w:sz w:val="20"/>
          <w:szCs w:val="20"/>
        </w:rPr>
        <w:t>MPH Independent ILE Completion Form</w:t>
      </w:r>
      <w:r w:rsidR="00BC51AA" w:rsidRPr="00326F5C">
        <w:rPr>
          <w:rFonts w:asciiTheme="majorHAnsi" w:eastAsia="Times New Roman" w:hAnsiTheme="majorHAnsi" w:cstheme="majorHAnsi"/>
          <w:bCs/>
          <w:color w:val="000000"/>
          <w:sz w:val="20"/>
          <w:szCs w:val="20"/>
        </w:rPr>
        <w:t xml:space="preserve"> (</w:t>
      </w:r>
      <w:r w:rsidR="00BC51AA" w:rsidRPr="00326F5C">
        <w:rPr>
          <w:rFonts w:asciiTheme="majorHAnsi" w:eastAsia="Times New Roman" w:hAnsiTheme="majorHAnsi" w:cstheme="majorHAnsi"/>
          <w:bCs/>
          <w:i/>
          <w:color w:val="000000"/>
          <w:sz w:val="20"/>
          <w:szCs w:val="20"/>
        </w:rPr>
        <w:t>ERF, D7. MPH Integrative Learning Experience, MPH ILE Statement of Completion</w:t>
      </w:r>
      <w:r w:rsidR="00BC51AA" w:rsidRPr="00326F5C">
        <w:rPr>
          <w:rFonts w:asciiTheme="majorHAnsi" w:eastAsia="Times New Roman" w:hAnsiTheme="majorHAnsi" w:cstheme="majorHAnsi"/>
          <w:bCs/>
          <w:color w:val="000000"/>
          <w:sz w:val="20"/>
          <w:szCs w:val="20"/>
        </w:rPr>
        <w:t xml:space="preserve">) </w:t>
      </w:r>
      <w:r w:rsidRPr="00326F5C">
        <w:rPr>
          <w:rFonts w:asciiTheme="majorHAnsi" w:eastAsia="Times New Roman" w:hAnsiTheme="majorHAnsi" w:cstheme="majorHAnsi"/>
          <w:bCs/>
          <w:color w:val="000000"/>
          <w:sz w:val="20"/>
          <w:szCs w:val="20"/>
        </w:rPr>
        <w:t xml:space="preserve">that further describes how the student synthesized the identified competencies through the experience. The supervising faculty reads and grades the thesis and ensures that the student demonstrated synthesis and integration of the selected competencies. </w:t>
      </w:r>
      <w:r w:rsidRPr="00326F5C">
        <w:rPr>
          <w:rFonts w:asciiTheme="majorHAnsi" w:hAnsiTheme="majorHAnsi" w:cstheme="majorHAnsi"/>
          <w:sz w:val="20"/>
          <w:szCs w:val="20"/>
        </w:rPr>
        <w:t>Students must defend their thesis in a public forum prior to approval and completion of the ILE requirement.</w:t>
      </w:r>
    </w:p>
    <w:p w:rsidR="00933038" w:rsidRPr="00326F5C" w:rsidRDefault="00933038" w:rsidP="00A37ED6">
      <w:pPr>
        <w:shd w:val="clear" w:color="auto" w:fill="FFFFFF"/>
        <w:ind w:left="720" w:hanging="360"/>
        <w:jc w:val="both"/>
        <w:rPr>
          <w:rFonts w:asciiTheme="majorHAnsi" w:eastAsia="Arial Unicode MS" w:hAnsiTheme="majorHAnsi" w:cstheme="majorHAnsi"/>
          <w:sz w:val="20"/>
          <w:szCs w:val="20"/>
        </w:rPr>
      </w:pPr>
    </w:p>
    <w:p w:rsidR="00933038" w:rsidRPr="00326F5C" w:rsidRDefault="00933038" w:rsidP="00A37ED6">
      <w:pPr>
        <w:numPr>
          <w:ilvl w:val="0"/>
          <w:numId w:val="24"/>
        </w:numPr>
        <w:shd w:val="clear" w:color="auto" w:fill="FFFFFF"/>
        <w:ind w:left="720"/>
        <w:jc w:val="both"/>
        <w:rPr>
          <w:rFonts w:asciiTheme="majorHAnsi" w:eastAsia="Arial Unicode MS" w:hAnsiTheme="majorHAnsi" w:cstheme="majorHAnsi"/>
          <w:sz w:val="20"/>
          <w:szCs w:val="20"/>
        </w:rPr>
      </w:pPr>
      <w:r w:rsidRPr="00326F5C">
        <w:rPr>
          <w:rFonts w:asciiTheme="majorHAnsi" w:eastAsia="Arial Unicode MS" w:hAnsiTheme="majorHAnsi" w:cstheme="majorHAnsi"/>
          <w:sz w:val="20"/>
          <w:szCs w:val="20"/>
        </w:rPr>
        <w:t>Provide documentation, inc</w:t>
      </w:r>
      <w:r w:rsidR="00326F5C">
        <w:rPr>
          <w:rFonts w:asciiTheme="majorHAnsi" w:eastAsia="Arial Unicode MS" w:hAnsiTheme="majorHAnsi" w:cstheme="majorHAnsi"/>
          <w:sz w:val="20"/>
          <w:szCs w:val="20"/>
        </w:rPr>
        <w:t xml:space="preserve">luding syllabi and/or handbooks </w:t>
      </w:r>
      <w:r w:rsidRPr="00326F5C">
        <w:rPr>
          <w:rFonts w:asciiTheme="majorHAnsi" w:eastAsia="Arial Unicode MS" w:hAnsiTheme="majorHAnsi" w:cstheme="majorHAnsi"/>
          <w:sz w:val="20"/>
          <w:szCs w:val="20"/>
        </w:rPr>
        <w:t xml:space="preserve">that communicates integrative learning experience policies and procedures to students. </w:t>
      </w:r>
    </w:p>
    <w:p w:rsidR="00FE5C48" w:rsidRPr="00326F5C" w:rsidRDefault="00FE5C48" w:rsidP="00A37ED6">
      <w:pPr>
        <w:shd w:val="clear" w:color="auto" w:fill="FFFFFF"/>
        <w:jc w:val="both"/>
        <w:rPr>
          <w:rFonts w:asciiTheme="majorHAnsi" w:eastAsia="Arial Unicode MS" w:hAnsiTheme="majorHAnsi" w:cstheme="majorHAnsi"/>
          <w:sz w:val="20"/>
          <w:szCs w:val="20"/>
        </w:rPr>
      </w:pPr>
    </w:p>
    <w:p w:rsidR="00E96F95" w:rsidRPr="00326F5C" w:rsidRDefault="00E96F95" w:rsidP="00A37ED6">
      <w:pPr>
        <w:ind w:left="720"/>
        <w:rPr>
          <w:rFonts w:asciiTheme="majorHAnsi" w:hAnsiTheme="majorHAnsi" w:cstheme="majorHAnsi"/>
          <w:sz w:val="20"/>
          <w:szCs w:val="20"/>
        </w:rPr>
      </w:pPr>
      <w:r w:rsidRPr="00326F5C">
        <w:rPr>
          <w:rFonts w:asciiTheme="majorHAnsi" w:hAnsiTheme="majorHAnsi" w:cstheme="majorHAnsi"/>
          <w:sz w:val="20"/>
          <w:szCs w:val="20"/>
        </w:rPr>
        <w:t>Associated documents in the electronic resource document:</w:t>
      </w:r>
    </w:p>
    <w:p w:rsidR="00486C7B" w:rsidRPr="00326F5C" w:rsidRDefault="00486C7B" w:rsidP="00A37ED6">
      <w:pPr>
        <w:pStyle w:val="ListParagraph"/>
        <w:numPr>
          <w:ilvl w:val="0"/>
          <w:numId w:val="138"/>
        </w:numPr>
        <w:rPr>
          <w:rFonts w:asciiTheme="majorHAnsi" w:hAnsiTheme="majorHAnsi" w:cstheme="majorHAnsi"/>
          <w:i/>
          <w:szCs w:val="20"/>
        </w:rPr>
      </w:pPr>
      <w:r w:rsidRPr="00326F5C">
        <w:rPr>
          <w:rFonts w:asciiTheme="majorHAnsi" w:hAnsiTheme="majorHAnsi" w:cstheme="majorHAnsi"/>
          <w:i/>
          <w:szCs w:val="20"/>
        </w:rPr>
        <w:t>D7. MPH Integrative Learning Experience</w:t>
      </w:r>
    </w:p>
    <w:p w:rsidR="00604E1D" w:rsidRPr="00326F5C" w:rsidRDefault="00604E1D" w:rsidP="00604E1D">
      <w:pPr>
        <w:pStyle w:val="ListParagraph"/>
        <w:numPr>
          <w:ilvl w:val="1"/>
          <w:numId w:val="138"/>
        </w:numPr>
        <w:rPr>
          <w:rFonts w:asciiTheme="majorHAnsi" w:hAnsiTheme="majorHAnsi" w:cstheme="majorHAnsi"/>
          <w:i/>
          <w:szCs w:val="20"/>
        </w:rPr>
      </w:pPr>
      <w:r w:rsidRPr="00326F5C">
        <w:rPr>
          <w:rFonts w:asciiTheme="majorHAnsi" w:hAnsiTheme="majorHAnsi" w:cstheme="majorHAnsi"/>
          <w:i/>
          <w:szCs w:val="20"/>
        </w:rPr>
        <w:t>MPH Integrative Learning Experience Guide and Instruction</w:t>
      </w:r>
    </w:p>
    <w:p w:rsidR="00604E1D" w:rsidRPr="00326F5C" w:rsidRDefault="00604E1D" w:rsidP="00604E1D">
      <w:pPr>
        <w:pStyle w:val="ListParagraph"/>
        <w:numPr>
          <w:ilvl w:val="1"/>
          <w:numId w:val="138"/>
        </w:numPr>
        <w:rPr>
          <w:rFonts w:asciiTheme="majorHAnsi" w:hAnsiTheme="majorHAnsi" w:cstheme="majorHAnsi"/>
          <w:i/>
          <w:szCs w:val="20"/>
        </w:rPr>
      </w:pPr>
      <w:r w:rsidRPr="00326F5C">
        <w:rPr>
          <w:rFonts w:asciiTheme="majorHAnsi" w:hAnsiTheme="majorHAnsi" w:cstheme="majorHAnsi"/>
          <w:i/>
          <w:szCs w:val="20"/>
        </w:rPr>
        <w:t>MPH Independent ILE Approval Form</w:t>
      </w:r>
    </w:p>
    <w:p w:rsidR="00604E1D" w:rsidRPr="00326F5C" w:rsidRDefault="00604E1D" w:rsidP="00604E1D">
      <w:pPr>
        <w:pStyle w:val="ListParagraph"/>
        <w:numPr>
          <w:ilvl w:val="1"/>
          <w:numId w:val="138"/>
        </w:numPr>
        <w:rPr>
          <w:rFonts w:asciiTheme="majorHAnsi" w:hAnsiTheme="majorHAnsi" w:cstheme="majorHAnsi"/>
          <w:i/>
          <w:color w:val="000000"/>
          <w:szCs w:val="20"/>
        </w:rPr>
      </w:pPr>
      <w:r w:rsidRPr="00326F5C">
        <w:rPr>
          <w:rFonts w:asciiTheme="majorHAnsi" w:hAnsiTheme="majorHAnsi" w:cstheme="majorHAnsi"/>
          <w:i/>
          <w:color w:val="000000"/>
          <w:szCs w:val="20"/>
        </w:rPr>
        <w:t>MPH Independent ILE Statement of Completion Form</w:t>
      </w:r>
    </w:p>
    <w:p w:rsidR="00FE5C48" w:rsidRPr="00326F5C" w:rsidRDefault="00604E1D" w:rsidP="00A37ED6">
      <w:pPr>
        <w:pStyle w:val="ListParagraph"/>
        <w:numPr>
          <w:ilvl w:val="1"/>
          <w:numId w:val="138"/>
        </w:numPr>
        <w:shd w:val="clear" w:color="auto" w:fill="FFFFFF"/>
        <w:jc w:val="both"/>
        <w:rPr>
          <w:rStyle w:val="Hyperlink"/>
          <w:rFonts w:asciiTheme="majorHAnsi" w:eastAsia="Arial Unicode MS" w:hAnsiTheme="majorHAnsi" w:cstheme="majorHAnsi"/>
          <w:i/>
          <w:color w:val="auto"/>
          <w:szCs w:val="20"/>
          <w:u w:val="none"/>
        </w:rPr>
      </w:pPr>
      <w:r w:rsidRPr="00326F5C">
        <w:rPr>
          <w:rFonts w:asciiTheme="majorHAnsi" w:hAnsiTheme="majorHAnsi" w:cstheme="majorHAnsi"/>
          <w:i/>
          <w:szCs w:val="20"/>
        </w:rPr>
        <w:t>MPH Thesis Research Guide</w:t>
      </w:r>
    </w:p>
    <w:p w:rsidR="00ED2C3A" w:rsidRPr="00326F5C" w:rsidRDefault="00FE5C48" w:rsidP="00A37ED6">
      <w:pPr>
        <w:pStyle w:val="ListParagraph"/>
        <w:numPr>
          <w:ilvl w:val="2"/>
          <w:numId w:val="138"/>
        </w:numPr>
        <w:shd w:val="clear" w:color="auto" w:fill="FFFFFF"/>
        <w:rPr>
          <w:rStyle w:val="Hyperlink"/>
          <w:rFonts w:asciiTheme="majorHAnsi" w:eastAsia="Arial Unicode MS" w:hAnsiTheme="majorHAnsi" w:cstheme="majorHAnsi"/>
          <w:i/>
          <w:color w:val="auto"/>
          <w:szCs w:val="20"/>
          <w:u w:val="none"/>
        </w:rPr>
      </w:pPr>
      <w:r w:rsidRPr="00326F5C">
        <w:rPr>
          <w:rFonts w:asciiTheme="majorHAnsi" w:hAnsiTheme="majorHAnsi" w:cstheme="majorHAnsi"/>
          <w:i/>
          <w:szCs w:val="20"/>
        </w:rPr>
        <w:t>Policy 104, MPH and MS Committee Structures</w:t>
      </w:r>
    </w:p>
    <w:p w:rsidR="00ED2C3A" w:rsidRPr="00326F5C" w:rsidRDefault="00FE5C48" w:rsidP="00A37ED6">
      <w:pPr>
        <w:pStyle w:val="ListParagraph"/>
        <w:numPr>
          <w:ilvl w:val="2"/>
          <w:numId w:val="138"/>
        </w:numPr>
        <w:shd w:val="clear" w:color="auto" w:fill="FFFFFF"/>
        <w:rPr>
          <w:rStyle w:val="Hyperlink"/>
          <w:rFonts w:asciiTheme="majorHAnsi" w:eastAsia="Arial Unicode MS" w:hAnsiTheme="majorHAnsi" w:cstheme="majorHAnsi"/>
          <w:i/>
          <w:color w:val="auto"/>
          <w:szCs w:val="20"/>
          <w:u w:val="none"/>
        </w:rPr>
      </w:pPr>
      <w:r w:rsidRPr="00326F5C">
        <w:rPr>
          <w:rStyle w:val="Hyperlink"/>
          <w:rFonts w:asciiTheme="majorHAnsi" w:hAnsiTheme="majorHAnsi" w:cstheme="majorHAnsi"/>
          <w:bCs/>
          <w:i/>
          <w:color w:val="auto"/>
          <w:szCs w:val="20"/>
          <w:u w:val="none"/>
        </w:rPr>
        <w:t>Policy 106, Thesis and Dissertation Data &amp; Publication Authorship</w:t>
      </w:r>
    </w:p>
    <w:p w:rsidR="00FE5C48" w:rsidRPr="00326F5C" w:rsidRDefault="00FE5C48" w:rsidP="00A37ED6">
      <w:pPr>
        <w:pStyle w:val="ListParagraph"/>
        <w:numPr>
          <w:ilvl w:val="2"/>
          <w:numId w:val="138"/>
        </w:numPr>
        <w:shd w:val="clear" w:color="auto" w:fill="FFFFFF"/>
        <w:rPr>
          <w:rFonts w:asciiTheme="majorHAnsi" w:eastAsia="Arial Unicode MS" w:hAnsiTheme="majorHAnsi" w:cstheme="majorHAnsi"/>
          <w:i/>
          <w:szCs w:val="20"/>
        </w:rPr>
      </w:pPr>
      <w:r w:rsidRPr="00326F5C">
        <w:rPr>
          <w:rStyle w:val="Hyperlink"/>
          <w:rFonts w:asciiTheme="majorHAnsi" w:hAnsiTheme="majorHAnsi" w:cstheme="majorHAnsi"/>
          <w:bCs/>
          <w:i/>
          <w:color w:val="auto"/>
          <w:szCs w:val="20"/>
          <w:u w:val="none"/>
        </w:rPr>
        <w:t>Policy 109 Student Research Thesis and Dissertation Proposal</w:t>
      </w:r>
    </w:p>
    <w:p w:rsidR="00604E1D" w:rsidRPr="00326F5C" w:rsidRDefault="00604E1D" w:rsidP="00554835">
      <w:pPr>
        <w:pStyle w:val="ListParagraph"/>
        <w:numPr>
          <w:ilvl w:val="1"/>
          <w:numId w:val="138"/>
        </w:numPr>
        <w:rPr>
          <w:rFonts w:asciiTheme="majorHAnsi" w:hAnsiTheme="majorHAnsi" w:cstheme="majorHAnsi"/>
          <w:i/>
          <w:szCs w:val="20"/>
        </w:rPr>
      </w:pPr>
      <w:r w:rsidRPr="00326F5C">
        <w:rPr>
          <w:rFonts w:asciiTheme="majorHAnsi" w:hAnsiTheme="majorHAnsi" w:cstheme="majorHAnsi"/>
          <w:i/>
          <w:szCs w:val="20"/>
        </w:rPr>
        <w:t>D7.3. MPH ILE Course Syllabi</w:t>
      </w:r>
    </w:p>
    <w:p w:rsidR="006F3B74" w:rsidRPr="00326F5C" w:rsidRDefault="006F3B74" w:rsidP="00A37ED6">
      <w:pPr>
        <w:pStyle w:val="ListParagraph"/>
        <w:numPr>
          <w:ilvl w:val="2"/>
          <w:numId w:val="138"/>
        </w:numPr>
        <w:rPr>
          <w:rFonts w:asciiTheme="majorHAnsi" w:hAnsiTheme="majorHAnsi" w:cstheme="majorHAnsi"/>
          <w:i/>
          <w:szCs w:val="20"/>
        </w:rPr>
      </w:pPr>
      <w:r w:rsidRPr="00326F5C">
        <w:rPr>
          <w:rFonts w:asciiTheme="majorHAnsi" w:hAnsiTheme="majorHAnsi" w:cstheme="majorHAnsi"/>
          <w:i/>
          <w:szCs w:val="20"/>
        </w:rPr>
        <w:t>PHM 1496 Capstone for HPBS Students</w:t>
      </w:r>
    </w:p>
    <w:p w:rsidR="00554835" w:rsidRPr="00326F5C" w:rsidRDefault="00554835" w:rsidP="00554835">
      <w:pPr>
        <w:pStyle w:val="ListParagraph"/>
        <w:numPr>
          <w:ilvl w:val="2"/>
          <w:numId w:val="138"/>
        </w:numPr>
        <w:rPr>
          <w:rFonts w:asciiTheme="majorHAnsi" w:hAnsiTheme="majorHAnsi" w:cstheme="majorHAnsi"/>
          <w:i/>
          <w:szCs w:val="20"/>
        </w:rPr>
      </w:pPr>
      <w:r w:rsidRPr="00326F5C">
        <w:rPr>
          <w:rFonts w:asciiTheme="majorHAnsi" w:hAnsiTheme="majorHAnsi" w:cstheme="majorHAnsi"/>
          <w:i/>
          <w:szCs w:val="20"/>
        </w:rPr>
        <w:t>PHWM 2496 Capstone for EOHS Students</w:t>
      </w:r>
    </w:p>
    <w:p w:rsidR="00554835" w:rsidRPr="00326F5C" w:rsidRDefault="00554835" w:rsidP="00554835">
      <w:pPr>
        <w:pStyle w:val="ListParagraph"/>
        <w:numPr>
          <w:ilvl w:val="2"/>
          <w:numId w:val="138"/>
        </w:numPr>
        <w:rPr>
          <w:rFonts w:asciiTheme="majorHAnsi" w:hAnsiTheme="majorHAnsi" w:cstheme="majorHAnsi"/>
          <w:i/>
          <w:szCs w:val="20"/>
        </w:rPr>
      </w:pPr>
      <w:r w:rsidRPr="00326F5C">
        <w:rPr>
          <w:rFonts w:asciiTheme="majorHAnsi" w:hAnsiTheme="majorHAnsi" w:cstheme="majorHAnsi"/>
          <w:i/>
          <w:szCs w:val="20"/>
        </w:rPr>
        <w:t>PHWM 2996 Capstone for EPID Students</w:t>
      </w:r>
    </w:p>
    <w:p w:rsidR="00554835" w:rsidRPr="00326F5C" w:rsidRDefault="00554835" w:rsidP="00554835">
      <w:pPr>
        <w:pStyle w:val="ListParagraph"/>
        <w:numPr>
          <w:ilvl w:val="2"/>
          <w:numId w:val="138"/>
        </w:numPr>
        <w:rPr>
          <w:rFonts w:asciiTheme="majorHAnsi" w:hAnsiTheme="majorHAnsi" w:cstheme="majorHAnsi"/>
          <w:i/>
          <w:szCs w:val="20"/>
        </w:rPr>
      </w:pPr>
      <w:r w:rsidRPr="00326F5C">
        <w:rPr>
          <w:rFonts w:asciiTheme="majorHAnsi" w:hAnsiTheme="majorHAnsi" w:cstheme="majorHAnsi"/>
          <w:i/>
          <w:szCs w:val="20"/>
        </w:rPr>
        <w:t>PHM 3996L Capstone for MPCH Students, A Case Experience</w:t>
      </w:r>
    </w:p>
    <w:p w:rsidR="00554835" w:rsidRPr="00326F5C" w:rsidRDefault="00554835" w:rsidP="00554835">
      <w:pPr>
        <w:pStyle w:val="ListParagraph"/>
        <w:numPr>
          <w:ilvl w:val="2"/>
          <w:numId w:val="138"/>
        </w:numPr>
        <w:rPr>
          <w:rFonts w:asciiTheme="majorHAnsi" w:hAnsiTheme="majorHAnsi" w:cstheme="majorHAnsi"/>
          <w:i/>
          <w:szCs w:val="20"/>
        </w:rPr>
      </w:pPr>
      <w:r w:rsidRPr="00326F5C">
        <w:rPr>
          <w:rFonts w:asciiTheme="majorHAnsi" w:hAnsiTheme="majorHAnsi" w:cstheme="majorHAnsi"/>
          <w:i/>
          <w:szCs w:val="20"/>
        </w:rPr>
        <w:t>PHM 3996L Capstone for MPCH Students, Public Health in Interprofessional Education</w:t>
      </w:r>
    </w:p>
    <w:p w:rsidR="00E96F95" w:rsidRPr="00326F5C" w:rsidRDefault="006B4370" w:rsidP="00A37ED6">
      <w:pPr>
        <w:pStyle w:val="ListParagraph"/>
        <w:numPr>
          <w:ilvl w:val="2"/>
          <w:numId w:val="138"/>
        </w:numPr>
        <w:rPr>
          <w:rFonts w:asciiTheme="majorHAnsi" w:hAnsiTheme="majorHAnsi" w:cstheme="majorHAnsi"/>
          <w:i/>
          <w:szCs w:val="20"/>
        </w:rPr>
      </w:pPr>
      <w:r w:rsidRPr="00326F5C">
        <w:rPr>
          <w:rFonts w:asciiTheme="majorHAnsi" w:hAnsiTheme="majorHAnsi" w:cstheme="majorHAnsi"/>
          <w:i/>
          <w:szCs w:val="20"/>
        </w:rPr>
        <w:t>PHM 5096 Capstone for MPH/MD Students</w:t>
      </w:r>
      <w:r w:rsidR="00114CAB" w:rsidRPr="00326F5C">
        <w:rPr>
          <w:rFonts w:asciiTheme="majorHAnsi" w:hAnsiTheme="majorHAnsi" w:cstheme="majorHAnsi"/>
          <w:i/>
          <w:szCs w:val="20"/>
        </w:rPr>
        <w:t xml:space="preserve"> </w:t>
      </w:r>
      <w:r w:rsidR="00E96F95" w:rsidRPr="00326F5C">
        <w:rPr>
          <w:rFonts w:asciiTheme="majorHAnsi" w:hAnsiTheme="majorHAnsi" w:cstheme="majorHAnsi"/>
          <w:i/>
          <w:szCs w:val="20"/>
        </w:rPr>
        <w:t>(</w:t>
      </w:r>
      <w:r w:rsidR="00114CAB" w:rsidRPr="00326F5C">
        <w:rPr>
          <w:rFonts w:asciiTheme="majorHAnsi" w:hAnsiTheme="majorHAnsi" w:cstheme="majorHAnsi"/>
          <w:i/>
          <w:szCs w:val="20"/>
        </w:rPr>
        <w:t xml:space="preserve">varies by campus and course </w:t>
      </w:r>
      <w:r w:rsidR="00E96F95" w:rsidRPr="00326F5C">
        <w:rPr>
          <w:rFonts w:asciiTheme="majorHAnsi" w:hAnsiTheme="majorHAnsi" w:cstheme="majorHAnsi"/>
          <w:i/>
          <w:szCs w:val="20"/>
        </w:rPr>
        <w:t>offering)</w:t>
      </w:r>
    </w:p>
    <w:p w:rsidR="00C32D96" w:rsidRPr="00326F5C" w:rsidRDefault="00C32D96" w:rsidP="00A37ED6">
      <w:pPr>
        <w:pStyle w:val="ListParagraph"/>
        <w:shd w:val="clear" w:color="auto" w:fill="FFFFFF"/>
        <w:ind w:left="1440"/>
        <w:jc w:val="both"/>
        <w:rPr>
          <w:rFonts w:asciiTheme="majorHAnsi" w:eastAsia="Arial Unicode MS" w:hAnsiTheme="majorHAnsi" w:cstheme="majorHAnsi"/>
          <w:szCs w:val="20"/>
        </w:rPr>
      </w:pPr>
    </w:p>
    <w:p w:rsidR="00933038" w:rsidRPr="00326F5C" w:rsidRDefault="00933038" w:rsidP="00A37ED6">
      <w:pPr>
        <w:numPr>
          <w:ilvl w:val="0"/>
          <w:numId w:val="24"/>
        </w:numPr>
        <w:shd w:val="clear" w:color="auto" w:fill="FFFFFF"/>
        <w:ind w:left="720"/>
        <w:jc w:val="both"/>
        <w:rPr>
          <w:rFonts w:asciiTheme="majorHAnsi" w:eastAsia="Arial Unicode MS" w:hAnsiTheme="majorHAnsi" w:cstheme="majorHAnsi"/>
          <w:sz w:val="20"/>
          <w:szCs w:val="20"/>
        </w:rPr>
      </w:pPr>
      <w:r w:rsidRPr="00326F5C">
        <w:rPr>
          <w:rFonts w:asciiTheme="majorHAnsi" w:eastAsia="Arial Unicode MS" w:hAnsiTheme="majorHAnsi" w:cstheme="majorHAnsi"/>
          <w:sz w:val="20"/>
          <w:szCs w:val="20"/>
        </w:rPr>
        <w:t>Provide documentation, i</w:t>
      </w:r>
      <w:r w:rsidR="00326F5C">
        <w:rPr>
          <w:rFonts w:asciiTheme="majorHAnsi" w:eastAsia="Arial Unicode MS" w:hAnsiTheme="majorHAnsi" w:cstheme="majorHAnsi"/>
          <w:sz w:val="20"/>
          <w:szCs w:val="20"/>
        </w:rPr>
        <w:t xml:space="preserve">ncluding rubrics or guidelines </w:t>
      </w:r>
      <w:r w:rsidRPr="00326F5C">
        <w:rPr>
          <w:rFonts w:asciiTheme="majorHAnsi" w:eastAsia="Arial Unicode MS" w:hAnsiTheme="majorHAnsi" w:cstheme="majorHAnsi"/>
          <w:sz w:val="20"/>
          <w:szCs w:val="20"/>
        </w:rPr>
        <w:t xml:space="preserve">that explains the methods through which faculty and/or other qualified individuals assess the integrative learning experience with regard to students’ demonstration of the selected competencies. </w:t>
      </w:r>
    </w:p>
    <w:p w:rsidR="00933038" w:rsidRPr="00326F5C" w:rsidRDefault="00933038" w:rsidP="00A37ED6">
      <w:pPr>
        <w:shd w:val="clear" w:color="auto" w:fill="FFFFFF"/>
        <w:jc w:val="both"/>
        <w:rPr>
          <w:rFonts w:asciiTheme="majorHAnsi" w:eastAsia="Arial Unicode MS" w:hAnsiTheme="majorHAnsi" w:cstheme="majorHAnsi"/>
          <w:sz w:val="20"/>
          <w:szCs w:val="20"/>
        </w:rPr>
      </w:pPr>
    </w:p>
    <w:p w:rsidR="00DF73F5" w:rsidRPr="00326F5C" w:rsidRDefault="0052015A" w:rsidP="00A37ED6">
      <w:pPr>
        <w:ind w:left="720"/>
        <w:rPr>
          <w:rFonts w:asciiTheme="majorHAnsi" w:eastAsia="Times New Roman" w:hAnsiTheme="majorHAnsi" w:cstheme="majorHAnsi"/>
          <w:bCs/>
          <w:color w:val="000000"/>
          <w:sz w:val="20"/>
          <w:szCs w:val="20"/>
        </w:rPr>
      </w:pPr>
      <w:r w:rsidRPr="00326F5C">
        <w:rPr>
          <w:rFonts w:asciiTheme="majorHAnsi" w:eastAsia="Times New Roman" w:hAnsiTheme="majorHAnsi" w:cstheme="majorHAnsi"/>
          <w:bCs/>
          <w:color w:val="000000"/>
          <w:sz w:val="20"/>
          <w:szCs w:val="20"/>
        </w:rPr>
        <w:t>MPH s</w:t>
      </w:r>
      <w:r w:rsidR="00DF73F5" w:rsidRPr="00326F5C">
        <w:rPr>
          <w:rFonts w:asciiTheme="majorHAnsi" w:eastAsia="Times New Roman" w:hAnsiTheme="majorHAnsi" w:cstheme="majorHAnsi"/>
          <w:bCs/>
          <w:color w:val="000000"/>
          <w:sz w:val="20"/>
          <w:szCs w:val="20"/>
        </w:rPr>
        <w:t>tudents self-identify competencies</w:t>
      </w:r>
      <w:r w:rsidR="00B77903" w:rsidRPr="00326F5C">
        <w:rPr>
          <w:rFonts w:asciiTheme="majorHAnsi" w:eastAsia="Times New Roman" w:hAnsiTheme="majorHAnsi" w:cstheme="majorHAnsi"/>
          <w:bCs/>
          <w:color w:val="000000"/>
          <w:sz w:val="20"/>
          <w:szCs w:val="20"/>
        </w:rPr>
        <w:t xml:space="preserve"> when completing an independent ILE or academic thesis to fulfill the ILE requirement </w:t>
      </w:r>
      <w:r w:rsidR="00DF73F5" w:rsidRPr="00326F5C">
        <w:rPr>
          <w:rFonts w:asciiTheme="majorHAnsi" w:eastAsia="Times New Roman" w:hAnsiTheme="majorHAnsi" w:cstheme="majorHAnsi"/>
          <w:bCs/>
          <w:color w:val="000000"/>
          <w:sz w:val="20"/>
          <w:szCs w:val="20"/>
        </w:rPr>
        <w:t xml:space="preserve">(a minimum of two MPH Foundational Knowledge competencies and two major-specific competencies as defined in </w:t>
      </w:r>
      <w:hyperlink w:anchor="_D2._MPH_Foundational_1" w:history="1">
        <w:r w:rsidR="00B104DC" w:rsidRPr="00326F5C">
          <w:rPr>
            <w:rStyle w:val="Hyperlink"/>
            <w:rFonts w:asciiTheme="majorHAnsi" w:eastAsia="Times New Roman" w:hAnsiTheme="majorHAnsi" w:cstheme="majorHAnsi"/>
            <w:bCs/>
            <w:i/>
            <w:sz w:val="20"/>
            <w:szCs w:val="20"/>
          </w:rPr>
          <w:t>Criterion D2. MPH Foundational Knowledge</w:t>
        </w:r>
      </w:hyperlink>
      <w:r w:rsidR="00B104DC" w:rsidRPr="00326F5C">
        <w:rPr>
          <w:rFonts w:asciiTheme="majorHAnsi" w:eastAsia="Times New Roman" w:hAnsiTheme="majorHAnsi" w:cstheme="majorHAnsi"/>
          <w:bCs/>
          <w:color w:val="000000"/>
          <w:sz w:val="20"/>
          <w:szCs w:val="20"/>
        </w:rPr>
        <w:t xml:space="preserve"> and </w:t>
      </w:r>
      <w:hyperlink w:anchor="_D4._MPH_&amp;" w:history="1">
        <w:r w:rsidR="00B104DC" w:rsidRPr="00326F5C">
          <w:rPr>
            <w:rStyle w:val="Hyperlink"/>
            <w:rFonts w:asciiTheme="majorHAnsi" w:eastAsia="Times New Roman" w:hAnsiTheme="majorHAnsi" w:cstheme="majorHAnsi"/>
            <w:bCs/>
            <w:i/>
            <w:sz w:val="20"/>
            <w:szCs w:val="20"/>
          </w:rPr>
          <w:t>Criterion D4. MPH &amp; DrPH Concentration Competencies</w:t>
        </w:r>
      </w:hyperlink>
      <w:r w:rsidR="00B104DC" w:rsidRPr="00326F5C">
        <w:rPr>
          <w:rFonts w:asciiTheme="majorHAnsi" w:eastAsia="Times New Roman" w:hAnsiTheme="majorHAnsi" w:cstheme="majorHAnsi"/>
          <w:bCs/>
          <w:color w:val="000000"/>
          <w:sz w:val="20"/>
          <w:szCs w:val="20"/>
        </w:rPr>
        <w:t>) a</w:t>
      </w:r>
      <w:r w:rsidR="008D153A" w:rsidRPr="00326F5C">
        <w:rPr>
          <w:rFonts w:asciiTheme="majorHAnsi" w:eastAsia="Times New Roman" w:hAnsiTheme="majorHAnsi" w:cstheme="majorHAnsi"/>
          <w:bCs/>
          <w:color w:val="000000"/>
          <w:sz w:val="20"/>
          <w:szCs w:val="20"/>
        </w:rPr>
        <w:t>nd</w:t>
      </w:r>
      <w:r w:rsidR="00DF73F5" w:rsidRPr="00326F5C">
        <w:rPr>
          <w:rFonts w:asciiTheme="majorHAnsi" w:eastAsia="Times New Roman" w:hAnsiTheme="majorHAnsi" w:cstheme="majorHAnsi"/>
          <w:bCs/>
          <w:color w:val="000000"/>
          <w:sz w:val="20"/>
          <w:szCs w:val="20"/>
        </w:rPr>
        <w:t xml:space="preserve"> propose an ILE project to be supervised by a faculty member using the </w:t>
      </w:r>
      <w:r w:rsidR="00DF73F5" w:rsidRPr="00326F5C">
        <w:rPr>
          <w:rFonts w:asciiTheme="majorHAnsi" w:hAnsiTheme="majorHAnsi" w:cstheme="majorHAnsi"/>
          <w:sz w:val="20"/>
          <w:szCs w:val="20"/>
        </w:rPr>
        <w:t>MPH Integrative Learning Experience Guide and Instructions</w:t>
      </w:r>
      <w:r w:rsidR="00DF73F5" w:rsidRPr="00326F5C">
        <w:rPr>
          <w:rFonts w:asciiTheme="majorHAnsi" w:eastAsia="Times New Roman" w:hAnsiTheme="majorHAnsi" w:cstheme="majorHAnsi"/>
          <w:bCs/>
          <w:color w:val="000000"/>
          <w:sz w:val="20"/>
          <w:szCs w:val="20"/>
        </w:rPr>
        <w:t xml:space="preserve"> and must complete the </w:t>
      </w:r>
      <w:r w:rsidR="00DF73F5" w:rsidRPr="00326F5C">
        <w:rPr>
          <w:rFonts w:asciiTheme="majorHAnsi" w:hAnsiTheme="majorHAnsi" w:cstheme="majorHAnsi"/>
          <w:sz w:val="20"/>
          <w:szCs w:val="20"/>
        </w:rPr>
        <w:t>MPH Independent ILE Approval Form</w:t>
      </w:r>
      <w:r w:rsidR="00DF73F5" w:rsidRPr="00326F5C">
        <w:rPr>
          <w:rFonts w:asciiTheme="majorHAnsi" w:eastAsia="Times New Roman" w:hAnsiTheme="majorHAnsi" w:cstheme="majorHAnsi"/>
          <w:bCs/>
          <w:color w:val="000000"/>
          <w:sz w:val="20"/>
          <w:szCs w:val="20"/>
        </w:rPr>
        <w:t xml:space="preserve">. Once the supervising faculty member reviews and approves the proposed project and identified competencies, the student completes the ILE within one semester. Upon completion, the student submits the </w:t>
      </w:r>
      <w:r w:rsidR="00DF73F5" w:rsidRPr="00326F5C">
        <w:rPr>
          <w:rFonts w:asciiTheme="majorHAnsi" w:hAnsiTheme="majorHAnsi" w:cstheme="majorHAnsi"/>
          <w:sz w:val="20"/>
          <w:szCs w:val="20"/>
        </w:rPr>
        <w:t>MPH Independent ILE Completion Form</w:t>
      </w:r>
      <w:r w:rsidR="00DF73F5" w:rsidRPr="00326F5C">
        <w:rPr>
          <w:rFonts w:asciiTheme="majorHAnsi" w:eastAsia="Times New Roman" w:hAnsiTheme="majorHAnsi" w:cstheme="majorHAnsi"/>
          <w:bCs/>
          <w:color w:val="000000"/>
          <w:sz w:val="20"/>
          <w:szCs w:val="20"/>
        </w:rPr>
        <w:t xml:space="preserve"> that further describes how the student synthesized the identified competencies through the experience. The supervising faculty reads and grades the final product and ensures that the student demonstrated synthesis and integration of the selected competencies. </w:t>
      </w:r>
    </w:p>
    <w:p w:rsidR="00933038" w:rsidRPr="00326F5C" w:rsidRDefault="00933038" w:rsidP="00A37ED6">
      <w:pPr>
        <w:pStyle w:val="ListParagraph"/>
        <w:rPr>
          <w:rFonts w:asciiTheme="majorHAnsi" w:eastAsia="Arial Unicode MS" w:hAnsiTheme="majorHAnsi" w:cstheme="majorHAnsi"/>
          <w:szCs w:val="20"/>
        </w:rPr>
      </w:pPr>
    </w:p>
    <w:p w:rsidR="00933038" w:rsidRPr="00326F5C" w:rsidRDefault="00933038" w:rsidP="00A37ED6">
      <w:pPr>
        <w:numPr>
          <w:ilvl w:val="0"/>
          <w:numId w:val="24"/>
        </w:numPr>
        <w:shd w:val="clear" w:color="auto" w:fill="FFFFFF"/>
        <w:ind w:left="720"/>
        <w:jc w:val="both"/>
        <w:rPr>
          <w:rFonts w:asciiTheme="majorHAnsi" w:eastAsia="Arial Unicode MS" w:hAnsiTheme="majorHAnsi" w:cstheme="majorHAnsi"/>
          <w:sz w:val="20"/>
          <w:szCs w:val="20"/>
        </w:rPr>
      </w:pPr>
      <w:r w:rsidRPr="00326F5C">
        <w:rPr>
          <w:rFonts w:asciiTheme="majorHAnsi" w:eastAsia="Arial Unicode MS" w:hAnsiTheme="majorHAnsi" w:cstheme="majorHAnsi"/>
          <w:sz w:val="20"/>
          <w:szCs w:val="20"/>
        </w:rPr>
        <w:t xml:space="preserve">Include completed, graded samples of deliverables associated with each integrative learning experience option from different concentrations, if applicable. The school must provide at least 10% of the number produced in the last three years or five examples, whichever is greater. </w:t>
      </w:r>
    </w:p>
    <w:p w:rsidR="00933038" w:rsidRPr="00326F5C" w:rsidRDefault="00933038" w:rsidP="00A37ED6">
      <w:pPr>
        <w:shd w:val="clear" w:color="auto" w:fill="FFFFFF"/>
        <w:jc w:val="both"/>
        <w:rPr>
          <w:rFonts w:asciiTheme="majorHAnsi" w:eastAsia="Arial Unicode MS" w:hAnsiTheme="majorHAnsi" w:cstheme="majorHAnsi"/>
          <w:sz w:val="20"/>
          <w:szCs w:val="20"/>
        </w:rPr>
      </w:pPr>
    </w:p>
    <w:p w:rsidR="00016886" w:rsidRPr="00326F5C" w:rsidRDefault="00C90FEB" w:rsidP="00016886">
      <w:pPr>
        <w:ind w:left="720"/>
        <w:rPr>
          <w:rFonts w:asciiTheme="majorHAnsi" w:eastAsia="Arial Unicode MS" w:hAnsiTheme="majorHAnsi" w:cstheme="majorHAnsi"/>
          <w:sz w:val="20"/>
          <w:szCs w:val="20"/>
        </w:rPr>
      </w:pPr>
      <w:r w:rsidRPr="00326F5C">
        <w:rPr>
          <w:rFonts w:asciiTheme="majorHAnsi" w:eastAsia="Arial Unicode MS" w:hAnsiTheme="majorHAnsi" w:cstheme="majorHAnsi"/>
          <w:sz w:val="20"/>
          <w:szCs w:val="20"/>
        </w:rPr>
        <w:t xml:space="preserve">Samples of </w:t>
      </w:r>
      <w:r w:rsidR="00016886" w:rsidRPr="00326F5C">
        <w:rPr>
          <w:rFonts w:asciiTheme="majorHAnsi" w:eastAsia="Arial Unicode MS" w:hAnsiTheme="majorHAnsi" w:cstheme="majorHAnsi"/>
          <w:sz w:val="20"/>
          <w:szCs w:val="20"/>
        </w:rPr>
        <w:t xml:space="preserve">MPH integrative learning experience </w:t>
      </w:r>
      <w:r w:rsidR="00B26B86" w:rsidRPr="00326F5C">
        <w:rPr>
          <w:rFonts w:asciiTheme="majorHAnsi" w:eastAsia="Arial Unicode MS" w:hAnsiTheme="majorHAnsi" w:cstheme="majorHAnsi"/>
          <w:sz w:val="20"/>
          <w:szCs w:val="20"/>
        </w:rPr>
        <w:t>deliverables</w:t>
      </w:r>
      <w:r w:rsidR="00016886" w:rsidRPr="00326F5C">
        <w:rPr>
          <w:rFonts w:asciiTheme="majorHAnsi" w:eastAsia="Arial Unicode MS" w:hAnsiTheme="majorHAnsi" w:cstheme="majorHAnsi"/>
          <w:sz w:val="20"/>
          <w:szCs w:val="20"/>
        </w:rPr>
        <w:t xml:space="preserve"> </w:t>
      </w:r>
      <w:r w:rsidR="008C31AD">
        <w:rPr>
          <w:rFonts w:asciiTheme="majorHAnsi" w:eastAsia="Arial Unicode MS" w:hAnsiTheme="majorHAnsi" w:cstheme="majorHAnsi"/>
          <w:sz w:val="20"/>
          <w:szCs w:val="20"/>
        </w:rPr>
        <w:t>are available in the electronic resource file</w:t>
      </w:r>
      <w:r w:rsidR="00016886" w:rsidRPr="00326F5C">
        <w:rPr>
          <w:rFonts w:asciiTheme="majorHAnsi" w:eastAsia="Arial Unicode MS" w:hAnsiTheme="majorHAnsi" w:cstheme="majorHAnsi"/>
          <w:sz w:val="20"/>
          <w:szCs w:val="20"/>
        </w:rPr>
        <w:t xml:space="preserve"> (</w:t>
      </w:r>
      <w:r w:rsidR="00016886" w:rsidRPr="00326F5C">
        <w:rPr>
          <w:rFonts w:asciiTheme="majorHAnsi" w:eastAsia="Arial Unicode MS" w:hAnsiTheme="majorHAnsi" w:cstheme="majorHAnsi"/>
          <w:i/>
          <w:sz w:val="20"/>
          <w:szCs w:val="20"/>
        </w:rPr>
        <w:t xml:space="preserve">ERF, </w:t>
      </w:r>
      <w:r w:rsidR="001D0D93" w:rsidRPr="00326F5C">
        <w:rPr>
          <w:rFonts w:asciiTheme="majorHAnsi" w:eastAsia="Arial Unicode MS" w:hAnsiTheme="majorHAnsi" w:cstheme="majorHAnsi"/>
          <w:i/>
          <w:sz w:val="20"/>
          <w:szCs w:val="20"/>
        </w:rPr>
        <w:t>D7.5. MPH ILE Examples for MPH Concentrations</w:t>
      </w:r>
      <w:r w:rsidR="001D0D93" w:rsidRPr="00326F5C">
        <w:rPr>
          <w:rFonts w:asciiTheme="majorHAnsi" w:eastAsia="Arial Unicode MS" w:hAnsiTheme="majorHAnsi" w:cstheme="majorHAnsi"/>
          <w:sz w:val="20"/>
          <w:szCs w:val="20"/>
        </w:rPr>
        <w:t xml:space="preserve">). </w:t>
      </w:r>
    </w:p>
    <w:p w:rsidR="00016886" w:rsidRPr="00326F5C" w:rsidRDefault="00016886" w:rsidP="00A37ED6">
      <w:pPr>
        <w:shd w:val="clear" w:color="auto" w:fill="FFFFFF"/>
        <w:jc w:val="both"/>
        <w:rPr>
          <w:rFonts w:asciiTheme="majorHAnsi" w:eastAsia="Arial Unicode MS" w:hAnsiTheme="majorHAnsi" w:cstheme="majorHAnsi"/>
          <w:sz w:val="20"/>
          <w:szCs w:val="20"/>
        </w:rPr>
      </w:pPr>
    </w:p>
    <w:p w:rsidR="00547032" w:rsidRPr="00326F5C" w:rsidRDefault="00547032" w:rsidP="006E28EE">
      <w:pPr>
        <w:ind w:left="720"/>
        <w:rPr>
          <w:rFonts w:asciiTheme="majorHAnsi" w:hAnsiTheme="majorHAnsi" w:cstheme="majorHAnsi"/>
          <w:sz w:val="20"/>
          <w:szCs w:val="20"/>
        </w:rPr>
      </w:pPr>
      <w:bookmarkStart w:id="88" w:name="D75"/>
      <w:r w:rsidRPr="00326F5C">
        <w:rPr>
          <w:rFonts w:asciiTheme="majorHAnsi" w:hAnsiTheme="majorHAnsi" w:cstheme="majorHAnsi"/>
          <w:sz w:val="20"/>
          <w:szCs w:val="20"/>
        </w:rPr>
        <w:t>Table D.7.5.a</w:t>
      </w:r>
      <w:bookmarkEnd w:id="88"/>
      <w:r w:rsidRPr="00326F5C">
        <w:rPr>
          <w:rFonts w:asciiTheme="majorHAnsi" w:hAnsiTheme="majorHAnsi" w:cstheme="majorHAnsi"/>
          <w:sz w:val="20"/>
          <w:szCs w:val="20"/>
        </w:rPr>
        <w:t>. MPH Integrative Learning Experience Examples for MPH in Community Health Practice</w:t>
      </w:r>
      <w:r w:rsidR="00791604" w:rsidRPr="00326F5C">
        <w:rPr>
          <w:rFonts w:asciiTheme="majorHAnsi" w:hAnsiTheme="majorHAnsi" w:cstheme="majorHAnsi"/>
          <w:sz w:val="20"/>
          <w:szCs w:val="20"/>
        </w:rPr>
        <w:t xml:space="preserve"> (</w:t>
      </w:r>
      <w:r w:rsidR="00791604" w:rsidRPr="00326F5C">
        <w:rPr>
          <w:rFonts w:asciiTheme="majorHAnsi" w:hAnsiTheme="majorHAnsi" w:cstheme="majorHAnsi"/>
          <w:i/>
          <w:sz w:val="20"/>
          <w:szCs w:val="20"/>
        </w:rPr>
        <w:t>ERF, D7.5. MPH ILE Examples for MPH Concentrations, MPH Community Health Practice</w:t>
      </w:r>
      <w:r w:rsidR="00791604" w:rsidRPr="00326F5C">
        <w:rPr>
          <w:rFonts w:asciiTheme="majorHAnsi" w:hAnsiTheme="majorHAnsi" w:cstheme="majorHAnsi"/>
          <w:sz w:val="20"/>
          <w:szCs w:val="20"/>
        </w:rPr>
        <w:t>)</w:t>
      </w:r>
    </w:p>
    <w:tbl>
      <w:tblPr>
        <w:tblW w:w="4668"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975"/>
        <w:gridCol w:w="4049"/>
      </w:tblGrid>
      <w:tr w:rsidR="00547032" w:rsidRPr="00326F5C" w:rsidTr="006E28EE">
        <w:trPr>
          <w:trHeight w:val="1007"/>
          <w:tblHeader/>
        </w:trPr>
        <w:tc>
          <w:tcPr>
            <w:tcW w:w="9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47032" w:rsidRPr="00326F5C" w:rsidRDefault="00547032" w:rsidP="00A37ED6">
            <w:pPr>
              <w:jc w:val="center"/>
              <w:rPr>
                <w:rFonts w:asciiTheme="majorHAnsi" w:eastAsia="Times New Roman" w:hAnsiTheme="majorHAnsi" w:cstheme="majorHAnsi"/>
                <w:b/>
                <w:bCs/>
                <w:sz w:val="20"/>
                <w:szCs w:val="20"/>
              </w:rPr>
            </w:pPr>
            <w:r w:rsidRPr="00326F5C">
              <w:rPr>
                <w:rFonts w:asciiTheme="majorHAnsi" w:eastAsia="Times New Roman" w:hAnsiTheme="majorHAnsi" w:cstheme="majorHAnsi"/>
                <w:b/>
                <w:bCs/>
                <w:sz w:val="20"/>
                <w:szCs w:val="20"/>
              </w:rPr>
              <w:t>Integrative Learning Experience Option Completed</w:t>
            </w:r>
          </w:p>
        </w:tc>
        <w:tc>
          <w:tcPr>
            <w:tcW w:w="170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47032" w:rsidRPr="00326F5C" w:rsidRDefault="00547032" w:rsidP="00A37ED6">
            <w:pPr>
              <w:jc w:val="center"/>
              <w:rPr>
                <w:rFonts w:asciiTheme="majorHAnsi" w:eastAsia="Times New Roman" w:hAnsiTheme="majorHAnsi" w:cstheme="majorHAnsi"/>
                <w:b/>
                <w:bCs/>
                <w:sz w:val="20"/>
                <w:szCs w:val="20"/>
              </w:rPr>
            </w:pPr>
            <w:r w:rsidRPr="00326F5C">
              <w:rPr>
                <w:rFonts w:asciiTheme="majorHAnsi" w:eastAsia="Times New Roman" w:hAnsiTheme="majorHAnsi" w:cstheme="majorHAnsi"/>
                <w:b/>
                <w:bCs/>
                <w:sz w:val="20"/>
                <w:szCs w:val="20"/>
              </w:rPr>
              <w:t xml:space="preserve">Competency as defined </w:t>
            </w:r>
            <w:r w:rsidR="00456984" w:rsidRPr="00326F5C">
              <w:rPr>
                <w:rFonts w:asciiTheme="majorHAnsi" w:eastAsia="Times New Roman" w:hAnsiTheme="majorHAnsi" w:cstheme="majorHAnsi"/>
                <w:b/>
                <w:bCs/>
                <w:sz w:val="20"/>
                <w:szCs w:val="20"/>
              </w:rPr>
              <w:t xml:space="preserve">in </w:t>
            </w:r>
            <w:hyperlink w:anchor="_D2._MPH_Foundational_1" w:history="1">
              <w:r w:rsidR="00456984" w:rsidRPr="00326F5C">
                <w:rPr>
                  <w:rStyle w:val="Hyperlink"/>
                  <w:rFonts w:asciiTheme="majorHAnsi" w:eastAsia="Times New Roman" w:hAnsiTheme="majorHAnsi" w:cstheme="majorHAnsi"/>
                  <w:b/>
                  <w:bCs/>
                  <w:sz w:val="20"/>
                  <w:szCs w:val="20"/>
                </w:rPr>
                <w:t>Criterion D2</w:t>
              </w:r>
            </w:hyperlink>
            <w:r w:rsidRPr="00326F5C">
              <w:rPr>
                <w:rFonts w:asciiTheme="majorHAnsi" w:eastAsia="Times New Roman" w:hAnsiTheme="majorHAnsi" w:cstheme="majorHAnsi"/>
                <w:b/>
                <w:bCs/>
                <w:sz w:val="20"/>
                <w:szCs w:val="20"/>
              </w:rPr>
              <w:t xml:space="preserve"> and </w:t>
            </w:r>
            <w:hyperlink w:anchor="_D4._MPH_&amp;" w:history="1">
              <w:r w:rsidR="00456984" w:rsidRPr="00326F5C">
                <w:rPr>
                  <w:rStyle w:val="Hyperlink"/>
                  <w:rFonts w:asciiTheme="majorHAnsi" w:eastAsia="Times New Roman" w:hAnsiTheme="majorHAnsi" w:cstheme="majorHAnsi"/>
                  <w:b/>
                  <w:bCs/>
                  <w:sz w:val="20"/>
                  <w:szCs w:val="20"/>
                </w:rPr>
                <w:t xml:space="preserve">Criterion </w:t>
              </w:r>
              <w:r w:rsidRPr="00326F5C">
                <w:rPr>
                  <w:rStyle w:val="Hyperlink"/>
                  <w:rFonts w:asciiTheme="majorHAnsi" w:eastAsia="Times New Roman" w:hAnsiTheme="majorHAnsi" w:cstheme="majorHAnsi"/>
                  <w:b/>
                  <w:bCs/>
                  <w:sz w:val="20"/>
                  <w:szCs w:val="20"/>
                </w:rPr>
                <w:t>D4</w:t>
              </w:r>
            </w:hyperlink>
          </w:p>
        </w:tc>
        <w:tc>
          <w:tcPr>
            <w:tcW w:w="23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47032" w:rsidRPr="00326F5C" w:rsidRDefault="00547032" w:rsidP="00A37ED6">
            <w:pPr>
              <w:jc w:val="center"/>
              <w:rPr>
                <w:rFonts w:asciiTheme="majorHAnsi" w:eastAsia="Times New Roman" w:hAnsiTheme="majorHAnsi" w:cstheme="majorHAnsi"/>
                <w:b/>
                <w:bCs/>
                <w:sz w:val="20"/>
                <w:szCs w:val="20"/>
              </w:rPr>
            </w:pPr>
            <w:r w:rsidRPr="00326F5C">
              <w:rPr>
                <w:rFonts w:asciiTheme="majorHAnsi" w:eastAsia="Times New Roman" w:hAnsiTheme="majorHAnsi" w:cstheme="majorHAnsi"/>
                <w:b/>
                <w:bCs/>
                <w:sz w:val="20"/>
                <w:szCs w:val="20"/>
              </w:rPr>
              <w:t>How competencies are synthesized</w:t>
            </w:r>
          </w:p>
        </w:tc>
      </w:tr>
      <w:tr w:rsidR="00547032" w:rsidRPr="00326F5C" w:rsidTr="006E28EE">
        <w:trPr>
          <w:trHeight w:val="890"/>
        </w:trPr>
        <w:tc>
          <w:tcPr>
            <w:tcW w:w="977" w:type="pct"/>
            <w:vMerge w:val="restart"/>
            <w:tcBorders>
              <w:top w:val="single" w:sz="4" w:space="0" w:color="auto"/>
              <w:left w:val="single" w:sz="4" w:space="0" w:color="auto"/>
              <w:bottom w:val="single" w:sz="4" w:space="0" w:color="auto"/>
              <w:right w:val="single" w:sz="4" w:space="0" w:color="auto"/>
            </w:tcBorders>
            <w:shd w:val="clear" w:color="auto" w:fill="auto"/>
          </w:tcPr>
          <w:p w:rsidR="00547032" w:rsidRPr="00326F5C" w:rsidRDefault="00547032" w:rsidP="00A37ED6">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Community Health Practice, Student 1</w:t>
            </w:r>
          </w:p>
          <w:p w:rsidR="00547032" w:rsidRPr="00326F5C" w:rsidRDefault="00547032" w:rsidP="00A37ED6">
            <w:pPr>
              <w:rPr>
                <w:rFonts w:asciiTheme="majorHAnsi" w:eastAsia="Times New Roman" w:hAnsiTheme="majorHAnsi" w:cstheme="majorHAnsi"/>
                <w:b/>
                <w:sz w:val="20"/>
                <w:szCs w:val="20"/>
              </w:rPr>
            </w:pPr>
          </w:p>
          <w:p w:rsidR="00547032" w:rsidRPr="00326F5C" w:rsidRDefault="00547032" w:rsidP="00A37ED6">
            <w:pPr>
              <w:rPr>
                <w:rFonts w:asciiTheme="majorHAnsi" w:eastAsia="Times New Roman" w:hAnsiTheme="majorHAnsi" w:cstheme="majorHAnsi"/>
                <w:sz w:val="20"/>
                <w:szCs w:val="20"/>
              </w:rPr>
            </w:pPr>
            <w:r w:rsidRPr="00326F5C">
              <w:rPr>
                <w:rFonts w:asciiTheme="majorHAnsi" w:eastAsia="Times New Roman" w:hAnsiTheme="majorHAnsi" w:cstheme="majorHAnsi"/>
                <w:b/>
                <w:sz w:val="20"/>
                <w:szCs w:val="20"/>
              </w:rPr>
              <w:t>PHM 3996</w:t>
            </w:r>
            <w:r w:rsidRPr="00326F5C">
              <w:rPr>
                <w:rFonts w:asciiTheme="majorHAnsi" w:eastAsia="Times New Roman" w:hAnsiTheme="majorHAnsi" w:cstheme="majorHAnsi"/>
                <w:sz w:val="20"/>
                <w:szCs w:val="20"/>
              </w:rPr>
              <w:t xml:space="preserve"> Capstone for MPACH Students</w:t>
            </w:r>
          </w:p>
          <w:p w:rsidR="00547032" w:rsidRPr="00326F5C" w:rsidRDefault="00547032" w:rsidP="00A37ED6">
            <w:pPr>
              <w:rPr>
                <w:rFonts w:asciiTheme="majorHAnsi" w:eastAsia="Times New Roman" w:hAnsiTheme="majorHAnsi" w:cstheme="majorHAnsi"/>
                <w:sz w:val="20"/>
                <w:szCs w:val="20"/>
              </w:rPr>
            </w:pPr>
          </w:p>
          <w:p w:rsidR="00547032" w:rsidRPr="00326F5C" w:rsidRDefault="00547032" w:rsidP="00A37ED6">
            <w:pPr>
              <w:rPr>
                <w:rFonts w:asciiTheme="majorHAnsi" w:eastAsia="Times New Roman" w:hAnsiTheme="majorHAnsi" w:cstheme="majorHAnsi"/>
                <w:i/>
                <w:sz w:val="20"/>
                <w:szCs w:val="20"/>
              </w:rPr>
            </w:pPr>
            <w:r w:rsidRPr="00326F5C">
              <w:rPr>
                <w:rFonts w:asciiTheme="majorHAnsi" w:eastAsia="Times New Roman" w:hAnsiTheme="majorHAnsi" w:cstheme="majorHAnsi"/>
                <w:i/>
                <w:sz w:val="20"/>
                <w:szCs w:val="20"/>
                <w:u w:val="single"/>
              </w:rPr>
              <w:t>Final Product:</w:t>
            </w:r>
            <w:r w:rsidRPr="00326F5C">
              <w:rPr>
                <w:rFonts w:asciiTheme="majorHAnsi" w:eastAsia="Times New Roman" w:hAnsiTheme="majorHAnsi" w:cstheme="majorHAnsi"/>
                <w:i/>
                <w:sz w:val="20"/>
                <w:szCs w:val="20"/>
              </w:rPr>
              <w:t xml:space="preserve"> Paper Series</w:t>
            </w:r>
          </w:p>
        </w:tc>
        <w:tc>
          <w:tcPr>
            <w:tcW w:w="1704" w:type="pct"/>
            <w:tcBorders>
              <w:top w:val="single" w:sz="4" w:space="0" w:color="auto"/>
              <w:left w:val="single" w:sz="4" w:space="0" w:color="auto"/>
              <w:bottom w:val="single" w:sz="4" w:space="0" w:color="auto"/>
              <w:right w:val="single" w:sz="4" w:space="0" w:color="auto"/>
            </w:tcBorders>
            <w:shd w:val="clear" w:color="auto" w:fill="auto"/>
          </w:tcPr>
          <w:p w:rsidR="00547032" w:rsidRPr="00326F5C" w:rsidRDefault="00547032" w:rsidP="00A37ED6">
            <w:pPr>
              <w:rPr>
                <w:rFonts w:asciiTheme="majorHAnsi" w:hAnsiTheme="majorHAnsi" w:cstheme="majorHAnsi"/>
                <w:sz w:val="20"/>
                <w:szCs w:val="20"/>
              </w:rPr>
            </w:pPr>
            <w:r w:rsidRPr="00326F5C">
              <w:rPr>
                <w:rFonts w:asciiTheme="majorHAnsi" w:hAnsiTheme="majorHAnsi" w:cstheme="majorHAnsi"/>
                <w:sz w:val="20"/>
                <w:szCs w:val="20"/>
              </w:rPr>
              <w:t xml:space="preserve">MPH-4: Interpret results of data analysis for public health research, policy or practice. </w:t>
            </w:r>
          </w:p>
        </w:tc>
        <w:tc>
          <w:tcPr>
            <w:tcW w:w="2319" w:type="pct"/>
            <w:vMerge w:val="restart"/>
            <w:tcBorders>
              <w:top w:val="single" w:sz="4" w:space="0" w:color="auto"/>
              <w:left w:val="single" w:sz="4" w:space="0" w:color="auto"/>
              <w:bottom w:val="single" w:sz="4" w:space="0" w:color="auto"/>
              <w:right w:val="single" w:sz="4" w:space="0" w:color="auto"/>
            </w:tcBorders>
            <w:shd w:val="clear" w:color="auto" w:fill="auto"/>
          </w:tcPr>
          <w:p w:rsidR="00547032" w:rsidRPr="00326F5C" w:rsidRDefault="00547032" w:rsidP="00A37ED6">
            <w:pPr>
              <w:rPr>
                <w:rFonts w:asciiTheme="majorHAnsi" w:hAnsiTheme="majorHAnsi" w:cstheme="majorHAnsi"/>
                <w:sz w:val="20"/>
                <w:szCs w:val="20"/>
              </w:rPr>
            </w:pPr>
            <w:r w:rsidRPr="00326F5C">
              <w:rPr>
                <w:rFonts w:asciiTheme="majorHAnsi" w:eastAsia="Times New Roman" w:hAnsiTheme="majorHAnsi" w:cstheme="majorHAnsi"/>
                <w:sz w:val="20"/>
                <w:szCs w:val="20"/>
              </w:rPr>
              <w:t xml:space="preserve">The student in the MPACH capstone course wrote a series of three papers that each addressed an area of focus within community health practice. In paper one, the student used systems thinking tools to identify and research a patient safety issue evaluating the involvement of </w:t>
            </w:r>
            <w:r w:rsidRPr="00326F5C">
              <w:rPr>
                <w:rStyle w:val="CommentReference"/>
                <w:rFonts w:asciiTheme="majorHAnsi" w:hAnsiTheme="majorHAnsi" w:cstheme="majorHAnsi"/>
                <w:sz w:val="20"/>
                <w:szCs w:val="20"/>
              </w:rPr>
              <w:t xml:space="preserve">leadership (MPH-22). In paper two, the student </w:t>
            </w:r>
            <w:r w:rsidRPr="00326F5C">
              <w:rPr>
                <w:rFonts w:asciiTheme="majorHAnsi" w:eastAsia="Times New Roman" w:hAnsiTheme="majorHAnsi" w:cstheme="majorHAnsi"/>
                <w:sz w:val="20"/>
                <w:szCs w:val="20"/>
              </w:rPr>
              <w:t>interpreted data from the County Health Rankings to evaluate how economic and social determinants of health are measured and their impact on those living in these communities (MPH-4), (MPH-C5). Additionally the paper discusses comparisons in programming and program type for the study population (MPH-C1). In paper three, the student researched the role of public health in selected disaster and recovery scenarios examining the contribution of leadership in the scenario’s successes and failures.</w:t>
            </w:r>
          </w:p>
        </w:tc>
      </w:tr>
      <w:tr w:rsidR="00547032" w:rsidRPr="00326F5C" w:rsidTr="006E28EE">
        <w:trPr>
          <w:trHeight w:val="728"/>
        </w:trPr>
        <w:tc>
          <w:tcPr>
            <w:tcW w:w="977" w:type="pct"/>
            <w:vMerge/>
            <w:tcBorders>
              <w:top w:val="single" w:sz="4" w:space="0" w:color="auto"/>
              <w:left w:val="single" w:sz="4" w:space="0" w:color="auto"/>
              <w:bottom w:val="single" w:sz="4" w:space="0" w:color="auto"/>
              <w:right w:val="single" w:sz="4" w:space="0" w:color="auto"/>
            </w:tcBorders>
            <w:shd w:val="clear" w:color="auto" w:fill="auto"/>
          </w:tcPr>
          <w:p w:rsidR="00547032" w:rsidRPr="00326F5C" w:rsidRDefault="00547032" w:rsidP="00A37ED6">
            <w:pPr>
              <w:rPr>
                <w:rFonts w:asciiTheme="majorHAnsi" w:eastAsia="Times New Roman" w:hAnsiTheme="majorHAnsi" w:cstheme="majorHAnsi"/>
                <w:sz w:val="20"/>
                <w:szCs w:val="20"/>
              </w:rPr>
            </w:pPr>
          </w:p>
        </w:tc>
        <w:tc>
          <w:tcPr>
            <w:tcW w:w="1704" w:type="pct"/>
            <w:tcBorders>
              <w:top w:val="single" w:sz="4" w:space="0" w:color="auto"/>
              <w:left w:val="single" w:sz="4" w:space="0" w:color="auto"/>
              <w:bottom w:val="single" w:sz="4" w:space="0" w:color="auto"/>
              <w:right w:val="single" w:sz="4" w:space="0" w:color="auto"/>
            </w:tcBorders>
            <w:shd w:val="clear" w:color="auto" w:fill="auto"/>
          </w:tcPr>
          <w:p w:rsidR="00547032" w:rsidRPr="00326F5C" w:rsidRDefault="00547032" w:rsidP="00A37ED6">
            <w:pPr>
              <w:rPr>
                <w:rFonts w:asciiTheme="majorHAnsi" w:hAnsiTheme="majorHAnsi" w:cstheme="majorHAnsi"/>
                <w:sz w:val="20"/>
                <w:szCs w:val="20"/>
              </w:rPr>
            </w:pPr>
            <w:r w:rsidRPr="00326F5C">
              <w:rPr>
                <w:rFonts w:asciiTheme="majorHAnsi" w:hAnsiTheme="majorHAnsi" w:cstheme="majorHAnsi"/>
                <w:sz w:val="20"/>
                <w:szCs w:val="20"/>
              </w:rPr>
              <w:t>MPH-22: Apply systems thinking tools to a public health issue.</w:t>
            </w:r>
          </w:p>
        </w:tc>
        <w:tc>
          <w:tcPr>
            <w:tcW w:w="2319" w:type="pct"/>
            <w:vMerge/>
            <w:tcBorders>
              <w:top w:val="single" w:sz="4" w:space="0" w:color="auto"/>
              <w:left w:val="single" w:sz="4" w:space="0" w:color="auto"/>
              <w:bottom w:val="single" w:sz="4" w:space="0" w:color="auto"/>
              <w:right w:val="single" w:sz="4" w:space="0" w:color="auto"/>
            </w:tcBorders>
            <w:shd w:val="clear" w:color="auto" w:fill="auto"/>
          </w:tcPr>
          <w:p w:rsidR="00547032" w:rsidRPr="00326F5C" w:rsidRDefault="00547032" w:rsidP="00A37ED6">
            <w:pPr>
              <w:rPr>
                <w:rFonts w:asciiTheme="majorHAnsi" w:eastAsia="Times New Roman" w:hAnsiTheme="majorHAnsi" w:cstheme="majorHAnsi"/>
                <w:sz w:val="20"/>
                <w:szCs w:val="20"/>
              </w:rPr>
            </w:pPr>
          </w:p>
        </w:tc>
      </w:tr>
      <w:tr w:rsidR="00547032" w:rsidRPr="00326F5C" w:rsidTr="006E28EE">
        <w:trPr>
          <w:trHeight w:val="1335"/>
        </w:trPr>
        <w:tc>
          <w:tcPr>
            <w:tcW w:w="977" w:type="pct"/>
            <w:vMerge/>
            <w:tcBorders>
              <w:top w:val="single" w:sz="4" w:space="0" w:color="auto"/>
              <w:left w:val="single" w:sz="4" w:space="0" w:color="auto"/>
              <w:bottom w:val="single" w:sz="4" w:space="0" w:color="auto"/>
              <w:right w:val="single" w:sz="4" w:space="0" w:color="auto"/>
            </w:tcBorders>
            <w:shd w:val="clear" w:color="auto" w:fill="auto"/>
          </w:tcPr>
          <w:p w:rsidR="00547032" w:rsidRPr="00326F5C" w:rsidRDefault="00547032" w:rsidP="00A37ED6">
            <w:pPr>
              <w:rPr>
                <w:rFonts w:asciiTheme="majorHAnsi" w:eastAsia="Times New Roman" w:hAnsiTheme="majorHAnsi" w:cstheme="majorHAnsi"/>
                <w:sz w:val="20"/>
                <w:szCs w:val="20"/>
              </w:rPr>
            </w:pPr>
          </w:p>
        </w:tc>
        <w:tc>
          <w:tcPr>
            <w:tcW w:w="1704" w:type="pct"/>
            <w:tcBorders>
              <w:top w:val="single" w:sz="4" w:space="0" w:color="auto"/>
              <w:left w:val="single" w:sz="4" w:space="0" w:color="auto"/>
              <w:bottom w:val="single" w:sz="4" w:space="0" w:color="auto"/>
              <w:right w:val="single" w:sz="4" w:space="0" w:color="auto"/>
            </w:tcBorders>
            <w:shd w:val="clear" w:color="auto" w:fill="auto"/>
          </w:tcPr>
          <w:p w:rsidR="00547032" w:rsidRPr="00326F5C" w:rsidRDefault="00547032" w:rsidP="00A37ED6">
            <w:pPr>
              <w:rPr>
                <w:rFonts w:asciiTheme="majorHAnsi" w:hAnsiTheme="majorHAnsi" w:cstheme="majorHAnsi"/>
                <w:sz w:val="20"/>
                <w:szCs w:val="20"/>
              </w:rPr>
            </w:pPr>
            <w:r w:rsidRPr="00326F5C">
              <w:rPr>
                <w:rFonts w:asciiTheme="majorHAnsi" w:hAnsiTheme="majorHAnsi" w:cstheme="majorHAnsi"/>
                <w:sz w:val="20"/>
                <w:szCs w:val="20"/>
              </w:rPr>
              <w:t>MPH-C1: Compare and contrast program-planning models used by national public health organizations.</w:t>
            </w:r>
          </w:p>
        </w:tc>
        <w:tc>
          <w:tcPr>
            <w:tcW w:w="2319" w:type="pct"/>
            <w:vMerge/>
            <w:tcBorders>
              <w:top w:val="single" w:sz="4" w:space="0" w:color="auto"/>
              <w:left w:val="single" w:sz="4" w:space="0" w:color="auto"/>
              <w:bottom w:val="single" w:sz="4" w:space="0" w:color="auto"/>
              <w:right w:val="single" w:sz="4" w:space="0" w:color="auto"/>
            </w:tcBorders>
            <w:shd w:val="clear" w:color="auto" w:fill="auto"/>
          </w:tcPr>
          <w:p w:rsidR="00547032" w:rsidRPr="00326F5C" w:rsidRDefault="00547032" w:rsidP="00A37ED6">
            <w:pPr>
              <w:rPr>
                <w:rFonts w:asciiTheme="majorHAnsi" w:eastAsia="Times New Roman" w:hAnsiTheme="majorHAnsi" w:cstheme="majorHAnsi"/>
                <w:sz w:val="20"/>
                <w:szCs w:val="20"/>
              </w:rPr>
            </w:pPr>
          </w:p>
        </w:tc>
      </w:tr>
      <w:tr w:rsidR="00547032" w:rsidRPr="00326F5C" w:rsidTr="006E28EE">
        <w:trPr>
          <w:trHeight w:val="1334"/>
        </w:trPr>
        <w:tc>
          <w:tcPr>
            <w:tcW w:w="977" w:type="pct"/>
            <w:vMerge/>
            <w:tcBorders>
              <w:top w:val="single" w:sz="4" w:space="0" w:color="auto"/>
              <w:left w:val="single" w:sz="4" w:space="0" w:color="auto"/>
              <w:bottom w:val="single" w:sz="4" w:space="0" w:color="auto"/>
              <w:right w:val="single" w:sz="4" w:space="0" w:color="auto"/>
            </w:tcBorders>
            <w:shd w:val="clear" w:color="auto" w:fill="auto"/>
          </w:tcPr>
          <w:p w:rsidR="00547032" w:rsidRPr="00326F5C" w:rsidRDefault="00547032" w:rsidP="00A37ED6">
            <w:pPr>
              <w:rPr>
                <w:rFonts w:asciiTheme="majorHAnsi" w:eastAsia="Times New Roman" w:hAnsiTheme="majorHAnsi" w:cstheme="majorHAnsi"/>
                <w:sz w:val="20"/>
                <w:szCs w:val="20"/>
              </w:rPr>
            </w:pPr>
          </w:p>
        </w:tc>
        <w:tc>
          <w:tcPr>
            <w:tcW w:w="1704" w:type="pct"/>
            <w:tcBorders>
              <w:top w:val="single" w:sz="4" w:space="0" w:color="auto"/>
              <w:left w:val="single" w:sz="4" w:space="0" w:color="auto"/>
              <w:bottom w:val="single" w:sz="4" w:space="0" w:color="auto"/>
              <w:right w:val="single" w:sz="4" w:space="0" w:color="auto"/>
            </w:tcBorders>
            <w:shd w:val="clear" w:color="auto" w:fill="auto"/>
          </w:tcPr>
          <w:p w:rsidR="00547032" w:rsidRPr="00326F5C" w:rsidRDefault="00547032" w:rsidP="00A37ED6">
            <w:pPr>
              <w:rPr>
                <w:rFonts w:asciiTheme="majorHAnsi" w:eastAsia="Times New Roman" w:hAnsiTheme="majorHAnsi" w:cstheme="majorHAnsi"/>
                <w:sz w:val="20"/>
                <w:szCs w:val="20"/>
                <w:highlight w:val="yellow"/>
              </w:rPr>
            </w:pPr>
            <w:r w:rsidRPr="00326F5C">
              <w:rPr>
                <w:rFonts w:asciiTheme="majorHAnsi" w:hAnsiTheme="majorHAnsi" w:cstheme="majorHAnsi"/>
                <w:sz w:val="20"/>
                <w:szCs w:val="20"/>
              </w:rPr>
              <w:t>MPH-C5: Describe the mechanisms and pathways through which economic or social determinants affect health and how these determinants are measured at individual or societal levels.</w:t>
            </w:r>
          </w:p>
        </w:tc>
        <w:tc>
          <w:tcPr>
            <w:tcW w:w="2319" w:type="pct"/>
            <w:vMerge/>
            <w:tcBorders>
              <w:top w:val="single" w:sz="4" w:space="0" w:color="auto"/>
              <w:left w:val="single" w:sz="4" w:space="0" w:color="auto"/>
              <w:bottom w:val="single" w:sz="4" w:space="0" w:color="auto"/>
              <w:right w:val="single" w:sz="4" w:space="0" w:color="auto"/>
            </w:tcBorders>
            <w:shd w:val="clear" w:color="auto" w:fill="auto"/>
          </w:tcPr>
          <w:p w:rsidR="00547032" w:rsidRPr="00326F5C" w:rsidRDefault="00547032" w:rsidP="00A37ED6">
            <w:pPr>
              <w:rPr>
                <w:rFonts w:asciiTheme="majorHAnsi" w:eastAsia="Times New Roman" w:hAnsiTheme="majorHAnsi" w:cstheme="majorHAnsi"/>
                <w:sz w:val="20"/>
                <w:szCs w:val="20"/>
              </w:rPr>
            </w:pPr>
          </w:p>
        </w:tc>
      </w:tr>
      <w:tr w:rsidR="00547032" w:rsidRPr="00326F5C" w:rsidTr="006E28EE">
        <w:trPr>
          <w:trHeight w:val="818"/>
        </w:trPr>
        <w:tc>
          <w:tcPr>
            <w:tcW w:w="977" w:type="pct"/>
            <w:vMerge w:val="restart"/>
            <w:tcBorders>
              <w:top w:val="single" w:sz="4" w:space="0" w:color="auto"/>
              <w:left w:val="single" w:sz="4" w:space="0" w:color="auto"/>
              <w:bottom w:val="single" w:sz="4" w:space="0" w:color="auto"/>
              <w:right w:val="single" w:sz="4" w:space="0" w:color="auto"/>
            </w:tcBorders>
            <w:shd w:val="clear" w:color="auto" w:fill="auto"/>
          </w:tcPr>
          <w:p w:rsidR="00547032" w:rsidRPr="00326F5C" w:rsidRDefault="00547032" w:rsidP="00A37ED6">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Community Health Practice, Student 2</w:t>
            </w:r>
          </w:p>
          <w:p w:rsidR="00547032" w:rsidRPr="00326F5C" w:rsidRDefault="00547032" w:rsidP="00A37ED6">
            <w:pPr>
              <w:rPr>
                <w:rFonts w:asciiTheme="majorHAnsi" w:eastAsia="Times New Roman" w:hAnsiTheme="majorHAnsi" w:cstheme="majorHAnsi"/>
                <w:sz w:val="20"/>
                <w:szCs w:val="20"/>
              </w:rPr>
            </w:pPr>
          </w:p>
          <w:p w:rsidR="00547032" w:rsidRPr="00326F5C" w:rsidRDefault="00547032" w:rsidP="00A37ED6">
            <w:pPr>
              <w:rPr>
                <w:rFonts w:asciiTheme="majorHAnsi" w:eastAsia="Times New Roman" w:hAnsiTheme="majorHAnsi" w:cstheme="majorHAnsi"/>
                <w:sz w:val="20"/>
                <w:szCs w:val="20"/>
              </w:rPr>
            </w:pPr>
            <w:r w:rsidRPr="00326F5C">
              <w:rPr>
                <w:rFonts w:asciiTheme="majorHAnsi" w:eastAsia="Times New Roman" w:hAnsiTheme="majorHAnsi" w:cstheme="majorHAnsi"/>
                <w:b/>
                <w:sz w:val="20"/>
                <w:szCs w:val="20"/>
              </w:rPr>
              <w:t>PHM 9998</w:t>
            </w:r>
            <w:r w:rsidRPr="00326F5C">
              <w:rPr>
                <w:rFonts w:asciiTheme="majorHAnsi" w:eastAsia="Times New Roman" w:hAnsiTheme="majorHAnsi" w:cstheme="majorHAnsi"/>
                <w:sz w:val="20"/>
                <w:szCs w:val="20"/>
              </w:rPr>
              <w:t xml:space="preserve"> Culminating Experience/Thesis</w:t>
            </w:r>
          </w:p>
          <w:p w:rsidR="00547032" w:rsidRPr="00326F5C" w:rsidRDefault="00547032" w:rsidP="00A37ED6">
            <w:pPr>
              <w:rPr>
                <w:rFonts w:asciiTheme="majorHAnsi" w:eastAsia="Times New Roman" w:hAnsiTheme="majorHAnsi" w:cstheme="majorHAnsi"/>
                <w:sz w:val="20"/>
                <w:szCs w:val="20"/>
              </w:rPr>
            </w:pPr>
          </w:p>
          <w:p w:rsidR="00547032" w:rsidRPr="00326F5C" w:rsidRDefault="00547032" w:rsidP="00A37ED6">
            <w:pPr>
              <w:rPr>
                <w:rFonts w:asciiTheme="majorHAnsi" w:eastAsia="Times New Roman" w:hAnsiTheme="majorHAnsi" w:cstheme="majorHAnsi"/>
                <w:i/>
                <w:sz w:val="20"/>
                <w:szCs w:val="20"/>
              </w:rPr>
            </w:pPr>
            <w:r w:rsidRPr="00326F5C">
              <w:rPr>
                <w:rFonts w:asciiTheme="majorHAnsi" w:eastAsia="Times New Roman" w:hAnsiTheme="majorHAnsi" w:cstheme="majorHAnsi"/>
                <w:i/>
                <w:sz w:val="20"/>
                <w:szCs w:val="20"/>
                <w:u w:val="single"/>
              </w:rPr>
              <w:t>Final Product</w:t>
            </w:r>
            <w:r w:rsidRPr="00326F5C">
              <w:rPr>
                <w:rFonts w:asciiTheme="majorHAnsi" w:eastAsia="Times New Roman" w:hAnsiTheme="majorHAnsi" w:cstheme="majorHAnsi"/>
                <w:i/>
                <w:sz w:val="20"/>
                <w:szCs w:val="20"/>
              </w:rPr>
              <w:t>: Independent ILE: Written Report</w:t>
            </w:r>
          </w:p>
          <w:p w:rsidR="00547032" w:rsidRPr="00326F5C" w:rsidRDefault="00547032" w:rsidP="00A37ED6">
            <w:pPr>
              <w:rPr>
                <w:rFonts w:asciiTheme="majorHAnsi" w:eastAsia="Times New Roman" w:hAnsiTheme="majorHAnsi" w:cstheme="majorHAnsi"/>
                <w:sz w:val="20"/>
                <w:szCs w:val="20"/>
                <w:highlight w:val="green"/>
              </w:rPr>
            </w:pPr>
          </w:p>
        </w:tc>
        <w:tc>
          <w:tcPr>
            <w:tcW w:w="1704" w:type="pct"/>
            <w:tcBorders>
              <w:top w:val="single" w:sz="4" w:space="0" w:color="auto"/>
              <w:left w:val="single" w:sz="4" w:space="0" w:color="auto"/>
              <w:bottom w:val="single" w:sz="4" w:space="0" w:color="auto"/>
              <w:right w:val="single" w:sz="4" w:space="0" w:color="auto"/>
            </w:tcBorders>
            <w:shd w:val="clear" w:color="auto" w:fill="auto"/>
          </w:tcPr>
          <w:p w:rsidR="00547032" w:rsidRPr="00326F5C" w:rsidRDefault="00547032" w:rsidP="00A37ED6">
            <w:pPr>
              <w:rPr>
                <w:rFonts w:asciiTheme="majorHAnsi" w:hAnsiTheme="majorHAnsi" w:cstheme="majorHAnsi"/>
                <w:sz w:val="20"/>
                <w:szCs w:val="20"/>
              </w:rPr>
            </w:pPr>
            <w:r w:rsidRPr="00326F5C">
              <w:rPr>
                <w:rFonts w:asciiTheme="majorHAnsi" w:hAnsiTheme="majorHAnsi" w:cstheme="majorHAnsi"/>
                <w:sz w:val="20"/>
                <w:szCs w:val="20"/>
              </w:rPr>
              <w:t>MPH-9: Design a population-based policy, program, project or intervention.</w:t>
            </w:r>
          </w:p>
        </w:tc>
        <w:tc>
          <w:tcPr>
            <w:tcW w:w="2319" w:type="pct"/>
            <w:vMerge w:val="restart"/>
            <w:tcBorders>
              <w:top w:val="single" w:sz="4" w:space="0" w:color="auto"/>
              <w:left w:val="single" w:sz="4" w:space="0" w:color="auto"/>
              <w:bottom w:val="single" w:sz="4" w:space="0" w:color="auto"/>
              <w:right w:val="single" w:sz="4" w:space="0" w:color="auto"/>
            </w:tcBorders>
            <w:shd w:val="clear" w:color="auto" w:fill="auto"/>
          </w:tcPr>
          <w:p w:rsidR="00547032" w:rsidRPr="00326F5C" w:rsidRDefault="00547032" w:rsidP="00A37ED6">
            <w:pPr>
              <w:rPr>
                <w:rFonts w:asciiTheme="majorHAnsi" w:eastAsia="Times New Roman" w:hAnsiTheme="majorHAnsi" w:cstheme="majorHAnsi"/>
                <w:sz w:val="20"/>
                <w:szCs w:val="20"/>
              </w:rPr>
            </w:pPr>
            <w:r w:rsidRPr="00326F5C">
              <w:rPr>
                <w:rFonts w:asciiTheme="majorHAnsi" w:eastAsia="Times New Roman" w:hAnsiTheme="majorHAnsi" w:cstheme="majorHAnsi"/>
                <w:sz w:val="20"/>
                <w:szCs w:val="20"/>
              </w:rPr>
              <w:t>The student assisted Healthcare for the Homeless - Houston with the implementation of a homeless-specific social determinants of health screening tool to identify unmet medical and psychosocial needs of the population (MPH-9). This tool was also used in the standardization of clinic processes and procedures regarding the referral of patients to in-clinic social services (MPH-15) (MPH-9). The student worked in a team consisting of professors and students with nursing, bioinformatics, behavioral health, medical, and public health backgrounds (MPH-C3). The student produced a manuscript in which they detailed how economic and social determinants affect homelessness and evaluated the effectiveness of the developed screening tool, including the barriers and lessons learned, when implemented in a primary care clinic for persons experiencing homelessness (MPH-C5).</w:t>
            </w:r>
          </w:p>
        </w:tc>
      </w:tr>
      <w:tr w:rsidR="00547032" w:rsidRPr="00326F5C" w:rsidTr="006E28EE">
        <w:trPr>
          <w:trHeight w:val="800"/>
        </w:trPr>
        <w:tc>
          <w:tcPr>
            <w:tcW w:w="977" w:type="pct"/>
            <w:vMerge/>
            <w:tcBorders>
              <w:top w:val="single" w:sz="4" w:space="0" w:color="auto"/>
            </w:tcBorders>
            <w:shd w:val="clear" w:color="auto" w:fill="auto"/>
          </w:tcPr>
          <w:p w:rsidR="00547032" w:rsidRPr="00326F5C" w:rsidRDefault="00547032" w:rsidP="00A37ED6">
            <w:pPr>
              <w:rPr>
                <w:rFonts w:asciiTheme="majorHAnsi" w:eastAsia="Times New Roman" w:hAnsiTheme="majorHAnsi" w:cstheme="majorHAnsi"/>
                <w:sz w:val="20"/>
                <w:szCs w:val="20"/>
              </w:rPr>
            </w:pPr>
          </w:p>
        </w:tc>
        <w:tc>
          <w:tcPr>
            <w:tcW w:w="1704" w:type="pct"/>
            <w:tcBorders>
              <w:top w:val="single" w:sz="4" w:space="0" w:color="auto"/>
            </w:tcBorders>
            <w:shd w:val="clear" w:color="auto" w:fill="auto"/>
          </w:tcPr>
          <w:p w:rsidR="00547032" w:rsidRPr="00326F5C" w:rsidRDefault="00547032" w:rsidP="00A37ED6">
            <w:pPr>
              <w:rPr>
                <w:rFonts w:asciiTheme="majorHAnsi" w:hAnsiTheme="majorHAnsi" w:cstheme="majorHAnsi"/>
                <w:sz w:val="20"/>
                <w:szCs w:val="20"/>
              </w:rPr>
            </w:pPr>
            <w:r w:rsidRPr="00326F5C">
              <w:rPr>
                <w:rFonts w:asciiTheme="majorHAnsi" w:hAnsiTheme="majorHAnsi" w:cstheme="majorHAnsi"/>
                <w:sz w:val="20"/>
                <w:szCs w:val="20"/>
              </w:rPr>
              <w:t>MPH-15 Evaluate policies for their impact on public health and equity.</w:t>
            </w:r>
          </w:p>
        </w:tc>
        <w:tc>
          <w:tcPr>
            <w:tcW w:w="2319" w:type="pct"/>
            <w:vMerge/>
            <w:tcBorders>
              <w:top w:val="single" w:sz="4" w:space="0" w:color="auto"/>
            </w:tcBorders>
            <w:shd w:val="clear" w:color="auto" w:fill="auto"/>
          </w:tcPr>
          <w:p w:rsidR="00547032" w:rsidRPr="00326F5C" w:rsidRDefault="00547032" w:rsidP="00A37ED6">
            <w:pPr>
              <w:rPr>
                <w:rFonts w:asciiTheme="majorHAnsi" w:eastAsia="Times New Roman" w:hAnsiTheme="majorHAnsi" w:cstheme="majorHAnsi"/>
                <w:sz w:val="20"/>
                <w:szCs w:val="20"/>
              </w:rPr>
            </w:pPr>
          </w:p>
        </w:tc>
      </w:tr>
      <w:tr w:rsidR="00547032" w:rsidRPr="00326F5C" w:rsidTr="00847E25">
        <w:trPr>
          <w:trHeight w:val="1610"/>
        </w:trPr>
        <w:tc>
          <w:tcPr>
            <w:tcW w:w="977"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c>
          <w:tcPr>
            <w:tcW w:w="1704" w:type="pct"/>
            <w:shd w:val="clear" w:color="auto" w:fill="auto"/>
          </w:tcPr>
          <w:p w:rsidR="00547032" w:rsidRPr="00326F5C" w:rsidRDefault="00547032" w:rsidP="00A37ED6">
            <w:pPr>
              <w:rPr>
                <w:rFonts w:asciiTheme="majorHAnsi" w:hAnsiTheme="majorHAnsi" w:cstheme="majorHAnsi"/>
                <w:sz w:val="20"/>
                <w:szCs w:val="20"/>
              </w:rPr>
            </w:pPr>
            <w:r w:rsidRPr="00326F5C">
              <w:rPr>
                <w:rFonts w:asciiTheme="majorHAnsi" w:eastAsia="Times New Roman" w:hAnsiTheme="majorHAnsi" w:cstheme="majorHAnsi"/>
                <w:sz w:val="20"/>
                <w:szCs w:val="20"/>
              </w:rPr>
              <w:t xml:space="preserve">MPH-C3: Collaborate with community-based organizations on social justice initiatives to enhance self-reflection when working with diverse communities. </w:t>
            </w:r>
          </w:p>
        </w:tc>
        <w:tc>
          <w:tcPr>
            <w:tcW w:w="2319"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r>
      <w:tr w:rsidR="00547032" w:rsidRPr="00326F5C" w:rsidTr="00847E25">
        <w:trPr>
          <w:trHeight w:val="1335"/>
        </w:trPr>
        <w:tc>
          <w:tcPr>
            <w:tcW w:w="977"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c>
          <w:tcPr>
            <w:tcW w:w="1704" w:type="pct"/>
            <w:shd w:val="clear" w:color="auto" w:fill="auto"/>
          </w:tcPr>
          <w:p w:rsidR="00547032" w:rsidRPr="00326F5C" w:rsidRDefault="00547032" w:rsidP="00A37ED6">
            <w:pPr>
              <w:rPr>
                <w:rFonts w:asciiTheme="majorHAnsi" w:eastAsia="Times New Roman" w:hAnsiTheme="majorHAnsi" w:cstheme="majorHAnsi"/>
                <w:sz w:val="20"/>
                <w:szCs w:val="20"/>
              </w:rPr>
            </w:pPr>
            <w:r w:rsidRPr="00326F5C">
              <w:rPr>
                <w:rFonts w:asciiTheme="majorHAnsi" w:hAnsiTheme="majorHAnsi" w:cstheme="majorHAnsi"/>
                <w:sz w:val="20"/>
                <w:szCs w:val="20"/>
              </w:rPr>
              <w:t>MPH-C5: Describe the mechanisms and pathways through which economic or social determinants affect health and how these determinants are measured at individual or societal levels.</w:t>
            </w:r>
          </w:p>
        </w:tc>
        <w:tc>
          <w:tcPr>
            <w:tcW w:w="2319"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r>
      <w:tr w:rsidR="00547032" w:rsidRPr="00326F5C" w:rsidTr="00847E25">
        <w:trPr>
          <w:trHeight w:val="737"/>
        </w:trPr>
        <w:tc>
          <w:tcPr>
            <w:tcW w:w="977" w:type="pct"/>
            <w:vMerge w:val="restart"/>
            <w:shd w:val="clear" w:color="auto" w:fill="auto"/>
          </w:tcPr>
          <w:p w:rsidR="00547032" w:rsidRPr="00326F5C" w:rsidRDefault="00547032" w:rsidP="00A37ED6">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Community Health Practice, Student 3</w:t>
            </w:r>
          </w:p>
          <w:p w:rsidR="00547032" w:rsidRPr="00326F5C" w:rsidRDefault="00547032" w:rsidP="00A37ED6">
            <w:pPr>
              <w:rPr>
                <w:rFonts w:asciiTheme="majorHAnsi" w:eastAsia="Times New Roman" w:hAnsiTheme="majorHAnsi" w:cstheme="majorHAnsi"/>
                <w:b/>
                <w:sz w:val="20"/>
                <w:szCs w:val="20"/>
              </w:rPr>
            </w:pPr>
          </w:p>
          <w:p w:rsidR="00547032" w:rsidRPr="00326F5C" w:rsidRDefault="00547032" w:rsidP="00A37ED6">
            <w:pPr>
              <w:rPr>
                <w:rFonts w:asciiTheme="majorHAnsi" w:eastAsia="Times New Roman" w:hAnsiTheme="majorHAnsi" w:cstheme="majorHAnsi"/>
                <w:sz w:val="20"/>
                <w:szCs w:val="20"/>
              </w:rPr>
            </w:pPr>
            <w:r w:rsidRPr="00326F5C">
              <w:rPr>
                <w:rFonts w:asciiTheme="majorHAnsi" w:eastAsia="Times New Roman" w:hAnsiTheme="majorHAnsi" w:cstheme="majorHAnsi"/>
                <w:b/>
                <w:sz w:val="20"/>
                <w:szCs w:val="20"/>
              </w:rPr>
              <w:t>PHM 9998</w:t>
            </w:r>
            <w:r w:rsidRPr="00326F5C">
              <w:rPr>
                <w:rFonts w:asciiTheme="majorHAnsi" w:eastAsia="Times New Roman" w:hAnsiTheme="majorHAnsi" w:cstheme="majorHAnsi"/>
                <w:sz w:val="20"/>
                <w:szCs w:val="20"/>
              </w:rPr>
              <w:t xml:space="preserve"> Culminating Experience/Thesis</w:t>
            </w:r>
          </w:p>
          <w:p w:rsidR="00547032" w:rsidRPr="00326F5C" w:rsidRDefault="00547032" w:rsidP="00A37ED6">
            <w:pPr>
              <w:rPr>
                <w:rFonts w:asciiTheme="majorHAnsi" w:eastAsia="Times New Roman" w:hAnsiTheme="majorHAnsi" w:cstheme="majorHAnsi"/>
                <w:sz w:val="20"/>
                <w:szCs w:val="20"/>
              </w:rPr>
            </w:pPr>
          </w:p>
          <w:p w:rsidR="00547032" w:rsidRPr="00326F5C" w:rsidRDefault="00547032" w:rsidP="00A37ED6">
            <w:pPr>
              <w:rPr>
                <w:rFonts w:asciiTheme="majorHAnsi" w:eastAsia="Times New Roman" w:hAnsiTheme="majorHAnsi" w:cstheme="majorHAnsi"/>
                <w:i/>
                <w:sz w:val="20"/>
                <w:szCs w:val="20"/>
              </w:rPr>
            </w:pPr>
            <w:r w:rsidRPr="00326F5C">
              <w:rPr>
                <w:rFonts w:asciiTheme="majorHAnsi" w:eastAsia="Times New Roman" w:hAnsiTheme="majorHAnsi" w:cstheme="majorHAnsi"/>
                <w:i/>
                <w:sz w:val="20"/>
                <w:szCs w:val="20"/>
                <w:u w:val="single"/>
              </w:rPr>
              <w:t>Final Product</w:t>
            </w:r>
            <w:r w:rsidRPr="00326F5C">
              <w:rPr>
                <w:rFonts w:asciiTheme="majorHAnsi" w:eastAsia="Times New Roman" w:hAnsiTheme="majorHAnsi" w:cstheme="majorHAnsi"/>
                <w:i/>
                <w:sz w:val="20"/>
                <w:szCs w:val="20"/>
              </w:rPr>
              <w:t>: Independent ILE: Strengths, Opportunities, and Suggestions Concerning Older Adult Programs in Brazos County, Texas</w:t>
            </w:r>
          </w:p>
        </w:tc>
        <w:tc>
          <w:tcPr>
            <w:tcW w:w="1704" w:type="pct"/>
            <w:shd w:val="clear" w:color="auto" w:fill="auto"/>
          </w:tcPr>
          <w:p w:rsidR="00547032" w:rsidRPr="00326F5C" w:rsidRDefault="00547032" w:rsidP="00A37ED6">
            <w:pPr>
              <w:rPr>
                <w:rFonts w:asciiTheme="majorHAnsi" w:hAnsiTheme="majorHAnsi" w:cstheme="majorHAnsi"/>
                <w:sz w:val="20"/>
                <w:szCs w:val="20"/>
              </w:rPr>
            </w:pPr>
            <w:r w:rsidRPr="00326F5C">
              <w:rPr>
                <w:rFonts w:asciiTheme="majorHAnsi" w:hAnsiTheme="majorHAnsi" w:cstheme="majorHAnsi"/>
                <w:sz w:val="20"/>
                <w:szCs w:val="20"/>
              </w:rPr>
              <w:t>MPH-7: Assess population needs, assets and capacities that affect communities’ health.</w:t>
            </w:r>
          </w:p>
        </w:tc>
        <w:tc>
          <w:tcPr>
            <w:tcW w:w="2319" w:type="pct"/>
            <w:vMerge w:val="restart"/>
            <w:shd w:val="clear" w:color="auto" w:fill="auto"/>
          </w:tcPr>
          <w:p w:rsidR="00547032" w:rsidRPr="00326F5C" w:rsidRDefault="00547032" w:rsidP="00A37ED6">
            <w:pPr>
              <w:rPr>
                <w:rFonts w:asciiTheme="majorHAnsi" w:eastAsia="Times New Roman" w:hAnsiTheme="majorHAnsi" w:cstheme="majorHAnsi"/>
                <w:sz w:val="20"/>
                <w:szCs w:val="20"/>
              </w:rPr>
            </w:pPr>
            <w:r w:rsidRPr="00326F5C">
              <w:rPr>
                <w:rFonts w:asciiTheme="majorHAnsi" w:eastAsia="Times New Roman" w:hAnsiTheme="majorHAnsi" w:cstheme="majorHAnsi"/>
                <w:sz w:val="20"/>
                <w:szCs w:val="20"/>
              </w:rPr>
              <w:t xml:space="preserve">The student wrote a paper focused on elderly care in the Bryan/College Station area of Texas. The student assessed the population needs, capacities, and cultural competence that affect geriatric programs in the area (MPH-7), (MPH-20). The student focused on where community stakeholders, including government and non-profit systems, may address potential gaps in the needs of this population (MPH-C2). The student also researched advancements in geriatric home </w:t>
            </w:r>
            <w:r w:rsidR="00D06EEE" w:rsidRPr="00326F5C">
              <w:rPr>
                <w:rFonts w:asciiTheme="majorHAnsi" w:eastAsia="Times New Roman" w:hAnsiTheme="majorHAnsi" w:cstheme="majorHAnsi"/>
                <w:sz w:val="20"/>
                <w:szCs w:val="20"/>
              </w:rPr>
              <w:t>healthcare</w:t>
            </w:r>
            <w:r w:rsidRPr="00326F5C">
              <w:rPr>
                <w:rFonts w:asciiTheme="majorHAnsi" w:eastAsia="Times New Roman" w:hAnsiTheme="majorHAnsi" w:cstheme="majorHAnsi"/>
                <w:sz w:val="20"/>
                <w:szCs w:val="20"/>
              </w:rPr>
              <w:t xml:space="preserve"> that could be implemented into the current community establishments (MPH-C1). </w:t>
            </w:r>
          </w:p>
        </w:tc>
      </w:tr>
      <w:tr w:rsidR="00547032" w:rsidRPr="00326F5C" w:rsidTr="00847E25">
        <w:trPr>
          <w:trHeight w:val="800"/>
        </w:trPr>
        <w:tc>
          <w:tcPr>
            <w:tcW w:w="977"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c>
          <w:tcPr>
            <w:tcW w:w="1704" w:type="pct"/>
            <w:shd w:val="clear" w:color="auto" w:fill="auto"/>
          </w:tcPr>
          <w:p w:rsidR="00547032" w:rsidRPr="00326F5C" w:rsidRDefault="00547032" w:rsidP="00A37ED6">
            <w:pPr>
              <w:rPr>
                <w:rFonts w:asciiTheme="majorHAnsi" w:hAnsiTheme="majorHAnsi" w:cstheme="majorHAnsi"/>
                <w:sz w:val="20"/>
                <w:szCs w:val="20"/>
              </w:rPr>
            </w:pPr>
            <w:r w:rsidRPr="00326F5C">
              <w:rPr>
                <w:rFonts w:asciiTheme="majorHAnsi" w:hAnsiTheme="majorHAnsi" w:cstheme="majorHAnsi"/>
                <w:sz w:val="20"/>
                <w:szCs w:val="20"/>
              </w:rPr>
              <w:t>MPH-20: Describe the importance of cultural competence in communicating public health content.</w:t>
            </w:r>
          </w:p>
        </w:tc>
        <w:tc>
          <w:tcPr>
            <w:tcW w:w="2319"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r>
      <w:tr w:rsidR="00547032" w:rsidRPr="00326F5C" w:rsidTr="00847E25">
        <w:trPr>
          <w:trHeight w:val="737"/>
        </w:trPr>
        <w:tc>
          <w:tcPr>
            <w:tcW w:w="977"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c>
          <w:tcPr>
            <w:tcW w:w="1704" w:type="pct"/>
            <w:shd w:val="clear" w:color="auto" w:fill="auto"/>
          </w:tcPr>
          <w:p w:rsidR="00547032" w:rsidRPr="00326F5C" w:rsidRDefault="00547032" w:rsidP="00A37ED6">
            <w:pPr>
              <w:rPr>
                <w:rFonts w:asciiTheme="majorHAnsi" w:hAnsiTheme="majorHAnsi" w:cstheme="majorHAnsi"/>
                <w:sz w:val="20"/>
                <w:szCs w:val="20"/>
              </w:rPr>
            </w:pPr>
            <w:r w:rsidRPr="00326F5C">
              <w:rPr>
                <w:rFonts w:asciiTheme="majorHAnsi" w:hAnsiTheme="majorHAnsi" w:cstheme="majorHAnsi"/>
                <w:sz w:val="20"/>
                <w:szCs w:val="20"/>
              </w:rPr>
              <w:t xml:space="preserve">MPH-C1: Compare and contrast program planning models used by national public health organizations. </w:t>
            </w:r>
          </w:p>
        </w:tc>
        <w:tc>
          <w:tcPr>
            <w:tcW w:w="2319"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r>
      <w:tr w:rsidR="00547032" w:rsidRPr="00326F5C" w:rsidTr="00847E25">
        <w:trPr>
          <w:trHeight w:val="827"/>
        </w:trPr>
        <w:tc>
          <w:tcPr>
            <w:tcW w:w="977"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c>
          <w:tcPr>
            <w:tcW w:w="1704" w:type="pct"/>
            <w:shd w:val="clear" w:color="auto" w:fill="auto"/>
          </w:tcPr>
          <w:p w:rsidR="00547032" w:rsidRPr="00326F5C" w:rsidRDefault="00547032" w:rsidP="00A37ED6">
            <w:pPr>
              <w:rPr>
                <w:rFonts w:asciiTheme="majorHAnsi" w:hAnsiTheme="majorHAnsi" w:cstheme="majorHAnsi"/>
                <w:sz w:val="20"/>
                <w:szCs w:val="20"/>
              </w:rPr>
            </w:pPr>
            <w:r w:rsidRPr="00326F5C">
              <w:rPr>
                <w:rFonts w:asciiTheme="majorHAnsi" w:hAnsiTheme="majorHAnsi" w:cstheme="majorHAnsi"/>
                <w:sz w:val="20"/>
                <w:szCs w:val="20"/>
              </w:rPr>
              <w:t>MPH-C2: Describe the interconnectedness of governmental and non-profit systems in influencing a public health problem.</w:t>
            </w:r>
          </w:p>
        </w:tc>
        <w:tc>
          <w:tcPr>
            <w:tcW w:w="2319"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r>
      <w:tr w:rsidR="00547032" w:rsidRPr="00326F5C" w:rsidTr="00847E25">
        <w:trPr>
          <w:trHeight w:val="1221"/>
        </w:trPr>
        <w:tc>
          <w:tcPr>
            <w:tcW w:w="977" w:type="pct"/>
            <w:vMerge w:val="restart"/>
            <w:shd w:val="clear" w:color="auto" w:fill="auto"/>
          </w:tcPr>
          <w:p w:rsidR="00547032" w:rsidRPr="00326F5C" w:rsidRDefault="00547032" w:rsidP="00A37ED6">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Community Health Practice, Student 4</w:t>
            </w:r>
          </w:p>
          <w:p w:rsidR="00547032" w:rsidRPr="00326F5C" w:rsidRDefault="00547032" w:rsidP="00A37ED6">
            <w:pPr>
              <w:rPr>
                <w:rFonts w:asciiTheme="majorHAnsi" w:eastAsia="Times New Roman" w:hAnsiTheme="majorHAnsi" w:cstheme="majorHAnsi"/>
                <w:b/>
                <w:sz w:val="20"/>
                <w:szCs w:val="20"/>
              </w:rPr>
            </w:pPr>
          </w:p>
          <w:p w:rsidR="00547032" w:rsidRPr="00326F5C" w:rsidRDefault="00547032" w:rsidP="00A37ED6">
            <w:pPr>
              <w:rPr>
                <w:rFonts w:asciiTheme="majorHAnsi" w:eastAsia="Times New Roman" w:hAnsiTheme="majorHAnsi" w:cstheme="majorHAnsi"/>
                <w:sz w:val="20"/>
                <w:szCs w:val="20"/>
              </w:rPr>
            </w:pPr>
            <w:r w:rsidRPr="00326F5C">
              <w:rPr>
                <w:rFonts w:asciiTheme="majorHAnsi" w:eastAsia="Times New Roman" w:hAnsiTheme="majorHAnsi" w:cstheme="majorHAnsi"/>
                <w:b/>
                <w:sz w:val="20"/>
                <w:szCs w:val="20"/>
              </w:rPr>
              <w:t>PHM 9998</w:t>
            </w:r>
            <w:r w:rsidRPr="00326F5C">
              <w:rPr>
                <w:rFonts w:asciiTheme="majorHAnsi" w:eastAsia="Times New Roman" w:hAnsiTheme="majorHAnsi" w:cstheme="majorHAnsi"/>
                <w:sz w:val="20"/>
                <w:szCs w:val="20"/>
              </w:rPr>
              <w:t xml:space="preserve"> Culminating Experience/Thesis</w:t>
            </w:r>
          </w:p>
          <w:p w:rsidR="00547032" w:rsidRPr="00326F5C" w:rsidRDefault="00547032" w:rsidP="00A37ED6">
            <w:pPr>
              <w:rPr>
                <w:rFonts w:asciiTheme="majorHAnsi" w:eastAsia="Times New Roman" w:hAnsiTheme="majorHAnsi" w:cstheme="majorHAnsi"/>
                <w:sz w:val="20"/>
                <w:szCs w:val="20"/>
              </w:rPr>
            </w:pPr>
          </w:p>
          <w:p w:rsidR="00547032" w:rsidRPr="00326F5C" w:rsidRDefault="00547032" w:rsidP="00A37ED6">
            <w:pPr>
              <w:rPr>
                <w:rFonts w:asciiTheme="majorHAnsi" w:eastAsia="Times New Roman" w:hAnsiTheme="majorHAnsi" w:cstheme="majorHAnsi"/>
                <w:i/>
                <w:sz w:val="20"/>
                <w:szCs w:val="20"/>
              </w:rPr>
            </w:pPr>
            <w:r w:rsidRPr="00326F5C">
              <w:rPr>
                <w:rFonts w:asciiTheme="majorHAnsi" w:eastAsia="Times New Roman" w:hAnsiTheme="majorHAnsi" w:cstheme="majorHAnsi"/>
                <w:i/>
                <w:sz w:val="20"/>
                <w:szCs w:val="20"/>
                <w:u w:val="single"/>
              </w:rPr>
              <w:t>Final Product</w:t>
            </w:r>
            <w:r w:rsidRPr="00326F5C">
              <w:rPr>
                <w:rFonts w:asciiTheme="majorHAnsi" w:eastAsia="Times New Roman" w:hAnsiTheme="majorHAnsi" w:cstheme="majorHAnsi"/>
                <w:i/>
                <w:sz w:val="20"/>
                <w:szCs w:val="20"/>
              </w:rPr>
              <w:t>: Independent ILE: Gulfton Story Trail: Evaluation of Art Murals on School Social Health and Value</w:t>
            </w:r>
          </w:p>
        </w:tc>
        <w:tc>
          <w:tcPr>
            <w:tcW w:w="1704" w:type="pct"/>
            <w:shd w:val="clear" w:color="auto" w:fill="auto"/>
          </w:tcPr>
          <w:p w:rsidR="00547032" w:rsidRPr="00326F5C" w:rsidRDefault="00547032" w:rsidP="00A37ED6">
            <w:pPr>
              <w:rPr>
                <w:rFonts w:asciiTheme="majorHAnsi" w:hAnsiTheme="majorHAnsi" w:cstheme="majorHAnsi"/>
                <w:sz w:val="20"/>
                <w:szCs w:val="20"/>
              </w:rPr>
            </w:pPr>
            <w:r w:rsidRPr="00326F5C">
              <w:rPr>
                <w:rFonts w:asciiTheme="majorHAnsi" w:hAnsiTheme="majorHAnsi" w:cstheme="majorHAnsi"/>
                <w:sz w:val="20"/>
                <w:szCs w:val="20"/>
              </w:rPr>
              <w:t>MPH-2: Select quantitative and qualitative data collection methods appropriate for a given public health context.</w:t>
            </w:r>
          </w:p>
        </w:tc>
        <w:tc>
          <w:tcPr>
            <w:tcW w:w="2319" w:type="pct"/>
            <w:vMerge w:val="restart"/>
            <w:shd w:val="clear" w:color="auto" w:fill="auto"/>
          </w:tcPr>
          <w:p w:rsidR="00547032" w:rsidRPr="00326F5C" w:rsidRDefault="00547032" w:rsidP="00A37ED6">
            <w:pPr>
              <w:rPr>
                <w:rFonts w:asciiTheme="majorHAnsi" w:eastAsia="Times New Roman" w:hAnsiTheme="majorHAnsi" w:cstheme="majorHAnsi"/>
                <w:sz w:val="20"/>
                <w:szCs w:val="20"/>
              </w:rPr>
            </w:pPr>
            <w:r w:rsidRPr="00326F5C">
              <w:rPr>
                <w:rFonts w:asciiTheme="majorHAnsi" w:eastAsia="Times New Roman" w:hAnsiTheme="majorHAnsi" w:cstheme="majorHAnsi"/>
                <w:sz w:val="20"/>
                <w:szCs w:val="20"/>
              </w:rPr>
              <w:t>The student identified quantitative and qualitative methods of evaluation to capture community reflections on the Gulfton murals (MPH-2). Located in a neighborhood characterized by negative economic and social determinants of health, including poverty, crime, and low educational attainment, the student evaluated the mural’s effect on public health (MPH-C5). The student developed a focus group discussion guide, interview questions, and an evaluation matrix using research from previous studies for data collection (MPH-11), (MPH-2). The student collaborated with CHAT and engaged with community members to discuss the Gulfton Story Trail process and implementation throughout the Gulfton neighborhoods (MPH-C3).</w:t>
            </w:r>
          </w:p>
        </w:tc>
      </w:tr>
      <w:tr w:rsidR="00547032" w:rsidRPr="00326F5C" w:rsidTr="00847E25">
        <w:trPr>
          <w:trHeight w:val="980"/>
        </w:trPr>
        <w:tc>
          <w:tcPr>
            <w:tcW w:w="977"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c>
          <w:tcPr>
            <w:tcW w:w="1704" w:type="pct"/>
            <w:shd w:val="clear" w:color="auto" w:fill="auto"/>
          </w:tcPr>
          <w:p w:rsidR="00547032" w:rsidRPr="00326F5C" w:rsidRDefault="00547032" w:rsidP="00A37ED6">
            <w:pPr>
              <w:rPr>
                <w:rFonts w:asciiTheme="majorHAnsi" w:hAnsiTheme="majorHAnsi" w:cstheme="majorHAnsi"/>
                <w:sz w:val="20"/>
                <w:szCs w:val="20"/>
              </w:rPr>
            </w:pPr>
            <w:r w:rsidRPr="00326F5C">
              <w:rPr>
                <w:rFonts w:asciiTheme="majorHAnsi" w:hAnsiTheme="majorHAnsi" w:cstheme="majorHAnsi"/>
                <w:sz w:val="20"/>
                <w:szCs w:val="20"/>
              </w:rPr>
              <w:t>MPH-11: Select methods to evaluate public health programs.</w:t>
            </w:r>
          </w:p>
        </w:tc>
        <w:tc>
          <w:tcPr>
            <w:tcW w:w="2319"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r>
      <w:tr w:rsidR="00547032" w:rsidRPr="00326F5C" w:rsidTr="00847E25">
        <w:trPr>
          <w:trHeight w:val="1007"/>
        </w:trPr>
        <w:tc>
          <w:tcPr>
            <w:tcW w:w="977"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c>
          <w:tcPr>
            <w:tcW w:w="1704" w:type="pct"/>
            <w:shd w:val="clear" w:color="auto" w:fill="auto"/>
          </w:tcPr>
          <w:p w:rsidR="00547032" w:rsidRPr="00326F5C" w:rsidRDefault="00547032" w:rsidP="00A37ED6">
            <w:pPr>
              <w:rPr>
                <w:rFonts w:asciiTheme="majorHAnsi" w:hAnsiTheme="majorHAnsi" w:cstheme="majorHAnsi"/>
                <w:sz w:val="20"/>
                <w:szCs w:val="20"/>
              </w:rPr>
            </w:pPr>
            <w:r w:rsidRPr="00326F5C">
              <w:rPr>
                <w:rFonts w:asciiTheme="majorHAnsi" w:hAnsiTheme="majorHAnsi" w:cstheme="majorHAnsi"/>
                <w:sz w:val="20"/>
                <w:szCs w:val="20"/>
              </w:rPr>
              <w:t>MPH-C3: Collaborate with community-based organizations on social justice initiatives to enhance self-reflection when working with diverse communities.</w:t>
            </w:r>
          </w:p>
        </w:tc>
        <w:tc>
          <w:tcPr>
            <w:tcW w:w="2319"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r>
      <w:tr w:rsidR="00547032" w:rsidRPr="00326F5C" w:rsidTr="00847E25">
        <w:trPr>
          <w:trHeight w:val="872"/>
        </w:trPr>
        <w:tc>
          <w:tcPr>
            <w:tcW w:w="977"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c>
          <w:tcPr>
            <w:tcW w:w="1704" w:type="pct"/>
            <w:shd w:val="clear" w:color="auto" w:fill="auto"/>
          </w:tcPr>
          <w:p w:rsidR="00547032" w:rsidRPr="00326F5C" w:rsidRDefault="00547032" w:rsidP="00A37ED6">
            <w:pPr>
              <w:rPr>
                <w:rFonts w:asciiTheme="majorHAnsi" w:hAnsiTheme="majorHAnsi" w:cstheme="majorHAnsi"/>
                <w:sz w:val="20"/>
                <w:szCs w:val="20"/>
              </w:rPr>
            </w:pPr>
            <w:r w:rsidRPr="00326F5C">
              <w:rPr>
                <w:rFonts w:asciiTheme="majorHAnsi" w:hAnsiTheme="majorHAnsi" w:cstheme="majorHAnsi"/>
                <w:sz w:val="20"/>
                <w:szCs w:val="20"/>
              </w:rPr>
              <w:t xml:space="preserve">MPH-C5: Describe the mechanisms and pathways through which economic or social determinants affect health. </w:t>
            </w:r>
          </w:p>
        </w:tc>
        <w:tc>
          <w:tcPr>
            <w:tcW w:w="2319"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r>
      <w:tr w:rsidR="00547032" w:rsidRPr="00326F5C" w:rsidTr="00847E25">
        <w:trPr>
          <w:trHeight w:val="692"/>
        </w:trPr>
        <w:tc>
          <w:tcPr>
            <w:tcW w:w="977" w:type="pct"/>
            <w:vMerge w:val="restart"/>
            <w:shd w:val="clear" w:color="auto" w:fill="auto"/>
          </w:tcPr>
          <w:p w:rsidR="00547032" w:rsidRPr="00326F5C" w:rsidRDefault="00547032" w:rsidP="00A37ED6">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Community Health Practice, Student 5</w:t>
            </w:r>
          </w:p>
          <w:p w:rsidR="00547032" w:rsidRPr="00326F5C" w:rsidRDefault="00547032" w:rsidP="00A37ED6">
            <w:pPr>
              <w:rPr>
                <w:rFonts w:asciiTheme="majorHAnsi" w:eastAsia="Times New Roman" w:hAnsiTheme="majorHAnsi" w:cstheme="majorHAnsi"/>
                <w:b/>
                <w:sz w:val="20"/>
                <w:szCs w:val="20"/>
              </w:rPr>
            </w:pPr>
          </w:p>
          <w:p w:rsidR="00547032" w:rsidRPr="00326F5C" w:rsidRDefault="00547032" w:rsidP="00A37ED6">
            <w:pPr>
              <w:rPr>
                <w:rFonts w:asciiTheme="majorHAnsi" w:eastAsia="Times New Roman" w:hAnsiTheme="majorHAnsi" w:cstheme="majorHAnsi"/>
                <w:sz w:val="20"/>
                <w:szCs w:val="20"/>
              </w:rPr>
            </w:pPr>
            <w:r w:rsidRPr="00326F5C">
              <w:rPr>
                <w:rFonts w:asciiTheme="majorHAnsi" w:eastAsia="Times New Roman" w:hAnsiTheme="majorHAnsi" w:cstheme="majorHAnsi"/>
                <w:b/>
                <w:sz w:val="20"/>
                <w:szCs w:val="20"/>
              </w:rPr>
              <w:t>PHM 9998</w:t>
            </w:r>
            <w:r w:rsidRPr="00326F5C">
              <w:rPr>
                <w:rFonts w:asciiTheme="majorHAnsi" w:eastAsia="Times New Roman" w:hAnsiTheme="majorHAnsi" w:cstheme="majorHAnsi"/>
                <w:sz w:val="20"/>
                <w:szCs w:val="20"/>
              </w:rPr>
              <w:t xml:space="preserve"> Culminating Experience/Thesis</w:t>
            </w:r>
          </w:p>
          <w:p w:rsidR="00547032" w:rsidRPr="00326F5C" w:rsidRDefault="00547032" w:rsidP="00A37ED6">
            <w:pPr>
              <w:rPr>
                <w:rFonts w:asciiTheme="majorHAnsi" w:eastAsia="Times New Roman" w:hAnsiTheme="majorHAnsi" w:cstheme="majorHAnsi"/>
                <w:sz w:val="20"/>
                <w:szCs w:val="20"/>
              </w:rPr>
            </w:pPr>
          </w:p>
          <w:p w:rsidR="00547032" w:rsidRPr="00326F5C" w:rsidRDefault="00547032" w:rsidP="00A37ED6">
            <w:pPr>
              <w:rPr>
                <w:rFonts w:asciiTheme="majorHAnsi" w:eastAsia="Times New Roman" w:hAnsiTheme="majorHAnsi" w:cstheme="majorHAnsi"/>
                <w:i/>
                <w:sz w:val="20"/>
                <w:szCs w:val="20"/>
              </w:rPr>
            </w:pPr>
            <w:r w:rsidRPr="00326F5C">
              <w:rPr>
                <w:rFonts w:asciiTheme="majorHAnsi" w:eastAsia="Times New Roman" w:hAnsiTheme="majorHAnsi" w:cstheme="majorHAnsi"/>
                <w:i/>
                <w:sz w:val="20"/>
                <w:szCs w:val="20"/>
                <w:u w:val="single"/>
              </w:rPr>
              <w:t>Final Product</w:t>
            </w:r>
            <w:r w:rsidRPr="00326F5C">
              <w:rPr>
                <w:rFonts w:asciiTheme="majorHAnsi" w:eastAsia="Times New Roman" w:hAnsiTheme="majorHAnsi" w:cstheme="majorHAnsi"/>
                <w:i/>
                <w:sz w:val="20"/>
                <w:szCs w:val="20"/>
              </w:rPr>
              <w:t>: Thesis: Inuit Youth’s Voices on Sexual Health Preliminary Analysis</w:t>
            </w:r>
          </w:p>
        </w:tc>
        <w:tc>
          <w:tcPr>
            <w:tcW w:w="1704" w:type="pct"/>
            <w:shd w:val="clear" w:color="auto" w:fill="auto"/>
          </w:tcPr>
          <w:p w:rsidR="00547032" w:rsidRPr="00326F5C" w:rsidRDefault="00547032" w:rsidP="00A37ED6">
            <w:pPr>
              <w:rPr>
                <w:rFonts w:asciiTheme="majorHAnsi" w:hAnsiTheme="majorHAnsi" w:cstheme="majorHAnsi"/>
                <w:sz w:val="20"/>
                <w:szCs w:val="20"/>
              </w:rPr>
            </w:pPr>
            <w:r w:rsidRPr="00326F5C">
              <w:rPr>
                <w:rFonts w:asciiTheme="majorHAnsi" w:hAnsiTheme="majorHAnsi" w:cstheme="majorHAnsi"/>
                <w:sz w:val="20"/>
                <w:szCs w:val="20"/>
              </w:rPr>
              <w:t>MPH-7: Assess population needs, assets and capacities that affect communities’ health.</w:t>
            </w:r>
          </w:p>
        </w:tc>
        <w:tc>
          <w:tcPr>
            <w:tcW w:w="2319" w:type="pct"/>
            <w:vMerge w:val="restart"/>
            <w:shd w:val="clear" w:color="auto" w:fill="auto"/>
          </w:tcPr>
          <w:p w:rsidR="00547032" w:rsidRPr="00326F5C" w:rsidRDefault="00547032" w:rsidP="00A37ED6">
            <w:pPr>
              <w:rPr>
                <w:rFonts w:asciiTheme="majorHAnsi" w:eastAsia="Times New Roman" w:hAnsiTheme="majorHAnsi" w:cstheme="majorHAnsi"/>
                <w:sz w:val="20"/>
                <w:szCs w:val="20"/>
              </w:rPr>
            </w:pPr>
            <w:r w:rsidRPr="00326F5C">
              <w:rPr>
                <w:rFonts w:asciiTheme="majorHAnsi" w:eastAsia="Times New Roman" w:hAnsiTheme="majorHAnsi" w:cstheme="majorHAnsi"/>
                <w:sz w:val="20"/>
                <w:szCs w:val="20"/>
              </w:rPr>
              <w:t xml:space="preserve">The student identified causes, including economic and social determinants, of STI transmission among Inuit youth by reviewing transcripts of interviews conducted through the </w:t>
            </w:r>
            <w:r w:rsidRPr="00326F5C">
              <w:rPr>
                <w:rFonts w:asciiTheme="majorHAnsi" w:eastAsia="Times New Roman" w:hAnsiTheme="majorHAnsi" w:cstheme="majorHAnsi"/>
                <w:i/>
                <w:sz w:val="20"/>
                <w:szCs w:val="20"/>
              </w:rPr>
              <w:t>Inuit Voices on Sexual Health</w:t>
            </w:r>
            <w:r w:rsidRPr="00326F5C">
              <w:rPr>
                <w:rFonts w:asciiTheme="majorHAnsi" w:eastAsia="Times New Roman" w:hAnsiTheme="majorHAnsi" w:cstheme="majorHAnsi"/>
                <w:sz w:val="20"/>
                <w:szCs w:val="20"/>
              </w:rPr>
              <w:t xml:space="preserve"> qualitative analysis (MPH-7), (MPH-C5). Based on the themes identified in this research, more effective intervention programs in partnership with community leaders maybe developed to improve the sexual health of the population (MPH-C4). The student presented their thesis in writing and orally (MPH-19).</w:t>
            </w:r>
          </w:p>
        </w:tc>
      </w:tr>
      <w:tr w:rsidR="00547032" w:rsidRPr="00326F5C" w:rsidTr="00847E25">
        <w:trPr>
          <w:trHeight w:val="899"/>
        </w:trPr>
        <w:tc>
          <w:tcPr>
            <w:tcW w:w="977"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c>
          <w:tcPr>
            <w:tcW w:w="1704" w:type="pct"/>
            <w:shd w:val="clear" w:color="auto" w:fill="auto"/>
          </w:tcPr>
          <w:p w:rsidR="00547032" w:rsidRPr="00326F5C" w:rsidRDefault="00547032" w:rsidP="00A37ED6">
            <w:pPr>
              <w:rPr>
                <w:rFonts w:asciiTheme="majorHAnsi" w:hAnsiTheme="majorHAnsi" w:cstheme="majorHAnsi"/>
                <w:sz w:val="20"/>
                <w:szCs w:val="20"/>
              </w:rPr>
            </w:pPr>
            <w:r w:rsidRPr="00326F5C">
              <w:rPr>
                <w:rFonts w:asciiTheme="majorHAnsi" w:hAnsiTheme="majorHAnsi" w:cstheme="majorHAnsi"/>
                <w:sz w:val="20"/>
                <w:szCs w:val="20"/>
              </w:rPr>
              <w:t>MPH-19: Communicate audience-appropriate public health content, both in writing and through oral presentation.</w:t>
            </w:r>
          </w:p>
        </w:tc>
        <w:tc>
          <w:tcPr>
            <w:tcW w:w="2319"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r>
      <w:tr w:rsidR="00547032" w:rsidRPr="00326F5C" w:rsidTr="00847E25">
        <w:trPr>
          <w:trHeight w:val="611"/>
        </w:trPr>
        <w:tc>
          <w:tcPr>
            <w:tcW w:w="977"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c>
          <w:tcPr>
            <w:tcW w:w="1704" w:type="pct"/>
            <w:shd w:val="clear" w:color="auto" w:fill="auto"/>
          </w:tcPr>
          <w:p w:rsidR="00547032" w:rsidRPr="00326F5C" w:rsidRDefault="00547032" w:rsidP="00A37ED6">
            <w:pPr>
              <w:rPr>
                <w:rFonts w:asciiTheme="majorHAnsi" w:hAnsiTheme="majorHAnsi" w:cstheme="majorHAnsi"/>
                <w:sz w:val="20"/>
                <w:szCs w:val="20"/>
              </w:rPr>
            </w:pPr>
            <w:r w:rsidRPr="00326F5C">
              <w:rPr>
                <w:rFonts w:asciiTheme="majorHAnsi" w:hAnsiTheme="majorHAnsi" w:cstheme="majorHAnsi"/>
                <w:sz w:val="20"/>
                <w:szCs w:val="20"/>
              </w:rPr>
              <w:t xml:space="preserve">MPH-C4: </w:t>
            </w:r>
            <w:r w:rsidRPr="00326F5C">
              <w:rPr>
                <w:rFonts w:asciiTheme="majorHAnsi" w:eastAsia="Times New Roman" w:hAnsiTheme="majorHAnsi" w:cstheme="majorHAnsi"/>
                <w:sz w:val="20"/>
                <w:szCs w:val="20"/>
              </w:rPr>
              <w:t>Examine the role of leadership in public health practice.</w:t>
            </w:r>
          </w:p>
        </w:tc>
        <w:tc>
          <w:tcPr>
            <w:tcW w:w="2319"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r>
      <w:tr w:rsidR="00547032" w:rsidRPr="00326F5C" w:rsidTr="00847E25">
        <w:trPr>
          <w:trHeight w:val="989"/>
        </w:trPr>
        <w:tc>
          <w:tcPr>
            <w:tcW w:w="977"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c>
          <w:tcPr>
            <w:tcW w:w="1704" w:type="pct"/>
            <w:shd w:val="clear" w:color="auto" w:fill="auto"/>
          </w:tcPr>
          <w:p w:rsidR="00547032" w:rsidRPr="00326F5C" w:rsidRDefault="00547032" w:rsidP="00A37ED6">
            <w:pPr>
              <w:rPr>
                <w:rFonts w:asciiTheme="majorHAnsi" w:eastAsia="Times New Roman" w:hAnsiTheme="majorHAnsi" w:cstheme="majorHAnsi"/>
                <w:sz w:val="20"/>
                <w:szCs w:val="20"/>
              </w:rPr>
            </w:pPr>
            <w:r w:rsidRPr="00326F5C">
              <w:rPr>
                <w:rFonts w:asciiTheme="majorHAnsi" w:hAnsiTheme="majorHAnsi" w:cstheme="majorHAnsi"/>
                <w:sz w:val="20"/>
                <w:szCs w:val="20"/>
              </w:rPr>
              <w:t>MPH-C5: Describe the mechanisms and pathways through which economic or social determinants affect health and how these determinants are measured at individual or societal levels.</w:t>
            </w:r>
          </w:p>
        </w:tc>
        <w:tc>
          <w:tcPr>
            <w:tcW w:w="2319"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r>
    </w:tbl>
    <w:p w:rsidR="00547032" w:rsidRPr="00326F5C" w:rsidRDefault="00547032" w:rsidP="00A37ED6">
      <w:pPr>
        <w:rPr>
          <w:rFonts w:asciiTheme="majorHAnsi" w:hAnsiTheme="majorHAnsi" w:cstheme="majorHAnsi"/>
          <w:sz w:val="20"/>
          <w:szCs w:val="20"/>
        </w:rPr>
      </w:pPr>
    </w:p>
    <w:p w:rsidR="004B6900" w:rsidRPr="00326F5C" w:rsidRDefault="004B6900" w:rsidP="006E28EE">
      <w:pPr>
        <w:ind w:left="720"/>
        <w:rPr>
          <w:rFonts w:asciiTheme="majorHAnsi" w:hAnsiTheme="majorHAnsi" w:cstheme="majorHAnsi"/>
          <w:sz w:val="20"/>
          <w:szCs w:val="20"/>
        </w:rPr>
      </w:pPr>
      <w:r w:rsidRPr="00326F5C">
        <w:rPr>
          <w:rFonts w:asciiTheme="majorHAnsi" w:hAnsiTheme="majorHAnsi" w:cstheme="majorHAnsi"/>
          <w:sz w:val="20"/>
          <w:szCs w:val="20"/>
        </w:rPr>
        <w:t>Table D.7.5.b. MPH Integrative Learning Experience Examples for MPH Customized</w:t>
      </w:r>
      <w:r w:rsidR="00CD0517" w:rsidRPr="00326F5C">
        <w:rPr>
          <w:rFonts w:asciiTheme="majorHAnsi" w:hAnsiTheme="majorHAnsi" w:cstheme="majorHAnsi"/>
          <w:sz w:val="20"/>
          <w:szCs w:val="20"/>
        </w:rPr>
        <w:t xml:space="preserve"> (</w:t>
      </w:r>
      <w:r w:rsidR="00CD0517" w:rsidRPr="00326F5C">
        <w:rPr>
          <w:rFonts w:asciiTheme="majorHAnsi" w:hAnsiTheme="majorHAnsi" w:cstheme="majorHAnsi"/>
          <w:i/>
          <w:sz w:val="20"/>
          <w:szCs w:val="20"/>
        </w:rPr>
        <w:t>ERF, D7.5. MPH ILE Examples for MPH Concentrations, MPH Customized</w:t>
      </w:r>
      <w:r w:rsidR="00CD0517" w:rsidRPr="00326F5C">
        <w:rPr>
          <w:rFonts w:asciiTheme="majorHAnsi" w:hAnsiTheme="majorHAnsi" w:cstheme="majorHAnsi"/>
          <w:sz w:val="20"/>
          <w:szCs w:val="20"/>
        </w:rPr>
        <w:t>)</w:t>
      </w:r>
    </w:p>
    <w:tbl>
      <w:tblPr>
        <w:tblStyle w:val="TableGrid"/>
        <w:tblW w:w="8730" w:type="dxa"/>
        <w:tblInd w:w="715" w:type="dxa"/>
        <w:tblLook w:val="04A0" w:firstRow="1" w:lastRow="0" w:firstColumn="1" w:lastColumn="0" w:noHBand="0" w:noVBand="1"/>
      </w:tblPr>
      <w:tblGrid>
        <w:gridCol w:w="1800"/>
        <w:gridCol w:w="2880"/>
        <w:gridCol w:w="4050"/>
      </w:tblGrid>
      <w:tr w:rsidR="004B6900" w:rsidRPr="00326F5C" w:rsidTr="00F026B3">
        <w:trPr>
          <w:tblHeader/>
        </w:trPr>
        <w:tc>
          <w:tcPr>
            <w:tcW w:w="1800" w:type="dxa"/>
            <w:shd w:val="clear" w:color="auto" w:fill="D0CECE" w:themeFill="background2" w:themeFillShade="E6"/>
            <w:vAlign w:val="center"/>
          </w:tcPr>
          <w:p w:rsidR="004B6900" w:rsidRPr="00326F5C" w:rsidRDefault="004B6900" w:rsidP="00A37ED6">
            <w:pPr>
              <w:jc w:val="center"/>
              <w:rPr>
                <w:rFonts w:asciiTheme="majorHAnsi" w:hAnsiTheme="majorHAnsi" w:cstheme="majorHAnsi"/>
                <w:sz w:val="20"/>
                <w:szCs w:val="20"/>
              </w:rPr>
            </w:pPr>
            <w:r w:rsidRPr="00326F5C">
              <w:rPr>
                <w:rFonts w:asciiTheme="majorHAnsi" w:eastAsia="Times New Roman" w:hAnsiTheme="majorHAnsi" w:cstheme="majorHAnsi"/>
                <w:b/>
                <w:bCs/>
                <w:sz w:val="20"/>
                <w:szCs w:val="20"/>
              </w:rPr>
              <w:t>Integrative Learning Experience Option Completed</w:t>
            </w:r>
          </w:p>
        </w:tc>
        <w:tc>
          <w:tcPr>
            <w:tcW w:w="2880" w:type="dxa"/>
            <w:shd w:val="clear" w:color="auto" w:fill="D0CECE" w:themeFill="background2" w:themeFillShade="E6"/>
            <w:vAlign w:val="center"/>
          </w:tcPr>
          <w:p w:rsidR="004B6900" w:rsidRPr="00326F5C" w:rsidRDefault="004B6900" w:rsidP="00A37ED6">
            <w:pPr>
              <w:jc w:val="center"/>
              <w:rPr>
                <w:rFonts w:asciiTheme="majorHAnsi" w:hAnsiTheme="majorHAnsi" w:cstheme="majorHAnsi"/>
                <w:sz w:val="20"/>
                <w:szCs w:val="20"/>
              </w:rPr>
            </w:pPr>
            <w:r w:rsidRPr="00326F5C">
              <w:rPr>
                <w:rFonts w:asciiTheme="majorHAnsi" w:eastAsia="Times New Roman" w:hAnsiTheme="majorHAnsi" w:cstheme="majorHAnsi"/>
                <w:b/>
                <w:bCs/>
                <w:sz w:val="20"/>
                <w:szCs w:val="20"/>
              </w:rPr>
              <w:t xml:space="preserve">Competency as defined in </w:t>
            </w:r>
            <w:hyperlink w:anchor="_D2._MPH_Foundational_1" w:history="1">
              <w:r w:rsidRPr="00326F5C">
                <w:rPr>
                  <w:rStyle w:val="Hyperlink"/>
                  <w:rFonts w:asciiTheme="majorHAnsi" w:eastAsia="Times New Roman" w:hAnsiTheme="majorHAnsi" w:cstheme="majorHAnsi"/>
                  <w:b/>
                  <w:bCs/>
                  <w:sz w:val="20"/>
                  <w:szCs w:val="20"/>
                </w:rPr>
                <w:t>Criterion D2</w:t>
              </w:r>
            </w:hyperlink>
            <w:r w:rsidRPr="00326F5C">
              <w:rPr>
                <w:rFonts w:asciiTheme="majorHAnsi" w:eastAsia="Times New Roman" w:hAnsiTheme="majorHAnsi" w:cstheme="majorHAnsi"/>
                <w:b/>
                <w:bCs/>
                <w:sz w:val="20"/>
                <w:szCs w:val="20"/>
              </w:rPr>
              <w:t xml:space="preserve"> and </w:t>
            </w:r>
            <w:hyperlink w:anchor="_D4._MPH_&amp;" w:history="1">
              <w:r w:rsidRPr="00326F5C">
                <w:rPr>
                  <w:rStyle w:val="Hyperlink"/>
                  <w:rFonts w:asciiTheme="majorHAnsi" w:eastAsia="Times New Roman" w:hAnsiTheme="majorHAnsi" w:cstheme="majorHAnsi"/>
                  <w:b/>
                  <w:bCs/>
                  <w:sz w:val="20"/>
                  <w:szCs w:val="20"/>
                </w:rPr>
                <w:t>Criterion D4</w:t>
              </w:r>
            </w:hyperlink>
          </w:p>
        </w:tc>
        <w:tc>
          <w:tcPr>
            <w:tcW w:w="4050" w:type="dxa"/>
            <w:shd w:val="clear" w:color="auto" w:fill="D0CECE" w:themeFill="background2" w:themeFillShade="E6"/>
            <w:vAlign w:val="center"/>
          </w:tcPr>
          <w:p w:rsidR="004B6900" w:rsidRPr="00326F5C" w:rsidRDefault="004B6900" w:rsidP="00A37ED6">
            <w:pPr>
              <w:jc w:val="center"/>
              <w:rPr>
                <w:rFonts w:asciiTheme="majorHAnsi" w:hAnsiTheme="majorHAnsi" w:cstheme="majorHAnsi"/>
                <w:sz w:val="20"/>
                <w:szCs w:val="20"/>
              </w:rPr>
            </w:pPr>
            <w:r w:rsidRPr="00326F5C">
              <w:rPr>
                <w:rFonts w:asciiTheme="majorHAnsi" w:eastAsia="Times New Roman" w:hAnsiTheme="majorHAnsi" w:cstheme="majorHAnsi"/>
                <w:b/>
                <w:bCs/>
                <w:sz w:val="20"/>
                <w:szCs w:val="20"/>
              </w:rPr>
              <w:t>How competencies are synthesized</w:t>
            </w:r>
          </w:p>
        </w:tc>
      </w:tr>
      <w:tr w:rsidR="004B6900" w:rsidRPr="00326F5C" w:rsidTr="002C0642">
        <w:trPr>
          <w:trHeight w:val="229"/>
        </w:trPr>
        <w:tc>
          <w:tcPr>
            <w:tcW w:w="1800" w:type="dxa"/>
            <w:vMerge w:val="restart"/>
          </w:tcPr>
          <w:p w:rsidR="004B6900" w:rsidRPr="00326F5C" w:rsidRDefault="004B6900" w:rsidP="00A37ED6">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Customized, Student 1</w:t>
            </w:r>
          </w:p>
          <w:p w:rsidR="004B6900" w:rsidRPr="00326F5C" w:rsidRDefault="004B6900" w:rsidP="00A37ED6">
            <w:pPr>
              <w:rPr>
                <w:rFonts w:asciiTheme="majorHAnsi" w:eastAsia="Times New Roman" w:hAnsiTheme="majorHAnsi" w:cstheme="majorHAnsi"/>
                <w:b/>
                <w:color w:val="000000"/>
                <w:sz w:val="20"/>
                <w:szCs w:val="20"/>
              </w:rPr>
            </w:pPr>
          </w:p>
          <w:p w:rsidR="004B6900" w:rsidRPr="00326F5C" w:rsidRDefault="004B6900" w:rsidP="00A37ED6">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PHM 9998</w:t>
            </w:r>
            <w:r w:rsidRPr="00326F5C">
              <w:rPr>
                <w:rFonts w:asciiTheme="majorHAnsi" w:eastAsia="Times New Roman" w:hAnsiTheme="majorHAnsi" w:cstheme="majorHAnsi"/>
                <w:color w:val="000000"/>
                <w:sz w:val="20"/>
                <w:szCs w:val="20"/>
              </w:rPr>
              <w:t xml:space="preserve"> </w:t>
            </w:r>
            <w:r w:rsidRPr="00326F5C">
              <w:rPr>
                <w:rFonts w:asciiTheme="majorHAnsi" w:eastAsia="Times New Roman" w:hAnsiTheme="majorHAnsi" w:cstheme="majorHAnsi"/>
                <w:color w:val="000000"/>
                <w:sz w:val="20"/>
                <w:szCs w:val="20"/>
              </w:rPr>
              <w:br/>
              <w:t>Culminating Experience/Thesis</w:t>
            </w:r>
          </w:p>
          <w:p w:rsidR="004B6900" w:rsidRPr="00326F5C" w:rsidRDefault="004B6900" w:rsidP="00A37ED6">
            <w:pPr>
              <w:rPr>
                <w:rFonts w:asciiTheme="majorHAnsi" w:eastAsia="Times New Roman" w:hAnsiTheme="majorHAnsi" w:cstheme="majorHAnsi"/>
                <w:color w:val="000000"/>
                <w:sz w:val="20"/>
                <w:szCs w:val="20"/>
              </w:rPr>
            </w:pPr>
          </w:p>
          <w:p w:rsidR="004B6900" w:rsidRPr="00326F5C" w:rsidRDefault="004B6900" w:rsidP="00A37ED6">
            <w:pPr>
              <w:rPr>
                <w:rFonts w:asciiTheme="majorHAnsi" w:hAnsiTheme="majorHAnsi" w:cstheme="majorHAnsi"/>
                <w:i/>
                <w:sz w:val="20"/>
                <w:szCs w:val="20"/>
                <w:u w:val="single"/>
              </w:rPr>
            </w:pPr>
            <w:r w:rsidRPr="00326F5C">
              <w:rPr>
                <w:rFonts w:asciiTheme="majorHAnsi" w:hAnsiTheme="majorHAnsi" w:cstheme="majorHAnsi"/>
                <w:i/>
                <w:sz w:val="20"/>
                <w:szCs w:val="20"/>
                <w:u w:val="single"/>
              </w:rPr>
              <w:t>Final Product:</w:t>
            </w:r>
          </w:p>
          <w:p w:rsidR="004B6900" w:rsidRPr="00326F5C" w:rsidRDefault="004B6900" w:rsidP="00A37ED6">
            <w:pPr>
              <w:rPr>
                <w:rFonts w:asciiTheme="majorHAnsi" w:hAnsiTheme="majorHAnsi" w:cstheme="majorHAnsi"/>
                <w:i/>
                <w:sz w:val="20"/>
                <w:szCs w:val="20"/>
              </w:rPr>
            </w:pPr>
            <w:r w:rsidRPr="00326F5C">
              <w:rPr>
                <w:rFonts w:asciiTheme="majorHAnsi" w:hAnsiTheme="majorHAnsi" w:cstheme="majorHAnsi"/>
                <w:i/>
                <w:sz w:val="20"/>
                <w:szCs w:val="20"/>
              </w:rPr>
              <w:t xml:space="preserve">Independent ILE: </w:t>
            </w:r>
            <w:r w:rsidRPr="00326F5C">
              <w:rPr>
                <w:rFonts w:asciiTheme="majorHAnsi" w:hAnsiTheme="majorHAnsi" w:cstheme="majorHAnsi"/>
                <w:i/>
                <w:sz w:val="20"/>
                <w:szCs w:val="20"/>
              </w:rPr>
              <w:br/>
              <w:t>Human Trafficking Training and Resource Manual for a Family Medicine Residency Program in Dallas, Texas</w:t>
            </w:r>
          </w:p>
        </w:tc>
        <w:tc>
          <w:tcPr>
            <w:tcW w:w="2880" w:type="dxa"/>
          </w:tcPr>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sz w:val="20"/>
                <w:szCs w:val="20"/>
              </w:rPr>
              <w:t>MPH-7: Assess population needs, assets and capacities that affect communities’ health.</w:t>
            </w:r>
          </w:p>
        </w:tc>
        <w:tc>
          <w:tcPr>
            <w:tcW w:w="4050" w:type="dxa"/>
            <w:vMerge w:val="restart"/>
          </w:tcPr>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sz w:val="20"/>
                <w:szCs w:val="20"/>
              </w:rPr>
              <w:t>The student created a human trafficking prevention training, protocol, and resource manual for family medicine clinics to implement (MPH-H4). The manual details the epidemiology of human trafficking and its effects on health and assesses population needs in the clinic setting by identifying environmental, behavioral, and social determinants that influence health (MPH-E3), (MPH-7). The manual identified key stakeholders and provided adoption and implementation plans to assist healthcare clinics in utilizing resources to address human trafficking (MPH-13). The student used an intervention-mapping approach to create an adoption and implementation plan, for a human trafficking protocol, for UT Southwestern (MPH-H4).</w:t>
            </w:r>
          </w:p>
        </w:tc>
      </w:tr>
      <w:tr w:rsidR="004B6900" w:rsidRPr="00326F5C" w:rsidTr="002C0642">
        <w:trPr>
          <w:trHeight w:val="669"/>
        </w:trPr>
        <w:tc>
          <w:tcPr>
            <w:tcW w:w="1800" w:type="dxa"/>
            <w:vMerge/>
          </w:tcPr>
          <w:p w:rsidR="004B6900" w:rsidRPr="00326F5C" w:rsidRDefault="004B6900" w:rsidP="00A37ED6">
            <w:pPr>
              <w:rPr>
                <w:rFonts w:asciiTheme="majorHAnsi" w:hAnsiTheme="majorHAnsi" w:cstheme="majorHAnsi"/>
                <w:sz w:val="20"/>
                <w:szCs w:val="20"/>
              </w:rPr>
            </w:pPr>
          </w:p>
        </w:tc>
        <w:tc>
          <w:tcPr>
            <w:tcW w:w="2880" w:type="dxa"/>
          </w:tcPr>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sz w:val="20"/>
                <w:szCs w:val="20"/>
              </w:rPr>
              <w:t>MPH-13: Propose strategies to identify stakeholders and build coalitions and partnerships for influencing public health outcomes.</w:t>
            </w:r>
          </w:p>
        </w:tc>
        <w:tc>
          <w:tcPr>
            <w:tcW w:w="4050" w:type="dxa"/>
            <w:vMerge/>
          </w:tcPr>
          <w:p w:rsidR="004B6900" w:rsidRPr="00326F5C" w:rsidRDefault="004B6900" w:rsidP="00A37ED6">
            <w:pPr>
              <w:rPr>
                <w:rFonts w:asciiTheme="majorHAnsi" w:hAnsiTheme="majorHAnsi" w:cstheme="majorHAnsi"/>
                <w:sz w:val="20"/>
                <w:szCs w:val="20"/>
              </w:rPr>
            </w:pPr>
          </w:p>
        </w:tc>
      </w:tr>
      <w:tr w:rsidR="004B6900" w:rsidRPr="00326F5C" w:rsidTr="002C0642">
        <w:trPr>
          <w:trHeight w:val="667"/>
        </w:trPr>
        <w:tc>
          <w:tcPr>
            <w:tcW w:w="1800" w:type="dxa"/>
            <w:vMerge/>
          </w:tcPr>
          <w:p w:rsidR="004B6900" w:rsidRPr="00326F5C" w:rsidRDefault="004B6900" w:rsidP="00A37ED6">
            <w:pPr>
              <w:rPr>
                <w:rFonts w:asciiTheme="majorHAnsi" w:hAnsiTheme="majorHAnsi" w:cstheme="majorHAnsi"/>
                <w:sz w:val="20"/>
                <w:szCs w:val="20"/>
              </w:rPr>
            </w:pPr>
          </w:p>
        </w:tc>
        <w:tc>
          <w:tcPr>
            <w:tcW w:w="2880" w:type="dxa"/>
            <w:shd w:val="clear" w:color="auto" w:fill="auto"/>
          </w:tcPr>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sz w:val="20"/>
                <w:szCs w:val="20"/>
              </w:rPr>
              <w:t xml:space="preserve">MPH-E3: Evaluate a public health problem in terms of magnitude, person, place and time, and exposure-outcome relationships. </w:t>
            </w:r>
          </w:p>
        </w:tc>
        <w:tc>
          <w:tcPr>
            <w:tcW w:w="4050" w:type="dxa"/>
            <w:vMerge/>
          </w:tcPr>
          <w:p w:rsidR="004B6900" w:rsidRPr="00326F5C" w:rsidRDefault="004B6900" w:rsidP="00A37ED6">
            <w:pPr>
              <w:rPr>
                <w:rFonts w:asciiTheme="majorHAnsi" w:hAnsiTheme="majorHAnsi" w:cstheme="majorHAnsi"/>
                <w:sz w:val="20"/>
                <w:szCs w:val="20"/>
              </w:rPr>
            </w:pPr>
          </w:p>
        </w:tc>
      </w:tr>
      <w:tr w:rsidR="004B6900" w:rsidRPr="00326F5C" w:rsidTr="002C0642">
        <w:trPr>
          <w:trHeight w:val="944"/>
        </w:trPr>
        <w:tc>
          <w:tcPr>
            <w:tcW w:w="1800" w:type="dxa"/>
            <w:vMerge/>
          </w:tcPr>
          <w:p w:rsidR="004B6900" w:rsidRPr="00326F5C" w:rsidRDefault="004B6900" w:rsidP="00A37ED6">
            <w:pPr>
              <w:rPr>
                <w:rFonts w:asciiTheme="majorHAnsi" w:hAnsiTheme="majorHAnsi" w:cstheme="majorHAnsi"/>
                <w:sz w:val="20"/>
                <w:szCs w:val="20"/>
              </w:rPr>
            </w:pPr>
          </w:p>
        </w:tc>
        <w:tc>
          <w:tcPr>
            <w:tcW w:w="2880" w:type="dxa"/>
            <w:shd w:val="clear" w:color="auto" w:fill="auto"/>
          </w:tcPr>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sz w:val="20"/>
                <w:szCs w:val="20"/>
              </w:rPr>
              <w:t xml:space="preserve">MPH-H4: Apply a systematic planning framework to plan the adoption and implementation of a health promotion intervention. </w:t>
            </w:r>
          </w:p>
        </w:tc>
        <w:tc>
          <w:tcPr>
            <w:tcW w:w="4050" w:type="dxa"/>
            <w:vMerge/>
          </w:tcPr>
          <w:p w:rsidR="004B6900" w:rsidRPr="00326F5C" w:rsidRDefault="004B6900" w:rsidP="00A37ED6">
            <w:pPr>
              <w:rPr>
                <w:rFonts w:asciiTheme="majorHAnsi" w:hAnsiTheme="majorHAnsi" w:cstheme="majorHAnsi"/>
                <w:sz w:val="20"/>
                <w:szCs w:val="20"/>
              </w:rPr>
            </w:pPr>
          </w:p>
        </w:tc>
      </w:tr>
      <w:tr w:rsidR="004B6900" w:rsidRPr="00326F5C" w:rsidTr="002C0642">
        <w:trPr>
          <w:trHeight w:val="177"/>
        </w:trPr>
        <w:tc>
          <w:tcPr>
            <w:tcW w:w="1800" w:type="dxa"/>
            <w:vMerge w:val="restart"/>
          </w:tcPr>
          <w:p w:rsidR="004B6900" w:rsidRPr="00326F5C" w:rsidRDefault="004B6900" w:rsidP="00A37ED6">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Customized, Student 2</w:t>
            </w:r>
          </w:p>
          <w:p w:rsidR="004B6900" w:rsidRPr="00326F5C" w:rsidRDefault="004B6900" w:rsidP="00A37ED6">
            <w:pPr>
              <w:rPr>
                <w:rFonts w:asciiTheme="majorHAnsi" w:eastAsia="Times New Roman" w:hAnsiTheme="majorHAnsi" w:cstheme="majorHAnsi"/>
                <w:b/>
                <w:color w:val="000000"/>
                <w:sz w:val="20"/>
                <w:szCs w:val="20"/>
              </w:rPr>
            </w:pPr>
          </w:p>
          <w:p w:rsidR="004B6900" w:rsidRPr="00326F5C" w:rsidRDefault="004B6900" w:rsidP="00A37ED6">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PHM 9998</w:t>
            </w:r>
            <w:r w:rsidRPr="00326F5C">
              <w:rPr>
                <w:rFonts w:asciiTheme="majorHAnsi" w:eastAsia="Times New Roman" w:hAnsiTheme="majorHAnsi" w:cstheme="majorHAnsi"/>
                <w:color w:val="000000"/>
                <w:sz w:val="20"/>
                <w:szCs w:val="20"/>
              </w:rPr>
              <w:t xml:space="preserve"> </w:t>
            </w:r>
            <w:r w:rsidRPr="00326F5C">
              <w:rPr>
                <w:rFonts w:asciiTheme="majorHAnsi" w:eastAsia="Times New Roman" w:hAnsiTheme="majorHAnsi" w:cstheme="majorHAnsi"/>
                <w:color w:val="000000"/>
                <w:sz w:val="20"/>
                <w:szCs w:val="20"/>
              </w:rPr>
              <w:br/>
              <w:t>Culminating Experience/Thesis</w:t>
            </w:r>
          </w:p>
          <w:p w:rsidR="004B6900" w:rsidRPr="00326F5C" w:rsidRDefault="004B6900" w:rsidP="00A37ED6">
            <w:pPr>
              <w:rPr>
                <w:rFonts w:asciiTheme="majorHAnsi" w:hAnsiTheme="majorHAnsi" w:cstheme="majorHAnsi"/>
                <w:sz w:val="20"/>
                <w:szCs w:val="20"/>
              </w:rPr>
            </w:pPr>
          </w:p>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i/>
                <w:sz w:val="20"/>
                <w:szCs w:val="20"/>
                <w:u w:val="single"/>
              </w:rPr>
              <w:t>Final Product:</w:t>
            </w:r>
            <w:r w:rsidRPr="00326F5C">
              <w:rPr>
                <w:rFonts w:asciiTheme="majorHAnsi" w:hAnsiTheme="majorHAnsi" w:cstheme="majorHAnsi"/>
                <w:i/>
                <w:sz w:val="20"/>
                <w:szCs w:val="20"/>
                <w:u w:val="single"/>
              </w:rPr>
              <w:br/>
            </w:r>
            <w:r w:rsidRPr="00326F5C">
              <w:rPr>
                <w:rFonts w:asciiTheme="majorHAnsi" w:hAnsiTheme="majorHAnsi" w:cstheme="majorHAnsi"/>
                <w:i/>
                <w:sz w:val="20"/>
                <w:szCs w:val="20"/>
              </w:rPr>
              <w:t>Thesis: A Narrative Review of Factors that Contribute to Sustainability of Community-Based Fall Prevention Programs</w:t>
            </w:r>
          </w:p>
        </w:tc>
        <w:tc>
          <w:tcPr>
            <w:tcW w:w="2880" w:type="dxa"/>
            <w:shd w:val="clear" w:color="auto" w:fill="auto"/>
          </w:tcPr>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sz w:val="20"/>
                <w:szCs w:val="20"/>
              </w:rPr>
              <w:t>MPH-4: Interpret results of data analysis for public health research, policy or practice.</w:t>
            </w:r>
          </w:p>
        </w:tc>
        <w:tc>
          <w:tcPr>
            <w:tcW w:w="4050" w:type="dxa"/>
            <w:vMerge w:val="restart"/>
          </w:tcPr>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sz w:val="20"/>
                <w:szCs w:val="20"/>
              </w:rPr>
              <w:t xml:space="preserve">The student collected and reviewed data from current literature surrounding sustainability and barriers to community-based fall prevention programs for the older-community-dwelling population (MPH-S2). The student analyzed the results, evaluated current policy, and identified factors of program sustainability, which resulted in policy recommendations (MPH-4), (MPH-14), (MPH-S4). </w:t>
            </w:r>
          </w:p>
        </w:tc>
      </w:tr>
      <w:tr w:rsidR="004B6900" w:rsidRPr="00326F5C" w:rsidTr="002C0642">
        <w:trPr>
          <w:trHeight w:val="175"/>
        </w:trPr>
        <w:tc>
          <w:tcPr>
            <w:tcW w:w="1800" w:type="dxa"/>
            <w:vMerge/>
          </w:tcPr>
          <w:p w:rsidR="004B6900" w:rsidRPr="00326F5C" w:rsidRDefault="004B6900" w:rsidP="00A37ED6">
            <w:pPr>
              <w:rPr>
                <w:rFonts w:asciiTheme="majorHAnsi" w:eastAsia="Times New Roman" w:hAnsiTheme="majorHAnsi" w:cstheme="majorHAnsi"/>
                <w:b/>
                <w:color w:val="000000"/>
                <w:sz w:val="20"/>
                <w:szCs w:val="20"/>
              </w:rPr>
            </w:pPr>
          </w:p>
        </w:tc>
        <w:tc>
          <w:tcPr>
            <w:tcW w:w="2880" w:type="dxa"/>
          </w:tcPr>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sz w:val="20"/>
                <w:szCs w:val="20"/>
              </w:rPr>
              <w:t>MPH-14: Advocate for political, social or economic policies and programs that will improve health in diverse populations.</w:t>
            </w:r>
          </w:p>
        </w:tc>
        <w:tc>
          <w:tcPr>
            <w:tcW w:w="4050" w:type="dxa"/>
            <w:vMerge/>
          </w:tcPr>
          <w:p w:rsidR="004B6900" w:rsidRPr="00326F5C" w:rsidRDefault="004B6900" w:rsidP="00A37ED6">
            <w:pPr>
              <w:rPr>
                <w:rFonts w:asciiTheme="majorHAnsi" w:hAnsiTheme="majorHAnsi" w:cstheme="majorHAnsi"/>
                <w:sz w:val="20"/>
                <w:szCs w:val="20"/>
              </w:rPr>
            </w:pPr>
          </w:p>
        </w:tc>
      </w:tr>
      <w:tr w:rsidR="004B6900" w:rsidRPr="00326F5C" w:rsidTr="002C0642">
        <w:trPr>
          <w:trHeight w:val="175"/>
        </w:trPr>
        <w:tc>
          <w:tcPr>
            <w:tcW w:w="1800" w:type="dxa"/>
            <w:vMerge/>
          </w:tcPr>
          <w:p w:rsidR="004B6900" w:rsidRPr="00326F5C" w:rsidRDefault="004B6900" w:rsidP="00A37ED6">
            <w:pPr>
              <w:rPr>
                <w:rFonts w:asciiTheme="majorHAnsi" w:eastAsia="Times New Roman" w:hAnsiTheme="majorHAnsi" w:cstheme="majorHAnsi"/>
                <w:b/>
                <w:color w:val="000000"/>
                <w:sz w:val="20"/>
                <w:szCs w:val="20"/>
              </w:rPr>
            </w:pPr>
          </w:p>
        </w:tc>
        <w:tc>
          <w:tcPr>
            <w:tcW w:w="2880" w:type="dxa"/>
          </w:tcPr>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sz w:val="20"/>
                <w:szCs w:val="20"/>
              </w:rPr>
              <w:t>MPH-S2: Review and critically evaluate scientific studies that estimate the effectiveness, efficiency, and equity of health policy alternatives.</w:t>
            </w:r>
          </w:p>
        </w:tc>
        <w:tc>
          <w:tcPr>
            <w:tcW w:w="4050" w:type="dxa"/>
            <w:vMerge/>
          </w:tcPr>
          <w:p w:rsidR="004B6900" w:rsidRPr="00326F5C" w:rsidRDefault="004B6900" w:rsidP="00A37ED6">
            <w:pPr>
              <w:rPr>
                <w:rFonts w:asciiTheme="majorHAnsi" w:hAnsiTheme="majorHAnsi" w:cstheme="majorHAnsi"/>
                <w:sz w:val="20"/>
                <w:szCs w:val="20"/>
              </w:rPr>
            </w:pPr>
          </w:p>
        </w:tc>
      </w:tr>
      <w:tr w:rsidR="004B6900" w:rsidRPr="00326F5C" w:rsidTr="002C0642">
        <w:trPr>
          <w:trHeight w:val="304"/>
        </w:trPr>
        <w:tc>
          <w:tcPr>
            <w:tcW w:w="1800" w:type="dxa"/>
            <w:vMerge/>
          </w:tcPr>
          <w:p w:rsidR="004B6900" w:rsidRPr="00326F5C" w:rsidRDefault="004B6900" w:rsidP="00A37ED6">
            <w:pPr>
              <w:rPr>
                <w:rFonts w:asciiTheme="majorHAnsi" w:hAnsiTheme="majorHAnsi" w:cstheme="majorHAnsi"/>
                <w:sz w:val="20"/>
                <w:szCs w:val="20"/>
              </w:rPr>
            </w:pPr>
          </w:p>
        </w:tc>
        <w:tc>
          <w:tcPr>
            <w:tcW w:w="2880" w:type="dxa"/>
            <w:shd w:val="clear" w:color="auto" w:fill="FFFFFF" w:themeFill="background1"/>
          </w:tcPr>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sz w:val="20"/>
                <w:szCs w:val="20"/>
              </w:rPr>
              <w:t>MPH-S4: Describe the internal and external validity strengths and limitations of health policy evaluations and the degree to which results are useful to decision-makers.</w:t>
            </w:r>
          </w:p>
        </w:tc>
        <w:tc>
          <w:tcPr>
            <w:tcW w:w="4050" w:type="dxa"/>
            <w:vMerge/>
          </w:tcPr>
          <w:p w:rsidR="004B6900" w:rsidRPr="00326F5C" w:rsidRDefault="004B6900" w:rsidP="00A37ED6">
            <w:pPr>
              <w:rPr>
                <w:rFonts w:asciiTheme="majorHAnsi" w:hAnsiTheme="majorHAnsi" w:cstheme="majorHAnsi"/>
                <w:sz w:val="20"/>
                <w:szCs w:val="20"/>
              </w:rPr>
            </w:pPr>
          </w:p>
        </w:tc>
      </w:tr>
      <w:tr w:rsidR="004B6900" w:rsidRPr="00326F5C" w:rsidTr="002C0642">
        <w:trPr>
          <w:trHeight w:val="962"/>
        </w:trPr>
        <w:tc>
          <w:tcPr>
            <w:tcW w:w="1800" w:type="dxa"/>
            <w:vMerge w:val="restart"/>
          </w:tcPr>
          <w:p w:rsidR="004B6900" w:rsidRPr="00326F5C" w:rsidRDefault="004B6900" w:rsidP="00A37ED6">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Customized, Student 3</w:t>
            </w:r>
          </w:p>
          <w:p w:rsidR="004B6900" w:rsidRPr="00326F5C" w:rsidRDefault="004B6900" w:rsidP="00A37ED6">
            <w:pPr>
              <w:rPr>
                <w:rFonts w:asciiTheme="majorHAnsi" w:eastAsia="Times New Roman" w:hAnsiTheme="majorHAnsi" w:cstheme="majorHAnsi"/>
                <w:b/>
                <w:color w:val="000000"/>
                <w:sz w:val="20"/>
                <w:szCs w:val="20"/>
              </w:rPr>
            </w:pPr>
          </w:p>
          <w:p w:rsidR="004B6900" w:rsidRPr="00326F5C" w:rsidRDefault="004B6900" w:rsidP="00A37ED6">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PHM 9998</w:t>
            </w:r>
            <w:r w:rsidRPr="00326F5C">
              <w:rPr>
                <w:rFonts w:asciiTheme="majorHAnsi" w:eastAsia="Times New Roman" w:hAnsiTheme="majorHAnsi" w:cstheme="majorHAnsi"/>
                <w:color w:val="000000"/>
                <w:sz w:val="20"/>
                <w:szCs w:val="20"/>
              </w:rPr>
              <w:t xml:space="preserve"> </w:t>
            </w:r>
            <w:r w:rsidRPr="00326F5C">
              <w:rPr>
                <w:rFonts w:asciiTheme="majorHAnsi" w:eastAsia="Times New Roman" w:hAnsiTheme="majorHAnsi" w:cstheme="majorHAnsi"/>
                <w:color w:val="000000"/>
                <w:sz w:val="20"/>
                <w:szCs w:val="20"/>
              </w:rPr>
              <w:br/>
              <w:t>Culminating Experience/Thesis</w:t>
            </w:r>
          </w:p>
          <w:p w:rsidR="004B6900" w:rsidRPr="00326F5C" w:rsidRDefault="004B6900" w:rsidP="00A37ED6">
            <w:pPr>
              <w:rPr>
                <w:rFonts w:asciiTheme="majorHAnsi" w:hAnsiTheme="majorHAnsi" w:cstheme="majorHAnsi"/>
                <w:sz w:val="20"/>
                <w:szCs w:val="20"/>
              </w:rPr>
            </w:pPr>
          </w:p>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i/>
                <w:sz w:val="20"/>
                <w:szCs w:val="20"/>
                <w:u w:val="single"/>
              </w:rPr>
              <w:t>Final Product:</w:t>
            </w:r>
            <w:r w:rsidRPr="00326F5C">
              <w:rPr>
                <w:rFonts w:asciiTheme="majorHAnsi" w:hAnsiTheme="majorHAnsi" w:cstheme="majorHAnsi"/>
                <w:i/>
                <w:sz w:val="20"/>
                <w:szCs w:val="20"/>
                <w:u w:val="single"/>
              </w:rPr>
              <w:br/>
            </w:r>
            <w:r w:rsidRPr="00326F5C">
              <w:rPr>
                <w:rFonts w:asciiTheme="majorHAnsi" w:hAnsiTheme="majorHAnsi" w:cstheme="majorHAnsi"/>
                <w:i/>
                <w:sz w:val="20"/>
                <w:szCs w:val="20"/>
              </w:rPr>
              <w:t>Independent ILE: Maternal Morbidity and Mortality in Rural Texas</w:t>
            </w:r>
          </w:p>
        </w:tc>
        <w:tc>
          <w:tcPr>
            <w:tcW w:w="2880" w:type="dxa"/>
          </w:tcPr>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sz w:val="20"/>
                <w:szCs w:val="20"/>
              </w:rPr>
              <w:t>MPH-1: Apply epidemiological methods to the breadth of settings and situations in public health practice.</w:t>
            </w:r>
          </w:p>
        </w:tc>
        <w:tc>
          <w:tcPr>
            <w:tcW w:w="4050" w:type="dxa"/>
            <w:vMerge w:val="restart"/>
          </w:tcPr>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sz w:val="20"/>
                <w:szCs w:val="20"/>
              </w:rPr>
              <w:t>The student identified access to maternity care as a critical component of maternal morbidity and mortality. Through a thorough review of the literature, culminating in an annotated bibliography, they assessed key sources of information for epidemiological approaches. A written review and analysis of the problem allowed the student to evaluate the public health impact and significance on the population and identify an evidence-based policy intervention (MPH-1), (MPH-E3), (MPH-S2). The student demonstrated communication skills by providing both a written analysis and oral presentation identifying the problem and proposing policy interventions with logic model and PICOT descriptions (MPH-19).</w:t>
            </w:r>
          </w:p>
        </w:tc>
      </w:tr>
      <w:tr w:rsidR="004B6900" w:rsidRPr="00326F5C" w:rsidTr="002C0642">
        <w:trPr>
          <w:trHeight w:val="183"/>
        </w:trPr>
        <w:tc>
          <w:tcPr>
            <w:tcW w:w="1800" w:type="dxa"/>
            <w:vMerge/>
          </w:tcPr>
          <w:p w:rsidR="004B6900" w:rsidRPr="00326F5C" w:rsidRDefault="004B6900" w:rsidP="00A37ED6">
            <w:pPr>
              <w:rPr>
                <w:rFonts w:asciiTheme="majorHAnsi" w:eastAsia="Times New Roman" w:hAnsiTheme="majorHAnsi" w:cstheme="majorHAnsi"/>
                <w:b/>
                <w:color w:val="000000"/>
                <w:sz w:val="20"/>
                <w:szCs w:val="20"/>
              </w:rPr>
            </w:pPr>
          </w:p>
        </w:tc>
        <w:tc>
          <w:tcPr>
            <w:tcW w:w="2880" w:type="dxa"/>
            <w:shd w:val="clear" w:color="auto" w:fill="FFFFFF" w:themeFill="background1"/>
          </w:tcPr>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sz w:val="20"/>
                <w:szCs w:val="20"/>
              </w:rPr>
              <w:t>MPH-19: Communicate audience-appropriate public health content, both in writing and through oral presentation</w:t>
            </w:r>
          </w:p>
          <w:p w:rsidR="004B6900" w:rsidRPr="00326F5C" w:rsidRDefault="004B6900" w:rsidP="00A37ED6">
            <w:pPr>
              <w:rPr>
                <w:rFonts w:asciiTheme="majorHAnsi" w:hAnsiTheme="majorHAnsi" w:cstheme="majorHAnsi"/>
                <w:sz w:val="20"/>
                <w:szCs w:val="20"/>
              </w:rPr>
            </w:pPr>
          </w:p>
        </w:tc>
        <w:tc>
          <w:tcPr>
            <w:tcW w:w="4050" w:type="dxa"/>
            <w:vMerge/>
          </w:tcPr>
          <w:p w:rsidR="004B6900" w:rsidRPr="00326F5C" w:rsidRDefault="004B6900" w:rsidP="00A37ED6">
            <w:pPr>
              <w:rPr>
                <w:rFonts w:asciiTheme="majorHAnsi" w:hAnsiTheme="majorHAnsi" w:cstheme="majorHAnsi"/>
                <w:sz w:val="20"/>
                <w:szCs w:val="20"/>
              </w:rPr>
            </w:pPr>
          </w:p>
        </w:tc>
      </w:tr>
      <w:tr w:rsidR="004B6900" w:rsidRPr="00326F5C" w:rsidTr="002C0642">
        <w:trPr>
          <w:trHeight w:val="183"/>
        </w:trPr>
        <w:tc>
          <w:tcPr>
            <w:tcW w:w="1800" w:type="dxa"/>
            <w:vMerge/>
          </w:tcPr>
          <w:p w:rsidR="004B6900" w:rsidRPr="00326F5C" w:rsidRDefault="004B6900" w:rsidP="00A37ED6">
            <w:pPr>
              <w:rPr>
                <w:rFonts w:asciiTheme="majorHAnsi" w:eastAsia="Times New Roman" w:hAnsiTheme="majorHAnsi" w:cstheme="majorHAnsi"/>
                <w:b/>
                <w:color w:val="000000"/>
                <w:sz w:val="20"/>
                <w:szCs w:val="20"/>
              </w:rPr>
            </w:pPr>
          </w:p>
        </w:tc>
        <w:tc>
          <w:tcPr>
            <w:tcW w:w="2880" w:type="dxa"/>
            <w:shd w:val="clear" w:color="auto" w:fill="auto"/>
          </w:tcPr>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sz w:val="20"/>
                <w:szCs w:val="20"/>
              </w:rPr>
              <w:t xml:space="preserve">MPH-E3: Evaluate a public health problem in terms of magnitude, person, place and time, and exposure-outcome relationships. </w:t>
            </w:r>
          </w:p>
        </w:tc>
        <w:tc>
          <w:tcPr>
            <w:tcW w:w="4050" w:type="dxa"/>
            <w:vMerge/>
          </w:tcPr>
          <w:p w:rsidR="004B6900" w:rsidRPr="00326F5C" w:rsidRDefault="004B6900" w:rsidP="00A37ED6">
            <w:pPr>
              <w:rPr>
                <w:rFonts w:asciiTheme="majorHAnsi" w:hAnsiTheme="majorHAnsi" w:cstheme="majorHAnsi"/>
                <w:sz w:val="20"/>
                <w:szCs w:val="20"/>
              </w:rPr>
            </w:pPr>
          </w:p>
        </w:tc>
      </w:tr>
      <w:tr w:rsidR="004B6900" w:rsidRPr="00326F5C" w:rsidTr="002C0642">
        <w:trPr>
          <w:trHeight w:val="908"/>
        </w:trPr>
        <w:tc>
          <w:tcPr>
            <w:tcW w:w="1800" w:type="dxa"/>
            <w:vMerge/>
          </w:tcPr>
          <w:p w:rsidR="004B6900" w:rsidRPr="00326F5C" w:rsidRDefault="004B6900" w:rsidP="00A37ED6">
            <w:pPr>
              <w:rPr>
                <w:rFonts w:asciiTheme="majorHAnsi" w:eastAsia="Times New Roman" w:hAnsiTheme="majorHAnsi" w:cstheme="majorHAnsi"/>
                <w:b/>
                <w:color w:val="000000"/>
                <w:sz w:val="20"/>
                <w:szCs w:val="20"/>
              </w:rPr>
            </w:pPr>
          </w:p>
        </w:tc>
        <w:tc>
          <w:tcPr>
            <w:tcW w:w="2880" w:type="dxa"/>
            <w:shd w:val="clear" w:color="auto" w:fill="auto"/>
          </w:tcPr>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sz w:val="20"/>
                <w:szCs w:val="20"/>
              </w:rPr>
              <w:t>MPH-S2: Review and critically evaluate scientific studies that estimate the effectiveness, efficiency, and equity of health policy alternatives.</w:t>
            </w:r>
          </w:p>
        </w:tc>
        <w:tc>
          <w:tcPr>
            <w:tcW w:w="4050" w:type="dxa"/>
            <w:vMerge/>
          </w:tcPr>
          <w:p w:rsidR="004B6900" w:rsidRPr="00326F5C" w:rsidRDefault="004B6900" w:rsidP="00A37ED6">
            <w:pPr>
              <w:rPr>
                <w:rFonts w:asciiTheme="majorHAnsi" w:hAnsiTheme="majorHAnsi" w:cstheme="majorHAnsi"/>
                <w:sz w:val="20"/>
                <w:szCs w:val="20"/>
              </w:rPr>
            </w:pPr>
          </w:p>
        </w:tc>
      </w:tr>
      <w:tr w:rsidR="004B6900" w:rsidRPr="00326F5C" w:rsidTr="002C0642">
        <w:trPr>
          <w:trHeight w:val="405"/>
        </w:trPr>
        <w:tc>
          <w:tcPr>
            <w:tcW w:w="1800" w:type="dxa"/>
            <w:vMerge w:val="restart"/>
          </w:tcPr>
          <w:p w:rsidR="004B6900" w:rsidRPr="00326F5C" w:rsidRDefault="004B6900" w:rsidP="00A37ED6">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Customized, Student 4</w:t>
            </w:r>
          </w:p>
          <w:p w:rsidR="004B6900" w:rsidRPr="00326F5C" w:rsidRDefault="004B6900" w:rsidP="00A37ED6">
            <w:pPr>
              <w:rPr>
                <w:rFonts w:asciiTheme="majorHAnsi" w:eastAsia="Times New Roman" w:hAnsiTheme="majorHAnsi" w:cstheme="majorHAnsi"/>
                <w:b/>
                <w:color w:val="000000"/>
                <w:sz w:val="20"/>
                <w:szCs w:val="20"/>
              </w:rPr>
            </w:pPr>
          </w:p>
          <w:p w:rsidR="004B6900" w:rsidRPr="00326F5C" w:rsidRDefault="004B6900" w:rsidP="00A37ED6">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PHM 9998</w:t>
            </w:r>
            <w:r w:rsidRPr="00326F5C">
              <w:rPr>
                <w:rFonts w:asciiTheme="majorHAnsi" w:eastAsia="Times New Roman" w:hAnsiTheme="majorHAnsi" w:cstheme="majorHAnsi"/>
                <w:color w:val="000000"/>
                <w:sz w:val="20"/>
                <w:szCs w:val="20"/>
              </w:rPr>
              <w:t xml:space="preserve"> </w:t>
            </w:r>
            <w:r w:rsidRPr="00326F5C">
              <w:rPr>
                <w:rFonts w:asciiTheme="majorHAnsi" w:eastAsia="Times New Roman" w:hAnsiTheme="majorHAnsi" w:cstheme="majorHAnsi"/>
                <w:color w:val="000000"/>
                <w:sz w:val="20"/>
                <w:szCs w:val="20"/>
              </w:rPr>
              <w:br/>
              <w:t>Culminating Experience/Thesis</w:t>
            </w:r>
          </w:p>
          <w:p w:rsidR="004B6900" w:rsidRPr="00326F5C" w:rsidRDefault="004B6900" w:rsidP="00A37ED6">
            <w:pPr>
              <w:rPr>
                <w:rFonts w:asciiTheme="majorHAnsi" w:hAnsiTheme="majorHAnsi" w:cstheme="majorHAnsi"/>
                <w:sz w:val="20"/>
                <w:szCs w:val="20"/>
              </w:rPr>
            </w:pPr>
          </w:p>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i/>
                <w:sz w:val="20"/>
                <w:szCs w:val="20"/>
                <w:u w:val="single"/>
              </w:rPr>
              <w:t>Final Product:</w:t>
            </w:r>
            <w:r w:rsidRPr="00326F5C">
              <w:rPr>
                <w:rFonts w:asciiTheme="majorHAnsi" w:hAnsiTheme="majorHAnsi" w:cstheme="majorHAnsi"/>
                <w:i/>
                <w:sz w:val="20"/>
                <w:szCs w:val="20"/>
                <w:u w:val="single"/>
              </w:rPr>
              <w:br/>
            </w:r>
            <w:r w:rsidRPr="00326F5C">
              <w:rPr>
                <w:rFonts w:asciiTheme="majorHAnsi" w:hAnsiTheme="majorHAnsi" w:cstheme="majorHAnsi"/>
                <w:i/>
                <w:sz w:val="20"/>
                <w:szCs w:val="20"/>
              </w:rPr>
              <w:t>Independent ILE: A Monte Carlo Analysis of Carcinogenic Health Risks Associated with Exposure to 2-Bis (Ethyl hexyl) Phthalate Contaminated Ground Water</w:t>
            </w:r>
          </w:p>
        </w:tc>
        <w:tc>
          <w:tcPr>
            <w:tcW w:w="2880" w:type="dxa"/>
          </w:tcPr>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sz w:val="20"/>
                <w:szCs w:val="20"/>
              </w:rPr>
              <w:t>MPH-3: Analyze quantitative and qualitative data using biostatistics, informatics, computer-based programming and software, as appropriate.</w:t>
            </w:r>
          </w:p>
        </w:tc>
        <w:tc>
          <w:tcPr>
            <w:tcW w:w="4050" w:type="dxa"/>
            <w:vMerge w:val="restart"/>
          </w:tcPr>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sz w:val="20"/>
                <w:szCs w:val="20"/>
              </w:rPr>
              <w:t>The student conducted a Monte Carlo analysis of carcinogenic health risks associated with exposure to 2-Bis (Ethyl hexyl) Phthalate contaminated ground water. The student analyzed existing quantitative and qualitative environmental data using a biostatistics, and computer-based software (MPH-3), and a written report includes interpretation of data analysis for public health research (MPH-4).  The final product included the study of an important method for environmental exposure assessment and discusses strategies for prevention and control (MPH-O1), and includes peer-reviewed literature related to environmental health science (MPH-O2).</w:t>
            </w:r>
          </w:p>
        </w:tc>
      </w:tr>
      <w:tr w:rsidR="004B6900" w:rsidRPr="00326F5C" w:rsidTr="002C0642">
        <w:trPr>
          <w:trHeight w:val="405"/>
        </w:trPr>
        <w:tc>
          <w:tcPr>
            <w:tcW w:w="1800" w:type="dxa"/>
            <w:vMerge/>
          </w:tcPr>
          <w:p w:rsidR="004B6900" w:rsidRPr="00326F5C" w:rsidRDefault="004B6900" w:rsidP="00A37ED6">
            <w:pPr>
              <w:rPr>
                <w:rFonts w:asciiTheme="majorHAnsi" w:eastAsia="Times New Roman" w:hAnsiTheme="majorHAnsi" w:cstheme="majorHAnsi"/>
                <w:b/>
                <w:color w:val="000000"/>
                <w:sz w:val="20"/>
                <w:szCs w:val="20"/>
              </w:rPr>
            </w:pPr>
          </w:p>
        </w:tc>
        <w:tc>
          <w:tcPr>
            <w:tcW w:w="2880" w:type="dxa"/>
          </w:tcPr>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sz w:val="20"/>
                <w:szCs w:val="20"/>
              </w:rPr>
              <w:t>MPH-4: Interpret results of data analysis for public health research, policy or practice.</w:t>
            </w:r>
          </w:p>
        </w:tc>
        <w:tc>
          <w:tcPr>
            <w:tcW w:w="4050" w:type="dxa"/>
            <w:vMerge/>
          </w:tcPr>
          <w:p w:rsidR="004B6900" w:rsidRPr="00326F5C" w:rsidRDefault="004B6900" w:rsidP="00A37ED6">
            <w:pPr>
              <w:rPr>
                <w:rFonts w:asciiTheme="majorHAnsi" w:hAnsiTheme="majorHAnsi" w:cstheme="majorHAnsi"/>
                <w:sz w:val="20"/>
                <w:szCs w:val="20"/>
              </w:rPr>
            </w:pPr>
          </w:p>
        </w:tc>
      </w:tr>
      <w:tr w:rsidR="004B6900" w:rsidRPr="00326F5C" w:rsidTr="002C0642">
        <w:trPr>
          <w:trHeight w:val="557"/>
        </w:trPr>
        <w:tc>
          <w:tcPr>
            <w:tcW w:w="1800" w:type="dxa"/>
            <w:vMerge/>
          </w:tcPr>
          <w:p w:rsidR="004B6900" w:rsidRPr="00326F5C" w:rsidRDefault="004B6900" w:rsidP="00A37ED6">
            <w:pPr>
              <w:rPr>
                <w:rFonts w:asciiTheme="majorHAnsi" w:eastAsia="Times New Roman" w:hAnsiTheme="majorHAnsi" w:cstheme="majorHAnsi"/>
                <w:b/>
                <w:color w:val="000000"/>
                <w:sz w:val="20"/>
                <w:szCs w:val="20"/>
              </w:rPr>
            </w:pPr>
          </w:p>
        </w:tc>
        <w:tc>
          <w:tcPr>
            <w:tcW w:w="2880" w:type="dxa"/>
          </w:tcPr>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sz w:val="20"/>
                <w:szCs w:val="20"/>
              </w:rPr>
              <w:t>MPH-O1: Conduct a risk characterization of an environmental hazard.</w:t>
            </w:r>
          </w:p>
        </w:tc>
        <w:tc>
          <w:tcPr>
            <w:tcW w:w="4050" w:type="dxa"/>
            <w:vMerge/>
          </w:tcPr>
          <w:p w:rsidR="004B6900" w:rsidRPr="00326F5C" w:rsidRDefault="004B6900" w:rsidP="00A37ED6">
            <w:pPr>
              <w:rPr>
                <w:rFonts w:asciiTheme="majorHAnsi" w:hAnsiTheme="majorHAnsi" w:cstheme="majorHAnsi"/>
                <w:sz w:val="20"/>
                <w:szCs w:val="20"/>
              </w:rPr>
            </w:pPr>
          </w:p>
        </w:tc>
      </w:tr>
      <w:tr w:rsidR="004B6900" w:rsidRPr="00326F5C" w:rsidTr="002C0642">
        <w:trPr>
          <w:trHeight w:val="378"/>
        </w:trPr>
        <w:tc>
          <w:tcPr>
            <w:tcW w:w="1800" w:type="dxa"/>
            <w:vMerge/>
          </w:tcPr>
          <w:p w:rsidR="004B6900" w:rsidRPr="00326F5C" w:rsidRDefault="004B6900" w:rsidP="00A37ED6">
            <w:pPr>
              <w:rPr>
                <w:rFonts w:asciiTheme="majorHAnsi" w:hAnsiTheme="majorHAnsi" w:cstheme="majorHAnsi"/>
                <w:sz w:val="20"/>
                <w:szCs w:val="20"/>
              </w:rPr>
            </w:pPr>
          </w:p>
        </w:tc>
        <w:tc>
          <w:tcPr>
            <w:tcW w:w="2880" w:type="dxa"/>
          </w:tcPr>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sz w:val="20"/>
                <w:szCs w:val="20"/>
              </w:rPr>
              <w:t>MPH-O2: Critically evaluate information and data in the peer-reviewed literature related to environmental health sciences, considering the quality and suitability of literature and data.</w:t>
            </w:r>
          </w:p>
        </w:tc>
        <w:tc>
          <w:tcPr>
            <w:tcW w:w="4050" w:type="dxa"/>
            <w:vMerge/>
          </w:tcPr>
          <w:p w:rsidR="004B6900" w:rsidRPr="00326F5C" w:rsidRDefault="004B6900" w:rsidP="00A37ED6">
            <w:pPr>
              <w:rPr>
                <w:rFonts w:asciiTheme="majorHAnsi" w:hAnsiTheme="majorHAnsi" w:cstheme="majorHAnsi"/>
                <w:sz w:val="20"/>
                <w:szCs w:val="20"/>
              </w:rPr>
            </w:pPr>
          </w:p>
        </w:tc>
      </w:tr>
      <w:tr w:rsidR="004B6900" w:rsidRPr="00326F5C" w:rsidTr="002C0642">
        <w:trPr>
          <w:trHeight w:val="405"/>
        </w:trPr>
        <w:tc>
          <w:tcPr>
            <w:tcW w:w="1800" w:type="dxa"/>
            <w:vMerge w:val="restart"/>
          </w:tcPr>
          <w:p w:rsidR="004B6900" w:rsidRPr="00326F5C" w:rsidRDefault="004B6900" w:rsidP="00A37ED6">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Customized, Student 5</w:t>
            </w:r>
          </w:p>
          <w:p w:rsidR="004B6900" w:rsidRPr="00326F5C" w:rsidRDefault="004B6900" w:rsidP="00A37ED6">
            <w:pPr>
              <w:rPr>
                <w:rFonts w:asciiTheme="majorHAnsi" w:eastAsia="Times New Roman" w:hAnsiTheme="majorHAnsi" w:cstheme="majorHAnsi"/>
                <w:b/>
                <w:color w:val="000000"/>
                <w:sz w:val="20"/>
                <w:szCs w:val="20"/>
              </w:rPr>
            </w:pPr>
          </w:p>
          <w:p w:rsidR="004B6900" w:rsidRPr="00326F5C" w:rsidRDefault="004B6900" w:rsidP="00A37ED6">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PHM 9998</w:t>
            </w:r>
            <w:r w:rsidRPr="00326F5C">
              <w:rPr>
                <w:rFonts w:asciiTheme="majorHAnsi" w:eastAsia="Times New Roman" w:hAnsiTheme="majorHAnsi" w:cstheme="majorHAnsi"/>
                <w:color w:val="000000"/>
                <w:sz w:val="20"/>
                <w:szCs w:val="20"/>
              </w:rPr>
              <w:t xml:space="preserve"> </w:t>
            </w:r>
            <w:r w:rsidRPr="00326F5C">
              <w:rPr>
                <w:rFonts w:asciiTheme="majorHAnsi" w:eastAsia="Times New Roman" w:hAnsiTheme="majorHAnsi" w:cstheme="majorHAnsi"/>
                <w:color w:val="000000"/>
                <w:sz w:val="20"/>
                <w:szCs w:val="20"/>
              </w:rPr>
              <w:br/>
              <w:t>Culminating Experience/Thesis</w:t>
            </w:r>
          </w:p>
          <w:p w:rsidR="004B6900" w:rsidRPr="00326F5C" w:rsidRDefault="004B6900" w:rsidP="00A37ED6">
            <w:pPr>
              <w:rPr>
                <w:rFonts w:asciiTheme="majorHAnsi" w:hAnsiTheme="majorHAnsi" w:cstheme="majorHAnsi"/>
                <w:sz w:val="20"/>
                <w:szCs w:val="20"/>
              </w:rPr>
            </w:pPr>
          </w:p>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i/>
                <w:sz w:val="20"/>
                <w:szCs w:val="20"/>
                <w:u w:val="single"/>
              </w:rPr>
              <w:t>Final Product:</w:t>
            </w:r>
            <w:r w:rsidRPr="00326F5C">
              <w:rPr>
                <w:rFonts w:asciiTheme="majorHAnsi" w:hAnsiTheme="majorHAnsi" w:cstheme="majorHAnsi"/>
                <w:i/>
                <w:sz w:val="20"/>
                <w:szCs w:val="20"/>
                <w:u w:val="single"/>
              </w:rPr>
              <w:br/>
            </w:r>
            <w:r w:rsidRPr="00326F5C">
              <w:rPr>
                <w:rFonts w:asciiTheme="majorHAnsi" w:hAnsiTheme="majorHAnsi" w:cstheme="majorHAnsi"/>
                <w:i/>
                <w:sz w:val="20"/>
                <w:szCs w:val="20"/>
              </w:rPr>
              <w:t>Thesis: Diet Quality Evaluation of a Low-Socioeconomic Population From Austin, Texas Using Healthy Eating Index</w:t>
            </w:r>
          </w:p>
        </w:tc>
        <w:tc>
          <w:tcPr>
            <w:tcW w:w="2880" w:type="dxa"/>
          </w:tcPr>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sz w:val="20"/>
                <w:szCs w:val="20"/>
              </w:rPr>
              <w:t>MPH-3: Analyze quantitative and qualitative data using biostatistics, informatics, computer-based programming and software, as appropriate.</w:t>
            </w:r>
          </w:p>
        </w:tc>
        <w:tc>
          <w:tcPr>
            <w:tcW w:w="4050" w:type="dxa"/>
            <w:vMerge w:val="restart"/>
          </w:tcPr>
          <w:p w:rsidR="004B6900" w:rsidRPr="00326F5C" w:rsidRDefault="004B6900" w:rsidP="00A37ED6">
            <w:pPr>
              <w:rPr>
                <w:rFonts w:asciiTheme="majorHAnsi" w:hAnsiTheme="majorHAnsi" w:cstheme="majorHAnsi"/>
                <w:sz w:val="20"/>
                <w:szCs w:val="20"/>
                <w:highlight w:val="yellow"/>
              </w:rPr>
            </w:pPr>
            <w:r w:rsidRPr="00326F5C">
              <w:rPr>
                <w:rFonts w:asciiTheme="majorHAnsi" w:hAnsiTheme="majorHAnsi" w:cstheme="majorHAnsi"/>
                <w:sz w:val="20"/>
                <w:szCs w:val="20"/>
              </w:rPr>
              <w:t xml:space="preserve">The student evaluated diet in a low-socioeconomic population and a local food access initiative using 24 hour recalls to calculate the Healthy Eating Index (MPH-3).The student conducted a review of the issue and identified the epidemiological significance as it related to a demographic and location (MPH-E3). Calculated scores were analyzed for disparities compared to national averages and disparities across demographics (MPH-C5). Their discussion explored outcomes in the context of local food access policy and programs (MPH-4).  </w:t>
            </w:r>
          </w:p>
        </w:tc>
      </w:tr>
      <w:tr w:rsidR="004B6900" w:rsidRPr="00326F5C" w:rsidTr="002C0642">
        <w:trPr>
          <w:trHeight w:val="405"/>
        </w:trPr>
        <w:tc>
          <w:tcPr>
            <w:tcW w:w="1800" w:type="dxa"/>
            <w:vMerge/>
          </w:tcPr>
          <w:p w:rsidR="004B6900" w:rsidRPr="00326F5C" w:rsidRDefault="004B6900" w:rsidP="00A37ED6">
            <w:pPr>
              <w:rPr>
                <w:rFonts w:asciiTheme="majorHAnsi" w:eastAsia="Times New Roman" w:hAnsiTheme="majorHAnsi" w:cstheme="majorHAnsi"/>
                <w:b/>
                <w:color w:val="000000"/>
                <w:sz w:val="20"/>
                <w:szCs w:val="20"/>
              </w:rPr>
            </w:pPr>
          </w:p>
        </w:tc>
        <w:tc>
          <w:tcPr>
            <w:tcW w:w="2880" w:type="dxa"/>
          </w:tcPr>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sz w:val="20"/>
                <w:szCs w:val="20"/>
              </w:rPr>
              <w:t>MPH-4: Interpret results of data analysis for public health research, policy or practice.</w:t>
            </w:r>
          </w:p>
        </w:tc>
        <w:tc>
          <w:tcPr>
            <w:tcW w:w="4050" w:type="dxa"/>
            <w:vMerge/>
          </w:tcPr>
          <w:p w:rsidR="004B6900" w:rsidRPr="00326F5C" w:rsidRDefault="004B6900" w:rsidP="00A37ED6">
            <w:pPr>
              <w:rPr>
                <w:rFonts w:asciiTheme="majorHAnsi" w:hAnsiTheme="majorHAnsi" w:cstheme="majorHAnsi"/>
                <w:sz w:val="20"/>
                <w:szCs w:val="20"/>
              </w:rPr>
            </w:pPr>
          </w:p>
        </w:tc>
      </w:tr>
      <w:tr w:rsidR="004B6900" w:rsidRPr="00326F5C" w:rsidTr="002C0642">
        <w:trPr>
          <w:trHeight w:val="405"/>
        </w:trPr>
        <w:tc>
          <w:tcPr>
            <w:tcW w:w="1800" w:type="dxa"/>
            <w:vMerge/>
          </w:tcPr>
          <w:p w:rsidR="004B6900" w:rsidRPr="00326F5C" w:rsidRDefault="004B6900" w:rsidP="00A37ED6">
            <w:pPr>
              <w:rPr>
                <w:rFonts w:asciiTheme="majorHAnsi" w:eastAsia="Times New Roman" w:hAnsiTheme="majorHAnsi" w:cstheme="majorHAnsi"/>
                <w:b/>
                <w:color w:val="000000"/>
                <w:sz w:val="20"/>
                <w:szCs w:val="20"/>
              </w:rPr>
            </w:pPr>
          </w:p>
        </w:tc>
        <w:tc>
          <w:tcPr>
            <w:tcW w:w="2880" w:type="dxa"/>
            <w:shd w:val="clear" w:color="auto" w:fill="auto"/>
          </w:tcPr>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sz w:val="20"/>
                <w:szCs w:val="20"/>
              </w:rPr>
              <w:t>MPH-E3: Evaluate a public health problem in terms of magnitude, person, place and time, and exposure-outcome relationships.</w:t>
            </w:r>
          </w:p>
        </w:tc>
        <w:tc>
          <w:tcPr>
            <w:tcW w:w="4050" w:type="dxa"/>
            <w:vMerge/>
          </w:tcPr>
          <w:p w:rsidR="004B6900" w:rsidRPr="00326F5C" w:rsidRDefault="004B6900" w:rsidP="00A37ED6">
            <w:pPr>
              <w:rPr>
                <w:rFonts w:asciiTheme="majorHAnsi" w:hAnsiTheme="majorHAnsi" w:cstheme="majorHAnsi"/>
                <w:sz w:val="20"/>
                <w:szCs w:val="20"/>
              </w:rPr>
            </w:pPr>
          </w:p>
        </w:tc>
      </w:tr>
      <w:tr w:rsidR="004B6900" w:rsidRPr="00326F5C" w:rsidTr="002C0642">
        <w:trPr>
          <w:trHeight w:val="378"/>
        </w:trPr>
        <w:tc>
          <w:tcPr>
            <w:tcW w:w="1800" w:type="dxa"/>
            <w:vMerge/>
          </w:tcPr>
          <w:p w:rsidR="004B6900" w:rsidRPr="00326F5C" w:rsidRDefault="004B6900" w:rsidP="00A37ED6">
            <w:pPr>
              <w:rPr>
                <w:rFonts w:asciiTheme="majorHAnsi" w:hAnsiTheme="majorHAnsi" w:cstheme="majorHAnsi"/>
                <w:sz w:val="20"/>
                <w:szCs w:val="20"/>
              </w:rPr>
            </w:pPr>
          </w:p>
        </w:tc>
        <w:tc>
          <w:tcPr>
            <w:tcW w:w="2880" w:type="dxa"/>
            <w:shd w:val="clear" w:color="auto" w:fill="auto"/>
          </w:tcPr>
          <w:p w:rsidR="004B6900" w:rsidRPr="00326F5C" w:rsidRDefault="004B6900" w:rsidP="00A37ED6">
            <w:pPr>
              <w:rPr>
                <w:rFonts w:asciiTheme="majorHAnsi" w:hAnsiTheme="majorHAnsi" w:cstheme="majorHAnsi"/>
                <w:sz w:val="20"/>
                <w:szCs w:val="20"/>
              </w:rPr>
            </w:pPr>
            <w:r w:rsidRPr="00326F5C">
              <w:rPr>
                <w:rFonts w:asciiTheme="majorHAnsi" w:hAnsiTheme="majorHAnsi" w:cstheme="majorHAnsi"/>
                <w:sz w:val="20"/>
                <w:szCs w:val="20"/>
              </w:rPr>
              <w:t>MPH-C5: Describe the mechanisms and pathways through which economic or social determinants affect health and how these determinants are measured at individual or societal levels.</w:t>
            </w:r>
          </w:p>
        </w:tc>
        <w:tc>
          <w:tcPr>
            <w:tcW w:w="4050" w:type="dxa"/>
            <w:vMerge/>
          </w:tcPr>
          <w:p w:rsidR="004B6900" w:rsidRPr="00326F5C" w:rsidRDefault="004B6900" w:rsidP="00A37ED6">
            <w:pPr>
              <w:rPr>
                <w:rFonts w:asciiTheme="majorHAnsi" w:hAnsiTheme="majorHAnsi" w:cstheme="majorHAnsi"/>
                <w:sz w:val="20"/>
                <w:szCs w:val="20"/>
              </w:rPr>
            </w:pPr>
          </w:p>
        </w:tc>
      </w:tr>
    </w:tbl>
    <w:p w:rsidR="004B6900" w:rsidRPr="00326F5C" w:rsidRDefault="004B6900" w:rsidP="00A37ED6">
      <w:pPr>
        <w:rPr>
          <w:rFonts w:asciiTheme="majorHAnsi" w:hAnsiTheme="majorHAnsi" w:cstheme="majorHAnsi"/>
          <w:b/>
          <w:sz w:val="20"/>
          <w:szCs w:val="20"/>
        </w:rPr>
      </w:pPr>
    </w:p>
    <w:p w:rsidR="00547032" w:rsidRPr="00326F5C" w:rsidRDefault="00547032" w:rsidP="006E28EE">
      <w:pPr>
        <w:ind w:left="720"/>
        <w:rPr>
          <w:rFonts w:asciiTheme="majorHAnsi" w:hAnsiTheme="majorHAnsi" w:cstheme="majorHAnsi"/>
          <w:sz w:val="20"/>
          <w:szCs w:val="20"/>
        </w:rPr>
      </w:pPr>
      <w:r w:rsidRPr="00326F5C">
        <w:rPr>
          <w:rFonts w:asciiTheme="majorHAnsi" w:hAnsiTheme="majorHAnsi" w:cstheme="majorHAnsi"/>
          <w:sz w:val="20"/>
          <w:szCs w:val="20"/>
        </w:rPr>
        <w:t>Table D.7.5.</w:t>
      </w:r>
      <w:r w:rsidR="004B6900" w:rsidRPr="00326F5C">
        <w:rPr>
          <w:rFonts w:asciiTheme="majorHAnsi" w:hAnsiTheme="majorHAnsi" w:cstheme="majorHAnsi"/>
          <w:sz w:val="20"/>
          <w:szCs w:val="20"/>
        </w:rPr>
        <w:t>c</w:t>
      </w:r>
      <w:r w:rsidRPr="00326F5C">
        <w:rPr>
          <w:rFonts w:asciiTheme="majorHAnsi" w:hAnsiTheme="majorHAnsi" w:cstheme="majorHAnsi"/>
          <w:sz w:val="20"/>
          <w:szCs w:val="20"/>
        </w:rPr>
        <w:t>. MPH Integrative Learning Experience Examples for MPH Customized, Dual Degree</w:t>
      </w:r>
      <w:r w:rsidR="00AA1372" w:rsidRPr="00326F5C">
        <w:rPr>
          <w:rFonts w:asciiTheme="majorHAnsi" w:hAnsiTheme="majorHAnsi" w:cstheme="majorHAnsi"/>
          <w:sz w:val="20"/>
          <w:szCs w:val="20"/>
        </w:rPr>
        <w:t xml:space="preserve"> (</w:t>
      </w:r>
      <w:r w:rsidR="00AA1372" w:rsidRPr="00326F5C">
        <w:rPr>
          <w:rFonts w:asciiTheme="majorHAnsi" w:hAnsiTheme="majorHAnsi" w:cstheme="majorHAnsi"/>
          <w:i/>
          <w:sz w:val="20"/>
          <w:szCs w:val="20"/>
        </w:rPr>
        <w:t>ERF, D7.5. MPH ILE Examples for MPH Concentrations, MPH Customized, Dual Degree</w:t>
      </w:r>
      <w:r w:rsidR="00AA1372" w:rsidRPr="00326F5C">
        <w:rPr>
          <w:rFonts w:asciiTheme="majorHAnsi" w:hAnsiTheme="majorHAnsi" w:cstheme="majorHAnsi"/>
          <w:sz w:val="20"/>
          <w:szCs w:val="20"/>
        </w:rPr>
        <w:t>)</w:t>
      </w:r>
    </w:p>
    <w:tbl>
      <w:tblPr>
        <w:tblW w:w="4668"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881"/>
        <w:gridCol w:w="4049"/>
      </w:tblGrid>
      <w:tr w:rsidR="00547032" w:rsidRPr="00326F5C" w:rsidTr="00F026B3">
        <w:trPr>
          <w:trHeight w:val="315"/>
          <w:tblHeader/>
        </w:trPr>
        <w:tc>
          <w:tcPr>
            <w:tcW w:w="1031" w:type="pct"/>
            <w:shd w:val="clear" w:color="000000" w:fill="D9D9D9"/>
            <w:vAlign w:val="center"/>
            <w:hideMark/>
          </w:tcPr>
          <w:p w:rsidR="00547032" w:rsidRPr="00326F5C" w:rsidRDefault="00547032" w:rsidP="00A37ED6">
            <w:pPr>
              <w:jc w:val="center"/>
              <w:rPr>
                <w:rFonts w:asciiTheme="majorHAnsi" w:eastAsia="Times New Roman" w:hAnsiTheme="majorHAnsi" w:cstheme="majorHAnsi"/>
                <w:b/>
                <w:bCs/>
                <w:sz w:val="20"/>
                <w:szCs w:val="20"/>
              </w:rPr>
            </w:pPr>
            <w:r w:rsidRPr="00326F5C">
              <w:rPr>
                <w:rFonts w:asciiTheme="majorHAnsi" w:eastAsia="Times New Roman" w:hAnsiTheme="majorHAnsi" w:cstheme="majorHAnsi"/>
                <w:b/>
                <w:bCs/>
                <w:sz w:val="20"/>
                <w:szCs w:val="20"/>
              </w:rPr>
              <w:t>Integrative Learning Experience Option Completed</w:t>
            </w:r>
          </w:p>
        </w:tc>
        <w:tc>
          <w:tcPr>
            <w:tcW w:w="1650" w:type="pct"/>
            <w:shd w:val="clear" w:color="000000" w:fill="D9D9D9"/>
            <w:vAlign w:val="center"/>
            <w:hideMark/>
          </w:tcPr>
          <w:p w:rsidR="00547032" w:rsidRPr="00326F5C" w:rsidRDefault="00456984" w:rsidP="00A37ED6">
            <w:pPr>
              <w:jc w:val="center"/>
              <w:rPr>
                <w:rFonts w:asciiTheme="majorHAnsi" w:eastAsia="Times New Roman" w:hAnsiTheme="majorHAnsi" w:cstheme="majorHAnsi"/>
                <w:b/>
                <w:bCs/>
                <w:sz w:val="20"/>
                <w:szCs w:val="20"/>
              </w:rPr>
            </w:pPr>
            <w:r w:rsidRPr="00326F5C">
              <w:rPr>
                <w:rFonts w:asciiTheme="majorHAnsi" w:eastAsia="Times New Roman" w:hAnsiTheme="majorHAnsi" w:cstheme="majorHAnsi"/>
                <w:b/>
                <w:bCs/>
                <w:sz w:val="20"/>
                <w:szCs w:val="20"/>
              </w:rPr>
              <w:t xml:space="preserve">Competency as defined in </w:t>
            </w:r>
            <w:hyperlink w:anchor="_D2._MPH_Foundational_1" w:history="1">
              <w:r w:rsidRPr="00326F5C">
                <w:rPr>
                  <w:rStyle w:val="Hyperlink"/>
                  <w:rFonts w:asciiTheme="majorHAnsi" w:eastAsia="Times New Roman" w:hAnsiTheme="majorHAnsi" w:cstheme="majorHAnsi"/>
                  <w:b/>
                  <w:bCs/>
                  <w:sz w:val="20"/>
                  <w:szCs w:val="20"/>
                </w:rPr>
                <w:t>Criterion D2</w:t>
              </w:r>
            </w:hyperlink>
            <w:r w:rsidRPr="00326F5C">
              <w:rPr>
                <w:rFonts w:asciiTheme="majorHAnsi" w:eastAsia="Times New Roman" w:hAnsiTheme="majorHAnsi" w:cstheme="majorHAnsi"/>
                <w:b/>
                <w:bCs/>
                <w:sz w:val="20"/>
                <w:szCs w:val="20"/>
              </w:rPr>
              <w:t xml:space="preserve"> and </w:t>
            </w:r>
            <w:hyperlink w:anchor="_D4._MPH_&amp;" w:history="1">
              <w:r w:rsidRPr="00326F5C">
                <w:rPr>
                  <w:rStyle w:val="Hyperlink"/>
                  <w:rFonts w:asciiTheme="majorHAnsi" w:eastAsia="Times New Roman" w:hAnsiTheme="majorHAnsi" w:cstheme="majorHAnsi"/>
                  <w:b/>
                  <w:bCs/>
                  <w:sz w:val="20"/>
                  <w:szCs w:val="20"/>
                </w:rPr>
                <w:t>Criterion D4</w:t>
              </w:r>
            </w:hyperlink>
          </w:p>
        </w:tc>
        <w:tc>
          <w:tcPr>
            <w:tcW w:w="2319" w:type="pct"/>
            <w:shd w:val="clear" w:color="000000" w:fill="D9D9D9"/>
            <w:vAlign w:val="center"/>
            <w:hideMark/>
          </w:tcPr>
          <w:p w:rsidR="00547032" w:rsidRPr="00326F5C" w:rsidRDefault="00547032" w:rsidP="00A37ED6">
            <w:pPr>
              <w:jc w:val="center"/>
              <w:rPr>
                <w:rFonts w:asciiTheme="majorHAnsi" w:eastAsia="Times New Roman" w:hAnsiTheme="majorHAnsi" w:cstheme="majorHAnsi"/>
                <w:b/>
                <w:bCs/>
                <w:sz w:val="20"/>
                <w:szCs w:val="20"/>
              </w:rPr>
            </w:pPr>
            <w:r w:rsidRPr="00326F5C">
              <w:rPr>
                <w:rFonts w:asciiTheme="majorHAnsi" w:eastAsia="Times New Roman" w:hAnsiTheme="majorHAnsi" w:cstheme="majorHAnsi"/>
                <w:b/>
                <w:bCs/>
                <w:sz w:val="20"/>
                <w:szCs w:val="20"/>
              </w:rPr>
              <w:t>How competencies are synthesized</w:t>
            </w:r>
          </w:p>
        </w:tc>
      </w:tr>
      <w:tr w:rsidR="00547032" w:rsidRPr="00326F5C" w:rsidTr="00847E25">
        <w:trPr>
          <w:trHeight w:val="77"/>
        </w:trPr>
        <w:tc>
          <w:tcPr>
            <w:tcW w:w="1031" w:type="pct"/>
            <w:vMerge w:val="restart"/>
            <w:shd w:val="clear" w:color="auto" w:fill="auto"/>
          </w:tcPr>
          <w:p w:rsidR="00547032" w:rsidRPr="00326F5C" w:rsidRDefault="00547032" w:rsidP="00A37ED6">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Customized, Dual Degree, Student 1</w:t>
            </w:r>
          </w:p>
          <w:p w:rsidR="00547032" w:rsidRPr="00326F5C" w:rsidRDefault="00547032" w:rsidP="00A37ED6">
            <w:pPr>
              <w:rPr>
                <w:rFonts w:asciiTheme="majorHAnsi" w:eastAsia="Times New Roman" w:hAnsiTheme="majorHAnsi" w:cstheme="majorHAnsi"/>
                <w:b/>
                <w:sz w:val="20"/>
                <w:szCs w:val="20"/>
              </w:rPr>
            </w:pPr>
          </w:p>
          <w:p w:rsidR="00547032" w:rsidRPr="00326F5C" w:rsidRDefault="00547032" w:rsidP="00A37ED6">
            <w:pPr>
              <w:rPr>
                <w:rFonts w:asciiTheme="majorHAnsi" w:eastAsia="Times New Roman" w:hAnsiTheme="majorHAnsi" w:cstheme="majorHAnsi"/>
                <w:sz w:val="20"/>
                <w:szCs w:val="20"/>
              </w:rPr>
            </w:pPr>
            <w:r w:rsidRPr="00326F5C">
              <w:rPr>
                <w:rFonts w:asciiTheme="majorHAnsi" w:eastAsia="Times New Roman" w:hAnsiTheme="majorHAnsi" w:cstheme="majorHAnsi"/>
                <w:b/>
                <w:sz w:val="20"/>
                <w:szCs w:val="20"/>
              </w:rPr>
              <w:t>PHM 5096</w:t>
            </w:r>
            <w:r w:rsidRPr="00326F5C">
              <w:rPr>
                <w:rFonts w:asciiTheme="majorHAnsi" w:eastAsia="Times New Roman" w:hAnsiTheme="majorHAnsi" w:cstheme="majorHAnsi"/>
                <w:sz w:val="20"/>
                <w:szCs w:val="20"/>
              </w:rPr>
              <w:t xml:space="preserve"> Capstone for Customized Students </w:t>
            </w:r>
          </w:p>
          <w:p w:rsidR="00547032" w:rsidRPr="00326F5C" w:rsidRDefault="00547032" w:rsidP="00A37ED6">
            <w:pPr>
              <w:rPr>
                <w:rFonts w:asciiTheme="majorHAnsi" w:eastAsia="Times New Roman" w:hAnsiTheme="majorHAnsi" w:cstheme="majorHAnsi"/>
                <w:color w:val="FF0000"/>
                <w:sz w:val="20"/>
                <w:szCs w:val="20"/>
              </w:rPr>
            </w:pPr>
          </w:p>
          <w:p w:rsidR="00547032" w:rsidRPr="00326F5C" w:rsidRDefault="00547032" w:rsidP="00A37ED6">
            <w:pPr>
              <w:rPr>
                <w:rFonts w:asciiTheme="majorHAnsi" w:eastAsia="Times New Roman" w:hAnsiTheme="majorHAnsi" w:cstheme="majorHAnsi"/>
                <w:sz w:val="20"/>
                <w:szCs w:val="20"/>
              </w:rPr>
            </w:pPr>
            <w:r w:rsidRPr="00326F5C">
              <w:rPr>
                <w:rFonts w:asciiTheme="majorHAnsi" w:eastAsia="Times New Roman" w:hAnsiTheme="majorHAnsi" w:cstheme="majorHAnsi"/>
                <w:i/>
                <w:sz w:val="20"/>
                <w:szCs w:val="20"/>
                <w:u w:val="single"/>
              </w:rPr>
              <w:t>Final Product:</w:t>
            </w:r>
            <w:r w:rsidRPr="00326F5C">
              <w:rPr>
                <w:rFonts w:asciiTheme="majorHAnsi" w:eastAsia="Times New Roman" w:hAnsiTheme="majorHAnsi" w:cstheme="majorHAnsi"/>
                <w:i/>
                <w:sz w:val="20"/>
                <w:szCs w:val="20"/>
              </w:rPr>
              <w:t xml:space="preserve"> </w:t>
            </w:r>
          </w:p>
          <w:p w:rsidR="00547032" w:rsidRPr="00326F5C" w:rsidRDefault="00547032" w:rsidP="00A37ED6">
            <w:pPr>
              <w:rPr>
                <w:rFonts w:asciiTheme="majorHAnsi" w:eastAsia="Times New Roman" w:hAnsiTheme="majorHAnsi" w:cstheme="majorHAnsi"/>
                <w:i/>
                <w:sz w:val="20"/>
                <w:szCs w:val="20"/>
              </w:rPr>
            </w:pPr>
            <w:r w:rsidRPr="00326F5C">
              <w:rPr>
                <w:rFonts w:asciiTheme="majorHAnsi" w:eastAsia="Times New Roman" w:hAnsiTheme="majorHAnsi" w:cstheme="majorHAnsi"/>
                <w:i/>
                <w:sz w:val="20"/>
                <w:szCs w:val="20"/>
              </w:rPr>
              <w:t>Mental Health Screenings in Adolescents</w:t>
            </w:r>
          </w:p>
        </w:tc>
        <w:tc>
          <w:tcPr>
            <w:tcW w:w="1650" w:type="pct"/>
            <w:shd w:val="clear" w:color="auto" w:fill="auto"/>
          </w:tcPr>
          <w:p w:rsidR="00547032" w:rsidRPr="00326F5C" w:rsidRDefault="00547032" w:rsidP="00A37ED6">
            <w:pPr>
              <w:rPr>
                <w:rFonts w:asciiTheme="majorHAnsi" w:hAnsiTheme="majorHAnsi" w:cstheme="majorHAnsi"/>
                <w:sz w:val="20"/>
                <w:szCs w:val="20"/>
              </w:rPr>
            </w:pPr>
            <w:r w:rsidRPr="00326F5C">
              <w:rPr>
                <w:rFonts w:asciiTheme="majorHAnsi" w:hAnsiTheme="majorHAnsi" w:cstheme="majorHAnsi"/>
                <w:sz w:val="20"/>
                <w:szCs w:val="20"/>
              </w:rPr>
              <w:t>MPH-19: Communicate audience-appropriate public health content, both in writing and through oral presentation.</w:t>
            </w:r>
          </w:p>
        </w:tc>
        <w:tc>
          <w:tcPr>
            <w:tcW w:w="2319" w:type="pct"/>
            <w:vMerge w:val="restart"/>
            <w:shd w:val="clear" w:color="auto" w:fill="auto"/>
          </w:tcPr>
          <w:p w:rsidR="00547032" w:rsidRPr="00326F5C" w:rsidRDefault="00547032" w:rsidP="00A37ED6">
            <w:pPr>
              <w:rPr>
                <w:rFonts w:asciiTheme="majorHAnsi" w:eastAsia="Times New Roman" w:hAnsiTheme="majorHAnsi" w:cstheme="majorHAnsi"/>
                <w:sz w:val="20"/>
                <w:szCs w:val="20"/>
              </w:rPr>
            </w:pPr>
            <w:r w:rsidRPr="00326F5C">
              <w:rPr>
                <w:rFonts w:asciiTheme="majorHAnsi" w:eastAsia="Times New Roman" w:hAnsiTheme="majorHAnsi" w:cstheme="majorHAnsi"/>
                <w:color w:val="000000"/>
                <w:sz w:val="20"/>
                <w:szCs w:val="20"/>
              </w:rPr>
              <w:t>The student worked in a collaborative team to conduct a quality improvement initiative in two Austin Independent School District high schools (MPH-M1). The results of which led the student to produce</w:t>
            </w:r>
            <w:r w:rsidRPr="00326F5C">
              <w:rPr>
                <w:rStyle w:val="CommentReference"/>
                <w:rFonts w:asciiTheme="majorHAnsi" w:hAnsiTheme="majorHAnsi" w:cstheme="majorHAnsi"/>
                <w:sz w:val="20"/>
                <w:szCs w:val="20"/>
              </w:rPr>
              <w:t xml:space="preserve"> </w:t>
            </w:r>
            <w:r w:rsidRPr="00326F5C">
              <w:rPr>
                <w:rFonts w:asciiTheme="majorHAnsi" w:eastAsia="Times New Roman" w:hAnsiTheme="majorHAnsi" w:cstheme="majorHAnsi"/>
                <w:color w:val="000000"/>
                <w:sz w:val="20"/>
                <w:szCs w:val="20"/>
              </w:rPr>
              <w:t>a project report, presentation, manuscript, and communication plan (MPH-19). The report and presentation include systems-thinking tools such as an evidence table and workflow analysis diagram (MPH-22). The student identified opportunities and challenges to implementing school-based mental health screening programs to earlier detect mental illness (MPH-M2).</w:t>
            </w:r>
          </w:p>
        </w:tc>
      </w:tr>
      <w:tr w:rsidR="00547032" w:rsidRPr="00326F5C" w:rsidTr="00847E25">
        <w:trPr>
          <w:trHeight w:val="77"/>
        </w:trPr>
        <w:tc>
          <w:tcPr>
            <w:tcW w:w="1031"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c>
          <w:tcPr>
            <w:tcW w:w="1650" w:type="pct"/>
            <w:shd w:val="clear" w:color="auto" w:fill="auto"/>
          </w:tcPr>
          <w:p w:rsidR="00547032" w:rsidRPr="00326F5C" w:rsidRDefault="00547032" w:rsidP="00A37ED6">
            <w:pPr>
              <w:rPr>
                <w:rFonts w:asciiTheme="majorHAnsi" w:hAnsiTheme="majorHAnsi" w:cstheme="majorHAnsi"/>
                <w:sz w:val="20"/>
                <w:szCs w:val="20"/>
              </w:rPr>
            </w:pPr>
            <w:r w:rsidRPr="00326F5C">
              <w:rPr>
                <w:rFonts w:asciiTheme="majorHAnsi" w:hAnsiTheme="majorHAnsi" w:cstheme="majorHAnsi"/>
                <w:sz w:val="20"/>
                <w:szCs w:val="20"/>
              </w:rPr>
              <w:t>MPH-22: Apply systems thinking tools to a public health issue.</w:t>
            </w:r>
          </w:p>
        </w:tc>
        <w:tc>
          <w:tcPr>
            <w:tcW w:w="2319"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r>
      <w:tr w:rsidR="00547032" w:rsidRPr="00326F5C" w:rsidTr="00847E25">
        <w:trPr>
          <w:trHeight w:val="1547"/>
        </w:trPr>
        <w:tc>
          <w:tcPr>
            <w:tcW w:w="1031"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c>
          <w:tcPr>
            <w:tcW w:w="1650" w:type="pct"/>
            <w:shd w:val="clear" w:color="auto" w:fill="auto"/>
          </w:tcPr>
          <w:p w:rsidR="00547032" w:rsidRPr="00326F5C" w:rsidRDefault="00547032" w:rsidP="00A37ED6">
            <w:pPr>
              <w:rPr>
                <w:rFonts w:asciiTheme="majorHAnsi" w:hAnsiTheme="majorHAnsi" w:cstheme="majorHAnsi"/>
                <w:sz w:val="20"/>
                <w:szCs w:val="20"/>
              </w:rPr>
            </w:pPr>
            <w:r w:rsidRPr="00326F5C">
              <w:rPr>
                <w:rFonts w:asciiTheme="majorHAnsi" w:hAnsiTheme="majorHAnsi" w:cstheme="majorHAnsi"/>
                <w:sz w:val="20"/>
                <w:szCs w:val="20"/>
              </w:rPr>
              <w:t>MPH-M1:  (TL) Team Leadership: Collaborates with others to complete team-based assignments within healthcare organizations, adapting when needed to maximize organizational and personal success.</w:t>
            </w:r>
          </w:p>
        </w:tc>
        <w:tc>
          <w:tcPr>
            <w:tcW w:w="2319"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r>
      <w:tr w:rsidR="00547032" w:rsidRPr="00326F5C" w:rsidTr="00847E25">
        <w:trPr>
          <w:trHeight w:val="1052"/>
        </w:trPr>
        <w:tc>
          <w:tcPr>
            <w:tcW w:w="1031"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c>
          <w:tcPr>
            <w:tcW w:w="1650" w:type="pct"/>
            <w:shd w:val="clear" w:color="auto" w:fill="auto"/>
          </w:tcPr>
          <w:p w:rsidR="00547032" w:rsidRPr="00326F5C" w:rsidRDefault="00547032" w:rsidP="00A37ED6">
            <w:pPr>
              <w:rPr>
                <w:rFonts w:asciiTheme="majorHAnsi" w:hAnsiTheme="majorHAnsi" w:cstheme="majorHAnsi"/>
                <w:sz w:val="20"/>
                <w:szCs w:val="20"/>
              </w:rPr>
            </w:pPr>
            <w:r w:rsidRPr="00326F5C">
              <w:rPr>
                <w:rFonts w:asciiTheme="majorHAnsi" w:hAnsiTheme="majorHAnsi" w:cstheme="majorHAnsi"/>
                <w:sz w:val="20"/>
                <w:szCs w:val="20"/>
              </w:rPr>
              <w:t>MPH-M2:  (SO) Strategic Orientation: Synthesizes organizational opportunities and challenges and defends strategies for organizational success.</w:t>
            </w:r>
          </w:p>
        </w:tc>
        <w:tc>
          <w:tcPr>
            <w:tcW w:w="2319"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r>
      <w:tr w:rsidR="00547032" w:rsidRPr="00326F5C" w:rsidTr="00847E25">
        <w:trPr>
          <w:trHeight w:val="908"/>
        </w:trPr>
        <w:tc>
          <w:tcPr>
            <w:tcW w:w="1031" w:type="pct"/>
            <w:vMerge w:val="restart"/>
            <w:shd w:val="clear" w:color="auto" w:fill="auto"/>
          </w:tcPr>
          <w:p w:rsidR="00547032" w:rsidRPr="00326F5C" w:rsidRDefault="00547032" w:rsidP="00A37ED6">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Customized, Dual Degree, Student 2</w:t>
            </w:r>
          </w:p>
          <w:p w:rsidR="00547032" w:rsidRPr="00326F5C" w:rsidRDefault="00547032" w:rsidP="00A37ED6">
            <w:pPr>
              <w:rPr>
                <w:rFonts w:asciiTheme="majorHAnsi" w:eastAsia="Times New Roman" w:hAnsiTheme="majorHAnsi" w:cstheme="majorHAnsi"/>
                <w:b/>
                <w:sz w:val="20"/>
                <w:szCs w:val="20"/>
              </w:rPr>
            </w:pPr>
          </w:p>
          <w:p w:rsidR="00547032" w:rsidRPr="00326F5C" w:rsidRDefault="00547032" w:rsidP="00A37ED6">
            <w:pPr>
              <w:rPr>
                <w:rFonts w:asciiTheme="majorHAnsi" w:eastAsia="Times New Roman" w:hAnsiTheme="majorHAnsi" w:cstheme="majorHAnsi"/>
                <w:sz w:val="20"/>
                <w:szCs w:val="20"/>
              </w:rPr>
            </w:pPr>
            <w:r w:rsidRPr="00326F5C">
              <w:rPr>
                <w:rFonts w:asciiTheme="majorHAnsi" w:eastAsia="Times New Roman" w:hAnsiTheme="majorHAnsi" w:cstheme="majorHAnsi"/>
                <w:b/>
                <w:sz w:val="20"/>
                <w:szCs w:val="20"/>
              </w:rPr>
              <w:t>PHM 9998</w:t>
            </w:r>
            <w:r w:rsidRPr="00326F5C">
              <w:rPr>
                <w:rFonts w:asciiTheme="majorHAnsi" w:eastAsia="Times New Roman" w:hAnsiTheme="majorHAnsi" w:cstheme="majorHAnsi"/>
                <w:sz w:val="20"/>
                <w:szCs w:val="20"/>
              </w:rPr>
              <w:t xml:space="preserve"> Culminating Experience/Thesis</w:t>
            </w:r>
          </w:p>
          <w:p w:rsidR="00547032" w:rsidRPr="00326F5C" w:rsidRDefault="00547032" w:rsidP="00A37ED6">
            <w:pPr>
              <w:rPr>
                <w:rFonts w:asciiTheme="majorHAnsi" w:eastAsia="Times New Roman" w:hAnsiTheme="majorHAnsi" w:cstheme="majorHAnsi"/>
                <w:i/>
                <w:color w:val="000000"/>
                <w:sz w:val="20"/>
                <w:szCs w:val="20"/>
                <w:u w:val="single"/>
              </w:rPr>
            </w:pPr>
          </w:p>
          <w:p w:rsidR="00547032" w:rsidRPr="00326F5C" w:rsidRDefault="00547032" w:rsidP="00A37ED6">
            <w:pPr>
              <w:rPr>
                <w:rFonts w:asciiTheme="majorHAnsi" w:eastAsia="Times New Roman" w:hAnsiTheme="majorHAnsi" w:cstheme="majorHAnsi"/>
                <w:i/>
                <w:sz w:val="20"/>
                <w:szCs w:val="20"/>
              </w:rPr>
            </w:pPr>
            <w:r w:rsidRPr="00326F5C">
              <w:rPr>
                <w:rFonts w:asciiTheme="majorHAnsi" w:eastAsia="Times New Roman" w:hAnsiTheme="majorHAnsi" w:cstheme="majorHAnsi"/>
                <w:i/>
                <w:color w:val="000000"/>
                <w:sz w:val="20"/>
                <w:szCs w:val="20"/>
                <w:u w:val="single"/>
              </w:rPr>
              <w:t>Final Product</w:t>
            </w:r>
            <w:r w:rsidRPr="00326F5C">
              <w:rPr>
                <w:rFonts w:asciiTheme="majorHAnsi" w:eastAsia="Times New Roman" w:hAnsiTheme="majorHAnsi" w:cstheme="majorHAnsi"/>
                <w:i/>
                <w:color w:val="000000"/>
                <w:sz w:val="20"/>
                <w:szCs w:val="20"/>
              </w:rPr>
              <w:t>: Thesis: Testing Patterns for Syphilis and other Sexually Transmitted Infections in Pregnant Women Presenting to Emergency Departments</w:t>
            </w:r>
          </w:p>
        </w:tc>
        <w:tc>
          <w:tcPr>
            <w:tcW w:w="1650" w:type="pct"/>
            <w:shd w:val="clear" w:color="auto" w:fill="auto"/>
          </w:tcPr>
          <w:p w:rsidR="00547032" w:rsidRPr="00326F5C" w:rsidRDefault="00547032" w:rsidP="00A37ED6">
            <w:pPr>
              <w:rPr>
                <w:rFonts w:asciiTheme="majorHAnsi" w:eastAsia="Times New Roman" w:hAnsiTheme="majorHAnsi" w:cstheme="majorHAnsi"/>
                <w:color w:val="000000"/>
                <w:sz w:val="20"/>
                <w:szCs w:val="20"/>
              </w:rPr>
            </w:pPr>
            <w:r w:rsidRPr="00326F5C">
              <w:rPr>
                <w:rFonts w:asciiTheme="majorHAnsi" w:hAnsiTheme="majorHAnsi" w:cstheme="majorHAnsi"/>
                <w:sz w:val="20"/>
                <w:szCs w:val="20"/>
              </w:rPr>
              <w:t>MPH-1: Apply epidemiological methods to the breadth of settings and situations in public health practice.</w:t>
            </w:r>
          </w:p>
        </w:tc>
        <w:tc>
          <w:tcPr>
            <w:tcW w:w="2319" w:type="pct"/>
            <w:vMerge w:val="restart"/>
            <w:shd w:val="clear" w:color="auto" w:fill="auto"/>
          </w:tcPr>
          <w:p w:rsidR="00547032" w:rsidRPr="00326F5C" w:rsidRDefault="00547032" w:rsidP="00A37ED6">
            <w:pPr>
              <w:rPr>
                <w:rFonts w:asciiTheme="majorHAnsi" w:eastAsia="Times New Roman" w:hAnsiTheme="majorHAnsi" w:cstheme="majorHAnsi"/>
                <w:sz w:val="20"/>
                <w:szCs w:val="20"/>
              </w:rPr>
            </w:pPr>
            <w:r w:rsidRPr="00326F5C">
              <w:rPr>
                <w:rFonts w:asciiTheme="majorHAnsi" w:eastAsia="Times New Roman" w:hAnsiTheme="majorHAnsi" w:cstheme="majorHAnsi"/>
                <w:sz w:val="20"/>
                <w:szCs w:val="20"/>
              </w:rPr>
              <w:t xml:space="preserve">The student examined screening and claims data to study testing patterns of Syphilis, Gonorrhea, and HIV in Dallas/Fort Worth emergency rooms in order to evaluate these public health problems affecting the development of newborns and causing spontaneous abortion. First, the student conducted a literature review and detailed the magnitude and public health significance of the issue (MPH-E3). The student then identified a source and extracted data, organized and managed in a table developed by the student, to conduct a retrospective descriptive and inferential analysis (MPH-E1). The results of this study and associated analysis enabled the student to describe the impact of these diseases and their testing patterns among pregnant woman (MPH-1), (MPH-4). </w:t>
            </w:r>
          </w:p>
        </w:tc>
      </w:tr>
      <w:tr w:rsidR="00547032" w:rsidRPr="00326F5C" w:rsidTr="00847E25">
        <w:trPr>
          <w:trHeight w:val="77"/>
        </w:trPr>
        <w:tc>
          <w:tcPr>
            <w:tcW w:w="1031"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c>
          <w:tcPr>
            <w:tcW w:w="1650" w:type="pct"/>
            <w:shd w:val="clear" w:color="auto" w:fill="auto"/>
          </w:tcPr>
          <w:p w:rsidR="00547032" w:rsidRPr="00326F5C" w:rsidRDefault="00547032" w:rsidP="00A37ED6">
            <w:pPr>
              <w:rPr>
                <w:rFonts w:asciiTheme="majorHAnsi" w:hAnsiTheme="majorHAnsi" w:cstheme="majorHAnsi"/>
                <w:sz w:val="20"/>
                <w:szCs w:val="20"/>
              </w:rPr>
            </w:pPr>
            <w:r w:rsidRPr="00326F5C">
              <w:rPr>
                <w:rFonts w:asciiTheme="majorHAnsi" w:hAnsiTheme="majorHAnsi" w:cstheme="majorHAnsi"/>
                <w:sz w:val="20"/>
                <w:szCs w:val="20"/>
              </w:rPr>
              <w:t>MPH-4: Interpret results of data analysis for public health research, policy or practice.</w:t>
            </w:r>
          </w:p>
        </w:tc>
        <w:tc>
          <w:tcPr>
            <w:tcW w:w="2319"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r>
      <w:tr w:rsidR="00547032" w:rsidRPr="00326F5C" w:rsidTr="00847E25">
        <w:trPr>
          <w:trHeight w:val="602"/>
        </w:trPr>
        <w:tc>
          <w:tcPr>
            <w:tcW w:w="1031"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c>
          <w:tcPr>
            <w:tcW w:w="1650" w:type="pct"/>
            <w:shd w:val="clear" w:color="auto" w:fill="auto"/>
          </w:tcPr>
          <w:p w:rsidR="00547032" w:rsidRPr="00326F5C" w:rsidRDefault="00547032" w:rsidP="00A37ED6">
            <w:pPr>
              <w:rPr>
                <w:rFonts w:asciiTheme="majorHAnsi" w:eastAsia="Times New Roman" w:hAnsiTheme="majorHAnsi" w:cstheme="majorHAnsi"/>
                <w:color w:val="000000"/>
                <w:sz w:val="20"/>
                <w:szCs w:val="20"/>
              </w:rPr>
            </w:pPr>
            <w:r w:rsidRPr="00326F5C">
              <w:rPr>
                <w:rFonts w:asciiTheme="majorHAnsi" w:hAnsiTheme="majorHAnsi" w:cstheme="majorHAnsi"/>
                <w:sz w:val="20"/>
                <w:szCs w:val="20"/>
              </w:rPr>
              <w:t>MPH-E1: Apply data collection and data management skills for an epidemiologic study.</w:t>
            </w:r>
          </w:p>
        </w:tc>
        <w:tc>
          <w:tcPr>
            <w:tcW w:w="2319"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r>
      <w:tr w:rsidR="00547032" w:rsidRPr="00326F5C" w:rsidTr="00847E25">
        <w:trPr>
          <w:trHeight w:val="1475"/>
        </w:trPr>
        <w:tc>
          <w:tcPr>
            <w:tcW w:w="1031"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c>
          <w:tcPr>
            <w:tcW w:w="1650" w:type="pct"/>
            <w:shd w:val="clear" w:color="auto" w:fill="auto"/>
          </w:tcPr>
          <w:p w:rsidR="00547032" w:rsidRPr="00326F5C" w:rsidRDefault="00547032" w:rsidP="00A37ED6">
            <w:pPr>
              <w:rPr>
                <w:rFonts w:asciiTheme="majorHAnsi" w:hAnsiTheme="majorHAnsi" w:cstheme="majorHAnsi"/>
                <w:sz w:val="20"/>
                <w:szCs w:val="20"/>
              </w:rPr>
            </w:pPr>
            <w:r w:rsidRPr="00326F5C">
              <w:rPr>
                <w:rFonts w:asciiTheme="majorHAnsi" w:hAnsiTheme="majorHAnsi" w:cstheme="majorHAnsi"/>
                <w:sz w:val="20"/>
                <w:szCs w:val="20"/>
              </w:rPr>
              <w:t>MPH-E3: Evaluate a public health problem in terms of magnitude, person, place and time, and exposure-outcome relationships.</w:t>
            </w:r>
          </w:p>
        </w:tc>
        <w:tc>
          <w:tcPr>
            <w:tcW w:w="2319" w:type="pct"/>
            <w:vMerge/>
            <w:shd w:val="clear" w:color="auto" w:fill="auto"/>
          </w:tcPr>
          <w:p w:rsidR="00547032" w:rsidRPr="00326F5C" w:rsidRDefault="00547032" w:rsidP="00A37ED6">
            <w:pPr>
              <w:rPr>
                <w:rFonts w:asciiTheme="majorHAnsi" w:eastAsia="Times New Roman" w:hAnsiTheme="majorHAnsi" w:cstheme="majorHAnsi"/>
                <w:sz w:val="20"/>
                <w:szCs w:val="20"/>
              </w:rPr>
            </w:pPr>
          </w:p>
        </w:tc>
      </w:tr>
      <w:tr w:rsidR="00547032" w:rsidRPr="00326F5C" w:rsidTr="00847E25">
        <w:trPr>
          <w:trHeight w:val="246"/>
        </w:trPr>
        <w:tc>
          <w:tcPr>
            <w:tcW w:w="1031"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Customized, Dual Degree, Student 3</w:t>
            </w:r>
          </w:p>
          <w:p w:rsidR="00547032" w:rsidRPr="00326F5C" w:rsidRDefault="00547032" w:rsidP="006C308E">
            <w:pPr>
              <w:rPr>
                <w:rFonts w:asciiTheme="majorHAnsi" w:eastAsia="Times New Roman" w:hAnsiTheme="majorHAnsi" w:cstheme="majorHAnsi"/>
                <w:b/>
                <w:sz w:val="20"/>
                <w:szCs w:val="20"/>
              </w:rPr>
            </w:pPr>
          </w:p>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b/>
                <w:sz w:val="20"/>
                <w:szCs w:val="20"/>
              </w:rPr>
              <w:t>PHM 9998</w:t>
            </w:r>
            <w:r w:rsidRPr="00326F5C">
              <w:rPr>
                <w:rFonts w:asciiTheme="majorHAnsi" w:eastAsia="Times New Roman" w:hAnsiTheme="majorHAnsi" w:cstheme="majorHAnsi"/>
                <w:sz w:val="20"/>
                <w:szCs w:val="20"/>
              </w:rPr>
              <w:t xml:space="preserve"> Culminating Experience/Thesis</w:t>
            </w:r>
          </w:p>
          <w:p w:rsidR="00547032" w:rsidRPr="00326F5C" w:rsidRDefault="00547032" w:rsidP="006C308E">
            <w:pPr>
              <w:rPr>
                <w:rFonts w:asciiTheme="majorHAnsi" w:eastAsia="Times New Roman" w:hAnsiTheme="majorHAnsi" w:cstheme="majorHAnsi"/>
                <w:i/>
                <w:color w:val="000000"/>
                <w:sz w:val="20"/>
                <w:szCs w:val="20"/>
                <w:u w:val="single"/>
              </w:rPr>
            </w:pP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u w:val="single"/>
              </w:rPr>
              <w:t>Final Product</w:t>
            </w:r>
            <w:r w:rsidRPr="00326F5C">
              <w:rPr>
                <w:rFonts w:asciiTheme="majorHAnsi" w:eastAsia="Times New Roman" w:hAnsiTheme="majorHAnsi" w:cstheme="majorHAnsi"/>
                <w:i/>
                <w:color w:val="000000"/>
                <w:sz w:val="20"/>
                <w:szCs w:val="20"/>
              </w:rPr>
              <w:t xml:space="preserve">: Independent ILE: A Review of General and Health-Related Federal Policies Affecting the Individuals with Developmental Disabilities  </w:t>
            </w:r>
          </w:p>
        </w:tc>
        <w:tc>
          <w:tcPr>
            <w:tcW w:w="1650" w:type="pct"/>
            <w:shd w:val="clear" w:color="auto" w:fill="auto"/>
          </w:tcPr>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hAnsiTheme="majorHAnsi" w:cstheme="majorHAnsi"/>
                <w:sz w:val="20"/>
                <w:szCs w:val="20"/>
              </w:rPr>
              <w:t>MPH-14: Advocate for political, social or economic policies and programs that will improve health in diverse populations.</w:t>
            </w:r>
          </w:p>
        </w:tc>
        <w:tc>
          <w:tcPr>
            <w:tcW w:w="2319" w:type="pct"/>
            <w:vMerge w:val="restart"/>
            <w:shd w:val="clear" w:color="auto" w:fill="auto"/>
          </w:tcPr>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color w:val="000000"/>
                <w:sz w:val="20"/>
                <w:szCs w:val="20"/>
              </w:rPr>
              <w:t>The student reviewed, evaluated, and analyzed federal policies related to developmental disabilities and their impact on the disabled population (MPH-15). The student’s analysis involved advocating for federal policy changes that could affect the health of disabled persons (MPH-14). The actions and involvement of community and governmental public health programs, organizations, and entities were included in the student’s evaluation to assess their utility in disabled populations (MPH-C2), (MPH-C4). Recommendations were made for community and governmental public health programs regarding their adequacy in working with the disabled community (MPH-C2).</w:t>
            </w:r>
          </w:p>
        </w:tc>
      </w:tr>
      <w:tr w:rsidR="00547032" w:rsidRPr="00326F5C" w:rsidTr="00847E25">
        <w:trPr>
          <w:trHeight w:val="243"/>
        </w:trPr>
        <w:tc>
          <w:tcPr>
            <w:tcW w:w="1031"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650" w:type="pct"/>
            <w:shd w:val="clear" w:color="auto" w:fill="auto"/>
          </w:tcPr>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hAnsiTheme="majorHAnsi" w:cstheme="majorHAnsi"/>
                <w:sz w:val="20"/>
                <w:szCs w:val="20"/>
              </w:rPr>
              <w:t>MPH-15: Evaluate policies for their impact on public health and health equity.</w:t>
            </w:r>
          </w:p>
        </w:tc>
        <w:tc>
          <w:tcPr>
            <w:tcW w:w="2319"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847E25">
        <w:trPr>
          <w:trHeight w:val="827"/>
        </w:trPr>
        <w:tc>
          <w:tcPr>
            <w:tcW w:w="1031"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650"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MPH-C2: Describe the interconnectedness of governmental and non-profit systems in influencing a public health problem.</w:t>
            </w:r>
          </w:p>
        </w:tc>
        <w:tc>
          <w:tcPr>
            <w:tcW w:w="2319"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847E25">
        <w:trPr>
          <w:trHeight w:val="935"/>
        </w:trPr>
        <w:tc>
          <w:tcPr>
            <w:tcW w:w="1031"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650"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MPH-C4: Examine the role of leadership in public health practice.</w:t>
            </w:r>
          </w:p>
        </w:tc>
        <w:tc>
          <w:tcPr>
            <w:tcW w:w="2319"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847E25">
        <w:trPr>
          <w:trHeight w:val="60"/>
        </w:trPr>
        <w:tc>
          <w:tcPr>
            <w:tcW w:w="1031"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Customized, Dual Degree, Student 4</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PHM 9998</w:t>
            </w:r>
            <w:r w:rsidRPr="00326F5C">
              <w:rPr>
                <w:rFonts w:asciiTheme="majorHAnsi" w:eastAsia="Times New Roman" w:hAnsiTheme="majorHAnsi" w:cstheme="majorHAnsi"/>
                <w:color w:val="000000"/>
                <w:sz w:val="20"/>
                <w:szCs w:val="20"/>
              </w:rPr>
              <w:t xml:space="preserve"> Culminating Experience/Thesis</w:t>
            </w:r>
          </w:p>
          <w:p w:rsidR="00547032" w:rsidRPr="00326F5C" w:rsidRDefault="00547032" w:rsidP="006C308E">
            <w:pPr>
              <w:rPr>
                <w:rFonts w:asciiTheme="majorHAnsi" w:eastAsia="Times New Roman" w:hAnsiTheme="majorHAnsi" w:cstheme="majorHAnsi"/>
                <w:color w:val="000000"/>
                <w:sz w:val="20"/>
                <w:szCs w:val="20"/>
              </w:rPr>
            </w:pP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u w:val="single"/>
              </w:rPr>
              <w:t>Final Product</w:t>
            </w:r>
            <w:r w:rsidRPr="00326F5C">
              <w:rPr>
                <w:rFonts w:asciiTheme="majorHAnsi" w:eastAsia="Times New Roman" w:hAnsiTheme="majorHAnsi" w:cstheme="majorHAnsi"/>
                <w:i/>
                <w:color w:val="000000"/>
                <w:sz w:val="20"/>
                <w:szCs w:val="20"/>
              </w:rPr>
              <w:t>: Independent ILE: Looking for a Hail Mary; the Current Efforts of Medical Volunteers Providing Healthcare to Refugees in El Paso, Texas</w:t>
            </w:r>
          </w:p>
        </w:tc>
        <w:tc>
          <w:tcPr>
            <w:tcW w:w="1650"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MPH-6: Discuss the means by which structural bias, social inequities and racism undermine health and create challenges to achieving health equity at organizational, community and societal levels.</w:t>
            </w:r>
          </w:p>
        </w:tc>
        <w:tc>
          <w:tcPr>
            <w:tcW w:w="2319" w:type="pct"/>
            <w:vMerge w:val="restart"/>
            <w:shd w:val="clear" w:color="auto" w:fill="auto"/>
          </w:tcPr>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color w:val="000000"/>
                <w:sz w:val="20"/>
                <w:szCs w:val="20"/>
              </w:rPr>
              <w:t xml:space="preserve">The student investigated and produced an essay assessing perspectives of healthcare at the U.S. border pertaining to migrant care. Interviews were conducted with community stakeholders and physician volunteers leading the charge on migrant shelters (MPH-H1). The student analyzed the role of government and non-profit organizations in the public health system (MPH-C2). The student collaborated, and communicated both in written and oral form, with The University of Texas at El Paso, Annunciation House, and Texas Tech Health Science Center (MPH-19). The final product challenged the single story of the border, putting into context issues of social inequities, imperialism, racism, and political ideology and their effect on the community (MPH-6). </w:t>
            </w:r>
          </w:p>
        </w:tc>
      </w:tr>
      <w:tr w:rsidR="00547032" w:rsidRPr="00326F5C" w:rsidTr="00847E25">
        <w:trPr>
          <w:trHeight w:val="60"/>
        </w:trPr>
        <w:tc>
          <w:tcPr>
            <w:tcW w:w="1031"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650"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MPH-19: Communicate audience-appropriate public health content, both in writing and through oral presentation.</w:t>
            </w:r>
          </w:p>
        </w:tc>
        <w:tc>
          <w:tcPr>
            <w:tcW w:w="2319"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847E25">
        <w:trPr>
          <w:trHeight w:val="60"/>
        </w:trPr>
        <w:tc>
          <w:tcPr>
            <w:tcW w:w="1031"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650"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MPH-H1: Conduct a needs assessment in partnership with stakeholders to address a public health issue.</w:t>
            </w:r>
          </w:p>
        </w:tc>
        <w:tc>
          <w:tcPr>
            <w:tcW w:w="2319"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847E25">
        <w:trPr>
          <w:trHeight w:val="60"/>
        </w:trPr>
        <w:tc>
          <w:tcPr>
            <w:tcW w:w="1031"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650"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 xml:space="preserve">MPH-C2:  Describe the interconnectedness of governmental and non-profit systems in influencing a public health problem.   </w:t>
            </w:r>
          </w:p>
        </w:tc>
        <w:tc>
          <w:tcPr>
            <w:tcW w:w="2319"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847E25">
        <w:trPr>
          <w:trHeight w:val="60"/>
        </w:trPr>
        <w:tc>
          <w:tcPr>
            <w:tcW w:w="1031"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Customized, Dual Degree, Student 5</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PHM 9998</w:t>
            </w:r>
            <w:r w:rsidRPr="00326F5C">
              <w:rPr>
                <w:rFonts w:asciiTheme="majorHAnsi" w:eastAsia="Times New Roman" w:hAnsiTheme="majorHAnsi" w:cstheme="majorHAnsi"/>
                <w:color w:val="000000"/>
                <w:sz w:val="20"/>
                <w:szCs w:val="20"/>
              </w:rPr>
              <w:t xml:space="preserve"> Culminating Experience/Thesis</w:t>
            </w:r>
          </w:p>
          <w:p w:rsidR="00547032" w:rsidRPr="00326F5C" w:rsidRDefault="00547032" w:rsidP="006C308E">
            <w:pPr>
              <w:rPr>
                <w:rFonts w:asciiTheme="majorHAnsi" w:eastAsia="Times New Roman" w:hAnsiTheme="majorHAnsi" w:cstheme="majorHAnsi"/>
                <w:color w:val="000000"/>
                <w:sz w:val="20"/>
                <w:szCs w:val="20"/>
              </w:rPr>
            </w:pP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u w:val="single"/>
              </w:rPr>
              <w:t>Final Product</w:t>
            </w:r>
            <w:r w:rsidRPr="00326F5C">
              <w:rPr>
                <w:rFonts w:asciiTheme="majorHAnsi" w:eastAsia="Times New Roman" w:hAnsiTheme="majorHAnsi" w:cstheme="majorHAnsi"/>
                <w:i/>
                <w:color w:val="000000"/>
                <w:sz w:val="20"/>
                <w:szCs w:val="20"/>
              </w:rPr>
              <w:t>: Independent ILE: Investigation of Radiation Safety Regulations and Current Issues of Concern Internationally, Nationally, and in El Paso, Texas</w:t>
            </w:r>
          </w:p>
          <w:p w:rsidR="00547032" w:rsidRPr="00326F5C" w:rsidRDefault="00547032" w:rsidP="006C308E">
            <w:pPr>
              <w:rPr>
                <w:rFonts w:asciiTheme="majorHAnsi" w:eastAsia="Times New Roman" w:hAnsiTheme="majorHAnsi" w:cstheme="majorHAnsi"/>
                <w:color w:val="000000"/>
                <w:sz w:val="20"/>
                <w:szCs w:val="20"/>
              </w:rPr>
            </w:pPr>
          </w:p>
        </w:tc>
        <w:tc>
          <w:tcPr>
            <w:tcW w:w="1650"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MPH-5: Compare  the  organization,  structure  and  function  of  health  care,  public  health  and regulatory systems across national and international settings.</w:t>
            </w:r>
          </w:p>
        </w:tc>
        <w:tc>
          <w:tcPr>
            <w:tcW w:w="2319" w:type="pct"/>
            <w:vMerge w:val="restart"/>
            <w:shd w:val="clear" w:color="auto" w:fill="auto"/>
          </w:tcPr>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color w:val="000000"/>
                <w:sz w:val="20"/>
                <w:szCs w:val="20"/>
              </w:rPr>
              <w:t xml:space="preserve">The student investigated the current Emergency Preparedness program function and structure of international, national and local (El Paso, Texas) radiation regulatory agencies to identify recommendations to strengthen emergency preparedness plans and improve organizational success (MPH-5), (MPH-O3). Recommendations for improving radiation safety and radiation emergency preparedness and communication were established based on organizational opportunities and challenges (MPH-M2), (MPH-18). </w:t>
            </w:r>
          </w:p>
        </w:tc>
      </w:tr>
      <w:tr w:rsidR="00547032" w:rsidRPr="00326F5C" w:rsidTr="00847E25">
        <w:trPr>
          <w:trHeight w:val="60"/>
        </w:trPr>
        <w:tc>
          <w:tcPr>
            <w:tcW w:w="1031" w:type="pct"/>
            <w:vMerge/>
            <w:shd w:val="clear" w:color="auto" w:fill="auto"/>
            <w:vAlign w:val="center"/>
          </w:tcPr>
          <w:p w:rsidR="00547032" w:rsidRPr="00326F5C" w:rsidRDefault="00547032" w:rsidP="006C308E">
            <w:pPr>
              <w:rPr>
                <w:rFonts w:asciiTheme="majorHAnsi" w:eastAsia="Times New Roman" w:hAnsiTheme="majorHAnsi" w:cstheme="majorHAnsi"/>
                <w:sz w:val="20"/>
                <w:szCs w:val="20"/>
              </w:rPr>
            </w:pPr>
          </w:p>
        </w:tc>
        <w:tc>
          <w:tcPr>
            <w:tcW w:w="1650" w:type="pct"/>
            <w:shd w:val="clear" w:color="auto" w:fill="auto"/>
            <w:vAlign w:val="center"/>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MPH-18: Select communication strategies for different audiences and sectors.</w:t>
            </w:r>
          </w:p>
        </w:tc>
        <w:tc>
          <w:tcPr>
            <w:tcW w:w="2319"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847E25">
        <w:trPr>
          <w:trHeight w:val="60"/>
        </w:trPr>
        <w:tc>
          <w:tcPr>
            <w:tcW w:w="1031" w:type="pct"/>
            <w:vMerge/>
            <w:shd w:val="clear" w:color="auto" w:fill="auto"/>
            <w:vAlign w:val="center"/>
          </w:tcPr>
          <w:p w:rsidR="00547032" w:rsidRPr="00326F5C" w:rsidRDefault="00547032" w:rsidP="006C308E">
            <w:pPr>
              <w:rPr>
                <w:rFonts w:asciiTheme="majorHAnsi" w:eastAsia="Times New Roman" w:hAnsiTheme="majorHAnsi" w:cstheme="majorHAnsi"/>
                <w:sz w:val="20"/>
                <w:szCs w:val="20"/>
              </w:rPr>
            </w:pPr>
          </w:p>
        </w:tc>
        <w:tc>
          <w:tcPr>
            <w:tcW w:w="1650" w:type="pct"/>
            <w:shd w:val="clear" w:color="auto" w:fill="auto"/>
            <w:vAlign w:val="center"/>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MPH-M2: (SO) Strategic Orientation: Synthesizes organizational opportunities and challenges and defends strategies for organizational success.</w:t>
            </w:r>
          </w:p>
        </w:tc>
        <w:tc>
          <w:tcPr>
            <w:tcW w:w="2319"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847E25">
        <w:trPr>
          <w:trHeight w:val="60"/>
        </w:trPr>
        <w:tc>
          <w:tcPr>
            <w:tcW w:w="1031" w:type="pct"/>
            <w:vMerge/>
            <w:shd w:val="clear" w:color="auto" w:fill="auto"/>
            <w:vAlign w:val="center"/>
          </w:tcPr>
          <w:p w:rsidR="00547032" w:rsidRPr="00326F5C" w:rsidRDefault="00547032" w:rsidP="006C308E">
            <w:pPr>
              <w:rPr>
                <w:rFonts w:asciiTheme="majorHAnsi" w:eastAsia="Times New Roman" w:hAnsiTheme="majorHAnsi" w:cstheme="majorHAnsi"/>
                <w:sz w:val="20"/>
                <w:szCs w:val="20"/>
              </w:rPr>
            </w:pPr>
          </w:p>
        </w:tc>
        <w:tc>
          <w:tcPr>
            <w:tcW w:w="1650" w:type="pct"/>
            <w:shd w:val="clear" w:color="auto" w:fill="auto"/>
            <w:vAlign w:val="center"/>
          </w:tcPr>
          <w:p w:rsidR="00547032" w:rsidRPr="00326F5C" w:rsidRDefault="00547032" w:rsidP="006C308E">
            <w:pPr>
              <w:rPr>
                <w:rFonts w:asciiTheme="majorHAnsi" w:hAnsiTheme="majorHAnsi" w:cstheme="majorHAnsi"/>
                <w:sz w:val="20"/>
                <w:szCs w:val="20"/>
                <w:highlight w:val="yellow"/>
              </w:rPr>
            </w:pPr>
            <w:r w:rsidRPr="00326F5C">
              <w:rPr>
                <w:rFonts w:asciiTheme="majorHAnsi" w:hAnsiTheme="majorHAnsi" w:cstheme="majorHAnsi"/>
                <w:sz w:val="20"/>
                <w:szCs w:val="20"/>
              </w:rPr>
              <w:t>MPH-O3: Describe regulatory programs, including effectiveness in the context of legislative authorities that deal with environmental health issues at the local, state and federal, or international levels.</w:t>
            </w:r>
          </w:p>
        </w:tc>
        <w:tc>
          <w:tcPr>
            <w:tcW w:w="2319"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bl>
    <w:p w:rsidR="00547032" w:rsidRPr="00326F5C" w:rsidRDefault="00547032" w:rsidP="006C308E">
      <w:pPr>
        <w:rPr>
          <w:rFonts w:asciiTheme="majorHAnsi" w:hAnsiTheme="majorHAnsi" w:cstheme="majorHAnsi"/>
          <w:b/>
          <w:sz w:val="20"/>
          <w:szCs w:val="20"/>
        </w:rPr>
      </w:pPr>
    </w:p>
    <w:p w:rsidR="00547032" w:rsidRPr="00326F5C" w:rsidRDefault="00547032" w:rsidP="006E28EE">
      <w:pPr>
        <w:ind w:left="720"/>
        <w:rPr>
          <w:rFonts w:asciiTheme="majorHAnsi" w:hAnsiTheme="majorHAnsi" w:cstheme="majorHAnsi"/>
          <w:sz w:val="20"/>
          <w:szCs w:val="20"/>
        </w:rPr>
      </w:pPr>
      <w:r w:rsidRPr="00326F5C">
        <w:rPr>
          <w:rFonts w:asciiTheme="majorHAnsi" w:hAnsiTheme="majorHAnsi" w:cstheme="majorHAnsi"/>
          <w:sz w:val="20"/>
          <w:szCs w:val="20"/>
        </w:rPr>
        <w:t>Table D.7.5.d. MPH Integrative Learning Experience Examples for MPH in Environmental Health</w:t>
      </w:r>
      <w:r w:rsidR="00DE3F39" w:rsidRPr="00326F5C">
        <w:rPr>
          <w:rFonts w:asciiTheme="majorHAnsi" w:hAnsiTheme="majorHAnsi" w:cstheme="majorHAnsi"/>
          <w:sz w:val="20"/>
          <w:szCs w:val="20"/>
        </w:rPr>
        <w:t xml:space="preserve"> (</w:t>
      </w:r>
      <w:r w:rsidR="00DE3F39" w:rsidRPr="00326F5C">
        <w:rPr>
          <w:rFonts w:asciiTheme="majorHAnsi" w:hAnsiTheme="majorHAnsi" w:cstheme="majorHAnsi"/>
          <w:i/>
          <w:sz w:val="20"/>
          <w:szCs w:val="20"/>
        </w:rPr>
        <w:t>ERF, D7.5. MPH ILE Examples for MPH Concentrations, MPH Environmental Health</w:t>
      </w:r>
      <w:r w:rsidR="00DE3F39" w:rsidRPr="00326F5C">
        <w:rPr>
          <w:rFonts w:asciiTheme="majorHAnsi" w:hAnsiTheme="majorHAnsi" w:cstheme="majorHAnsi"/>
          <w:sz w:val="20"/>
          <w:szCs w:val="20"/>
        </w:rPr>
        <w:t>)</w:t>
      </w:r>
    </w:p>
    <w:tbl>
      <w:tblPr>
        <w:tblW w:w="4621"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686"/>
        <w:gridCol w:w="3652"/>
      </w:tblGrid>
      <w:tr w:rsidR="00547032" w:rsidRPr="00326F5C" w:rsidTr="00F026B3">
        <w:trPr>
          <w:trHeight w:val="315"/>
          <w:tblHeader/>
        </w:trPr>
        <w:tc>
          <w:tcPr>
            <w:tcW w:w="1333" w:type="pct"/>
            <w:shd w:val="clear" w:color="000000" w:fill="D9D9D9"/>
            <w:vAlign w:val="center"/>
            <w:hideMark/>
          </w:tcPr>
          <w:p w:rsidR="00547032" w:rsidRPr="00326F5C" w:rsidRDefault="00547032" w:rsidP="006C308E">
            <w:pPr>
              <w:jc w:val="center"/>
              <w:rPr>
                <w:rFonts w:asciiTheme="majorHAnsi" w:eastAsia="Times New Roman" w:hAnsiTheme="majorHAnsi" w:cstheme="majorHAnsi"/>
                <w:b/>
                <w:bCs/>
                <w:sz w:val="20"/>
                <w:szCs w:val="20"/>
              </w:rPr>
            </w:pPr>
            <w:r w:rsidRPr="00326F5C">
              <w:rPr>
                <w:rFonts w:asciiTheme="majorHAnsi" w:eastAsia="Times New Roman" w:hAnsiTheme="majorHAnsi" w:cstheme="majorHAnsi"/>
                <w:b/>
                <w:bCs/>
                <w:sz w:val="20"/>
                <w:szCs w:val="20"/>
              </w:rPr>
              <w:t>Integrative Learning Experience Option Completed</w:t>
            </w:r>
          </w:p>
        </w:tc>
        <w:tc>
          <w:tcPr>
            <w:tcW w:w="1554" w:type="pct"/>
            <w:shd w:val="clear" w:color="000000" w:fill="D9D9D9"/>
            <w:vAlign w:val="center"/>
            <w:hideMark/>
          </w:tcPr>
          <w:p w:rsidR="00547032" w:rsidRPr="00326F5C" w:rsidRDefault="00456984" w:rsidP="006C308E">
            <w:pPr>
              <w:jc w:val="center"/>
              <w:rPr>
                <w:rFonts w:asciiTheme="majorHAnsi" w:eastAsia="Times New Roman" w:hAnsiTheme="majorHAnsi" w:cstheme="majorHAnsi"/>
                <w:b/>
                <w:bCs/>
                <w:sz w:val="20"/>
                <w:szCs w:val="20"/>
              </w:rPr>
            </w:pPr>
            <w:r w:rsidRPr="00326F5C">
              <w:rPr>
                <w:rFonts w:asciiTheme="majorHAnsi" w:eastAsia="Times New Roman" w:hAnsiTheme="majorHAnsi" w:cstheme="majorHAnsi"/>
                <w:b/>
                <w:bCs/>
                <w:sz w:val="20"/>
                <w:szCs w:val="20"/>
              </w:rPr>
              <w:t xml:space="preserve">Competency as defined in </w:t>
            </w:r>
            <w:hyperlink w:anchor="_D2._MPH_Foundational_1" w:history="1">
              <w:r w:rsidRPr="00326F5C">
                <w:rPr>
                  <w:rStyle w:val="Hyperlink"/>
                  <w:rFonts w:asciiTheme="majorHAnsi" w:eastAsia="Times New Roman" w:hAnsiTheme="majorHAnsi" w:cstheme="majorHAnsi"/>
                  <w:b/>
                  <w:bCs/>
                  <w:sz w:val="20"/>
                  <w:szCs w:val="20"/>
                </w:rPr>
                <w:t>Criterion D2</w:t>
              </w:r>
            </w:hyperlink>
            <w:r w:rsidRPr="00326F5C">
              <w:rPr>
                <w:rFonts w:asciiTheme="majorHAnsi" w:eastAsia="Times New Roman" w:hAnsiTheme="majorHAnsi" w:cstheme="majorHAnsi"/>
                <w:b/>
                <w:bCs/>
                <w:sz w:val="20"/>
                <w:szCs w:val="20"/>
              </w:rPr>
              <w:t xml:space="preserve"> and </w:t>
            </w:r>
            <w:hyperlink w:anchor="_D4._MPH_&amp;" w:history="1">
              <w:r w:rsidRPr="00326F5C">
                <w:rPr>
                  <w:rStyle w:val="Hyperlink"/>
                  <w:rFonts w:asciiTheme="majorHAnsi" w:eastAsia="Times New Roman" w:hAnsiTheme="majorHAnsi" w:cstheme="majorHAnsi"/>
                  <w:b/>
                  <w:bCs/>
                  <w:sz w:val="20"/>
                  <w:szCs w:val="20"/>
                </w:rPr>
                <w:t>Criterion D4</w:t>
              </w:r>
            </w:hyperlink>
          </w:p>
        </w:tc>
        <w:tc>
          <w:tcPr>
            <w:tcW w:w="2113" w:type="pct"/>
            <w:shd w:val="clear" w:color="000000" w:fill="D9D9D9"/>
            <w:vAlign w:val="center"/>
            <w:hideMark/>
          </w:tcPr>
          <w:p w:rsidR="00547032" w:rsidRPr="00326F5C" w:rsidRDefault="00547032" w:rsidP="006C308E">
            <w:pPr>
              <w:jc w:val="center"/>
              <w:rPr>
                <w:rFonts w:asciiTheme="majorHAnsi" w:eastAsia="Times New Roman" w:hAnsiTheme="majorHAnsi" w:cstheme="majorHAnsi"/>
                <w:b/>
                <w:bCs/>
                <w:sz w:val="20"/>
                <w:szCs w:val="20"/>
              </w:rPr>
            </w:pPr>
            <w:r w:rsidRPr="00326F5C">
              <w:rPr>
                <w:rFonts w:asciiTheme="majorHAnsi" w:eastAsia="Times New Roman" w:hAnsiTheme="majorHAnsi" w:cstheme="majorHAnsi"/>
                <w:b/>
                <w:bCs/>
                <w:sz w:val="20"/>
                <w:szCs w:val="20"/>
              </w:rPr>
              <w:t>How competencies are synthesized</w:t>
            </w:r>
          </w:p>
        </w:tc>
      </w:tr>
      <w:tr w:rsidR="00547032" w:rsidRPr="00326F5C" w:rsidTr="00847E25">
        <w:trPr>
          <w:trHeight w:val="737"/>
        </w:trPr>
        <w:tc>
          <w:tcPr>
            <w:tcW w:w="1333"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Environmental Health, Student 1</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PHM 9998</w:t>
            </w:r>
            <w:r w:rsidRPr="00326F5C">
              <w:rPr>
                <w:rFonts w:asciiTheme="majorHAnsi" w:eastAsia="Times New Roman" w:hAnsiTheme="majorHAnsi" w:cstheme="majorHAnsi"/>
                <w:color w:val="000000"/>
                <w:sz w:val="20"/>
                <w:szCs w:val="20"/>
              </w:rPr>
              <w:t xml:space="preserve"> Culminating Experience/Thesis</w:t>
            </w:r>
          </w:p>
          <w:p w:rsidR="00547032" w:rsidRPr="00326F5C" w:rsidRDefault="00547032" w:rsidP="006C308E">
            <w:pPr>
              <w:rPr>
                <w:rFonts w:asciiTheme="majorHAnsi" w:eastAsia="Times New Roman" w:hAnsiTheme="majorHAnsi" w:cstheme="majorHAnsi"/>
                <w:color w:val="000000"/>
                <w:sz w:val="20"/>
                <w:szCs w:val="20"/>
              </w:rPr>
            </w:pP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u w:val="single"/>
              </w:rPr>
              <w:t xml:space="preserve">Final Product: </w:t>
            </w:r>
            <w:r w:rsidRPr="00326F5C">
              <w:rPr>
                <w:rFonts w:asciiTheme="majorHAnsi" w:eastAsia="Times New Roman" w:hAnsiTheme="majorHAnsi" w:cstheme="majorHAnsi"/>
                <w:i/>
                <w:color w:val="000000"/>
                <w:sz w:val="20"/>
                <w:szCs w:val="20"/>
              </w:rPr>
              <w:t>Thesis: A Systematic Review of the Association Between Built Environment and Depression Among Elderly Community Residents</w:t>
            </w:r>
          </w:p>
        </w:tc>
        <w:tc>
          <w:tcPr>
            <w:tcW w:w="155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MPH-7: Assess population needs, assets and capacities that affect communities’ health.</w:t>
            </w:r>
          </w:p>
        </w:tc>
        <w:tc>
          <w:tcPr>
            <w:tcW w:w="2113" w:type="pct"/>
            <w:vMerge w:val="restart"/>
            <w:shd w:val="clear" w:color="auto" w:fill="auto"/>
          </w:tcPr>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sz w:val="20"/>
                <w:szCs w:val="20"/>
              </w:rPr>
              <w:t>The student conducted a systematic literature review that critically evaluated and explored the correlation between built environment and the assessment of mental health among senior populations (MPH-7), (MPH-O2). In this review, the student discussed the importance of focusing on the elderly population and the social inequities experienced by this demographic related to mental health (MPH-6). It explored the accessibility of built environments and availability of positive social environments like green spaces and access to public transportation. Challenges and risks associated with built environments and depression in older adults was found and communicated along with recommendations for future programs and interventions to yield better mental health outcomes for seniors (MPH-O5).</w:t>
            </w:r>
          </w:p>
        </w:tc>
      </w:tr>
      <w:tr w:rsidR="00547032" w:rsidRPr="00326F5C" w:rsidTr="00847E25">
        <w:trPr>
          <w:trHeight w:val="620"/>
        </w:trPr>
        <w:tc>
          <w:tcPr>
            <w:tcW w:w="133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5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MPH-6: Discuss the means by which structural bias, social inequities and racism undermine health and create challenges to achieving health equity at organizational, community and societal levels.</w:t>
            </w:r>
          </w:p>
        </w:tc>
        <w:tc>
          <w:tcPr>
            <w:tcW w:w="21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847E25">
        <w:trPr>
          <w:trHeight w:val="1340"/>
        </w:trPr>
        <w:tc>
          <w:tcPr>
            <w:tcW w:w="133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5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MPH-O2: Critically evaluate information and data in the peer-reviewed literature related to environmental health sciences, considering the quality and suitability of literature and data.</w:t>
            </w:r>
          </w:p>
        </w:tc>
        <w:tc>
          <w:tcPr>
            <w:tcW w:w="21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847E25">
        <w:trPr>
          <w:trHeight w:val="755"/>
        </w:trPr>
        <w:tc>
          <w:tcPr>
            <w:tcW w:w="133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5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MPH-O5: Demonstrate effective risk communication that incorporates the principles of risk perception.</w:t>
            </w:r>
          </w:p>
        </w:tc>
        <w:tc>
          <w:tcPr>
            <w:tcW w:w="21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847E25">
        <w:trPr>
          <w:trHeight w:val="755"/>
        </w:trPr>
        <w:tc>
          <w:tcPr>
            <w:tcW w:w="1333"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Environmental Health, Student 2</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PHWM 2496</w:t>
            </w:r>
            <w:r w:rsidRPr="00326F5C">
              <w:rPr>
                <w:rFonts w:asciiTheme="majorHAnsi" w:eastAsia="Times New Roman" w:hAnsiTheme="majorHAnsi" w:cstheme="majorHAnsi"/>
                <w:color w:val="000000"/>
                <w:sz w:val="20"/>
                <w:szCs w:val="20"/>
              </w:rPr>
              <w:t xml:space="preserve"> Capstone for Environmental Health Majors</w:t>
            </w:r>
          </w:p>
          <w:p w:rsidR="00547032" w:rsidRPr="00326F5C" w:rsidRDefault="00547032" w:rsidP="006C308E">
            <w:pPr>
              <w:rPr>
                <w:rFonts w:asciiTheme="majorHAnsi" w:eastAsia="Times New Roman" w:hAnsiTheme="majorHAnsi" w:cstheme="majorHAnsi"/>
                <w:i/>
                <w:color w:val="000000"/>
                <w:sz w:val="20"/>
                <w:szCs w:val="20"/>
              </w:rPr>
            </w:pP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u w:val="single"/>
              </w:rPr>
              <w:t>Final Product</w:t>
            </w:r>
            <w:r w:rsidRPr="00326F5C">
              <w:rPr>
                <w:rFonts w:asciiTheme="majorHAnsi" w:eastAsia="Times New Roman" w:hAnsiTheme="majorHAnsi" w:cstheme="majorHAnsi"/>
                <w:i/>
                <w:color w:val="000000"/>
                <w:sz w:val="20"/>
                <w:szCs w:val="20"/>
              </w:rPr>
              <w:t>:</w:t>
            </w: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rPr>
              <w:t>Chronic Interstitial Nephritis in Agricultural Communities (CINAC): Causes and Implications of a New Type of Chronic Kidney Disease</w:t>
            </w:r>
          </w:p>
        </w:tc>
        <w:tc>
          <w:tcPr>
            <w:tcW w:w="155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MPH-1: Apply epidemiological methods to the breadth of settings and situations in public health practice.</w:t>
            </w:r>
          </w:p>
        </w:tc>
        <w:tc>
          <w:tcPr>
            <w:tcW w:w="2113" w:type="pct"/>
            <w:vMerge w:val="restart"/>
            <w:shd w:val="clear" w:color="auto" w:fill="auto"/>
          </w:tcPr>
          <w:p w:rsidR="00547032" w:rsidRPr="00326F5C" w:rsidRDefault="00547032" w:rsidP="006C308E">
            <w:pPr>
              <w:rPr>
                <w:rFonts w:asciiTheme="majorHAnsi" w:eastAsia="Times New Roman" w:hAnsiTheme="majorHAnsi" w:cstheme="majorHAnsi"/>
                <w:sz w:val="20"/>
                <w:szCs w:val="20"/>
              </w:rPr>
            </w:pPr>
            <w:r w:rsidRPr="00326F5C">
              <w:rPr>
                <w:rFonts w:asciiTheme="majorHAnsi" w:hAnsiTheme="majorHAnsi" w:cstheme="majorHAnsi"/>
                <w:color w:val="000000" w:themeColor="text1"/>
                <w:sz w:val="20"/>
                <w:szCs w:val="20"/>
              </w:rPr>
              <w:t>The student applied epidemiological methods to identify an emerging chronic kidney disease affecting agricultural communities around the world (MPH-1). Based on data gathered from peer-reviewed literature, the student conducted a risk characterization outlining how poor working conditions and exposure to hazardous agrochemical mixtures affect at-risk populations (MPH-O1), (MPH-O2). The results of the student’s work were presented in a written report and in a PowerPoint presentation (MPH-19).</w:t>
            </w:r>
          </w:p>
        </w:tc>
      </w:tr>
      <w:tr w:rsidR="00547032" w:rsidRPr="00326F5C" w:rsidTr="00847E25">
        <w:trPr>
          <w:trHeight w:val="755"/>
        </w:trPr>
        <w:tc>
          <w:tcPr>
            <w:tcW w:w="133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5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MPH-19: Communicate audience-appropriate public health content, both in writing and through oral presentation.</w:t>
            </w:r>
          </w:p>
        </w:tc>
        <w:tc>
          <w:tcPr>
            <w:tcW w:w="21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847E25">
        <w:trPr>
          <w:trHeight w:val="755"/>
        </w:trPr>
        <w:tc>
          <w:tcPr>
            <w:tcW w:w="133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5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MPH-O1: Conduct a risk characterization of an environmental hazard.</w:t>
            </w:r>
          </w:p>
        </w:tc>
        <w:tc>
          <w:tcPr>
            <w:tcW w:w="21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847E25">
        <w:trPr>
          <w:trHeight w:val="755"/>
        </w:trPr>
        <w:tc>
          <w:tcPr>
            <w:tcW w:w="133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5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MPH-O2: Critically evaluate information and data in the peer-reviewed literature related to environmental health sciences, considering the quality and suitability of literature and data.</w:t>
            </w:r>
          </w:p>
        </w:tc>
        <w:tc>
          <w:tcPr>
            <w:tcW w:w="21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847E25">
        <w:trPr>
          <w:trHeight w:val="755"/>
        </w:trPr>
        <w:tc>
          <w:tcPr>
            <w:tcW w:w="1333"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Environmental Health, Student 3</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PHWM 2496</w:t>
            </w:r>
            <w:r w:rsidRPr="00326F5C">
              <w:rPr>
                <w:rFonts w:asciiTheme="majorHAnsi" w:eastAsia="Times New Roman" w:hAnsiTheme="majorHAnsi" w:cstheme="majorHAnsi"/>
                <w:color w:val="000000"/>
                <w:sz w:val="20"/>
                <w:szCs w:val="20"/>
              </w:rPr>
              <w:t xml:space="preserve"> Capstone for Environmental Health Majors</w:t>
            </w:r>
          </w:p>
          <w:p w:rsidR="00547032" w:rsidRPr="00326F5C" w:rsidRDefault="00547032" w:rsidP="006C308E">
            <w:pPr>
              <w:rPr>
                <w:rFonts w:asciiTheme="majorHAnsi" w:eastAsia="Times New Roman" w:hAnsiTheme="majorHAnsi" w:cstheme="majorHAnsi"/>
                <w:i/>
                <w:color w:val="000000"/>
                <w:sz w:val="20"/>
                <w:szCs w:val="20"/>
              </w:rPr>
            </w:pP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u w:val="single"/>
              </w:rPr>
              <w:t>Final Product</w:t>
            </w:r>
            <w:r w:rsidRPr="00326F5C">
              <w:rPr>
                <w:rFonts w:asciiTheme="majorHAnsi" w:eastAsia="Times New Roman" w:hAnsiTheme="majorHAnsi" w:cstheme="majorHAnsi"/>
                <w:i/>
                <w:color w:val="000000"/>
                <w:sz w:val="20"/>
                <w:szCs w:val="20"/>
              </w:rPr>
              <w:t>:</w:t>
            </w: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i/>
                <w:color w:val="000000"/>
                <w:sz w:val="20"/>
                <w:szCs w:val="20"/>
              </w:rPr>
              <w:t>Unsafe Safety Practices and Heavy Machinery Injuries</w:t>
            </w:r>
          </w:p>
          <w:p w:rsidR="00547032" w:rsidRPr="00326F5C" w:rsidRDefault="00547032" w:rsidP="006C308E">
            <w:pPr>
              <w:rPr>
                <w:rFonts w:asciiTheme="majorHAnsi" w:eastAsia="Times New Roman" w:hAnsiTheme="majorHAnsi" w:cstheme="majorHAnsi"/>
                <w:sz w:val="20"/>
                <w:szCs w:val="20"/>
              </w:rPr>
            </w:pPr>
          </w:p>
        </w:tc>
        <w:tc>
          <w:tcPr>
            <w:tcW w:w="155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MPH-1: Apply epidemiological methods to the breadth of settings and situations in public health practice.</w:t>
            </w:r>
          </w:p>
        </w:tc>
        <w:tc>
          <w:tcPr>
            <w:tcW w:w="2113" w:type="pct"/>
            <w:vMerge w:val="restart"/>
            <w:shd w:val="clear" w:color="auto" w:fill="auto"/>
          </w:tcPr>
          <w:p w:rsidR="00547032" w:rsidRPr="00326F5C" w:rsidRDefault="00547032" w:rsidP="006C308E">
            <w:pPr>
              <w:widowControl w:val="0"/>
              <w:rPr>
                <w:rFonts w:asciiTheme="majorHAnsi" w:hAnsiTheme="majorHAnsi" w:cstheme="majorHAnsi"/>
                <w:color w:val="000000" w:themeColor="text1"/>
                <w:sz w:val="20"/>
                <w:szCs w:val="20"/>
              </w:rPr>
            </w:pPr>
            <w:r w:rsidRPr="00326F5C">
              <w:rPr>
                <w:rFonts w:asciiTheme="majorHAnsi" w:hAnsiTheme="majorHAnsi" w:cstheme="majorHAnsi"/>
                <w:color w:val="000000" w:themeColor="text1"/>
                <w:sz w:val="20"/>
                <w:szCs w:val="20"/>
              </w:rPr>
              <w:t>The student identified and examined the effects of fatal and non-fatal injuries caused by heavy machinery in agricultural practices by applying epidemiological methods (MPH-1). The student evaluated peer-reviewed literature to conduct a risk characterization of the hazards associated with heavy machinery injuries and recommended intervention programs (MPH-O1), (MPH-O2). The results of the student’s work were presented in a written report and in a PowerPoint presentation (MPH-19).</w:t>
            </w:r>
          </w:p>
          <w:p w:rsidR="00547032" w:rsidRPr="00326F5C" w:rsidRDefault="00547032" w:rsidP="006C308E">
            <w:pPr>
              <w:rPr>
                <w:rFonts w:asciiTheme="majorHAnsi" w:eastAsia="Times New Roman" w:hAnsiTheme="majorHAnsi" w:cstheme="majorHAnsi"/>
                <w:sz w:val="20"/>
                <w:szCs w:val="20"/>
              </w:rPr>
            </w:pPr>
          </w:p>
        </w:tc>
      </w:tr>
      <w:tr w:rsidR="00547032" w:rsidRPr="00326F5C" w:rsidTr="00847E25">
        <w:trPr>
          <w:trHeight w:val="755"/>
        </w:trPr>
        <w:tc>
          <w:tcPr>
            <w:tcW w:w="133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5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MPH-19: Communicate audience-appropriate public health content, both in writing and through oral presentation.</w:t>
            </w:r>
          </w:p>
        </w:tc>
        <w:tc>
          <w:tcPr>
            <w:tcW w:w="21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847E25">
        <w:trPr>
          <w:trHeight w:val="755"/>
        </w:trPr>
        <w:tc>
          <w:tcPr>
            <w:tcW w:w="133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5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MPH-O1: Conduct a risk characterization of an environmental hazard.</w:t>
            </w:r>
          </w:p>
        </w:tc>
        <w:tc>
          <w:tcPr>
            <w:tcW w:w="21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847E25">
        <w:trPr>
          <w:trHeight w:val="755"/>
        </w:trPr>
        <w:tc>
          <w:tcPr>
            <w:tcW w:w="133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5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MPH-O2: Critically evaluate information and data in the peer-reviewed literature related to environmental health sciences, considering the quality and suitability of literature and data.</w:t>
            </w:r>
          </w:p>
        </w:tc>
        <w:tc>
          <w:tcPr>
            <w:tcW w:w="21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847E25">
        <w:trPr>
          <w:trHeight w:val="755"/>
        </w:trPr>
        <w:tc>
          <w:tcPr>
            <w:tcW w:w="1333"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Environmental Health, Student 4</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PHWM 2496</w:t>
            </w:r>
            <w:r w:rsidRPr="00326F5C">
              <w:rPr>
                <w:rFonts w:asciiTheme="majorHAnsi" w:eastAsia="Times New Roman" w:hAnsiTheme="majorHAnsi" w:cstheme="majorHAnsi"/>
                <w:color w:val="000000"/>
                <w:sz w:val="20"/>
                <w:szCs w:val="20"/>
              </w:rPr>
              <w:t xml:space="preserve"> Capstone for Environmental Health Majors</w:t>
            </w:r>
          </w:p>
          <w:p w:rsidR="00547032" w:rsidRPr="00326F5C" w:rsidRDefault="00547032" w:rsidP="006C308E">
            <w:pPr>
              <w:rPr>
                <w:rFonts w:asciiTheme="majorHAnsi" w:eastAsia="Times New Roman" w:hAnsiTheme="majorHAnsi" w:cstheme="majorHAnsi"/>
                <w:i/>
                <w:color w:val="000000"/>
                <w:sz w:val="20"/>
                <w:szCs w:val="20"/>
              </w:rPr>
            </w:pP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u w:val="single"/>
              </w:rPr>
              <w:t>Final Product</w:t>
            </w:r>
            <w:r w:rsidRPr="00326F5C">
              <w:rPr>
                <w:rFonts w:asciiTheme="majorHAnsi" w:eastAsia="Times New Roman" w:hAnsiTheme="majorHAnsi" w:cstheme="majorHAnsi"/>
                <w:i/>
                <w:color w:val="000000"/>
                <w:sz w:val="20"/>
                <w:szCs w:val="20"/>
              </w:rPr>
              <w:t>:</w:t>
            </w: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rPr>
              <w:t>Causal Link Between Lead Exposure and Severity of ADHD in Children in the U.S.</w:t>
            </w:r>
          </w:p>
        </w:tc>
        <w:tc>
          <w:tcPr>
            <w:tcW w:w="155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MPH-1: Apply epidemiological methods to the breadth of settings and situations in public health practice.</w:t>
            </w:r>
          </w:p>
        </w:tc>
        <w:tc>
          <w:tcPr>
            <w:tcW w:w="2113" w:type="pct"/>
            <w:vMerge w:val="restart"/>
            <w:shd w:val="clear" w:color="auto" w:fill="auto"/>
          </w:tcPr>
          <w:p w:rsidR="00547032" w:rsidRPr="00326F5C" w:rsidRDefault="00547032" w:rsidP="006C308E">
            <w:pPr>
              <w:widowControl w:val="0"/>
              <w:rPr>
                <w:rFonts w:asciiTheme="majorHAnsi" w:hAnsiTheme="majorHAnsi" w:cstheme="majorHAnsi"/>
                <w:color w:val="000000" w:themeColor="text1"/>
                <w:sz w:val="20"/>
                <w:szCs w:val="20"/>
              </w:rPr>
            </w:pPr>
            <w:r w:rsidRPr="00326F5C">
              <w:rPr>
                <w:rFonts w:asciiTheme="majorHAnsi" w:hAnsiTheme="majorHAnsi" w:cstheme="majorHAnsi"/>
                <w:color w:val="000000" w:themeColor="text1"/>
                <w:sz w:val="20"/>
                <w:szCs w:val="20"/>
              </w:rPr>
              <w:t>The student evaluated the health effects of lead found in drinking water on children by reviewing relevant, peer-reviewed research (MPH-O2). The student, as part of risk characterization, concluded aging lead pipes contributed heavily to lead exposure in children (MPH-O1). Applying epidemiological methods, the student identified the severity of the problem and consequences of lead exposure in children (MPH-1). The results of the study were presented in a written report and in a PowerPoint presentation (MPH-19).</w:t>
            </w:r>
          </w:p>
          <w:p w:rsidR="00547032" w:rsidRPr="00326F5C" w:rsidRDefault="00547032" w:rsidP="006C308E">
            <w:pPr>
              <w:rPr>
                <w:rFonts w:asciiTheme="majorHAnsi" w:eastAsia="Times New Roman" w:hAnsiTheme="majorHAnsi" w:cstheme="majorHAnsi"/>
                <w:sz w:val="20"/>
                <w:szCs w:val="20"/>
              </w:rPr>
            </w:pPr>
          </w:p>
        </w:tc>
      </w:tr>
      <w:tr w:rsidR="00547032" w:rsidRPr="00326F5C" w:rsidTr="00847E25">
        <w:trPr>
          <w:trHeight w:val="755"/>
        </w:trPr>
        <w:tc>
          <w:tcPr>
            <w:tcW w:w="133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5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MPH-19: Communicate audience-appropriate public health content, both in writing and through oral presentation.</w:t>
            </w:r>
          </w:p>
        </w:tc>
        <w:tc>
          <w:tcPr>
            <w:tcW w:w="21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847E25">
        <w:trPr>
          <w:trHeight w:val="755"/>
        </w:trPr>
        <w:tc>
          <w:tcPr>
            <w:tcW w:w="133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5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MPH-O1: Conduct a risk characterization of an environmental hazard.</w:t>
            </w:r>
          </w:p>
        </w:tc>
        <w:tc>
          <w:tcPr>
            <w:tcW w:w="21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847E25">
        <w:trPr>
          <w:trHeight w:val="755"/>
        </w:trPr>
        <w:tc>
          <w:tcPr>
            <w:tcW w:w="133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5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MPH-O2: Critically evaluate information and data in the peer-reviewed literature related to environmental health sciences, considering the quality and suitability of literature and data.</w:t>
            </w:r>
          </w:p>
        </w:tc>
        <w:tc>
          <w:tcPr>
            <w:tcW w:w="21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847E25">
        <w:trPr>
          <w:trHeight w:val="755"/>
        </w:trPr>
        <w:tc>
          <w:tcPr>
            <w:tcW w:w="1333"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Environmental Health, Student 5</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PHWM 2496</w:t>
            </w:r>
            <w:r w:rsidRPr="00326F5C">
              <w:rPr>
                <w:rFonts w:asciiTheme="majorHAnsi" w:eastAsia="Times New Roman" w:hAnsiTheme="majorHAnsi" w:cstheme="majorHAnsi"/>
                <w:color w:val="000000"/>
                <w:sz w:val="20"/>
                <w:szCs w:val="20"/>
              </w:rPr>
              <w:t xml:space="preserve"> Capstone for Environmental Health Majors</w:t>
            </w:r>
          </w:p>
          <w:p w:rsidR="00547032" w:rsidRPr="00326F5C" w:rsidRDefault="00547032" w:rsidP="006C308E">
            <w:pPr>
              <w:rPr>
                <w:rFonts w:asciiTheme="majorHAnsi" w:eastAsia="Times New Roman" w:hAnsiTheme="majorHAnsi" w:cstheme="majorHAnsi"/>
                <w:i/>
                <w:color w:val="000000"/>
                <w:sz w:val="20"/>
                <w:szCs w:val="20"/>
              </w:rPr>
            </w:pP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u w:val="single"/>
              </w:rPr>
              <w:t>Final Product</w:t>
            </w:r>
            <w:r w:rsidRPr="00326F5C">
              <w:rPr>
                <w:rFonts w:asciiTheme="majorHAnsi" w:eastAsia="Times New Roman" w:hAnsiTheme="majorHAnsi" w:cstheme="majorHAnsi"/>
                <w:i/>
                <w:color w:val="000000"/>
                <w:sz w:val="20"/>
                <w:szCs w:val="20"/>
              </w:rPr>
              <w:t>:</w:t>
            </w:r>
          </w:p>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i/>
                <w:color w:val="000000"/>
                <w:sz w:val="20"/>
                <w:szCs w:val="20"/>
              </w:rPr>
              <w:t>Radio-Frequency (RF) Radiation and Cell Stress: Executive Summary and Annotated Bibliography</w:t>
            </w:r>
          </w:p>
        </w:tc>
        <w:tc>
          <w:tcPr>
            <w:tcW w:w="155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MPH-1: Apply epidemiological methods to the breadth of settings and situations in public health practice.</w:t>
            </w:r>
          </w:p>
        </w:tc>
        <w:tc>
          <w:tcPr>
            <w:tcW w:w="2113" w:type="pct"/>
            <w:vMerge w:val="restart"/>
            <w:shd w:val="clear" w:color="auto" w:fill="auto"/>
          </w:tcPr>
          <w:p w:rsidR="00547032" w:rsidRPr="00326F5C" w:rsidRDefault="00547032" w:rsidP="006C308E">
            <w:pPr>
              <w:rPr>
                <w:rFonts w:asciiTheme="majorHAnsi" w:eastAsia="Times New Roman" w:hAnsiTheme="majorHAnsi" w:cstheme="majorHAnsi"/>
                <w:sz w:val="20"/>
                <w:szCs w:val="20"/>
              </w:rPr>
            </w:pPr>
            <w:r w:rsidRPr="00326F5C">
              <w:rPr>
                <w:rFonts w:asciiTheme="majorHAnsi" w:hAnsiTheme="majorHAnsi" w:cstheme="majorHAnsi"/>
                <w:color w:val="000000" w:themeColor="text1"/>
                <w:sz w:val="20"/>
                <w:szCs w:val="20"/>
              </w:rPr>
              <w:t>The student evaluated the effects of Radio-Frequency (RF) radiation on humans and how the growing demand for more bandwidth has an epidemiological effect on people who absorb the radiation (MPH-1). Using peer-reviewed data, the student explored how RF radiation and associated heat stress effects two populations (MPH-O2). In addition, a risk characterization was conducted measuring exposure dangers to the general public and those working in the telecom industry (MPH-O1). The results of the study were presented in a written report and in a PowerPoint presentation (MPH-19).</w:t>
            </w:r>
          </w:p>
        </w:tc>
      </w:tr>
      <w:tr w:rsidR="00547032" w:rsidRPr="00326F5C" w:rsidTr="00847E25">
        <w:trPr>
          <w:trHeight w:val="755"/>
        </w:trPr>
        <w:tc>
          <w:tcPr>
            <w:tcW w:w="1333" w:type="pct"/>
            <w:vMerge/>
            <w:shd w:val="clear" w:color="auto" w:fill="auto"/>
            <w:vAlign w:val="center"/>
          </w:tcPr>
          <w:p w:rsidR="00547032" w:rsidRPr="00326F5C" w:rsidRDefault="00547032" w:rsidP="006C308E">
            <w:pPr>
              <w:rPr>
                <w:rFonts w:asciiTheme="majorHAnsi" w:eastAsia="Times New Roman" w:hAnsiTheme="majorHAnsi" w:cstheme="majorHAnsi"/>
                <w:sz w:val="20"/>
                <w:szCs w:val="20"/>
              </w:rPr>
            </w:pPr>
          </w:p>
        </w:tc>
        <w:tc>
          <w:tcPr>
            <w:tcW w:w="1554" w:type="pct"/>
            <w:shd w:val="clear" w:color="auto" w:fill="auto"/>
            <w:vAlign w:val="center"/>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MPH-19: Communicate audience-appropriate public health content, both in writing and through oral presentation.</w:t>
            </w:r>
          </w:p>
        </w:tc>
        <w:tc>
          <w:tcPr>
            <w:tcW w:w="21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847E25">
        <w:trPr>
          <w:trHeight w:val="755"/>
        </w:trPr>
        <w:tc>
          <w:tcPr>
            <w:tcW w:w="1333" w:type="pct"/>
            <w:vMerge/>
            <w:shd w:val="clear" w:color="auto" w:fill="auto"/>
            <w:vAlign w:val="center"/>
          </w:tcPr>
          <w:p w:rsidR="00547032" w:rsidRPr="00326F5C" w:rsidRDefault="00547032" w:rsidP="006C308E">
            <w:pPr>
              <w:rPr>
                <w:rFonts w:asciiTheme="majorHAnsi" w:eastAsia="Times New Roman" w:hAnsiTheme="majorHAnsi" w:cstheme="majorHAnsi"/>
                <w:sz w:val="20"/>
                <w:szCs w:val="20"/>
              </w:rPr>
            </w:pPr>
          </w:p>
        </w:tc>
        <w:tc>
          <w:tcPr>
            <w:tcW w:w="1554" w:type="pct"/>
            <w:shd w:val="clear" w:color="auto" w:fill="auto"/>
            <w:vAlign w:val="center"/>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MPH-O1: Conduct a risk characterization of an environmental hazard.</w:t>
            </w:r>
          </w:p>
        </w:tc>
        <w:tc>
          <w:tcPr>
            <w:tcW w:w="21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847E25">
        <w:trPr>
          <w:trHeight w:val="755"/>
        </w:trPr>
        <w:tc>
          <w:tcPr>
            <w:tcW w:w="1333" w:type="pct"/>
            <w:vMerge/>
            <w:shd w:val="clear" w:color="auto" w:fill="auto"/>
            <w:vAlign w:val="center"/>
          </w:tcPr>
          <w:p w:rsidR="00547032" w:rsidRPr="00326F5C" w:rsidRDefault="00547032" w:rsidP="006C308E">
            <w:pPr>
              <w:rPr>
                <w:rFonts w:asciiTheme="majorHAnsi" w:eastAsia="Times New Roman" w:hAnsiTheme="majorHAnsi" w:cstheme="majorHAnsi"/>
                <w:sz w:val="20"/>
                <w:szCs w:val="20"/>
              </w:rPr>
            </w:pPr>
          </w:p>
        </w:tc>
        <w:tc>
          <w:tcPr>
            <w:tcW w:w="1554" w:type="pct"/>
            <w:shd w:val="clear" w:color="auto" w:fill="auto"/>
            <w:vAlign w:val="center"/>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MPH-O2: Critically evaluate information and data in the peer-reviewed literature related to environmental health sciences, considering the quality and suitability of literature and data.</w:t>
            </w:r>
          </w:p>
        </w:tc>
        <w:tc>
          <w:tcPr>
            <w:tcW w:w="21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07301B">
        <w:trPr>
          <w:trHeight w:val="60"/>
        </w:trPr>
        <w:tc>
          <w:tcPr>
            <w:tcW w:w="1333" w:type="pct"/>
            <w:shd w:val="clear" w:color="auto" w:fill="auto"/>
          </w:tcPr>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b/>
                <w:sz w:val="20"/>
                <w:szCs w:val="20"/>
              </w:rPr>
              <w:t>PHM 9998</w:t>
            </w:r>
            <w:r w:rsidRPr="00326F5C">
              <w:rPr>
                <w:rFonts w:asciiTheme="majorHAnsi" w:eastAsia="Times New Roman" w:hAnsiTheme="majorHAnsi" w:cstheme="majorHAnsi"/>
                <w:sz w:val="20"/>
                <w:szCs w:val="20"/>
              </w:rPr>
              <w:t xml:space="preserve"> Culminating Experience/Thesis</w:t>
            </w:r>
          </w:p>
          <w:p w:rsidR="00547032" w:rsidRPr="00326F5C" w:rsidRDefault="00547032" w:rsidP="006C308E">
            <w:pPr>
              <w:rPr>
                <w:rFonts w:asciiTheme="majorHAnsi" w:eastAsia="Times New Roman" w:hAnsiTheme="majorHAnsi" w:cstheme="majorHAnsi"/>
                <w:sz w:val="20"/>
                <w:szCs w:val="20"/>
              </w:rPr>
            </w:pPr>
          </w:p>
          <w:p w:rsidR="00547032" w:rsidRPr="00326F5C" w:rsidRDefault="00547032" w:rsidP="006C308E">
            <w:pPr>
              <w:rPr>
                <w:rFonts w:asciiTheme="majorHAnsi" w:eastAsia="Times New Roman" w:hAnsiTheme="majorHAnsi" w:cstheme="majorHAnsi"/>
                <w:i/>
                <w:sz w:val="20"/>
                <w:szCs w:val="20"/>
              </w:rPr>
            </w:pPr>
            <w:r w:rsidRPr="00326F5C">
              <w:rPr>
                <w:rFonts w:asciiTheme="majorHAnsi" w:eastAsia="Times New Roman" w:hAnsiTheme="majorHAnsi" w:cstheme="majorHAnsi"/>
                <w:i/>
                <w:sz w:val="20"/>
                <w:szCs w:val="20"/>
                <w:u w:val="single"/>
              </w:rPr>
              <w:t>Final Product</w:t>
            </w:r>
            <w:r w:rsidRPr="00326F5C">
              <w:rPr>
                <w:rFonts w:asciiTheme="majorHAnsi" w:eastAsia="Times New Roman" w:hAnsiTheme="majorHAnsi" w:cstheme="majorHAnsi"/>
                <w:i/>
                <w:sz w:val="20"/>
                <w:szCs w:val="20"/>
              </w:rPr>
              <w:t>: Independent ILE</w:t>
            </w:r>
          </w:p>
        </w:tc>
        <w:tc>
          <w:tcPr>
            <w:tcW w:w="3667" w:type="pct"/>
            <w:gridSpan w:val="2"/>
            <w:shd w:val="clear" w:color="auto" w:fill="auto"/>
          </w:tcPr>
          <w:p w:rsidR="00547032" w:rsidRPr="00326F5C" w:rsidRDefault="00547032" w:rsidP="006C308E">
            <w:pPr>
              <w:rPr>
                <w:rFonts w:asciiTheme="majorHAnsi" w:eastAsia="Times New Roman" w:hAnsiTheme="majorHAnsi" w:cstheme="majorHAnsi"/>
                <w:i/>
                <w:sz w:val="20"/>
                <w:szCs w:val="20"/>
              </w:rPr>
            </w:pPr>
            <w:r w:rsidRPr="00326F5C">
              <w:rPr>
                <w:rFonts w:asciiTheme="majorHAnsi" w:eastAsia="Times New Roman" w:hAnsiTheme="majorHAnsi" w:cstheme="majorHAnsi"/>
                <w:i/>
                <w:sz w:val="20"/>
                <w:szCs w:val="20"/>
              </w:rPr>
              <w:t>No examples available. No MPH Environmental Health students have elected to complete an independent ILE.</w:t>
            </w:r>
          </w:p>
        </w:tc>
      </w:tr>
    </w:tbl>
    <w:p w:rsidR="00547032" w:rsidRPr="00326F5C" w:rsidRDefault="00547032" w:rsidP="006C308E">
      <w:pPr>
        <w:rPr>
          <w:rFonts w:asciiTheme="majorHAnsi" w:hAnsiTheme="majorHAnsi" w:cstheme="majorHAnsi"/>
          <w:sz w:val="20"/>
          <w:szCs w:val="20"/>
        </w:rPr>
      </w:pPr>
    </w:p>
    <w:p w:rsidR="00547032" w:rsidRPr="00326F5C" w:rsidRDefault="00547032" w:rsidP="006E28EE">
      <w:pPr>
        <w:ind w:left="720"/>
        <w:rPr>
          <w:rFonts w:asciiTheme="majorHAnsi" w:hAnsiTheme="majorHAnsi" w:cstheme="majorHAnsi"/>
          <w:sz w:val="20"/>
          <w:szCs w:val="20"/>
        </w:rPr>
      </w:pPr>
      <w:r w:rsidRPr="00326F5C">
        <w:rPr>
          <w:rFonts w:asciiTheme="majorHAnsi" w:hAnsiTheme="majorHAnsi" w:cstheme="majorHAnsi"/>
          <w:sz w:val="20"/>
          <w:szCs w:val="20"/>
        </w:rPr>
        <w:t>Table D.7.5.e. MPH Integrative Learning Experience Examples for MPH in Epidemiology</w:t>
      </w:r>
      <w:r w:rsidR="00A26ABE" w:rsidRPr="00326F5C">
        <w:rPr>
          <w:rFonts w:asciiTheme="majorHAnsi" w:hAnsiTheme="majorHAnsi" w:cstheme="majorHAnsi"/>
          <w:sz w:val="20"/>
          <w:szCs w:val="20"/>
        </w:rPr>
        <w:t xml:space="preserve"> (</w:t>
      </w:r>
      <w:r w:rsidR="00A26ABE" w:rsidRPr="00326F5C">
        <w:rPr>
          <w:rFonts w:asciiTheme="majorHAnsi" w:hAnsiTheme="majorHAnsi" w:cstheme="majorHAnsi"/>
          <w:i/>
          <w:sz w:val="20"/>
          <w:szCs w:val="20"/>
        </w:rPr>
        <w:t>ERF, D7.5. MPH ILE Examples for MPH Concentrations, MPH Epidemiology</w:t>
      </w:r>
      <w:r w:rsidR="00A26ABE" w:rsidRPr="00326F5C">
        <w:rPr>
          <w:rFonts w:asciiTheme="majorHAnsi" w:hAnsiTheme="majorHAnsi" w:cstheme="majorHAnsi"/>
          <w:sz w:val="20"/>
          <w:szCs w:val="20"/>
        </w:rPr>
        <w:t>)</w:t>
      </w: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2701"/>
        <w:gridCol w:w="3689"/>
      </w:tblGrid>
      <w:tr w:rsidR="00547032" w:rsidRPr="00326F5C" w:rsidTr="00F026B3">
        <w:trPr>
          <w:trHeight w:val="315"/>
          <w:tblHeader/>
        </w:trPr>
        <w:tc>
          <w:tcPr>
            <w:tcW w:w="1302" w:type="pct"/>
            <w:shd w:val="clear" w:color="000000" w:fill="D9D9D9"/>
            <w:vAlign w:val="center"/>
            <w:hideMark/>
          </w:tcPr>
          <w:p w:rsidR="00547032" w:rsidRPr="00326F5C" w:rsidRDefault="00547032" w:rsidP="006C308E">
            <w:pPr>
              <w:jc w:val="center"/>
              <w:rPr>
                <w:rFonts w:asciiTheme="majorHAnsi" w:eastAsia="Times New Roman" w:hAnsiTheme="majorHAnsi" w:cstheme="majorHAnsi"/>
                <w:b/>
                <w:bCs/>
                <w:sz w:val="20"/>
                <w:szCs w:val="20"/>
              </w:rPr>
            </w:pPr>
            <w:r w:rsidRPr="00326F5C">
              <w:rPr>
                <w:rFonts w:asciiTheme="majorHAnsi" w:eastAsia="Times New Roman" w:hAnsiTheme="majorHAnsi" w:cstheme="majorHAnsi"/>
                <w:b/>
                <w:bCs/>
                <w:sz w:val="20"/>
                <w:szCs w:val="20"/>
              </w:rPr>
              <w:t>Integrative Learning Experience Option Completed</w:t>
            </w:r>
          </w:p>
        </w:tc>
        <w:tc>
          <w:tcPr>
            <w:tcW w:w="1563" w:type="pct"/>
            <w:shd w:val="clear" w:color="000000" w:fill="D9D9D9"/>
            <w:vAlign w:val="center"/>
            <w:hideMark/>
          </w:tcPr>
          <w:p w:rsidR="00547032" w:rsidRPr="00326F5C" w:rsidRDefault="00456984" w:rsidP="006C308E">
            <w:pPr>
              <w:jc w:val="center"/>
              <w:rPr>
                <w:rFonts w:asciiTheme="majorHAnsi" w:eastAsia="Times New Roman" w:hAnsiTheme="majorHAnsi" w:cstheme="majorHAnsi"/>
                <w:b/>
                <w:bCs/>
                <w:sz w:val="20"/>
                <w:szCs w:val="20"/>
              </w:rPr>
            </w:pPr>
            <w:r w:rsidRPr="00326F5C">
              <w:rPr>
                <w:rFonts w:asciiTheme="majorHAnsi" w:eastAsia="Times New Roman" w:hAnsiTheme="majorHAnsi" w:cstheme="majorHAnsi"/>
                <w:b/>
                <w:bCs/>
                <w:sz w:val="20"/>
                <w:szCs w:val="20"/>
              </w:rPr>
              <w:t xml:space="preserve">Competency as defined in </w:t>
            </w:r>
            <w:hyperlink w:anchor="_D2._MPH_Foundational_1" w:history="1">
              <w:r w:rsidRPr="00326F5C">
                <w:rPr>
                  <w:rStyle w:val="Hyperlink"/>
                  <w:rFonts w:asciiTheme="majorHAnsi" w:eastAsia="Times New Roman" w:hAnsiTheme="majorHAnsi" w:cstheme="majorHAnsi"/>
                  <w:b/>
                  <w:bCs/>
                  <w:sz w:val="20"/>
                  <w:szCs w:val="20"/>
                </w:rPr>
                <w:t>Criterion D2</w:t>
              </w:r>
            </w:hyperlink>
            <w:r w:rsidRPr="00326F5C">
              <w:rPr>
                <w:rFonts w:asciiTheme="majorHAnsi" w:eastAsia="Times New Roman" w:hAnsiTheme="majorHAnsi" w:cstheme="majorHAnsi"/>
                <w:b/>
                <w:bCs/>
                <w:sz w:val="20"/>
                <w:szCs w:val="20"/>
              </w:rPr>
              <w:t xml:space="preserve"> and </w:t>
            </w:r>
            <w:hyperlink w:anchor="_D4._MPH_&amp;" w:history="1">
              <w:r w:rsidRPr="00326F5C">
                <w:rPr>
                  <w:rStyle w:val="Hyperlink"/>
                  <w:rFonts w:asciiTheme="majorHAnsi" w:eastAsia="Times New Roman" w:hAnsiTheme="majorHAnsi" w:cstheme="majorHAnsi"/>
                  <w:b/>
                  <w:bCs/>
                  <w:sz w:val="20"/>
                  <w:szCs w:val="20"/>
                </w:rPr>
                <w:t>Criterion D4</w:t>
              </w:r>
            </w:hyperlink>
          </w:p>
        </w:tc>
        <w:tc>
          <w:tcPr>
            <w:tcW w:w="2135" w:type="pct"/>
            <w:shd w:val="clear" w:color="000000" w:fill="D9D9D9"/>
            <w:vAlign w:val="center"/>
            <w:hideMark/>
          </w:tcPr>
          <w:p w:rsidR="00547032" w:rsidRPr="00326F5C" w:rsidRDefault="00547032" w:rsidP="006C308E">
            <w:pPr>
              <w:jc w:val="center"/>
              <w:rPr>
                <w:rFonts w:asciiTheme="majorHAnsi" w:eastAsia="Times New Roman" w:hAnsiTheme="majorHAnsi" w:cstheme="majorHAnsi"/>
                <w:b/>
                <w:bCs/>
                <w:sz w:val="20"/>
                <w:szCs w:val="20"/>
              </w:rPr>
            </w:pPr>
            <w:r w:rsidRPr="00326F5C">
              <w:rPr>
                <w:rFonts w:asciiTheme="majorHAnsi" w:eastAsia="Times New Roman" w:hAnsiTheme="majorHAnsi" w:cstheme="majorHAnsi"/>
                <w:b/>
                <w:bCs/>
                <w:sz w:val="20"/>
                <w:szCs w:val="20"/>
              </w:rPr>
              <w:t>How competencies are synthesized</w:t>
            </w:r>
          </w:p>
        </w:tc>
      </w:tr>
      <w:tr w:rsidR="00547032" w:rsidRPr="00326F5C" w:rsidTr="0007301B">
        <w:trPr>
          <w:trHeight w:val="1007"/>
        </w:trPr>
        <w:tc>
          <w:tcPr>
            <w:tcW w:w="1302"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Epidemiology, Student 1</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PHWM 2996</w:t>
            </w:r>
            <w:r w:rsidRPr="00326F5C">
              <w:rPr>
                <w:rFonts w:asciiTheme="majorHAnsi" w:eastAsia="Times New Roman" w:hAnsiTheme="majorHAnsi" w:cstheme="majorHAnsi"/>
                <w:color w:val="000000"/>
                <w:sz w:val="20"/>
                <w:szCs w:val="20"/>
              </w:rPr>
              <w:t xml:space="preserve"> Capstone for Epidemiology Students</w:t>
            </w:r>
          </w:p>
          <w:p w:rsidR="00547032" w:rsidRPr="00326F5C" w:rsidRDefault="00547032" w:rsidP="006C308E">
            <w:pPr>
              <w:rPr>
                <w:rFonts w:asciiTheme="majorHAnsi" w:eastAsia="Times New Roman" w:hAnsiTheme="majorHAnsi" w:cstheme="majorHAnsi"/>
                <w:i/>
                <w:color w:val="000000"/>
                <w:sz w:val="20"/>
                <w:szCs w:val="20"/>
                <w:u w:val="single"/>
              </w:rPr>
            </w:pPr>
          </w:p>
          <w:p w:rsidR="00547032" w:rsidRPr="00326F5C" w:rsidRDefault="00547032" w:rsidP="006C308E">
            <w:pPr>
              <w:rPr>
                <w:rFonts w:asciiTheme="majorHAnsi" w:eastAsia="Times New Roman" w:hAnsiTheme="majorHAnsi" w:cstheme="majorHAnsi"/>
                <w:i/>
                <w:color w:val="000000"/>
                <w:sz w:val="20"/>
                <w:szCs w:val="20"/>
                <w:u w:val="single"/>
              </w:rPr>
            </w:pPr>
            <w:r w:rsidRPr="00326F5C">
              <w:rPr>
                <w:rFonts w:asciiTheme="majorHAnsi" w:eastAsia="Times New Roman" w:hAnsiTheme="majorHAnsi" w:cstheme="majorHAnsi"/>
                <w:i/>
                <w:color w:val="000000"/>
                <w:sz w:val="20"/>
                <w:szCs w:val="20"/>
                <w:u w:val="single"/>
              </w:rPr>
              <w:t>Final Product:</w:t>
            </w: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rPr>
              <w:t>Applying American H. pylori Re-infection Prevention to the World</w:t>
            </w: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MPH-1: Apply epidemiological methods to the breadth of settings and situations in public health practice.</w:t>
            </w:r>
          </w:p>
        </w:tc>
        <w:tc>
          <w:tcPr>
            <w:tcW w:w="2135" w:type="pct"/>
            <w:vMerge w:val="restar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The student collected and analyzed current literature and data on the recurrence of H. pylori in successfully treated individuals, and produced implications for changes in practice (MPH-E2). While evaluating the magnitude and recurrence of H. pylori, the student reviewed the exposure outcome relationship between empirical treatments and H. pylori reinfection (MPH-E3). The student developed, prioritized, and presented draft program options and developed a written action plan with a single intervention option using a PICOT model (MPH-1), (MPH-19).</w:t>
            </w:r>
          </w:p>
        </w:tc>
      </w:tr>
      <w:tr w:rsidR="00547032" w:rsidRPr="00326F5C" w:rsidTr="0007301B">
        <w:trPr>
          <w:trHeight w:val="1007"/>
        </w:trPr>
        <w:tc>
          <w:tcPr>
            <w:tcW w:w="1302"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MPH-19: Communicate audience-appropriate public health content, both in writing and through oral presentation.</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07301B">
        <w:trPr>
          <w:trHeight w:val="917"/>
        </w:trPr>
        <w:tc>
          <w:tcPr>
            <w:tcW w:w="1302"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MPH-E2: Demonstrate the application of epidemiology for informing etiologic research, public health surveillance, or screening programs.</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07301B">
        <w:trPr>
          <w:trHeight w:val="908"/>
        </w:trPr>
        <w:tc>
          <w:tcPr>
            <w:tcW w:w="1302"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MPH-E3: Evaluate a public health problem in terms of magnitude, person, place and time, and exposure-outcome relationships.</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07301B">
        <w:trPr>
          <w:trHeight w:val="755"/>
        </w:trPr>
        <w:tc>
          <w:tcPr>
            <w:tcW w:w="1302"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Epidemiology, Student 2</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PHWM 2996</w:t>
            </w:r>
            <w:r w:rsidRPr="00326F5C">
              <w:rPr>
                <w:rFonts w:asciiTheme="majorHAnsi" w:eastAsia="Times New Roman" w:hAnsiTheme="majorHAnsi" w:cstheme="majorHAnsi"/>
                <w:color w:val="000000"/>
                <w:sz w:val="20"/>
                <w:szCs w:val="20"/>
              </w:rPr>
              <w:t xml:space="preserve"> Capstone for Epidemiology Students</w:t>
            </w:r>
          </w:p>
          <w:p w:rsidR="00547032" w:rsidRPr="00326F5C" w:rsidRDefault="00547032" w:rsidP="006C308E">
            <w:pPr>
              <w:rPr>
                <w:rFonts w:asciiTheme="majorHAnsi" w:eastAsia="Times New Roman" w:hAnsiTheme="majorHAnsi" w:cstheme="majorHAnsi"/>
                <w:i/>
                <w:color w:val="000000"/>
                <w:sz w:val="20"/>
                <w:szCs w:val="20"/>
                <w:u w:val="single"/>
              </w:rPr>
            </w:pPr>
          </w:p>
          <w:p w:rsidR="00547032" w:rsidRPr="00326F5C" w:rsidRDefault="00547032" w:rsidP="006C308E">
            <w:pPr>
              <w:rPr>
                <w:rFonts w:asciiTheme="majorHAnsi" w:eastAsia="Times New Roman" w:hAnsiTheme="majorHAnsi" w:cstheme="majorHAnsi"/>
                <w:i/>
                <w:color w:val="000000"/>
                <w:sz w:val="20"/>
                <w:szCs w:val="20"/>
                <w:u w:val="single"/>
              </w:rPr>
            </w:pPr>
            <w:r w:rsidRPr="00326F5C">
              <w:rPr>
                <w:rFonts w:asciiTheme="majorHAnsi" w:eastAsia="Times New Roman" w:hAnsiTheme="majorHAnsi" w:cstheme="majorHAnsi"/>
                <w:i/>
                <w:color w:val="000000"/>
                <w:sz w:val="20"/>
                <w:szCs w:val="20"/>
                <w:u w:val="single"/>
              </w:rPr>
              <w:t>Final Product:</w:t>
            </w: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rPr>
              <w:t>The Association Between Cognitive Decline and Physical Activity</w:t>
            </w: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MPH-1: Apply epidemiological methods to the breadth of settings and situations in public health practice.</w:t>
            </w:r>
          </w:p>
        </w:tc>
        <w:tc>
          <w:tcPr>
            <w:tcW w:w="2135" w:type="pct"/>
            <w:vMerge w:val="restart"/>
            <w:shd w:val="clear" w:color="auto" w:fill="auto"/>
          </w:tcPr>
          <w:p w:rsidR="00547032" w:rsidRPr="00326F5C" w:rsidRDefault="00547032" w:rsidP="006C308E">
            <w:pPr>
              <w:rPr>
                <w:rFonts w:asciiTheme="majorHAnsi" w:eastAsia="Times New Roman" w:hAnsiTheme="majorHAnsi" w:cstheme="majorHAnsi"/>
                <w:sz w:val="20"/>
                <w:szCs w:val="20"/>
              </w:rPr>
            </w:pPr>
            <w:r w:rsidRPr="00326F5C">
              <w:rPr>
                <w:rFonts w:asciiTheme="majorHAnsi" w:hAnsiTheme="majorHAnsi" w:cstheme="majorHAnsi"/>
                <w:sz w:val="20"/>
                <w:szCs w:val="20"/>
              </w:rPr>
              <w:t>The student conducted a literature review analyzing modifiable risk factors of cognitive decline with a focus on physical activity (MPH-19). By referencing and applying appropriate methods, the student evaluated the magnitude of cognitive decline from a public health standpoint by reviewing longitudinal studies (MPH-E2), (MPH-E3), (MPH-1). The student developed a written report of their findings as well as a PowerPoint presentation (MPH-19).</w:t>
            </w:r>
          </w:p>
        </w:tc>
      </w:tr>
      <w:tr w:rsidR="00547032" w:rsidRPr="00326F5C" w:rsidTr="0007301B">
        <w:trPr>
          <w:trHeight w:val="692"/>
        </w:trPr>
        <w:tc>
          <w:tcPr>
            <w:tcW w:w="1302"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MPH-19: Communicate audience-appropriate public health content, both in writing and through oral presentation.</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07301B">
        <w:trPr>
          <w:trHeight w:val="818"/>
        </w:trPr>
        <w:tc>
          <w:tcPr>
            <w:tcW w:w="1302"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MPH-E2: Demonstrate the application of epidemiology for informing etiologic research, public health surveillance, or screening programs.</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07301B">
        <w:trPr>
          <w:trHeight w:val="917"/>
        </w:trPr>
        <w:tc>
          <w:tcPr>
            <w:tcW w:w="1302"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MPH-E3: Evaluate a public health problem in terms of magnitude, person, place and time, and exposure-outcome relationships.</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07301B">
        <w:trPr>
          <w:trHeight w:val="77"/>
        </w:trPr>
        <w:tc>
          <w:tcPr>
            <w:tcW w:w="1302"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Epidemiology, Student 3</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PHM 9998</w:t>
            </w:r>
            <w:r w:rsidRPr="00326F5C">
              <w:rPr>
                <w:rFonts w:asciiTheme="majorHAnsi" w:eastAsia="Times New Roman" w:hAnsiTheme="majorHAnsi" w:cstheme="majorHAnsi"/>
                <w:color w:val="000000"/>
                <w:sz w:val="20"/>
                <w:szCs w:val="20"/>
              </w:rPr>
              <w:t xml:space="preserve"> Culminating Experience/Thesis</w:t>
            </w:r>
          </w:p>
          <w:p w:rsidR="00547032" w:rsidRPr="00326F5C" w:rsidRDefault="00547032" w:rsidP="006C308E">
            <w:pPr>
              <w:rPr>
                <w:rFonts w:asciiTheme="majorHAnsi" w:eastAsia="Times New Roman" w:hAnsiTheme="majorHAnsi" w:cstheme="majorHAnsi"/>
                <w:color w:val="000000"/>
                <w:sz w:val="20"/>
                <w:szCs w:val="20"/>
              </w:rPr>
            </w:pP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u w:val="single"/>
              </w:rPr>
              <w:t>Final Product</w:t>
            </w:r>
            <w:r w:rsidRPr="00326F5C">
              <w:rPr>
                <w:rFonts w:asciiTheme="majorHAnsi" w:eastAsia="Times New Roman" w:hAnsiTheme="majorHAnsi" w:cstheme="majorHAnsi"/>
                <w:i/>
                <w:color w:val="000000"/>
                <w:sz w:val="20"/>
                <w:szCs w:val="20"/>
              </w:rPr>
              <w:t>: Thesis: Epidemiology of Tuberculosis in Internationally Displaced Children Resettling in Harris County</w:t>
            </w:r>
          </w:p>
        </w:tc>
        <w:tc>
          <w:tcPr>
            <w:tcW w:w="1563" w:type="pct"/>
            <w:shd w:val="clear" w:color="auto" w:fill="auto"/>
          </w:tcPr>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hAnsiTheme="majorHAnsi" w:cstheme="majorHAnsi"/>
                <w:sz w:val="20"/>
                <w:szCs w:val="20"/>
              </w:rPr>
              <w:t>MPH-3: Analyze quantitative and qualitative data using biostatistics, informatics, computer-based programming and software, as appropriate.</w:t>
            </w:r>
          </w:p>
        </w:tc>
        <w:tc>
          <w:tcPr>
            <w:tcW w:w="2135" w:type="pct"/>
            <w:vMerge w:val="restart"/>
            <w:shd w:val="clear" w:color="auto" w:fill="auto"/>
          </w:tcPr>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color w:val="000000"/>
                <w:sz w:val="20"/>
                <w:szCs w:val="20"/>
              </w:rPr>
              <w:t>The student obtained a data s</w:t>
            </w:r>
            <w:r w:rsidR="001247EE">
              <w:rPr>
                <w:rFonts w:asciiTheme="majorHAnsi" w:eastAsia="Times New Roman" w:hAnsiTheme="majorHAnsi" w:cstheme="majorHAnsi"/>
                <w:color w:val="000000"/>
                <w:sz w:val="20"/>
                <w:szCs w:val="20"/>
              </w:rPr>
              <w:t>et from the U.S. Committee for r</w:t>
            </w:r>
            <w:r w:rsidRPr="00326F5C">
              <w:rPr>
                <w:rFonts w:asciiTheme="majorHAnsi" w:eastAsia="Times New Roman" w:hAnsiTheme="majorHAnsi" w:cstheme="majorHAnsi"/>
                <w:color w:val="000000"/>
                <w:sz w:val="20"/>
                <w:szCs w:val="20"/>
              </w:rPr>
              <w:t>efugee and Immigrants and added additional data from a review of electronic medical records at the Harris County Refugee Resettlement Program and Texas Children’s Hospital Tuberculosis (TB) clinic. The student then created a database detailing the epidemiology of pediatric TB in migrant children resettling in Houston (MPH-3). The student analyzed and interpreted the data using measures of disease frequency and association and produced a manuscript describing the results and public health implications (specifically regarding TB screening for migrant children) (MPH-4), (MPH-E2), (MPH-E5).</w:t>
            </w:r>
          </w:p>
        </w:tc>
      </w:tr>
      <w:tr w:rsidR="00547032" w:rsidRPr="00326F5C" w:rsidTr="0007301B">
        <w:trPr>
          <w:trHeight w:val="77"/>
        </w:trPr>
        <w:tc>
          <w:tcPr>
            <w:tcW w:w="1302"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hAnsiTheme="majorHAnsi" w:cstheme="majorHAnsi"/>
                <w:sz w:val="20"/>
                <w:szCs w:val="20"/>
              </w:rPr>
              <w:t>MPH-4: Interpret results of data analysis for public health research, policy or practice.</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07301B">
        <w:trPr>
          <w:trHeight w:val="77"/>
        </w:trPr>
        <w:tc>
          <w:tcPr>
            <w:tcW w:w="1302"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 xml:space="preserve">MPH-E2. Demonstrate the application of epidemiology for informing etiologic research, public health surveillance, or screening programs. </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07301B">
        <w:trPr>
          <w:trHeight w:val="1259"/>
        </w:trPr>
        <w:tc>
          <w:tcPr>
            <w:tcW w:w="1302"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MPH-E5. Appropriately interpret measures of disease frequency and association, taking into account the impact of bias and error on results and conclusions.</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07301B">
        <w:trPr>
          <w:trHeight w:val="77"/>
        </w:trPr>
        <w:tc>
          <w:tcPr>
            <w:tcW w:w="1302"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Epidemiology, Student 4</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PHM 9998</w:t>
            </w:r>
            <w:r w:rsidRPr="00326F5C">
              <w:rPr>
                <w:rFonts w:asciiTheme="majorHAnsi" w:eastAsia="Times New Roman" w:hAnsiTheme="majorHAnsi" w:cstheme="majorHAnsi"/>
                <w:color w:val="000000"/>
                <w:sz w:val="20"/>
                <w:szCs w:val="20"/>
              </w:rPr>
              <w:t xml:space="preserve"> Culminating Experience/Thesis</w:t>
            </w:r>
          </w:p>
          <w:p w:rsidR="00547032" w:rsidRPr="00326F5C" w:rsidRDefault="00547032" w:rsidP="006C308E">
            <w:pPr>
              <w:rPr>
                <w:rFonts w:asciiTheme="majorHAnsi" w:eastAsia="Times New Roman" w:hAnsiTheme="majorHAnsi" w:cstheme="majorHAnsi"/>
                <w:i/>
                <w:color w:val="000000"/>
                <w:sz w:val="20"/>
                <w:szCs w:val="20"/>
              </w:rPr>
            </w:pP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u w:val="single"/>
              </w:rPr>
              <w:t>Final Product</w:t>
            </w:r>
            <w:r w:rsidRPr="00326F5C">
              <w:rPr>
                <w:rFonts w:asciiTheme="majorHAnsi" w:eastAsia="Times New Roman" w:hAnsiTheme="majorHAnsi" w:cstheme="majorHAnsi"/>
                <w:i/>
                <w:color w:val="000000"/>
                <w:sz w:val="20"/>
                <w:szCs w:val="20"/>
              </w:rPr>
              <w:t>: Thesis:</w:t>
            </w:r>
            <w:r w:rsidRPr="00326F5C">
              <w:rPr>
                <w:rFonts w:asciiTheme="majorHAnsi" w:eastAsia="Times New Roman" w:hAnsiTheme="majorHAnsi" w:cstheme="majorHAnsi"/>
                <w:color w:val="000000"/>
                <w:sz w:val="20"/>
                <w:szCs w:val="20"/>
              </w:rPr>
              <w:t xml:space="preserve"> </w:t>
            </w:r>
            <w:r w:rsidRPr="00326F5C">
              <w:rPr>
                <w:rFonts w:asciiTheme="majorHAnsi" w:eastAsia="Times New Roman" w:hAnsiTheme="majorHAnsi" w:cstheme="majorHAnsi"/>
                <w:i/>
                <w:color w:val="000000"/>
                <w:sz w:val="20"/>
                <w:szCs w:val="20"/>
              </w:rPr>
              <w:t>The Prevalence of Birth Defects Among Non-Hispanic Asians and American Indians/Alaska Natives in Texas, 1999-2015</w:t>
            </w:r>
          </w:p>
        </w:tc>
        <w:tc>
          <w:tcPr>
            <w:tcW w:w="1563" w:type="pct"/>
            <w:shd w:val="clear" w:color="auto" w:fill="auto"/>
          </w:tcPr>
          <w:p w:rsidR="00547032" w:rsidRPr="00326F5C" w:rsidRDefault="00547032" w:rsidP="006C308E">
            <w:pPr>
              <w:rPr>
                <w:rFonts w:asciiTheme="majorHAnsi" w:eastAsia="Times New Roman" w:hAnsiTheme="majorHAnsi" w:cstheme="majorHAnsi"/>
                <w:sz w:val="20"/>
                <w:szCs w:val="20"/>
              </w:rPr>
            </w:pPr>
            <w:r w:rsidRPr="00326F5C">
              <w:rPr>
                <w:rFonts w:asciiTheme="majorHAnsi" w:hAnsiTheme="majorHAnsi" w:cstheme="majorHAnsi"/>
                <w:sz w:val="20"/>
                <w:szCs w:val="20"/>
              </w:rPr>
              <w:t>MPH-3: Analyze quantitative and qualitative data using biostatistics, informatics, computer-based programming and software, as appropriate.</w:t>
            </w:r>
          </w:p>
        </w:tc>
        <w:tc>
          <w:tcPr>
            <w:tcW w:w="2135" w:type="pct"/>
            <w:vMerge w:val="restart"/>
            <w:shd w:val="clear" w:color="auto" w:fill="auto"/>
          </w:tcPr>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color w:val="000000"/>
                <w:sz w:val="20"/>
                <w:szCs w:val="20"/>
              </w:rPr>
              <w:t>The student investigated the prevalence of selected birth defects among non-Hispanic (NH) Asians and NH American Indians/Alaska Natives in the Texas Birth Defects Registry (TBDR) from 1999-2015 (MPH-3), (MPH-4), (MPH-E2). The TBDR is a population-based, active surveillance system. The student used SAS statistical software to analyze and interpret the data; calculating crude and adjusted prevalence ratios (MPH-3), (MPH-E5).</w:t>
            </w:r>
          </w:p>
        </w:tc>
      </w:tr>
      <w:tr w:rsidR="00547032" w:rsidRPr="00326F5C" w:rsidTr="0007301B">
        <w:trPr>
          <w:trHeight w:val="74"/>
        </w:trPr>
        <w:tc>
          <w:tcPr>
            <w:tcW w:w="1302"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eastAsia="Times New Roman" w:hAnsiTheme="majorHAnsi" w:cstheme="majorHAnsi"/>
                <w:sz w:val="20"/>
                <w:szCs w:val="20"/>
              </w:rPr>
            </w:pPr>
            <w:r w:rsidRPr="00326F5C">
              <w:rPr>
                <w:rFonts w:asciiTheme="majorHAnsi" w:hAnsiTheme="majorHAnsi" w:cstheme="majorHAnsi"/>
                <w:sz w:val="20"/>
                <w:szCs w:val="20"/>
              </w:rPr>
              <w:t>MPH-4: Interpret results of data analysis for public health research, policy or practice.</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07301B">
        <w:trPr>
          <w:trHeight w:val="74"/>
        </w:trPr>
        <w:tc>
          <w:tcPr>
            <w:tcW w:w="1302"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 xml:space="preserve">MPH-E2: Demonstrate the application of epidemiology for informing etiologic research, public health surveillance, or screening programs. </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07301B">
        <w:trPr>
          <w:trHeight w:val="74"/>
        </w:trPr>
        <w:tc>
          <w:tcPr>
            <w:tcW w:w="1302"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MPH-E5: Appropriately interpret measures of disease frequency and association, taking into account the impact of bias and error on results and conclusions.</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07301B">
        <w:trPr>
          <w:trHeight w:val="480"/>
        </w:trPr>
        <w:tc>
          <w:tcPr>
            <w:tcW w:w="1302"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Epidemiology, Student 5</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PHM 9998</w:t>
            </w:r>
            <w:r w:rsidRPr="00326F5C">
              <w:rPr>
                <w:rFonts w:asciiTheme="majorHAnsi" w:eastAsia="Times New Roman" w:hAnsiTheme="majorHAnsi" w:cstheme="majorHAnsi"/>
                <w:color w:val="000000"/>
                <w:sz w:val="20"/>
                <w:szCs w:val="20"/>
              </w:rPr>
              <w:t xml:space="preserve"> Culminating Experience/Thesis</w:t>
            </w:r>
          </w:p>
          <w:p w:rsidR="00547032" w:rsidRPr="00326F5C" w:rsidRDefault="00547032" w:rsidP="006C308E">
            <w:pPr>
              <w:rPr>
                <w:rFonts w:asciiTheme="majorHAnsi" w:eastAsia="Times New Roman" w:hAnsiTheme="majorHAnsi" w:cstheme="majorHAnsi"/>
                <w:color w:val="000000"/>
                <w:sz w:val="20"/>
                <w:szCs w:val="20"/>
              </w:rPr>
            </w:pP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u w:val="single"/>
              </w:rPr>
              <w:t>Final Product</w:t>
            </w:r>
            <w:r w:rsidRPr="00326F5C">
              <w:rPr>
                <w:rFonts w:asciiTheme="majorHAnsi" w:eastAsia="Times New Roman" w:hAnsiTheme="majorHAnsi" w:cstheme="majorHAnsi"/>
                <w:i/>
                <w:color w:val="000000"/>
                <w:sz w:val="20"/>
                <w:szCs w:val="20"/>
              </w:rPr>
              <w:t>: Independent ILE:</w:t>
            </w: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rPr>
              <w:t>Disparities in Breast Cancer Survival According to Race and Ethnicity. Making the Case for Stratification According to Birth Place: A Review</w:t>
            </w: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sz w:val="20"/>
                <w:szCs w:val="20"/>
              </w:rPr>
              <w:t>(MPH Epidemiology Student 5)</w:t>
            </w:r>
            <w:r w:rsidRPr="00326F5C" w:rsidDel="0079517A">
              <w:rPr>
                <w:rFonts w:asciiTheme="majorHAnsi" w:eastAsia="Times New Roman" w:hAnsiTheme="majorHAnsi" w:cstheme="majorHAnsi"/>
                <w:color w:val="000000"/>
                <w:sz w:val="20"/>
                <w:szCs w:val="20"/>
              </w:rPr>
              <w:t xml:space="preserve"> </w:t>
            </w:r>
          </w:p>
        </w:tc>
        <w:tc>
          <w:tcPr>
            <w:tcW w:w="1563" w:type="pct"/>
            <w:shd w:val="clear" w:color="auto" w:fill="auto"/>
          </w:tcPr>
          <w:p w:rsidR="00547032" w:rsidRPr="00326F5C" w:rsidRDefault="00547032" w:rsidP="006C308E">
            <w:pPr>
              <w:rPr>
                <w:rFonts w:asciiTheme="majorHAnsi" w:eastAsia="Times New Roman" w:hAnsiTheme="majorHAnsi" w:cstheme="majorHAnsi"/>
                <w:sz w:val="20"/>
                <w:szCs w:val="20"/>
              </w:rPr>
            </w:pPr>
            <w:r w:rsidRPr="00326F5C">
              <w:rPr>
                <w:rFonts w:asciiTheme="majorHAnsi" w:hAnsiTheme="majorHAnsi" w:cstheme="majorHAnsi"/>
                <w:sz w:val="20"/>
                <w:szCs w:val="20"/>
              </w:rPr>
              <w:t>MPH-1: Apply epidemiological methods to the breadth of settings and situations in public health practice.</w:t>
            </w:r>
          </w:p>
        </w:tc>
        <w:tc>
          <w:tcPr>
            <w:tcW w:w="2135" w:type="pct"/>
            <w:vMerge w:val="restart"/>
            <w:shd w:val="clear" w:color="auto" w:fill="auto"/>
          </w:tcPr>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sz w:val="20"/>
                <w:szCs w:val="20"/>
              </w:rPr>
              <w:t>The student conducted a literature review on disparities between black women living in the U.S. and black women living in Africa who have been diagnosed with breast cancer through the comparison of 5-year survival rates (MPH-1). The purpose of this comparison is to demonstrate ethnic differences among women listed as black in the U.S. in connection to health outcomes (MPH-6). Kaplan-Meier and Cox regression were the main epidemiological methods used to estimate survival and the results were interpreted by the student (MPH-E3). The student determined, regarding interventions for black women in the U.S., it is imperative for policymakers and public health officials to consider the heterogeneity of this group to ensure interventions are tailored effectively (MPH-E2).</w:t>
            </w:r>
          </w:p>
        </w:tc>
      </w:tr>
      <w:tr w:rsidR="00547032" w:rsidRPr="00326F5C" w:rsidTr="0007301B">
        <w:trPr>
          <w:trHeight w:val="480"/>
        </w:trPr>
        <w:tc>
          <w:tcPr>
            <w:tcW w:w="1302" w:type="pct"/>
            <w:vMerge/>
            <w:shd w:val="clear" w:color="auto" w:fill="auto"/>
          </w:tcPr>
          <w:p w:rsidR="00547032" w:rsidRPr="00326F5C" w:rsidRDefault="00547032" w:rsidP="006C308E">
            <w:pPr>
              <w:rPr>
                <w:rFonts w:asciiTheme="majorHAnsi" w:eastAsia="Times New Roman" w:hAnsiTheme="majorHAnsi" w:cstheme="majorHAnsi"/>
                <w:b/>
                <w:color w:val="000000"/>
                <w:sz w:val="20"/>
                <w:szCs w:val="20"/>
              </w:rPr>
            </w:pP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MPH-6: Discuss the means by which structural bias, social inequities and racism undermine health and create challenges to achieving health equity at organizational, community and societal levels.</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07301B">
        <w:trPr>
          <w:trHeight w:val="480"/>
        </w:trPr>
        <w:tc>
          <w:tcPr>
            <w:tcW w:w="1302" w:type="pct"/>
            <w:vMerge/>
            <w:shd w:val="clear" w:color="auto" w:fill="auto"/>
          </w:tcPr>
          <w:p w:rsidR="00547032" w:rsidRPr="00326F5C" w:rsidRDefault="00547032" w:rsidP="006C308E">
            <w:pPr>
              <w:rPr>
                <w:rFonts w:asciiTheme="majorHAnsi" w:eastAsia="Times New Roman" w:hAnsiTheme="majorHAnsi" w:cstheme="majorHAnsi"/>
                <w:b/>
                <w:color w:val="000000"/>
                <w:sz w:val="20"/>
                <w:szCs w:val="20"/>
              </w:rPr>
            </w:pP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 xml:space="preserve">MPH-E2: Demonstrate the application of epidemiology for informing etiologic research, public health surveillance, or screening programs. </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07301B">
        <w:trPr>
          <w:trHeight w:val="1444"/>
        </w:trPr>
        <w:tc>
          <w:tcPr>
            <w:tcW w:w="1302" w:type="pct"/>
            <w:vMerge/>
            <w:shd w:val="clear" w:color="auto" w:fill="auto"/>
          </w:tcPr>
          <w:p w:rsidR="00547032" w:rsidRPr="00326F5C" w:rsidRDefault="00547032" w:rsidP="006C308E">
            <w:pPr>
              <w:rPr>
                <w:rFonts w:asciiTheme="majorHAnsi" w:eastAsia="Times New Roman" w:hAnsiTheme="majorHAnsi" w:cstheme="majorHAnsi"/>
                <w:b/>
                <w:color w:val="000000"/>
                <w:sz w:val="20"/>
                <w:szCs w:val="20"/>
              </w:rPr>
            </w:pP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MPH-E3: Evaluate a public health problem in terms of magnitude, person, place and time, and exposure-outcome relationships.</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bl>
    <w:p w:rsidR="00547032" w:rsidRPr="00326F5C" w:rsidRDefault="00547032" w:rsidP="006C308E">
      <w:pPr>
        <w:rPr>
          <w:rFonts w:asciiTheme="majorHAnsi" w:hAnsiTheme="majorHAnsi" w:cstheme="majorHAnsi"/>
          <w:b/>
          <w:sz w:val="20"/>
          <w:szCs w:val="20"/>
        </w:rPr>
      </w:pPr>
    </w:p>
    <w:p w:rsidR="00547032" w:rsidRPr="00326F5C" w:rsidRDefault="00547032" w:rsidP="006C308E">
      <w:pPr>
        <w:ind w:left="720"/>
        <w:rPr>
          <w:rFonts w:asciiTheme="majorHAnsi" w:hAnsiTheme="majorHAnsi" w:cstheme="majorHAnsi"/>
          <w:sz w:val="20"/>
          <w:szCs w:val="20"/>
        </w:rPr>
      </w:pPr>
      <w:r w:rsidRPr="00326F5C">
        <w:rPr>
          <w:rFonts w:asciiTheme="majorHAnsi" w:hAnsiTheme="majorHAnsi" w:cstheme="majorHAnsi"/>
          <w:sz w:val="20"/>
          <w:szCs w:val="20"/>
        </w:rPr>
        <w:t>Table D.7.5.f. MPH Integrative Learning Experience Examples for MPH in Health Promotion/Health Education</w:t>
      </w:r>
      <w:r w:rsidR="0070693C" w:rsidRPr="00326F5C">
        <w:rPr>
          <w:rFonts w:asciiTheme="majorHAnsi" w:hAnsiTheme="majorHAnsi" w:cstheme="majorHAnsi"/>
          <w:sz w:val="20"/>
          <w:szCs w:val="20"/>
        </w:rPr>
        <w:t xml:space="preserve"> (</w:t>
      </w:r>
      <w:r w:rsidR="0070693C" w:rsidRPr="00326F5C">
        <w:rPr>
          <w:rFonts w:asciiTheme="majorHAnsi" w:hAnsiTheme="majorHAnsi" w:cstheme="majorHAnsi"/>
          <w:i/>
          <w:sz w:val="20"/>
          <w:szCs w:val="20"/>
        </w:rPr>
        <w:t>ERF, D7.5. MPH ILE Examples for MPH Concentrations, MPH Health Promotion/Health Education</w:t>
      </w:r>
      <w:r w:rsidR="0070693C" w:rsidRPr="00326F5C">
        <w:rPr>
          <w:rFonts w:asciiTheme="majorHAnsi" w:hAnsiTheme="majorHAnsi" w:cstheme="majorHAnsi"/>
          <w:sz w:val="20"/>
          <w:szCs w:val="20"/>
        </w:rPr>
        <w:t>)</w:t>
      </w: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2701"/>
        <w:gridCol w:w="3689"/>
      </w:tblGrid>
      <w:tr w:rsidR="00547032" w:rsidRPr="00326F5C" w:rsidTr="00F026B3">
        <w:trPr>
          <w:trHeight w:val="315"/>
          <w:tblHeader/>
        </w:trPr>
        <w:tc>
          <w:tcPr>
            <w:tcW w:w="1302" w:type="pct"/>
            <w:shd w:val="clear" w:color="000000" w:fill="D9D9D9"/>
            <w:vAlign w:val="center"/>
            <w:hideMark/>
          </w:tcPr>
          <w:p w:rsidR="00547032" w:rsidRPr="00326F5C" w:rsidRDefault="00547032" w:rsidP="006C308E">
            <w:pPr>
              <w:jc w:val="center"/>
              <w:rPr>
                <w:rFonts w:asciiTheme="majorHAnsi" w:eastAsia="Times New Roman" w:hAnsiTheme="majorHAnsi" w:cstheme="majorHAnsi"/>
                <w:b/>
                <w:bCs/>
                <w:sz w:val="20"/>
                <w:szCs w:val="20"/>
              </w:rPr>
            </w:pPr>
            <w:r w:rsidRPr="00326F5C">
              <w:rPr>
                <w:rFonts w:asciiTheme="majorHAnsi" w:eastAsia="Times New Roman" w:hAnsiTheme="majorHAnsi" w:cstheme="majorHAnsi"/>
                <w:b/>
                <w:bCs/>
                <w:sz w:val="20"/>
                <w:szCs w:val="20"/>
              </w:rPr>
              <w:t>Integrative Learning Experience Option Completed</w:t>
            </w:r>
          </w:p>
        </w:tc>
        <w:tc>
          <w:tcPr>
            <w:tcW w:w="1563" w:type="pct"/>
            <w:shd w:val="clear" w:color="000000" w:fill="D9D9D9"/>
            <w:vAlign w:val="center"/>
            <w:hideMark/>
          </w:tcPr>
          <w:p w:rsidR="00547032" w:rsidRPr="00326F5C" w:rsidRDefault="00456984" w:rsidP="006C308E">
            <w:pPr>
              <w:jc w:val="center"/>
              <w:rPr>
                <w:rFonts w:asciiTheme="majorHAnsi" w:eastAsia="Times New Roman" w:hAnsiTheme="majorHAnsi" w:cstheme="majorHAnsi"/>
                <w:b/>
                <w:bCs/>
                <w:sz w:val="20"/>
                <w:szCs w:val="20"/>
              </w:rPr>
            </w:pPr>
            <w:r w:rsidRPr="00326F5C">
              <w:rPr>
                <w:rFonts w:asciiTheme="majorHAnsi" w:eastAsia="Times New Roman" w:hAnsiTheme="majorHAnsi" w:cstheme="majorHAnsi"/>
                <w:b/>
                <w:bCs/>
                <w:sz w:val="20"/>
                <w:szCs w:val="20"/>
              </w:rPr>
              <w:t xml:space="preserve">Competency as defined in </w:t>
            </w:r>
            <w:hyperlink w:anchor="_D2._MPH_Foundational_1" w:history="1">
              <w:r w:rsidRPr="00326F5C">
                <w:rPr>
                  <w:rStyle w:val="Hyperlink"/>
                  <w:rFonts w:asciiTheme="majorHAnsi" w:eastAsia="Times New Roman" w:hAnsiTheme="majorHAnsi" w:cstheme="majorHAnsi"/>
                  <w:b/>
                  <w:bCs/>
                  <w:sz w:val="20"/>
                  <w:szCs w:val="20"/>
                </w:rPr>
                <w:t>Criterion D2</w:t>
              </w:r>
            </w:hyperlink>
            <w:r w:rsidRPr="00326F5C">
              <w:rPr>
                <w:rFonts w:asciiTheme="majorHAnsi" w:eastAsia="Times New Roman" w:hAnsiTheme="majorHAnsi" w:cstheme="majorHAnsi"/>
                <w:b/>
                <w:bCs/>
                <w:sz w:val="20"/>
                <w:szCs w:val="20"/>
              </w:rPr>
              <w:t xml:space="preserve"> and </w:t>
            </w:r>
            <w:hyperlink w:anchor="_D4._MPH_&amp;" w:history="1">
              <w:r w:rsidRPr="00326F5C">
                <w:rPr>
                  <w:rStyle w:val="Hyperlink"/>
                  <w:rFonts w:asciiTheme="majorHAnsi" w:eastAsia="Times New Roman" w:hAnsiTheme="majorHAnsi" w:cstheme="majorHAnsi"/>
                  <w:b/>
                  <w:bCs/>
                  <w:sz w:val="20"/>
                  <w:szCs w:val="20"/>
                </w:rPr>
                <w:t>Criterion D4</w:t>
              </w:r>
            </w:hyperlink>
          </w:p>
        </w:tc>
        <w:tc>
          <w:tcPr>
            <w:tcW w:w="2135" w:type="pct"/>
            <w:shd w:val="clear" w:color="000000" w:fill="D9D9D9"/>
            <w:vAlign w:val="center"/>
            <w:hideMark/>
          </w:tcPr>
          <w:p w:rsidR="00547032" w:rsidRPr="00326F5C" w:rsidRDefault="00547032" w:rsidP="006C308E">
            <w:pPr>
              <w:jc w:val="center"/>
              <w:rPr>
                <w:rFonts w:asciiTheme="majorHAnsi" w:eastAsia="Times New Roman" w:hAnsiTheme="majorHAnsi" w:cstheme="majorHAnsi"/>
                <w:b/>
                <w:bCs/>
                <w:sz w:val="20"/>
                <w:szCs w:val="20"/>
              </w:rPr>
            </w:pPr>
            <w:r w:rsidRPr="00326F5C">
              <w:rPr>
                <w:rFonts w:asciiTheme="majorHAnsi" w:eastAsia="Times New Roman" w:hAnsiTheme="majorHAnsi" w:cstheme="majorHAnsi"/>
                <w:b/>
                <w:bCs/>
                <w:sz w:val="20"/>
                <w:szCs w:val="20"/>
              </w:rPr>
              <w:t>How competencies are synthesized</w:t>
            </w:r>
          </w:p>
        </w:tc>
      </w:tr>
      <w:tr w:rsidR="00547032" w:rsidRPr="00326F5C" w:rsidTr="000C39DC">
        <w:trPr>
          <w:trHeight w:val="602"/>
        </w:trPr>
        <w:tc>
          <w:tcPr>
            <w:tcW w:w="1302"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Health Promotion/Health Education, Student 1</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b/>
                <w:color w:val="000000"/>
                <w:sz w:val="20"/>
                <w:szCs w:val="20"/>
              </w:rPr>
            </w:pPr>
            <w:r w:rsidRPr="00326F5C">
              <w:rPr>
                <w:rFonts w:asciiTheme="majorHAnsi" w:eastAsia="Times New Roman" w:hAnsiTheme="majorHAnsi" w:cstheme="majorHAnsi"/>
                <w:b/>
                <w:color w:val="000000"/>
                <w:sz w:val="20"/>
                <w:szCs w:val="20"/>
              </w:rPr>
              <w:t>PHM 9998</w:t>
            </w: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color w:val="000000"/>
                <w:sz w:val="20"/>
                <w:szCs w:val="20"/>
              </w:rPr>
              <w:t xml:space="preserve">Culminating Experience/Thesis </w:t>
            </w:r>
          </w:p>
          <w:p w:rsidR="00547032" w:rsidRPr="00326F5C" w:rsidRDefault="00547032" w:rsidP="006C308E">
            <w:pPr>
              <w:rPr>
                <w:rFonts w:asciiTheme="majorHAnsi" w:eastAsia="Times New Roman" w:hAnsiTheme="majorHAnsi" w:cstheme="majorHAnsi"/>
                <w:color w:val="000000"/>
                <w:sz w:val="20"/>
                <w:szCs w:val="20"/>
              </w:rPr>
            </w:pP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u w:val="single"/>
              </w:rPr>
              <w:t>Final Product</w:t>
            </w:r>
            <w:r w:rsidRPr="00326F5C">
              <w:rPr>
                <w:rFonts w:asciiTheme="majorHAnsi" w:eastAsia="Times New Roman" w:hAnsiTheme="majorHAnsi" w:cstheme="majorHAnsi"/>
                <w:i/>
                <w:color w:val="000000"/>
                <w:sz w:val="20"/>
                <w:szCs w:val="20"/>
              </w:rPr>
              <w:t xml:space="preserve">: Independent ILE: </w:t>
            </w: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rPr>
              <w:t>Reclaim Your Roots. Appreciate Your Ancestors. Decolonize Your Diet</w:t>
            </w:r>
          </w:p>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 xml:space="preserve">MPH-8: Apply awareness of cultural values and practice to the design or implementation of public health policies or programs. </w:t>
            </w:r>
          </w:p>
        </w:tc>
        <w:tc>
          <w:tcPr>
            <w:tcW w:w="2135" w:type="pct"/>
            <w:vMerge w:val="restart"/>
            <w:shd w:val="clear" w:color="auto" w:fill="auto"/>
          </w:tcPr>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color w:val="000000"/>
                <w:sz w:val="20"/>
                <w:szCs w:val="20"/>
              </w:rPr>
              <w:t>The student developed the R.A.Dieta intervention comprised of nutrition curricula that was planned and implemented from a culturally-relevant framework. The theme and scope of lesson plans broadly and respectfully align with stories, values and beliefs of the Coahiltecan people and indigenous peoples native to now-Texas (MPH-8). The population of interest in the R.A.Dieta program are Hispanic/Indigenous-identifying youth from San Marcos, TX (MPH-9). Intervention mapping processes were integrated in the design of the theory- and evidence-based curriculum. The Social Ecological Model guided the focus of lesson plans at the individual-level (psychosocial determinants of health) and environmental-level (familial, Elders and peers) (MPH-H3), (MPH-H4). Stakeholder involvement was fundamental to the planning and development process of the R.A.Dieta program, as conducted during two planning meetings.</w:t>
            </w:r>
          </w:p>
        </w:tc>
      </w:tr>
      <w:tr w:rsidR="00547032" w:rsidRPr="00326F5C" w:rsidTr="004225C9">
        <w:trPr>
          <w:trHeight w:val="260"/>
        </w:trPr>
        <w:tc>
          <w:tcPr>
            <w:tcW w:w="1302"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 xml:space="preserve">MPH-9: Design a population-based policy, program, project or intervention. </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225C9">
        <w:trPr>
          <w:trHeight w:val="692"/>
        </w:trPr>
        <w:tc>
          <w:tcPr>
            <w:tcW w:w="1302"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MPH-H3: Apply a systematic planning framework to plan a theory and evidence-based health promotion intervention.</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225C9">
        <w:trPr>
          <w:trHeight w:val="1397"/>
        </w:trPr>
        <w:tc>
          <w:tcPr>
            <w:tcW w:w="1302"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MPH-H4: Apply a systematic planning framework to plan the adoption and implementation of a health promotion intervention.</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225C9">
        <w:trPr>
          <w:trHeight w:val="1121"/>
        </w:trPr>
        <w:tc>
          <w:tcPr>
            <w:tcW w:w="1302"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Health Promotion/Health Education, Student 2</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PHM 9998</w:t>
            </w:r>
            <w:r w:rsidRPr="00326F5C">
              <w:rPr>
                <w:rFonts w:asciiTheme="majorHAnsi" w:eastAsia="Times New Roman" w:hAnsiTheme="majorHAnsi" w:cstheme="majorHAnsi"/>
                <w:color w:val="000000"/>
                <w:sz w:val="20"/>
                <w:szCs w:val="20"/>
              </w:rPr>
              <w:t xml:space="preserve"> Culminating Experience/Thesis</w:t>
            </w: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u w:val="single"/>
              </w:rPr>
              <w:br/>
              <w:t>Final Product</w:t>
            </w:r>
            <w:r w:rsidRPr="00326F5C">
              <w:rPr>
                <w:rFonts w:asciiTheme="majorHAnsi" w:eastAsia="Times New Roman" w:hAnsiTheme="majorHAnsi" w:cstheme="majorHAnsi"/>
                <w:i/>
                <w:color w:val="000000"/>
                <w:sz w:val="20"/>
                <w:szCs w:val="20"/>
              </w:rPr>
              <w:t>: Thesis:</w:t>
            </w:r>
            <w:r w:rsidRPr="00326F5C">
              <w:rPr>
                <w:rFonts w:asciiTheme="majorHAnsi" w:eastAsia="Times New Roman" w:hAnsiTheme="majorHAnsi" w:cstheme="majorHAnsi"/>
                <w:color w:val="000000"/>
                <w:sz w:val="20"/>
                <w:szCs w:val="20"/>
              </w:rPr>
              <w:t xml:space="preserve"> </w:t>
            </w:r>
            <w:r w:rsidRPr="00326F5C">
              <w:rPr>
                <w:rFonts w:asciiTheme="majorHAnsi" w:eastAsia="Times New Roman" w:hAnsiTheme="majorHAnsi" w:cstheme="majorHAnsi"/>
                <w:i/>
                <w:color w:val="000000"/>
                <w:sz w:val="20"/>
                <w:szCs w:val="20"/>
              </w:rPr>
              <w:t>Assessing the Readiness of Relatives to Undergo Cascade Genetic Testing for Inherited Predispositions to Cancer Using the Transtheoretical Model Stages of Change</w:t>
            </w: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MPH-3: Analyze quantitative and qualitative data using biostatistics, informatics, computer-based programming and software, as appropriate.</w:t>
            </w:r>
          </w:p>
        </w:tc>
        <w:tc>
          <w:tcPr>
            <w:tcW w:w="2135" w:type="pct"/>
            <w:vMerge w:val="restart"/>
            <w:shd w:val="clear" w:color="auto" w:fill="auto"/>
          </w:tcPr>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color w:val="000000"/>
                <w:sz w:val="20"/>
                <w:szCs w:val="20"/>
              </w:rPr>
              <w:t>The student applied the Transtheoretical model to study the "readiness" of at-risk relatives to pursue cascade genetic testing (MPH-H2). The student performed statistical data analyses on quantitative and qualitative data, using biostatistics tests and statistical software (SPSS), to characterize the study population and test for statistically significant differences (MPH-3). A logic model of the problem for lack of cascade genetic testing, identifying relevant environment stakeholders and personal determinants of the health behavior, and implications of the study results to guide future research and clinical practice to incorporate theoretical constructs was developed (MPH-H3). The student gave an oral presentation of the study and submitted a written journal article (MPH-19).</w:t>
            </w:r>
          </w:p>
          <w:p w:rsidR="008F0886" w:rsidRPr="00326F5C" w:rsidRDefault="008F0886" w:rsidP="006C308E">
            <w:pPr>
              <w:rPr>
                <w:rFonts w:asciiTheme="majorHAnsi" w:eastAsia="Times New Roman" w:hAnsiTheme="majorHAnsi" w:cstheme="majorHAnsi"/>
                <w:sz w:val="20"/>
                <w:szCs w:val="20"/>
              </w:rPr>
            </w:pPr>
          </w:p>
        </w:tc>
      </w:tr>
      <w:tr w:rsidR="00547032" w:rsidRPr="00326F5C" w:rsidTr="004225C9">
        <w:trPr>
          <w:trHeight w:val="1121"/>
        </w:trPr>
        <w:tc>
          <w:tcPr>
            <w:tcW w:w="1302"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MPH-19: Communicate audience-appropriate public health content, both in writing and through oral presentation.</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225C9">
        <w:trPr>
          <w:trHeight w:val="1121"/>
        </w:trPr>
        <w:tc>
          <w:tcPr>
            <w:tcW w:w="1302"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eastAsia="Times New Roman" w:hAnsiTheme="majorHAnsi" w:cstheme="majorHAnsi"/>
                <w:color w:val="000000"/>
                <w:sz w:val="20"/>
                <w:szCs w:val="20"/>
                <w:highlight w:val="yellow"/>
              </w:rPr>
            </w:pPr>
            <w:r w:rsidRPr="00326F5C">
              <w:rPr>
                <w:rFonts w:asciiTheme="majorHAnsi" w:hAnsiTheme="majorHAnsi" w:cstheme="majorHAnsi"/>
                <w:sz w:val="20"/>
                <w:szCs w:val="20"/>
              </w:rPr>
              <w:t>MPH-H2: Explain how social or behavioral sciences theories are operationalized in health promotion interventions.</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225C9">
        <w:trPr>
          <w:trHeight w:val="1121"/>
        </w:trPr>
        <w:tc>
          <w:tcPr>
            <w:tcW w:w="1302"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eastAsia="Times New Roman" w:hAnsiTheme="majorHAnsi" w:cstheme="majorHAnsi"/>
                <w:color w:val="000000"/>
                <w:sz w:val="20"/>
                <w:szCs w:val="20"/>
                <w:highlight w:val="yellow"/>
              </w:rPr>
            </w:pPr>
            <w:r w:rsidRPr="00326F5C">
              <w:rPr>
                <w:rFonts w:asciiTheme="majorHAnsi" w:hAnsiTheme="majorHAnsi" w:cstheme="majorHAnsi"/>
                <w:sz w:val="20"/>
                <w:szCs w:val="20"/>
              </w:rPr>
              <w:t>MPH-H3: Apply a systematic planning framework to plan a theory and evidence-based health promotion intervention.</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225C9">
        <w:trPr>
          <w:trHeight w:val="530"/>
        </w:trPr>
        <w:tc>
          <w:tcPr>
            <w:tcW w:w="1302"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Health Promotion/Health Education, Student 3</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PHM 1496</w:t>
            </w:r>
            <w:r w:rsidRPr="00326F5C">
              <w:rPr>
                <w:rFonts w:asciiTheme="majorHAnsi" w:eastAsia="Times New Roman" w:hAnsiTheme="majorHAnsi" w:cstheme="majorHAnsi"/>
                <w:color w:val="000000"/>
                <w:sz w:val="20"/>
                <w:szCs w:val="20"/>
              </w:rPr>
              <w:t xml:space="preserve"> Capstone for Health Promotion Students</w:t>
            </w:r>
          </w:p>
          <w:p w:rsidR="00547032" w:rsidRPr="00326F5C" w:rsidRDefault="00547032" w:rsidP="006C308E">
            <w:pPr>
              <w:rPr>
                <w:rFonts w:asciiTheme="majorHAnsi" w:eastAsia="Times New Roman" w:hAnsiTheme="majorHAnsi" w:cstheme="majorHAnsi"/>
                <w:color w:val="000000"/>
                <w:sz w:val="20"/>
                <w:szCs w:val="20"/>
              </w:rPr>
            </w:pP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u w:val="single"/>
              </w:rPr>
              <w:t>Final Product</w:t>
            </w:r>
            <w:r w:rsidRPr="00326F5C">
              <w:rPr>
                <w:rFonts w:asciiTheme="majorHAnsi" w:eastAsia="Times New Roman" w:hAnsiTheme="majorHAnsi" w:cstheme="majorHAnsi"/>
                <w:i/>
                <w:color w:val="000000"/>
                <w:sz w:val="20"/>
                <w:szCs w:val="20"/>
              </w:rPr>
              <w:t>: Independent ILE: Health Education Curriculum: Evaluation Proposal</w:t>
            </w: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MPH-2: Select quantitative and qualitative data collection methods appropriate for a given public health context.</w:t>
            </w:r>
          </w:p>
        </w:tc>
        <w:tc>
          <w:tcPr>
            <w:tcW w:w="2135" w:type="pct"/>
            <w:vMerge w:val="restart"/>
            <w:shd w:val="clear" w:color="auto" w:fill="auto"/>
          </w:tcPr>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color w:val="000000"/>
                <w:sz w:val="20"/>
                <w:szCs w:val="20"/>
              </w:rPr>
              <w:t>The student developed a mixed-methods evaluation plan describing data collection methods appropriate for use by THE ARC of the Capital Area (MPH-2), (MPH-H3). Additionally, the student selected an evaluation design and outlined methods for implementation at the organization (MPH-11). The plan linked program methods to theories of behavior change and listed short-term and intermediate outcomes in a program logic model (MPH-H3). In addition to an outcome evaluation plan, the student developed a process evaluation plan to measure reach, dose, and implementation fidelity (MPH-H5).</w:t>
            </w:r>
          </w:p>
        </w:tc>
      </w:tr>
      <w:tr w:rsidR="00547032" w:rsidRPr="00326F5C" w:rsidTr="004225C9">
        <w:trPr>
          <w:trHeight w:val="305"/>
        </w:trPr>
        <w:tc>
          <w:tcPr>
            <w:tcW w:w="1302"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MPH-11: Select methods to evaluate public health programs.</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225C9">
        <w:trPr>
          <w:trHeight w:val="950"/>
        </w:trPr>
        <w:tc>
          <w:tcPr>
            <w:tcW w:w="1302"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 xml:space="preserve">MPH-H3: Apply a systematic planning framework to plan a theory and evidence-based health promotion intervention. </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225C9">
        <w:trPr>
          <w:trHeight w:val="70"/>
        </w:trPr>
        <w:tc>
          <w:tcPr>
            <w:tcW w:w="1302"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 xml:space="preserve">MPH-H5: Describe a plan to evaluate a health promotion intervention. </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225C9">
        <w:trPr>
          <w:trHeight w:val="1457"/>
        </w:trPr>
        <w:tc>
          <w:tcPr>
            <w:tcW w:w="1302"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Health Promotion/Health Education, Student 4</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PHM 1496</w:t>
            </w:r>
            <w:r w:rsidRPr="00326F5C">
              <w:rPr>
                <w:rFonts w:asciiTheme="majorHAnsi" w:eastAsia="Times New Roman" w:hAnsiTheme="majorHAnsi" w:cstheme="majorHAnsi"/>
                <w:color w:val="000000"/>
                <w:sz w:val="20"/>
                <w:szCs w:val="20"/>
              </w:rPr>
              <w:t xml:space="preserve"> Capstone for Health Promotion Students</w:t>
            </w:r>
          </w:p>
          <w:p w:rsidR="00547032" w:rsidRPr="00326F5C" w:rsidRDefault="00547032" w:rsidP="006C308E">
            <w:pPr>
              <w:rPr>
                <w:rFonts w:asciiTheme="majorHAnsi" w:eastAsia="Times New Roman" w:hAnsiTheme="majorHAnsi" w:cstheme="majorHAnsi"/>
                <w:color w:val="000000"/>
                <w:sz w:val="20"/>
                <w:szCs w:val="20"/>
              </w:rPr>
            </w:pP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u w:val="single"/>
              </w:rPr>
              <w:t>Final Product</w:t>
            </w:r>
            <w:r w:rsidRPr="00326F5C">
              <w:rPr>
                <w:rFonts w:asciiTheme="majorHAnsi" w:eastAsia="Times New Roman" w:hAnsiTheme="majorHAnsi" w:cstheme="majorHAnsi"/>
                <w:i/>
                <w:color w:val="000000"/>
                <w:sz w:val="20"/>
                <w:szCs w:val="20"/>
              </w:rPr>
              <w:t>: Independent ILE:</w:t>
            </w: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rPr>
              <w:t>Need for Screening of Anorectal Chlamydia Trachomatis Among Sexually Active Women Regardless of Anal Exposure: A Literature Review of Program Practices and Findings</w:t>
            </w: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 xml:space="preserve">MPH-5: Compare  the  organization,  structure  and  function  of  health  care,  public  health  and regulatory systems across national and international settings. </w:t>
            </w:r>
          </w:p>
        </w:tc>
        <w:tc>
          <w:tcPr>
            <w:tcW w:w="2135" w:type="pct"/>
            <w:vMerge w:val="restart"/>
            <w:shd w:val="clear" w:color="auto" w:fill="auto"/>
          </w:tcPr>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color w:val="000000"/>
                <w:sz w:val="20"/>
                <w:szCs w:val="20"/>
              </w:rPr>
              <w:t>The student conducte</w:t>
            </w:r>
            <w:r w:rsidR="00A63A85">
              <w:rPr>
                <w:rFonts w:asciiTheme="majorHAnsi" w:eastAsia="Times New Roman" w:hAnsiTheme="majorHAnsi" w:cstheme="majorHAnsi"/>
                <w:color w:val="000000"/>
                <w:sz w:val="20"/>
                <w:szCs w:val="20"/>
              </w:rPr>
              <w:t xml:space="preserve">d a literature review through a </w:t>
            </w:r>
            <w:r w:rsidRPr="00326F5C">
              <w:rPr>
                <w:rFonts w:asciiTheme="majorHAnsi" w:eastAsia="Times New Roman" w:hAnsiTheme="majorHAnsi" w:cstheme="majorHAnsi"/>
                <w:color w:val="000000"/>
                <w:sz w:val="20"/>
                <w:szCs w:val="20"/>
              </w:rPr>
              <w:t>UTHealth School of Public Health and general public health lens. Though this project is through a clinical research lab, it was particularly important to produce the review using principles of public health, including systematic routine anorectal CT screenings in San Antonio STI Clinics. The student compared healthcare systems in national and international settings by providing a description (e.g., women only, hospital, public STI), location information, and practice overview of the clinic (MPH-5). The literature review was created for a stakeholder, a researcher at UTHSCSA, who wishes to increase anorectal screening programs in San Antonio (MPH-14) and assessed environmental (screening practices), behavioral (type of intercourse) and biological determinants of health (autoinoculation) (MPH-H1). This literature review can act as evidence to develop a comprehensive anorectal CT screening program (MPH-H2).</w:t>
            </w:r>
          </w:p>
        </w:tc>
      </w:tr>
      <w:tr w:rsidR="00547032" w:rsidRPr="00326F5C" w:rsidTr="004225C9">
        <w:trPr>
          <w:trHeight w:val="1457"/>
        </w:trPr>
        <w:tc>
          <w:tcPr>
            <w:tcW w:w="1302"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MPH-14: Advocate for political, social or economic policies and programs that will improve health in diverse populations.</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225C9">
        <w:trPr>
          <w:trHeight w:val="1457"/>
        </w:trPr>
        <w:tc>
          <w:tcPr>
            <w:tcW w:w="1302"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 xml:space="preserve">MPH-H1: Conduct a needs assessment in partnership with stakeholders to address a public health issue. </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225C9">
        <w:trPr>
          <w:trHeight w:val="1458"/>
        </w:trPr>
        <w:tc>
          <w:tcPr>
            <w:tcW w:w="1302"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 xml:space="preserve">MPH-H2: Explain how social or behavioral sciences theories are operationalized in health promotion interventions. </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225C9">
        <w:trPr>
          <w:trHeight w:val="1396"/>
        </w:trPr>
        <w:tc>
          <w:tcPr>
            <w:tcW w:w="1302"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Health Promotion/Health Education, Student 5</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PHM 1496</w:t>
            </w:r>
            <w:r w:rsidRPr="00326F5C">
              <w:rPr>
                <w:rFonts w:asciiTheme="majorHAnsi" w:eastAsia="Times New Roman" w:hAnsiTheme="majorHAnsi" w:cstheme="majorHAnsi"/>
                <w:color w:val="000000"/>
                <w:sz w:val="20"/>
                <w:szCs w:val="20"/>
              </w:rPr>
              <w:t xml:space="preserve"> Capstone for Health Promotion Students</w:t>
            </w:r>
          </w:p>
          <w:p w:rsidR="00547032" w:rsidRPr="00326F5C" w:rsidRDefault="00547032" w:rsidP="006C308E">
            <w:pPr>
              <w:rPr>
                <w:rFonts w:asciiTheme="majorHAnsi" w:eastAsia="Times New Roman" w:hAnsiTheme="majorHAnsi" w:cstheme="majorHAnsi"/>
                <w:color w:val="000000"/>
                <w:sz w:val="20"/>
                <w:szCs w:val="20"/>
              </w:rPr>
            </w:pP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u w:val="single"/>
              </w:rPr>
              <w:t>Final Product</w:t>
            </w:r>
            <w:r w:rsidRPr="00326F5C">
              <w:rPr>
                <w:rFonts w:asciiTheme="majorHAnsi" w:eastAsia="Times New Roman" w:hAnsiTheme="majorHAnsi" w:cstheme="majorHAnsi"/>
                <w:i/>
                <w:color w:val="000000"/>
                <w:sz w:val="20"/>
                <w:szCs w:val="20"/>
              </w:rPr>
              <w:t>: Independent ILE: Manuscript:</w:t>
            </w:r>
            <w:r w:rsidRPr="00326F5C">
              <w:rPr>
                <w:rFonts w:asciiTheme="majorHAnsi" w:eastAsia="Times New Roman" w:hAnsiTheme="majorHAnsi" w:cstheme="majorHAnsi"/>
                <w:color w:val="000000"/>
                <w:sz w:val="20"/>
                <w:szCs w:val="20"/>
              </w:rPr>
              <w:t xml:space="preserve"> </w:t>
            </w:r>
            <w:r w:rsidRPr="00326F5C">
              <w:rPr>
                <w:rFonts w:asciiTheme="majorHAnsi" w:eastAsia="Times New Roman" w:hAnsiTheme="majorHAnsi" w:cstheme="majorHAnsi"/>
                <w:i/>
                <w:color w:val="000000"/>
                <w:sz w:val="20"/>
                <w:szCs w:val="20"/>
              </w:rPr>
              <w:t>Using Intervention Mapping to Develop Health Education and Health Policy Components to Increase Breast Cancer Screening and Chemotherapy Adherence Among Syrian and Iraqi Refugee Women in Beirut, Lebanon</w:t>
            </w:r>
          </w:p>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sz w:val="20"/>
                <w:szCs w:val="20"/>
              </w:rPr>
              <w:t>(MPH Health Promotion/Health Education Student 5)</w:t>
            </w: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MPH-9: Design a population-based policy, program, project or intervention.</w:t>
            </w:r>
          </w:p>
        </w:tc>
        <w:tc>
          <w:tcPr>
            <w:tcW w:w="2135" w:type="pct"/>
            <w:vMerge w:val="restart"/>
            <w:shd w:val="clear" w:color="auto" w:fill="auto"/>
          </w:tcPr>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color w:val="000000"/>
                <w:sz w:val="20"/>
                <w:szCs w:val="20"/>
              </w:rPr>
              <w:t>The student used intervention-mapping techniques and methods (MPH-H3) to plan a health education and policy intervention (MPH-9) geared towards increasing breast cancer screening and chemotherapy adherence among Iraqi and Syrian refugee women in Beirut, Lebanon. The student, using peer-reviewed works, case reports, and theories (MPH-H2), reflects on this population and how social, economic, and environmental factors influences their health and healthcare (MPH-20).</w:t>
            </w:r>
          </w:p>
        </w:tc>
      </w:tr>
      <w:tr w:rsidR="00547032" w:rsidRPr="00326F5C" w:rsidTr="004225C9">
        <w:trPr>
          <w:trHeight w:val="1396"/>
        </w:trPr>
        <w:tc>
          <w:tcPr>
            <w:tcW w:w="1302"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MPH-20: Describe the importance of cultural competence in communicating public health content.</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225C9">
        <w:trPr>
          <w:trHeight w:val="1396"/>
        </w:trPr>
        <w:tc>
          <w:tcPr>
            <w:tcW w:w="1302"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 xml:space="preserve">MPH-H2: Explain how social or behavioral sciences theories are operationalized in health promotion interventions. </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225C9">
        <w:trPr>
          <w:trHeight w:val="1397"/>
        </w:trPr>
        <w:tc>
          <w:tcPr>
            <w:tcW w:w="1302"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63"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 xml:space="preserve">MPH-H3: Apply a systematic planning framework to plan a theory and evidence-based health promotion intervention. </w:t>
            </w:r>
          </w:p>
        </w:tc>
        <w:tc>
          <w:tcPr>
            <w:tcW w:w="213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A2BB9" w:rsidRPr="00326F5C" w:rsidTr="005A2BB9">
        <w:trPr>
          <w:trHeight w:val="1397"/>
        </w:trPr>
        <w:tc>
          <w:tcPr>
            <w:tcW w:w="1302" w:type="pct"/>
            <w:shd w:val="clear" w:color="auto" w:fill="auto"/>
          </w:tcPr>
          <w:p w:rsidR="005A2BB9" w:rsidRPr="00326F5C" w:rsidRDefault="005A2BB9" w:rsidP="006C308E">
            <w:pPr>
              <w:rPr>
                <w:rFonts w:asciiTheme="majorHAnsi" w:eastAsia="Times New Roman" w:hAnsiTheme="majorHAnsi" w:cstheme="majorHAnsi"/>
                <w:sz w:val="20"/>
                <w:szCs w:val="20"/>
              </w:rPr>
            </w:pPr>
            <w:r w:rsidRPr="00326F5C">
              <w:rPr>
                <w:rFonts w:asciiTheme="majorHAnsi" w:eastAsia="Times New Roman" w:hAnsiTheme="majorHAnsi" w:cstheme="majorHAnsi"/>
                <w:b/>
                <w:sz w:val="20"/>
                <w:szCs w:val="20"/>
              </w:rPr>
              <w:t>PHM 1496</w:t>
            </w:r>
            <w:r w:rsidRPr="00326F5C">
              <w:rPr>
                <w:rFonts w:asciiTheme="majorHAnsi" w:eastAsia="Times New Roman" w:hAnsiTheme="majorHAnsi" w:cstheme="majorHAnsi"/>
                <w:sz w:val="20"/>
                <w:szCs w:val="20"/>
              </w:rPr>
              <w:t xml:space="preserve"> Capstone for HPBS Students, </w:t>
            </w:r>
            <w:r w:rsidRPr="00326F5C">
              <w:rPr>
                <w:rFonts w:asciiTheme="majorHAnsi" w:eastAsia="Times New Roman" w:hAnsiTheme="majorHAnsi" w:cstheme="majorHAnsi"/>
                <w:i/>
                <w:sz w:val="20"/>
                <w:szCs w:val="20"/>
              </w:rPr>
              <w:t>Capstone Course Option</w:t>
            </w:r>
          </w:p>
        </w:tc>
        <w:tc>
          <w:tcPr>
            <w:tcW w:w="3698" w:type="pct"/>
            <w:gridSpan w:val="2"/>
            <w:shd w:val="clear" w:color="auto" w:fill="auto"/>
          </w:tcPr>
          <w:p w:rsidR="005A2BB9" w:rsidRPr="00326F5C" w:rsidRDefault="005A2BB9" w:rsidP="006C308E">
            <w:pPr>
              <w:rPr>
                <w:rFonts w:asciiTheme="majorHAnsi" w:eastAsia="Times New Roman" w:hAnsiTheme="majorHAnsi" w:cstheme="majorHAnsi"/>
                <w:sz w:val="20"/>
                <w:szCs w:val="20"/>
              </w:rPr>
            </w:pPr>
            <w:r w:rsidRPr="00326F5C">
              <w:rPr>
                <w:rFonts w:asciiTheme="majorHAnsi" w:eastAsia="Times New Roman" w:hAnsiTheme="majorHAnsi" w:cstheme="majorHAnsi"/>
                <w:i/>
                <w:sz w:val="20"/>
                <w:szCs w:val="20"/>
              </w:rPr>
              <w:t xml:space="preserve">No examples available. </w:t>
            </w:r>
            <w:r w:rsidR="00263BBE" w:rsidRPr="00326F5C">
              <w:rPr>
                <w:rFonts w:asciiTheme="majorHAnsi" w:eastAsia="Times New Roman" w:hAnsiTheme="majorHAnsi" w:cstheme="majorHAnsi"/>
                <w:i/>
                <w:sz w:val="20"/>
                <w:szCs w:val="20"/>
              </w:rPr>
              <w:t xml:space="preserve">PHM 1496 Capstone for HPBS Students (Capstone Course Option) launched in Fall 2019. </w:t>
            </w:r>
            <w:r w:rsidRPr="00326F5C">
              <w:rPr>
                <w:rFonts w:asciiTheme="majorHAnsi" w:eastAsia="Times New Roman" w:hAnsiTheme="majorHAnsi" w:cstheme="majorHAnsi"/>
                <w:i/>
                <w:sz w:val="20"/>
                <w:szCs w:val="20"/>
              </w:rPr>
              <w:t xml:space="preserve">No </w:t>
            </w:r>
            <w:r w:rsidR="00263BBE" w:rsidRPr="00326F5C">
              <w:rPr>
                <w:rFonts w:asciiTheme="majorHAnsi" w:eastAsia="Times New Roman" w:hAnsiTheme="majorHAnsi" w:cstheme="majorHAnsi"/>
                <w:i/>
                <w:sz w:val="20"/>
                <w:szCs w:val="20"/>
              </w:rPr>
              <w:t xml:space="preserve">MPH Health Promotion/Health Education students have completed the capstone course option. </w:t>
            </w:r>
          </w:p>
        </w:tc>
      </w:tr>
    </w:tbl>
    <w:p w:rsidR="00547032" w:rsidRPr="00326F5C" w:rsidRDefault="00547032" w:rsidP="006C308E">
      <w:pPr>
        <w:ind w:left="720"/>
        <w:rPr>
          <w:rFonts w:asciiTheme="majorHAnsi" w:hAnsiTheme="majorHAnsi" w:cstheme="majorHAnsi"/>
          <w:sz w:val="20"/>
          <w:szCs w:val="20"/>
        </w:rPr>
      </w:pPr>
      <w:r w:rsidRPr="00326F5C">
        <w:rPr>
          <w:rFonts w:asciiTheme="majorHAnsi" w:hAnsiTheme="majorHAnsi" w:cstheme="majorHAnsi"/>
          <w:sz w:val="20"/>
          <w:szCs w:val="20"/>
        </w:rPr>
        <w:t>Table D.7.5.g. MPH Integrative Learning Experience Examples for MPH in Health Promotion/Health Education, Dietetic Internship Track</w:t>
      </w:r>
      <w:r w:rsidR="00660683" w:rsidRPr="00326F5C">
        <w:rPr>
          <w:rFonts w:asciiTheme="majorHAnsi" w:hAnsiTheme="majorHAnsi" w:cstheme="majorHAnsi"/>
          <w:sz w:val="20"/>
          <w:szCs w:val="20"/>
        </w:rPr>
        <w:t xml:space="preserve"> (</w:t>
      </w:r>
      <w:r w:rsidR="00660683" w:rsidRPr="00326F5C">
        <w:rPr>
          <w:rFonts w:asciiTheme="majorHAnsi" w:hAnsiTheme="majorHAnsi" w:cstheme="majorHAnsi"/>
          <w:i/>
          <w:sz w:val="20"/>
          <w:szCs w:val="20"/>
        </w:rPr>
        <w:t>ERF, D7.5. MPH ILE Examples for MPH Concentrations, MPH Health Promotion/Health Education, Dietetic Internship Track</w:t>
      </w:r>
      <w:r w:rsidR="00660683" w:rsidRPr="00326F5C">
        <w:rPr>
          <w:rFonts w:asciiTheme="majorHAnsi" w:hAnsiTheme="majorHAnsi" w:cstheme="majorHAnsi"/>
          <w:sz w:val="20"/>
          <w:szCs w:val="20"/>
        </w:rPr>
        <w:t>)</w:t>
      </w:r>
    </w:p>
    <w:tbl>
      <w:tblPr>
        <w:tblW w:w="4583"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629"/>
        <w:gridCol w:w="3690"/>
      </w:tblGrid>
      <w:tr w:rsidR="00547032" w:rsidRPr="00326F5C" w:rsidTr="00F026B3">
        <w:trPr>
          <w:trHeight w:val="315"/>
          <w:tblHeader/>
        </w:trPr>
        <w:tc>
          <w:tcPr>
            <w:tcW w:w="1313" w:type="pct"/>
            <w:shd w:val="clear" w:color="000000" w:fill="D9D9D9"/>
            <w:vAlign w:val="center"/>
            <w:hideMark/>
          </w:tcPr>
          <w:p w:rsidR="00547032" w:rsidRPr="00326F5C" w:rsidRDefault="00547032" w:rsidP="006C308E">
            <w:pPr>
              <w:jc w:val="center"/>
              <w:rPr>
                <w:rFonts w:asciiTheme="majorHAnsi" w:eastAsia="Times New Roman" w:hAnsiTheme="majorHAnsi" w:cstheme="majorHAnsi"/>
                <w:b/>
                <w:bCs/>
                <w:sz w:val="20"/>
                <w:szCs w:val="20"/>
              </w:rPr>
            </w:pPr>
            <w:r w:rsidRPr="00326F5C">
              <w:rPr>
                <w:rFonts w:asciiTheme="majorHAnsi" w:eastAsia="Times New Roman" w:hAnsiTheme="majorHAnsi" w:cstheme="majorHAnsi"/>
                <w:b/>
                <w:bCs/>
                <w:sz w:val="20"/>
                <w:szCs w:val="20"/>
              </w:rPr>
              <w:t>Integrative Learning Experience Option Completed</w:t>
            </w:r>
          </w:p>
        </w:tc>
        <w:tc>
          <w:tcPr>
            <w:tcW w:w="1534" w:type="pct"/>
            <w:shd w:val="clear" w:color="000000" w:fill="D9D9D9"/>
            <w:vAlign w:val="center"/>
            <w:hideMark/>
          </w:tcPr>
          <w:p w:rsidR="00547032" w:rsidRPr="00326F5C" w:rsidRDefault="00456984" w:rsidP="006C308E">
            <w:pPr>
              <w:jc w:val="center"/>
              <w:rPr>
                <w:rFonts w:asciiTheme="majorHAnsi" w:eastAsia="Times New Roman" w:hAnsiTheme="majorHAnsi" w:cstheme="majorHAnsi"/>
                <w:b/>
                <w:bCs/>
                <w:sz w:val="20"/>
                <w:szCs w:val="20"/>
              </w:rPr>
            </w:pPr>
            <w:r w:rsidRPr="00326F5C">
              <w:rPr>
                <w:rFonts w:asciiTheme="majorHAnsi" w:eastAsia="Times New Roman" w:hAnsiTheme="majorHAnsi" w:cstheme="majorHAnsi"/>
                <w:b/>
                <w:bCs/>
                <w:sz w:val="20"/>
                <w:szCs w:val="20"/>
              </w:rPr>
              <w:t xml:space="preserve">Competency as defined in </w:t>
            </w:r>
            <w:hyperlink w:anchor="_D2._MPH_Foundational_1" w:history="1">
              <w:r w:rsidRPr="00326F5C">
                <w:rPr>
                  <w:rStyle w:val="Hyperlink"/>
                  <w:rFonts w:asciiTheme="majorHAnsi" w:eastAsia="Times New Roman" w:hAnsiTheme="majorHAnsi" w:cstheme="majorHAnsi"/>
                  <w:b/>
                  <w:bCs/>
                  <w:sz w:val="20"/>
                  <w:szCs w:val="20"/>
                </w:rPr>
                <w:t>Criterion D2</w:t>
              </w:r>
            </w:hyperlink>
            <w:r w:rsidRPr="00326F5C">
              <w:rPr>
                <w:rFonts w:asciiTheme="majorHAnsi" w:eastAsia="Times New Roman" w:hAnsiTheme="majorHAnsi" w:cstheme="majorHAnsi"/>
                <w:b/>
                <w:bCs/>
                <w:sz w:val="20"/>
                <w:szCs w:val="20"/>
              </w:rPr>
              <w:t xml:space="preserve"> and </w:t>
            </w:r>
            <w:hyperlink w:anchor="_D4._MPH_&amp;" w:history="1">
              <w:r w:rsidRPr="00326F5C">
                <w:rPr>
                  <w:rStyle w:val="Hyperlink"/>
                  <w:rFonts w:asciiTheme="majorHAnsi" w:eastAsia="Times New Roman" w:hAnsiTheme="majorHAnsi" w:cstheme="majorHAnsi"/>
                  <w:b/>
                  <w:bCs/>
                  <w:sz w:val="20"/>
                  <w:szCs w:val="20"/>
                </w:rPr>
                <w:t>Criterion D4</w:t>
              </w:r>
            </w:hyperlink>
          </w:p>
        </w:tc>
        <w:tc>
          <w:tcPr>
            <w:tcW w:w="2153" w:type="pct"/>
            <w:shd w:val="clear" w:color="000000" w:fill="D9D9D9"/>
            <w:vAlign w:val="center"/>
            <w:hideMark/>
          </w:tcPr>
          <w:p w:rsidR="00547032" w:rsidRPr="00326F5C" w:rsidRDefault="00547032" w:rsidP="006C308E">
            <w:pPr>
              <w:jc w:val="center"/>
              <w:rPr>
                <w:rFonts w:asciiTheme="majorHAnsi" w:eastAsia="Times New Roman" w:hAnsiTheme="majorHAnsi" w:cstheme="majorHAnsi"/>
                <w:b/>
                <w:bCs/>
                <w:sz w:val="20"/>
                <w:szCs w:val="20"/>
              </w:rPr>
            </w:pPr>
            <w:r w:rsidRPr="00326F5C">
              <w:rPr>
                <w:rFonts w:asciiTheme="majorHAnsi" w:eastAsia="Times New Roman" w:hAnsiTheme="majorHAnsi" w:cstheme="majorHAnsi"/>
                <w:b/>
                <w:bCs/>
                <w:sz w:val="20"/>
                <w:szCs w:val="20"/>
              </w:rPr>
              <w:t>How competencies are synthesized</w:t>
            </w:r>
          </w:p>
        </w:tc>
      </w:tr>
      <w:tr w:rsidR="00547032" w:rsidRPr="00326F5C" w:rsidTr="00414B04">
        <w:trPr>
          <w:trHeight w:val="77"/>
        </w:trPr>
        <w:tc>
          <w:tcPr>
            <w:tcW w:w="1313" w:type="pct"/>
            <w:vMerge w:val="restart"/>
            <w:shd w:val="clear" w:color="auto" w:fill="auto"/>
          </w:tcPr>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sz w:val="20"/>
                <w:szCs w:val="20"/>
                <w:u w:val="single"/>
              </w:rPr>
              <w:t>MPH Health Promotion/Health</w:t>
            </w:r>
            <w:r w:rsidRPr="00326F5C">
              <w:rPr>
                <w:rFonts w:asciiTheme="majorHAnsi" w:eastAsia="Times New Roman" w:hAnsiTheme="majorHAnsi" w:cstheme="majorHAnsi"/>
                <w:color w:val="000000"/>
                <w:sz w:val="20"/>
                <w:szCs w:val="20"/>
                <w:highlight w:val="yellow"/>
              </w:rPr>
              <w:t xml:space="preserve"> </w:t>
            </w:r>
            <w:r w:rsidRPr="00326F5C">
              <w:rPr>
                <w:rFonts w:asciiTheme="majorHAnsi" w:eastAsia="Times New Roman" w:hAnsiTheme="majorHAnsi" w:cstheme="majorHAnsi"/>
                <w:sz w:val="20"/>
                <w:szCs w:val="20"/>
                <w:u w:val="single"/>
              </w:rPr>
              <w:t>Education, Dietetic Internship, Student 1</w:t>
            </w:r>
          </w:p>
          <w:p w:rsidR="00547032" w:rsidRPr="00326F5C" w:rsidRDefault="00547032" w:rsidP="006C308E">
            <w:pPr>
              <w:rPr>
                <w:rFonts w:asciiTheme="majorHAnsi" w:eastAsia="Times New Roman" w:hAnsiTheme="majorHAnsi" w:cstheme="majorHAnsi"/>
                <w:color w:val="000000"/>
                <w:sz w:val="20"/>
                <w:szCs w:val="20"/>
              </w:rPr>
            </w:pP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 xml:space="preserve">PHM 9998 </w:t>
            </w:r>
            <w:r w:rsidRPr="00326F5C">
              <w:rPr>
                <w:rFonts w:asciiTheme="majorHAnsi" w:eastAsia="Times New Roman" w:hAnsiTheme="majorHAnsi" w:cstheme="majorHAnsi"/>
                <w:color w:val="000000"/>
                <w:sz w:val="20"/>
                <w:szCs w:val="20"/>
              </w:rPr>
              <w:t>Culminating Experience/Thesis</w:t>
            </w:r>
          </w:p>
          <w:p w:rsidR="00547032" w:rsidRPr="00326F5C" w:rsidRDefault="00547032" w:rsidP="006C308E">
            <w:pPr>
              <w:rPr>
                <w:rFonts w:asciiTheme="majorHAnsi" w:eastAsia="Times New Roman" w:hAnsiTheme="majorHAnsi" w:cstheme="majorHAnsi"/>
                <w:color w:val="000000"/>
                <w:sz w:val="20"/>
                <w:szCs w:val="20"/>
              </w:rPr>
            </w:pP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u w:val="single"/>
              </w:rPr>
              <w:t>Final Product</w:t>
            </w:r>
            <w:r w:rsidRPr="00326F5C">
              <w:rPr>
                <w:rFonts w:asciiTheme="majorHAnsi" w:eastAsia="Times New Roman" w:hAnsiTheme="majorHAnsi" w:cstheme="majorHAnsi"/>
                <w:i/>
                <w:color w:val="000000"/>
                <w:sz w:val="20"/>
                <w:szCs w:val="20"/>
              </w:rPr>
              <w:t>: Independent ILE (in-process): The Template Method of Recipe Development</w:t>
            </w:r>
          </w:p>
        </w:tc>
        <w:tc>
          <w:tcPr>
            <w:tcW w:w="153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MPH-18: Select communication strategies for different audiences and sectors.</w:t>
            </w:r>
          </w:p>
        </w:tc>
        <w:tc>
          <w:tcPr>
            <w:tcW w:w="2153" w:type="pct"/>
            <w:vMerge w:val="restart"/>
            <w:shd w:val="clear" w:color="auto" w:fill="auto"/>
          </w:tcPr>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color w:val="000000"/>
                <w:sz w:val="20"/>
                <w:szCs w:val="20"/>
              </w:rPr>
              <w:t xml:space="preserve">The student developed a curriculum for a continuing education course, which teaches nutrition professionals a new method for developing recipes that cater to the specific needs of their clients (MPH-18), (MPH-19). The intervention will allow public health nutrition specialists to better serve individuals in their communities by tailoring recipes to their dietary and health needs (MPH-DI2), (MPH-DI1). The student presents their completed work through an oral presentation (MPH-19). </w:t>
            </w:r>
          </w:p>
        </w:tc>
      </w:tr>
      <w:tr w:rsidR="00547032" w:rsidRPr="00326F5C" w:rsidTr="00414B04">
        <w:trPr>
          <w:trHeight w:val="77"/>
        </w:trPr>
        <w:tc>
          <w:tcPr>
            <w:tcW w:w="13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3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MPH-19: Communicate audience-appropriate public health content, both in writing and through oral presentation.</w:t>
            </w:r>
          </w:p>
        </w:tc>
        <w:tc>
          <w:tcPr>
            <w:tcW w:w="215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77"/>
        </w:trPr>
        <w:tc>
          <w:tcPr>
            <w:tcW w:w="13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34" w:type="pct"/>
            <w:shd w:val="clear" w:color="auto" w:fill="auto"/>
          </w:tcPr>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hAnsiTheme="majorHAnsi" w:cstheme="majorHAnsi"/>
                <w:sz w:val="20"/>
                <w:szCs w:val="20"/>
              </w:rPr>
              <w:t>MPH-DI1: Use the Evidence Analyses Process (EAP) to review a nutrition topic and develop a nutrition focused public health intervention.</w:t>
            </w:r>
          </w:p>
        </w:tc>
        <w:tc>
          <w:tcPr>
            <w:tcW w:w="215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96"/>
        </w:trPr>
        <w:tc>
          <w:tcPr>
            <w:tcW w:w="13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34" w:type="pct"/>
            <w:shd w:val="clear" w:color="auto" w:fill="auto"/>
          </w:tcPr>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hAnsiTheme="majorHAnsi" w:cstheme="majorHAnsi"/>
                <w:sz w:val="20"/>
                <w:szCs w:val="20"/>
              </w:rPr>
              <w:t>MPH-DI2: Develop a public health nutrition intervention activity based on community nutrition-related needs, assets and capacities.</w:t>
            </w:r>
          </w:p>
        </w:tc>
        <w:tc>
          <w:tcPr>
            <w:tcW w:w="215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77"/>
        </w:trPr>
        <w:tc>
          <w:tcPr>
            <w:tcW w:w="1313"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Health Promotion/Health Education, Dietetic Internship, Student 2</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 xml:space="preserve">PHM 9998 </w:t>
            </w:r>
            <w:r w:rsidRPr="00326F5C">
              <w:rPr>
                <w:rFonts w:asciiTheme="majorHAnsi" w:eastAsia="Times New Roman" w:hAnsiTheme="majorHAnsi" w:cstheme="majorHAnsi"/>
                <w:color w:val="000000"/>
                <w:sz w:val="20"/>
                <w:szCs w:val="20"/>
              </w:rPr>
              <w:t>Culminating Experience/Thesis</w:t>
            </w:r>
          </w:p>
          <w:p w:rsidR="00547032" w:rsidRPr="00326F5C" w:rsidRDefault="00547032" w:rsidP="006C308E">
            <w:pPr>
              <w:rPr>
                <w:rFonts w:asciiTheme="majorHAnsi" w:eastAsia="Times New Roman" w:hAnsiTheme="majorHAnsi" w:cstheme="majorHAnsi"/>
                <w:color w:val="000000"/>
                <w:sz w:val="20"/>
                <w:szCs w:val="20"/>
              </w:rPr>
            </w:pP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u w:val="single"/>
              </w:rPr>
              <w:t>Final Product</w:t>
            </w:r>
            <w:r w:rsidRPr="00326F5C">
              <w:rPr>
                <w:rFonts w:asciiTheme="majorHAnsi" w:eastAsia="Times New Roman" w:hAnsiTheme="majorHAnsi" w:cstheme="majorHAnsi"/>
                <w:i/>
                <w:color w:val="000000"/>
                <w:sz w:val="20"/>
                <w:szCs w:val="20"/>
              </w:rPr>
              <w:t xml:space="preserve">: </w:t>
            </w:r>
            <w:r w:rsidRPr="00326F5C">
              <w:rPr>
                <w:rFonts w:asciiTheme="majorHAnsi" w:eastAsia="Times New Roman" w:hAnsiTheme="majorHAnsi" w:cstheme="majorHAnsi"/>
                <w:i/>
                <w:color w:val="000000"/>
                <w:sz w:val="20"/>
                <w:szCs w:val="20"/>
              </w:rPr>
              <w:br/>
              <w:t>Thesis:</w:t>
            </w: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rPr>
              <w:t>The Impact of Food Security on the Food Shopping Behavior and Patterns of 2018 Brighter Bites Participants at Baseline.</w:t>
            </w:r>
          </w:p>
        </w:tc>
        <w:tc>
          <w:tcPr>
            <w:tcW w:w="153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MPH-3: Analyze quantitative data and qualitative data using biostatistics, informatics, computer-based programming and software, as appropriate.</w:t>
            </w:r>
          </w:p>
        </w:tc>
        <w:tc>
          <w:tcPr>
            <w:tcW w:w="2153" w:type="pct"/>
            <w:vMerge w:val="restart"/>
            <w:shd w:val="clear" w:color="auto" w:fill="auto"/>
          </w:tcPr>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sz w:val="20"/>
                <w:szCs w:val="20"/>
              </w:rPr>
              <w:t>The student used statistical software (STATA) to conduct an analysis of data from the Brighter Bites pre-survey to assess food security status and shopping patterns (MPH-3). The students interpreted the results (MPH-4), and discussed their relevancy and connection to the hypothesis tested. Using a multi-level approach, the student used Social Cognitive Theory and the Theory of Planned Behavior in their project and intervention development and implementation (MPH-DI1), (MPH-DI5).</w:t>
            </w:r>
          </w:p>
        </w:tc>
      </w:tr>
      <w:tr w:rsidR="00547032" w:rsidRPr="00326F5C" w:rsidTr="00414B04">
        <w:trPr>
          <w:trHeight w:val="77"/>
        </w:trPr>
        <w:tc>
          <w:tcPr>
            <w:tcW w:w="13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3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MPH-4: Interpret results of data analysis for public health research, policy or practice.</w:t>
            </w:r>
          </w:p>
        </w:tc>
        <w:tc>
          <w:tcPr>
            <w:tcW w:w="215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77"/>
        </w:trPr>
        <w:tc>
          <w:tcPr>
            <w:tcW w:w="13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34" w:type="pct"/>
            <w:shd w:val="clear" w:color="auto" w:fill="auto"/>
          </w:tcPr>
          <w:p w:rsidR="00547032" w:rsidRPr="00326F5C" w:rsidRDefault="00547032" w:rsidP="006C308E">
            <w:pPr>
              <w:rPr>
                <w:rFonts w:asciiTheme="majorHAnsi" w:eastAsia="Times New Roman" w:hAnsiTheme="majorHAnsi" w:cstheme="majorHAnsi"/>
                <w:color w:val="000000"/>
                <w:sz w:val="20"/>
                <w:szCs w:val="20"/>
                <w:highlight w:val="green"/>
              </w:rPr>
            </w:pPr>
            <w:r w:rsidRPr="00326F5C">
              <w:rPr>
                <w:rFonts w:asciiTheme="majorHAnsi" w:hAnsiTheme="majorHAnsi" w:cstheme="majorHAnsi"/>
                <w:sz w:val="20"/>
                <w:szCs w:val="20"/>
              </w:rPr>
              <w:t>MPH-DI1: Use the Evidence Analyses Process (EAP) to review a nutrition topic and develop a nutrition focused public health intervention.</w:t>
            </w:r>
          </w:p>
        </w:tc>
        <w:tc>
          <w:tcPr>
            <w:tcW w:w="215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236"/>
        </w:trPr>
        <w:tc>
          <w:tcPr>
            <w:tcW w:w="13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34" w:type="pct"/>
            <w:shd w:val="clear" w:color="auto" w:fill="auto"/>
          </w:tcPr>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hAnsiTheme="majorHAnsi" w:cstheme="majorHAnsi"/>
                <w:sz w:val="20"/>
                <w:szCs w:val="20"/>
              </w:rPr>
              <w:t>MPH-DI5: Implement evidence and theory based nutrition interventions.</w:t>
            </w:r>
          </w:p>
        </w:tc>
        <w:tc>
          <w:tcPr>
            <w:tcW w:w="215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246"/>
        </w:trPr>
        <w:tc>
          <w:tcPr>
            <w:tcW w:w="1313"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Health Promotion/Health Education, Dietetic Internship, Student 3</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b/>
                <w:color w:val="000000"/>
                <w:sz w:val="20"/>
                <w:szCs w:val="20"/>
              </w:rPr>
            </w:pPr>
            <w:r w:rsidRPr="00326F5C">
              <w:rPr>
                <w:rFonts w:asciiTheme="majorHAnsi" w:eastAsia="Times New Roman" w:hAnsiTheme="majorHAnsi" w:cstheme="majorHAnsi"/>
                <w:b/>
                <w:color w:val="000000"/>
                <w:sz w:val="20"/>
                <w:szCs w:val="20"/>
              </w:rPr>
              <w:t>PHM 1496</w:t>
            </w:r>
            <w:r w:rsidRPr="00326F5C">
              <w:rPr>
                <w:rFonts w:asciiTheme="majorHAnsi" w:eastAsia="Times New Roman" w:hAnsiTheme="majorHAnsi" w:cstheme="majorHAnsi"/>
                <w:b/>
                <w:color w:val="000000"/>
                <w:sz w:val="20"/>
                <w:szCs w:val="20"/>
              </w:rPr>
              <w:br/>
            </w:r>
            <w:r w:rsidRPr="00326F5C">
              <w:rPr>
                <w:rFonts w:asciiTheme="majorHAnsi" w:eastAsia="Times New Roman" w:hAnsiTheme="majorHAnsi" w:cstheme="majorHAnsi"/>
                <w:color w:val="000000"/>
                <w:sz w:val="20"/>
                <w:szCs w:val="20"/>
              </w:rPr>
              <w:t>Capstone for Health Promotion/Behavioral Science Students (DI)</w:t>
            </w:r>
          </w:p>
          <w:p w:rsidR="00547032" w:rsidRPr="00326F5C" w:rsidRDefault="00547032" w:rsidP="006C308E">
            <w:pPr>
              <w:rPr>
                <w:rFonts w:asciiTheme="majorHAnsi" w:eastAsia="Times New Roman" w:hAnsiTheme="majorHAnsi" w:cstheme="majorHAnsi"/>
                <w:i/>
                <w:color w:val="000000"/>
                <w:sz w:val="20"/>
                <w:szCs w:val="20"/>
                <w:u w:val="single"/>
              </w:rPr>
            </w:pP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u w:val="single"/>
              </w:rPr>
              <w:t>Final Product</w:t>
            </w:r>
            <w:r w:rsidRPr="00326F5C">
              <w:rPr>
                <w:rFonts w:asciiTheme="majorHAnsi" w:eastAsia="Times New Roman" w:hAnsiTheme="majorHAnsi" w:cstheme="majorHAnsi"/>
                <w:i/>
                <w:color w:val="000000"/>
                <w:sz w:val="20"/>
                <w:szCs w:val="20"/>
              </w:rPr>
              <w:t>:</w:t>
            </w:r>
            <w:r w:rsidRPr="00326F5C">
              <w:rPr>
                <w:rFonts w:asciiTheme="majorHAnsi" w:eastAsia="Times New Roman" w:hAnsiTheme="majorHAnsi" w:cstheme="majorHAnsi"/>
                <w:b/>
                <w:i/>
                <w:color w:val="000000"/>
                <w:sz w:val="20"/>
                <w:szCs w:val="20"/>
              </w:rPr>
              <w:t xml:space="preserve"> </w:t>
            </w:r>
            <w:r w:rsidRPr="00326F5C">
              <w:rPr>
                <w:rFonts w:asciiTheme="majorHAnsi" w:eastAsia="Times New Roman" w:hAnsiTheme="majorHAnsi" w:cstheme="majorHAnsi"/>
                <w:b/>
                <w:i/>
                <w:color w:val="000000"/>
                <w:sz w:val="20"/>
                <w:szCs w:val="20"/>
              </w:rPr>
              <w:br/>
            </w:r>
            <w:r w:rsidRPr="00326F5C">
              <w:rPr>
                <w:rFonts w:asciiTheme="majorHAnsi" w:eastAsia="Times New Roman" w:hAnsiTheme="majorHAnsi" w:cstheme="majorHAnsi"/>
                <w:i/>
                <w:color w:val="000000"/>
                <w:sz w:val="20"/>
                <w:szCs w:val="20"/>
              </w:rPr>
              <w:t xml:space="preserve">Independent ILE: The New Nutrition Facts Label </w:t>
            </w:r>
          </w:p>
        </w:tc>
        <w:tc>
          <w:tcPr>
            <w:tcW w:w="153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MPH-18: Select communication strategies for different audiences and sectors.</w:t>
            </w:r>
            <w:r w:rsidRPr="00326F5C" w:rsidDel="000A3CB5">
              <w:rPr>
                <w:rFonts w:asciiTheme="majorHAnsi" w:hAnsiTheme="majorHAnsi" w:cstheme="majorHAnsi"/>
                <w:sz w:val="20"/>
                <w:szCs w:val="20"/>
              </w:rPr>
              <w:t xml:space="preserve"> </w:t>
            </w:r>
          </w:p>
        </w:tc>
        <w:tc>
          <w:tcPr>
            <w:tcW w:w="2153" w:type="pct"/>
            <w:vMerge w:val="restart"/>
            <w:shd w:val="clear" w:color="auto" w:fill="auto"/>
          </w:tcPr>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sz w:val="20"/>
                <w:szCs w:val="20"/>
              </w:rPr>
              <w:t xml:space="preserve">The student developed a nutrition-labeling guide based on newly implemented labeling laws and held a discussion and debrief on the topic and project (MPH-18), (MPH-19). The student reviewed this topic and developed an intervention that includes educational materials and a cooking demonstration exhibiting and explaining changes to the nutrition-labeling system (MPH-DI1), (MPH-DI2). </w:t>
            </w:r>
          </w:p>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243"/>
        </w:trPr>
        <w:tc>
          <w:tcPr>
            <w:tcW w:w="13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3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MPH-19: Communicate audience-appropriate public health content, both in writing and through oral presentation.</w:t>
            </w:r>
            <w:r w:rsidRPr="00326F5C" w:rsidDel="000A3CB5">
              <w:rPr>
                <w:rFonts w:asciiTheme="majorHAnsi" w:hAnsiTheme="majorHAnsi" w:cstheme="majorHAnsi"/>
                <w:sz w:val="20"/>
                <w:szCs w:val="20"/>
              </w:rPr>
              <w:t xml:space="preserve"> </w:t>
            </w:r>
          </w:p>
        </w:tc>
        <w:tc>
          <w:tcPr>
            <w:tcW w:w="215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243"/>
        </w:trPr>
        <w:tc>
          <w:tcPr>
            <w:tcW w:w="13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34" w:type="pct"/>
            <w:shd w:val="clear" w:color="auto" w:fill="auto"/>
          </w:tcPr>
          <w:p w:rsidR="00547032" w:rsidRPr="00326F5C" w:rsidRDefault="00547032" w:rsidP="006C308E">
            <w:pPr>
              <w:rPr>
                <w:rFonts w:asciiTheme="majorHAnsi" w:hAnsiTheme="majorHAnsi" w:cstheme="majorHAnsi"/>
                <w:color w:val="000000"/>
                <w:sz w:val="20"/>
                <w:szCs w:val="20"/>
              </w:rPr>
            </w:pPr>
            <w:r w:rsidRPr="00326F5C">
              <w:rPr>
                <w:rFonts w:asciiTheme="majorHAnsi" w:hAnsiTheme="majorHAnsi" w:cstheme="majorHAnsi"/>
                <w:sz w:val="20"/>
                <w:szCs w:val="20"/>
              </w:rPr>
              <w:t>MPH-DI1. Use the Evidence Analyses Process (EAP) to review a nutrition topic and develop a nutrition focused public health intervention.</w:t>
            </w:r>
          </w:p>
        </w:tc>
        <w:tc>
          <w:tcPr>
            <w:tcW w:w="215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243"/>
        </w:trPr>
        <w:tc>
          <w:tcPr>
            <w:tcW w:w="13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34" w:type="pct"/>
            <w:shd w:val="clear" w:color="auto" w:fill="auto"/>
          </w:tcPr>
          <w:p w:rsidR="00547032" w:rsidRPr="00326F5C" w:rsidRDefault="00547032" w:rsidP="006C308E">
            <w:pPr>
              <w:rPr>
                <w:rFonts w:asciiTheme="majorHAnsi" w:hAnsiTheme="majorHAnsi" w:cstheme="majorHAnsi"/>
                <w:color w:val="000000"/>
                <w:sz w:val="20"/>
                <w:szCs w:val="20"/>
              </w:rPr>
            </w:pPr>
            <w:r w:rsidRPr="00326F5C">
              <w:rPr>
                <w:rFonts w:asciiTheme="majorHAnsi" w:hAnsiTheme="majorHAnsi" w:cstheme="majorHAnsi"/>
                <w:sz w:val="20"/>
                <w:szCs w:val="20"/>
              </w:rPr>
              <w:t>MPH-DI2. Develop a public health nutrition intervention activity based on community nutrition-related needs, assets and capacities.</w:t>
            </w:r>
          </w:p>
        </w:tc>
        <w:tc>
          <w:tcPr>
            <w:tcW w:w="215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60"/>
        </w:trPr>
        <w:tc>
          <w:tcPr>
            <w:tcW w:w="1313"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Health Promotion/Health Education, Dietetic Internship, Student 4</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PHM 1496</w:t>
            </w:r>
            <w:r w:rsidRPr="00326F5C">
              <w:rPr>
                <w:rFonts w:asciiTheme="majorHAnsi" w:eastAsia="Times New Roman" w:hAnsiTheme="majorHAnsi" w:cstheme="majorHAnsi"/>
                <w:b/>
                <w:color w:val="000000"/>
                <w:sz w:val="20"/>
                <w:szCs w:val="20"/>
              </w:rPr>
              <w:br/>
            </w:r>
            <w:r w:rsidRPr="00326F5C">
              <w:rPr>
                <w:rFonts w:asciiTheme="majorHAnsi" w:eastAsia="Times New Roman" w:hAnsiTheme="majorHAnsi" w:cstheme="majorHAnsi"/>
                <w:color w:val="000000"/>
                <w:sz w:val="20"/>
                <w:szCs w:val="20"/>
              </w:rPr>
              <w:t>Capstone for Health Promotion/Behavioral Science Students (DI)</w:t>
            </w:r>
          </w:p>
          <w:p w:rsidR="00547032" w:rsidRPr="00326F5C" w:rsidRDefault="00547032" w:rsidP="006C308E">
            <w:pPr>
              <w:rPr>
                <w:rFonts w:asciiTheme="majorHAnsi" w:eastAsia="Times New Roman" w:hAnsiTheme="majorHAnsi" w:cstheme="majorHAnsi"/>
                <w:color w:val="000000"/>
                <w:sz w:val="20"/>
                <w:szCs w:val="20"/>
              </w:rPr>
            </w:pP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u w:val="single"/>
              </w:rPr>
              <w:t>Final Product</w:t>
            </w:r>
            <w:r w:rsidRPr="00326F5C">
              <w:rPr>
                <w:rFonts w:asciiTheme="majorHAnsi" w:eastAsia="Times New Roman" w:hAnsiTheme="majorHAnsi" w:cstheme="majorHAnsi"/>
                <w:i/>
                <w:color w:val="000000"/>
                <w:sz w:val="20"/>
                <w:szCs w:val="20"/>
              </w:rPr>
              <w:t xml:space="preserve">: </w:t>
            </w:r>
            <w:r w:rsidRPr="00326F5C">
              <w:rPr>
                <w:rFonts w:asciiTheme="majorHAnsi" w:eastAsia="Times New Roman" w:hAnsiTheme="majorHAnsi" w:cstheme="majorHAnsi"/>
                <w:i/>
                <w:color w:val="000000"/>
                <w:sz w:val="20"/>
                <w:szCs w:val="20"/>
              </w:rPr>
              <w:br/>
              <w:t>Independent ILE:</w:t>
            </w: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rPr>
              <w:t>Gardening and Employee Wellness</w:t>
            </w:r>
          </w:p>
        </w:tc>
        <w:tc>
          <w:tcPr>
            <w:tcW w:w="153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MPH-18: Select communication strategies for different audiences and sectors.</w:t>
            </w:r>
            <w:r w:rsidRPr="00326F5C" w:rsidDel="000A3CB5">
              <w:rPr>
                <w:rFonts w:asciiTheme="majorHAnsi" w:hAnsiTheme="majorHAnsi" w:cstheme="majorHAnsi"/>
                <w:sz w:val="20"/>
                <w:szCs w:val="20"/>
              </w:rPr>
              <w:t xml:space="preserve"> </w:t>
            </w:r>
          </w:p>
        </w:tc>
        <w:tc>
          <w:tcPr>
            <w:tcW w:w="2153" w:type="pct"/>
            <w:vMerge w:val="restart"/>
            <w:shd w:val="clear" w:color="auto" w:fill="auto"/>
          </w:tcPr>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sz w:val="20"/>
                <w:szCs w:val="20"/>
              </w:rPr>
              <w:t xml:space="preserve">The student applied evidence, theories, and behavioral science models to understand determinants of health utilizing gardening and incorporated the benefits into an employee wellness program (MPH –DI1), (MPH-DI2). This lead the student to develop a nutrition focused public health intervention for a population (MPH-18). The student produced a written report and participated in an oral presentation as well as orally presented information during the intervention (MPH-19).  </w:t>
            </w:r>
          </w:p>
        </w:tc>
      </w:tr>
      <w:tr w:rsidR="00547032" w:rsidRPr="00326F5C" w:rsidTr="00414B04">
        <w:trPr>
          <w:trHeight w:val="60"/>
        </w:trPr>
        <w:tc>
          <w:tcPr>
            <w:tcW w:w="13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3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MPH-19: Communicate audience-appropriate public health content, both in writing and through oral presentation.</w:t>
            </w:r>
            <w:r w:rsidRPr="00326F5C" w:rsidDel="000A3CB5">
              <w:rPr>
                <w:rFonts w:asciiTheme="majorHAnsi" w:hAnsiTheme="majorHAnsi" w:cstheme="majorHAnsi"/>
                <w:sz w:val="20"/>
                <w:szCs w:val="20"/>
              </w:rPr>
              <w:t xml:space="preserve"> </w:t>
            </w:r>
          </w:p>
        </w:tc>
        <w:tc>
          <w:tcPr>
            <w:tcW w:w="215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60"/>
        </w:trPr>
        <w:tc>
          <w:tcPr>
            <w:tcW w:w="13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3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MPH-DI1. Use the Evidence Analyses Process (EAP) to review a nutrition topic and develop a nutrition focused public health intervention.</w:t>
            </w:r>
          </w:p>
        </w:tc>
        <w:tc>
          <w:tcPr>
            <w:tcW w:w="215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60"/>
        </w:trPr>
        <w:tc>
          <w:tcPr>
            <w:tcW w:w="13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34" w:type="pct"/>
            <w:shd w:val="clear" w:color="auto" w:fill="auto"/>
          </w:tcPr>
          <w:p w:rsidR="00547032" w:rsidRPr="00326F5C" w:rsidRDefault="00547032" w:rsidP="006C308E">
            <w:pPr>
              <w:rPr>
                <w:rFonts w:asciiTheme="majorHAnsi" w:hAnsiTheme="majorHAnsi" w:cstheme="majorHAnsi"/>
                <w:color w:val="000000"/>
                <w:sz w:val="20"/>
                <w:szCs w:val="20"/>
              </w:rPr>
            </w:pPr>
            <w:r w:rsidRPr="00326F5C">
              <w:rPr>
                <w:rFonts w:asciiTheme="majorHAnsi" w:hAnsiTheme="majorHAnsi" w:cstheme="majorHAnsi"/>
                <w:sz w:val="20"/>
                <w:szCs w:val="20"/>
              </w:rPr>
              <w:t>MPH-DI2. Develop a public health nutrition intervention activity based on community nutrition-related needs, assets and capacities.</w:t>
            </w:r>
          </w:p>
        </w:tc>
        <w:tc>
          <w:tcPr>
            <w:tcW w:w="215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60"/>
        </w:trPr>
        <w:tc>
          <w:tcPr>
            <w:tcW w:w="1313"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Health Promotion/Health Education, Dietetic Internship, Student 5</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PHM 1496</w:t>
            </w:r>
            <w:r w:rsidRPr="00326F5C">
              <w:rPr>
                <w:rFonts w:asciiTheme="majorHAnsi" w:eastAsia="Times New Roman" w:hAnsiTheme="majorHAnsi" w:cstheme="majorHAnsi"/>
                <w:b/>
                <w:color w:val="000000"/>
                <w:sz w:val="20"/>
                <w:szCs w:val="20"/>
              </w:rPr>
              <w:br/>
            </w:r>
            <w:r w:rsidRPr="00326F5C">
              <w:rPr>
                <w:rFonts w:asciiTheme="majorHAnsi" w:eastAsia="Times New Roman" w:hAnsiTheme="majorHAnsi" w:cstheme="majorHAnsi"/>
                <w:color w:val="000000"/>
                <w:sz w:val="20"/>
                <w:szCs w:val="20"/>
              </w:rPr>
              <w:t>Capstone for Health Promotion/Behavioral Science Students (DI)</w:t>
            </w:r>
          </w:p>
          <w:p w:rsidR="00547032" w:rsidRPr="00326F5C" w:rsidRDefault="00547032" w:rsidP="006C308E">
            <w:pPr>
              <w:rPr>
                <w:rFonts w:asciiTheme="majorHAnsi" w:eastAsia="Times New Roman" w:hAnsiTheme="majorHAnsi" w:cstheme="majorHAnsi"/>
                <w:color w:val="000000"/>
                <w:sz w:val="20"/>
                <w:szCs w:val="20"/>
              </w:rPr>
            </w:pP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u w:val="single"/>
              </w:rPr>
              <w:t>Final Product</w:t>
            </w:r>
            <w:r w:rsidRPr="00326F5C">
              <w:rPr>
                <w:rFonts w:asciiTheme="majorHAnsi" w:eastAsia="Times New Roman" w:hAnsiTheme="majorHAnsi" w:cstheme="majorHAnsi"/>
                <w:i/>
                <w:color w:val="000000"/>
                <w:sz w:val="20"/>
                <w:szCs w:val="20"/>
              </w:rPr>
              <w:t xml:space="preserve">: </w:t>
            </w:r>
            <w:r w:rsidRPr="00326F5C">
              <w:rPr>
                <w:rFonts w:asciiTheme="majorHAnsi" w:eastAsia="Times New Roman" w:hAnsiTheme="majorHAnsi" w:cstheme="majorHAnsi"/>
                <w:i/>
                <w:color w:val="000000"/>
                <w:sz w:val="20"/>
                <w:szCs w:val="20"/>
              </w:rPr>
              <w:br/>
              <w:t>Independent ILE:</w:t>
            </w: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rPr>
              <w:t>Garden for Health</w:t>
            </w:r>
          </w:p>
        </w:tc>
        <w:tc>
          <w:tcPr>
            <w:tcW w:w="153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MPH-18: Select communication strategies for different audiences and sectors.</w:t>
            </w:r>
            <w:r w:rsidRPr="00326F5C" w:rsidDel="000A3CB5">
              <w:rPr>
                <w:rFonts w:asciiTheme="majorHAnsi" w:hAnsiTheme="majorHAnsi" w:cstheme="majorHAnsi"/>
                <w:sz w:val="20"/>
                <w:szCs w:val="20"/>
              </w:rPr>
              <w:t xml:space="preserve"> </w:t>
            </w:r>
          </w:p>
        </w:tc>
        <w:tc>
          <w:tcPr>
            <w:tcW w:w="2153" w:type="pct"/>
            <w:vMerge w:val="restart"/>
            <w:shd w:val="clear" w:color="auto" w:fill="auto"/>
          </w:tcPr>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sz w:val="20"/>
                <w:szCs w:val="20"/>
              </w:rPr>
              <w:t>The student organized and evaluated a Garden Wellness intervention program for the UTHealth School of Public Health faculty and staff community (MPH-20), (MPH-DI2); following a review of holistic-gardening literatures and studies (MPH-DI1). The student developed an evaluation tool and written protocol for 90-minute presentations, including a gardening presentation, cooking demonstration, and gardening activity (MPH-18).</w:t>
            </w:r>
          </w:p>
        </w:tc>
      </w:tr>
      <w:tr w:rsidR="00547032" w:rsidRPr="00326F5C" w:rsidTr="00414B04">
        <w:trPr>
          <w:trHeight w:val="60"/>
        </w:trPr>
        <w:tc>
          <w:tcPr>
            <w:tcW w:w="13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34"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MPH-20: Describe the importance of cultural competence in communicating public health content.</w:t>
            </w:r>
            <w:r w:rsidRPr="00326F5C" w:rsidDel="000A3CB5">
              <w:rPr>
                <w:rFonts w:asciiTheme="majorHAnsi" w:hAnsiTheme="majorHAnsi" w:cstheme="majorHAnsi"/>
                <w:sz w:val="20"/>
                <w:szCs w:val="20"/>
              </w:rPr>
              <w:t xml:space="preserve"> </w:t>
            </w:r>
          </w:p>
        </w:tc>
        <w:tc>
          <w:tcPr>
            <w:tcW w:w="215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60"/>
        </w:trPr>
        <w:tc>
          <w:tcPr>
            <w:tcW w:w="13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34" w:type="pct"/>
            <w:shd w:val="clear" w:color="auto" w:fill="auto"/>
          </w:tcPr>
          <w:p w:rsidR="00547032" w:rsidRPr="00326F5C" w:rsidRDefault="00547032" w:rsidP="006C308E">
            <w:pPr>
              <w:rPr>
                <w:rFonts w:asciiTheme="majorHAnsi" w:hAnsiTheme="majorHAnsi" w:cstheme="majorHAnsi"/>
                <w:color w:val="000000"/>
                <w:sz w:val="20"/>
                <w:szCs w:val="20"/>
              </w:rPr>
            </w:pPr>
            <w:r w:rsidRPr="00326F5C">
              <w:rPr>
                <w:rFonts w:asciiTheme="majorHAnsi" w:hAnsiTheme="majorHAnsi" w:cstheme="majorHAnsi"/>
                <w:sz w:val="20"/>
                <w:szCs w:val="20"/>
              </w:rPr>
              <w:t>MPH-DI1: Use the Evidence Analyses Process (EAP) to review a nutrition topic and develop a nutrition focused public health intervention.</w:t>
            </w:r>
          </w:p>
        </w:tc>
        <w:tc>
          <w:tcPr>
            <w:tcW w:w="215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60"/>
        </w:trPr>
        <w:tc>
          <w:tcPr>
            <w:tcW w:w="131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34" w:type="pct"/>
            <w:shd w:val="clear" w:color="auto" w:fill="auto"/>
          </w:tcPr>
          <w:p w:rsidR="00547032" w:rsidRPr="00326F5C" w:rsidRDefault="00547032" w:rsidP="006C308E">
            <w:pPr>
              <w:rPr>
                <w:rFonts w:asciiTheme="majorHAnsi" w:hAnsiTheme="majorHAnsi" w:cstheme="majorHAnsi"/>
                <w:color w:val="000000"/>
                <w:sz w:val="20"/>
                <w:szCs w:val="20"/>
              </w:rPr>
            </w:pPr>
            <w:r w:rsidRPr="00326F5C">
              <w:rPr>
                <w:rFonts w:asciiTheme="majorHAnsi" w:hAnsiTheme="majorHAnsi" w:cstheme="majorHAnsi"/>
                <w:sz w:val="20"/>
                <w:szCs w:val="20"/>
              </w:rPr>
              <w:t>MPH-DI2: Develop a public health nutrition intervention activity based on community nutrition-related needs, assets and capacities.</w:t>
            </w:r>
          </w:p>
        </w:tc>
        <w:tc>
          <w:tcPr>
            <w:tcW w:w="2153"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bl>
    <w:p w:rsidR="00547032" w:rsidRPr="00326F5C" w:rsidRDefault="00547032" w:rsidP="006C308E">
      <w:pPr>
        <w:rPr>
          <w:rFonts w:asciiTheme="majorHAnsi" w:hAnsiTheme="majorHAnsi" w:cstheme="majorHAnsi"/>
          <w:sz w:val="20"/>
          <w:szCs w:val="20"/>
        </w:rPr>
      </w:pPr>
    </w:p>
    <w:p w:rsidR="00547032" w:rsidRPr="00326F5C" w:rsidRDefault="00547032" w:rsidP="006C308E">
      <w:pPr>
        <w:ind w:left="720"/>
        <w:rPr>
          <w:rFonts w:asciiTheme="majorHAnsi" w:hAnsiTheme="majorHAnsi" w:cstheme="majorHAnsi"/>
          <w:sz w:val="20"/>
          <w:szCs w:val="20"/>
        </w:rPr>
      </w:pPr>
      <w:r w:rsidRPr="00326F5C">
        <w:rPr>
          <w:rFonts w:asciiTheme="majorHAnsi" w:hAnsiTheme="majorHAnsi" w:cstheme="majorHAnsi"/>
          <w:sz w:val="20"/>
          <w:szCs w:val="20"/>
        </w:rPr>
        <w:t>Table D.7.5.h. MPH Integrative Learning Experience Examples for MPH in Healthcare Management</w:t>
      </w:r>
      <w:r w:rsidR="00C90A94" w:rsidRPr="00326F5C">
        <w:rPr>
          <w:rFonts w:asciiTheme="majorHAnsi" w:hAnsiTheme="majorHAnsi" w:cstheme="majorHAnsi"/>
          <w:sz w:val="20"/>
          <w:szCs w:val="20"/>
        </w:rPr>
        <w:t xml:space="preserve"> (</w:t>
      </w:r>
      <w:r w:rsidR="00C90A94" w:rsidRPr="00326F5C">
        <w:rPr>
          <w:rFonts w:asciiTheme="majorHAnsi" w:hAnsiTheme="majorHAnsi" w:cstheme="majorHAnsi"/>
          <w:i/>
          <w:sz w:val="20"/>
          <w:szCs w:val="20"/>
        </w:rPr>
        <w:t>ERF, D7.5. MPH ILE Examples for MPH Concentrations, MPH Healthcare Management</w:t>
      </w:r>
      <w:r w:rsidR="00C90A94" w:rsidRPr="00326F5C">
        <w:rPr>
          <w:rFonts w:asciiTheme="majorHAnsi" w:hAnsiTheme="majorHAnsi" w:cstheme="majorHAnsi"/>
          <w:sz w:val="20"/>
          <w:szCs w:val="20"/>
        </w:rPr>
        <w:t>)</w:t>
      </w:r>
    </w:p>
    <w:tbl>
      <w:tblPr>
        <w:tblW w:w="4572"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609"/>
        <w:gridCol w:w="3690"/>
      </w:tblGrid>
      <w:tr w:rsidR="00547032" w:rsidRPr="00326F5C" w:rsidTr="00F026B3">
        <w:trPr>
          <w:trHeight w:val="315"/>
          <w:tblHeader/>
        </w:trPr>
        <w:tc>
          <w:tcPr>
            <w:tcW w:w="1316" w:type="pct"/>
            <w:shd w:val="clear" w:color="000000" w:fill="D9D9D9"/>
            <w:vAlign w:val="center"/>
            <w:hideMark/>
          </w:tcPr>
          <w:p w:rsidR="00547032" w:rsidRPr="00326F5C" w:rsidRDefault="00547032" w:rsidP="006C308E">
            <w:pPr>
              <w:jc w:val="center"/>
              <w:rPr>
                <w:rFonts w:asciiTheme="majorHAnsi" w:eastAsia="Times New Roman" w:hAnsiTheme="majorHAnsi" w:cstheme="majorHAnsi"/>
                <w:b/>
                <w:bCs/>
                <w:sz w:val="20"/>
                <w:szCs w:val="20"/>
              </w:rPr>
            </w:pPr>
            <w:r w:rsidRPr="00326F5C">
              <w:rPr>
                <w:rFonts w:asciiTheme="majorHAnsi" w:eastAsia="Times New Roman" w:hAnsiTheme="majorHAnsi" w:cstheme="majorHAnsi"/>
                <w:b/>
                <w:bCs/>
                <w:sz w:val="20"/>
                <w:szCs w:val="20"/>
              </w:rPr>
              <w:t>Integrative Learning Experience Option Completed</w:t>
            </w:r>
          </w:p>
        </w:tc>
        <w:tc>
          <w:tcPr>
            <w:tcW w:w="1526" w:type="pct"/>
            <w:shd w:val="clear" w:color="000000" w:fill="D9D9D9"/>
            <w:vAlign w:val="center"/>
            <w:hideMark/>
          </w:tcPr>
          <w:p w:rsidR="00547032" w:rsidRPr="00326F5C" w:rsidRDefault="00456984" w:rsidP="006C308E">
            <w:pPr>
              <w:jc w:val="center"/>
              <w:rPr>
                <w:rFonts w:asciiTheme="majorHAnsi" w:eastAsia="Times New Roman" w:hAnsiTheme="majorHAnsi" w:cstheme="majorHAnsi"/>
                <w:b/>
                <w:bCs/>
                <w:sz w:val="20"/>
                <w:szCs w:val="20"/>
              </w:rPr>
            </w:pPr>
            <w:r w:rsidRPr="00326F5C">
              <w:rPr>
                <w:rFonts w:asciiTheme="majorHAnsi" w:eastAsia="Times New Roman" w:hAnsiTheme="majorHAnsi" w:cstheme="majorHAnsi"/>
                <w:b/>
                <w:bCs/>
                <w:sz w:val="20"/>
                <w:szCs w:val="20"/>
              </w:rPr>
              <w:t xml:space="preserve">Competency as defined in </w:t>
            </w:r>
            <w:hyperlink w:anchor="_D2._MPH_Foundational_1" w:history="1">
              <w:r w:rsidRPr="00326F5C">
                <w:rPr>
                  <w:rStyle w:val="Hyperlink"/>
                  <w:rFonts w:asciiTheme="majorHAnsi" w:eastAsia="Times New Roman" w:hAnsiTheme="majorHAnsi" w:cstheme="majorHAnsi"/>
                  <w:b/>
                  <w:bCs/>
                  <w:sz w:val="20"/>
                  <w:szCs w:val="20"/>
                </w:rPr>
                <w:t>Criterion D2</w:t>
              </w:r>
            </w:hyperlink>
            <w:r w:rsidRPr="00326F5C">
              <w:rPr>
                <w:rFonts w:asciiTheme="majorHAnsi" w:eastAsia="Times New Roman" w:hAnsiTheme="majorHAnsi" w:cstheme="majorHAnsi"/>
                <w:b/>
                <w:bCs/>
                <w:sz w:val="20"/>
                <w:szCs w:val="20"/>
              </w:rPr>
              <w:t xml:space="preserve"> and </w:t>
            </w:r>
            <w:hyperlink w:anchor="_D4._MPH_&amp;" w:history="1">
              <w:r w:rsidRPr="00326F5C">
                <w:rPr>
                  <w:rStyle w:val="Hyperlink"/>
                  <w:rFonts w:asciiTheme="majorHAnsi" w:eastAsia="Times New Roman" w:hAnsiTheme="majorHAnsi" w:cstheme="majorHAnsi"/>
                  <w:b/>
                  <w:bCs/>
                  <w:sz w:val="20"/>
                  <w:szCs w:val="20"/>
                </w:rPr>
                <w:t>Criterion D4</w:t>
              </w:r>
            </w:hyperlink>
          </w:p>
        </w:tc>
        <w:tc>
          <w:tcPr>
            <w:tcW w:w="2158" w:type="pct"/>
            <w:shd w:val="clear" w:color="000000" w:fill="D9D9D9"/>
            <w:vAlign w:val="center"/>
            <w:hideMark/>
          </w:tcPr>
          <w:p w:rsidR="00547032" w:rsidRPr="00326F5C" w:rsidRDefault="00547032" w:rsidP="006C308E">
            <w:pPr>
              <w:jc w:val="center"/>
              <w:rPr>
                <w:rFonts w:asciiTheme="majorHAnsi" w:eastAsia="Times New Roman" w:hAnsiTheme="majorHAnsi" w:cstheme="majorHAnsi"/>
                <w:b/>
                <w:bCs/>
                <w:sz w:val="20"/>
                <w:szCs w:val="20"/>
              </w:rPr>
            </w:pPr>
            <w:r w:rsidRPr="00326F5C">
              <w:rPr>
                <w:rFonts w:asciiTheme="majorHAnsi" w:eastAsia="Times New Roman" w:hAnsiTheme="majorHAnsi" w:cstheme="majorHAnsi"/>
                <w:b/>
                <w:bCs/>
                <w:sz w:val="20"/>
                <w:szCs w:val="20"/>
              </w:rPr>
              <w:t>How competencies are synthesized</w:t>
            </w:r>
          </w:p>
        </w:tc>
      </w:tr>
      <w:tr w:rsidR="00547032" w:rsidRPr="00326F5C" w:rsidTr="00414B04">
        <w:trPr>
          <w:trHeight w:val="890"/>
        </w:trPr>
        <w:tc>
          <w:tcPr>
            <w:tcW w:w="1316"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Healthcare Management, Student 1</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PHM 9998</w:t>
            </w:r>
            <w:r w:rsidRPr="00326F5C">
              <w:rPr>
                <w:rFonts w:asciiTheme="majorHAnsi" w:eastAsia="Times New Roman" w:hAnsiTheme="majorHAnsi" w:cstheme="majorHAnsi"/>
                <w:color w:val="000000"/>
                <w:sz w:val="20"/>
                <w:szCs w:val="20"/>
              </w:rPr>
              <w:t xml:space="preserve"> Culminating Experience/Thesis</w:t>
            </w:r>
          </w:p>
          <w:p w:rsidR="00547032" w:rsidRPr="00326F5C" w:rsidRDefault="00547032" w:rsidP="006C308E">
            <w:pPr>
              <w:rPr>
                <w:rFonts w:asciiTheme="majorHAnsi" w:eastAsia="Times New Roman" w:hAnsiTheme="majorHAnsi" w:cstheme="majorHAnsi"/>
                <w:color w:val="000000"/>
                <w:sz w:val="20"/>
                <w:szCs w:val="20"/>
              </w:rPr>
            </w:pP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u w:val="single"/>
              </w:rPr>
              <w:t>Final Product</w:t>
            </w:r>
            <w:r w:rsidRPr="00326F5C">
              <w:rPr>
                <w:rFonts w:asciiTheme="majorHAnsi" w:eastAsia="Times New Roman" w:hAnsiTheme="majorHAnsi" w:cstheme="majorHAnsi"/>
                <w:i/>
                <w:color w:val="000000"/>
                <w:sz w:val="20"/>
                <w:szCs w:val="20"/>
              </w:rPr>
              <w:t>: Independent ILE: Written and Oral Presentation of Cases</w:t>
            </w:r>
          </w:p>
        </w:tc>
        <w:tc>
          <w:tcPr>
            <w:tcW w:w="1526" w:type="pct"/>
            <w:shd w:val="clear" w:color="auto" w:fill="auto"/>
          </w:tcPr>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hAnsiTheme="majorHAnsi" w:cstheme="majorHAnsi"/>
                <w:sz w:val="20"/>
                <w:szCs w:val="20"/>
              </w:rPr>
              <w:t>MPH-3: Analyze quantitative and qualitative data using biostatistics, informatics, computer-based programming and software, as appropriate.</w:t>
            </w:r>
          </w:p>
        </w:tc>
        <w:tc>
          <w:tcPr>
            <w:tcW w:w="2158" w:type="pct"/>
            <w:vMerge w:val="restart"/>
            <w:shd w:val="clear" w:color="auto" w:fill="auto"/>
          </w:tcPr>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color w:val="000000"/>
                <w:sz w:val="20"/>
                <w:szCs w:val="20"/>
              </w:rPr>
              <w:t>The student received a case to evaluate, develop, and present within one month. The student analyzed quantitative and qualitative data using software as appropriate and interpreted the results of their analysis for public health practice (MPH-3), (MPH-4). The student submitted an executive summary and delivered an oral presentation to classmates, providing the opportunity to synthesize opportunities and challenges an organization faced and communicate appropriate vision and strategies for organization success (MPH-M3), (MPH-M2).</w:t>
            </w:r>
          </w:p>
        </w:tc>
      </w:tr>
      <w:tr w:rsidR="00547032" w:rsidRPr="00326F5C" w:rsidTr="00414B04">
        <w:trPr>
          <w:trHeight w:val="728"/>
        </w:trPr>
        <w:tc>
          <w:tcPr>
            <w:tcW w:w="1316"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6" w:type="pct"/>
            <w:shd w:val="clear" w:color="auto" w:fill="auto"/>
          </w:tcPr>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hAnsiTheme="majorHAnsi" w:cstheme="majorHAnsi"/>
                <w:sz w:val="20"/>
                <w:szCs w:val="20"/>
              </w:rPr>
              <w:t>MPH-4: Interpret results of data analysis for public health research, policy or practice.</w:t>
            </w:r>
          </w:p>
        </w:tc>
        <w:tc>
          <w:tcPr>
            <w:tcW w:w="2158"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1070"/>
        </w:trPr>
        <w:tc>
          <w:tcPr>
            <w:tcW w:w="1316"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6"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MPH-M2 (SO): Strategic Orientation: Synthesizes organizational opportunities and challenges and defends strategies for organizational success.</w:t>
            </w:r>
          </w:p>
        </w:tc>
        <w:tc>
          <w:tcPr>
            <w:tcW w:w="2158"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1286"/>
        </w:trPr>
        <w:tc>
          <w:tcPr>
            <w:tcW w:w="1316"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6"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MPH-M3. (AT): Analytical Thinking: Evaluates and analyzes quality, safety and financial performance measures to support managerial decision making in healthcare organizations.</w:t>
            </w:r>
          </w:p>
        </w:tc>
        <w:tc>
          <w:tcPr>
            <w:tcW w:w="2158"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77"/>
        </w:trPr>
        <w:tc>
          <w:tcPr>
            <w:tcW w:w="1316"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Healthcare Management, Student 2</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b/>
                <w:color w:val="000000"/>
                <w:sz w:val="20"/>
                <w:szCs w:val="20"/>
              </w:rPr>
              <w:t>PHM 3996</w:t>
            </w:r>
            <w:r w:rsidRPr="00326F5C">
              <w:rPr>
                <w:rFonts w:asciiTheme="majorHAnsi" w:eastAsia="Times New Roman" w:hAnsiTheme="majorHAnsi" w:cstheme="majorHAnsi"/>
                <w:color w:val="000000"/>
                <w:sz w:val="20"/>
                <w:szCs w:val="20"/>
              </w:rPr>
              <w:t xml:space="preserve"> Capstone for MPACH </w:t>
            </w:r>
            <w:r w:rsidRPr="00326F5C">
              <w:rPr>
                <w:rFonts w:asciiTheme="majorHAnsi" w:eastAsia="Times New Roman" w:hAnsiTheme="majorHAnsi" w:cstheme="majorHAnsi"/>
                <w:sz w:val="20"/>
                <w:szCs w:val="20"/>
              </w:rPr>
              <w:t>Students -  Special Topic: Public Health in Interprofessional Education</w:t>
            </w:r>
          </w:p>
          <w:p w:rsidR="00547032" w:rsidRPr="00326F5C" w:rsidRDefault="00547032" w:rsidP="006C308E">
            <w:pPr>
              <w:rPr>
                <w:rFonts w:asciiTheme="majorHAnsi" w:eastAsia="Times New Roman" w:hAnsiTheme="majorHAnsi" w:cstheme="majorHAnsi"/>
                <w:sz w:val="20"/>
                <w:szCs w:val="20"/>
              </w:rPr>
            </w:pPr>
          </w:p>
          <w:p w:rsidR="00547032" w:rsidRPr="00326F5C" w:rsidRDefault="00547032" w:rsidP="006C308E">
            <w:pPr>
              <w:rPr>
                <w:rFonts w:asciiTheme="majorHAnsi" w:eastAsia="Times New Roman" w:hAnsiTheme="majorHAnsi" w:cstheme="majorHAnsi"/>
                <w:i/>
                <w:sz w:val="20"/>
                <w:szCs w:val="20"/>
              </w:rPr>
            </w:pPr>
            <w:r w:rsidRPr="00326F5C">
              <w:rPr>
                <w:rFonts w:asciiTheme="majorHAnsi" w:eastAsia="Times New Roman" w:hAnsiTheme="majorHAnsi" w:cstheme="majorHAnsi"/>
                <w:i/>
                <w:sz w:val="20"/>
                <w:szCs w:val="20"/>
                <w:u w:val="single"/>
              </w:rPr>
              <w:t>Final Product:</w:t>
            </w:r>
            <w:r w:rsidRPr="00326F5C">
              <w:rPr>
                <w:rFonts w:asciiTheme="majorHAnsi" w:eastAsia="Times New Roman" w:hAnsiTheme="majorHAnsi" w:cstheme="majorHAnsi"/>
                <w:i/>
                <w:sz w:val="20"/>
                <w:szCs w:val="20"/>
              </w:rPr>
              <w:t xml:space="preserve"> Paper Series</w:t>
            </w:r>
          </w:p>
        </w:tc>
        <w:tc>
          <w:tcPr>
            <w:tcW w:w="1526"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MPH-4: Interpret results of data analysis for public health research, policy or practice.</w:t>
            </w:r>
          </w:p>
        </w:tc>
        <w:tc>
          <w:tcPr>
            <w:tcW w:w="2158" w:type="pct"/>
            <w:vMerge w:val="restart"/>
            <w:shd w:val="clear" w:color="auto" w:fill="auto"/>
          </w:tcPr>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sz w:val="20"/>
                <w:szCs w:val="20"/>
              </w:rPr>
              <w:t>The student collaborated in a professional setting to produce a final product focusing on healthcare organizations and multi-sector safety event collaboration (MPH-M1). The final product is a series of three papers addressing an area of focus within healthcare management. Paper one, evaluated three patient safety events and analyzed how quality and safety measures were utilized (MPH-M3),</w:t>
            </w:r>
            <w:r w:rsidRPr="00326F5C">
              <w:rPr>
                <w:rStyle w:val="CommentReference"/>
                <w:rFonts w:asciiTheme="majorHAnsi" w:hAnsiTheme="majorHAnsi" w:cstheme="majorHAnsi"/>
                <w:sz w:val="20"/>
                <w:szCs w:val="20"/>
              </w:rPr>
              <w:t xml:space="preserve"> and demonstrated the importance of team collaboration, communication, and leadership in avoiding such incidents (MPH-M1). Paper two </w:t>
            </w:r>
            <w:r w:rsidRPr="00326F5C">
              <w:rPr>
                <w:rFonts w:asciiTheme="majorHAnsi" w:eastAsia="Times New Roman" w:hAnsiTheme="majorHAnsi" w:cstheme="majorHAnsi"/>
                <w:sz w:val="20"/>
                <w:szCs w:val="20"/>
              </w:rPr>
              <w:t>interpreted data from the County Health Rankings and compared several counties (MPH-4). Using this data, the student assessed population needs and the capacities that affect the selected counties (MPH-7).  Paper three researched the role public health played in selected disaster and recovery scenarios and identified knowledge and skills needed for leaders to maintain high ethical standards in times of emergency (MPH-M4).</w:t>
            </w:r>
          </w:p>
        </w:tc>
      </w:tr>
      <w:tr w:rsidR="00547032" w:rsidRPr="00326F5C" w:rsidTr="00414B04">
        <w:trPr>
          <w:trHeight w:val="77"/>
        </w:trPr>
        <w:tc>
          <w:tcPr>
            <w:tcW w:w="1316"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6" w:type="pct"/>
            <w:shd w:val="clear" w:color="auto" w:fill="auto"/>
          </w:tcPr>
          <w:p w:rsidR="00547032" w:rsidRPr="00326F5C" w:rsidRDefault="00547032" w:rsidP="006C308E">
            <w:pPr>
              <w:ind w:right="-65"/>
              <w:rPr>
                <w:rFonts w:asciiTheme="majorHAnsi" w:hAnsiTheme="majorHAnsi" w:cstheme="majorHAnsi"/>
                <w:sz w:val="20"/>
                <w:szCs w:val="20"/>
              </w:rPr>
            </w:pPr>
            <w:r w:rsidRPr="00326F5C">
              <w:rPr>
                <w:rFonts w:asciiTheme="majorHAnsi" w:hAnsiTheme="majorHAnsi" w:cstheme="majorHAnsi"/>
                <w:sz w:val="20"/>
                <w:szCs w:val="20"/>
              </w:rPr>
              <w:t>MPH-7: Assess population needs, assets and capacities that affect communities’ health.</w:t>
            </w:r>
          </w:p>
        </w:tc>
        <w:tc>
          <w:tcPr>
            <w:tcW w:w="2158"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77"/>
        </w:trPr>
        <w:tc>
          <w:tcPr>
            <w:tcW w:w="1316"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6"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 xml:space="preserve">MPH-M1. (TL): Team Leadership: Collaborates with others to complete team-based assignments within healthcare organizations, adapting when needed to maximize organizational and personal success.  </w:t>
            </w:r>
          </w:p>
        </w:tc>
        <w:tc>
          <w:tcPr>
            <w:tcW w:w="2158"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242"/>
        </w:trPr>
        <w:tc>
          <w:tcPr>
            <w:tcW w:w="1316"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6"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MPH-M3. (AT): Analytical Thinking: Evaluates and analyzes quality, safety and financial performance measures to support managerial decision making in healthcare organizations.</w:t>
            </w:r>
          </w:p>
        </w:tc>
        <w:tc>
          <w:tcPr>
            <w:tcW w:w="2158"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1080"/>
        </w:trPr>
        <w:tc>
          <w:tcPr>
            <w:tcW w:w="1316"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6"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MPH-M4. (EP): Ethics &amp; Professionalism: Synthesizes knowledge and skills needed to excel professionally with high ethical standards and uses these skills while making a meaningful contribution to the field.</w:t>
            </w:r>
          </w:p>
        </w:tc>
        <w:tc>
          <w:tcPr>
            <w:tcW w:w="2158"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246"/>
        </w:trPr>
        <w:tc>
          <w:tcPr>
            <w:tcW w:w="1316"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Healthcare Management, Student 3</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PHM 9998</w:t>
            </w:r>
            <w:r w:rsidRPr="00326F5C">
              <w:rPr>
                <w:rFonts w:asciiTheme="majorHAnsi" w:eastAsia="Times New Roman" w:hAnsiTheme="majorHAnsi" w:cstheme="majorHAnsi"/>
                <w:color w:val="000000"/>
                <w:sz w:val="20"/>
                <w:szCs w:val="20"/>
              </w:rPr>
              <w:t xml:space="preserve"> Culminating Experience/Thesis</w:t>
            </w:r>
          </w:p>
          <w:p w:rsidR="00547032" w:rsidRPr="00326F5C" w:rsidRDefault="00547032" w:rsidP="006C308E">
            <w:pPr>
              <w:rPr>
                <w:rFonts w:asciiTheme="majorHAnsi" w:eastAsia="Times New Roman" w:hAnsiTheme="majorHAnsi" w:cstheme="majorHAnsi"/>
                <w:color w:val="000000"/>
                <w:sz w:val="20"/>
                <w:szCs w:val="20"/>
              </w:rPr>
            </w:pPr>
          </w:p>
          <w:p w:rsidR="00547032" w:rsidRPr="00326F5C" w:rsidRDefault="00547032" w:rsidP="006C308E">
            <w:pPr>
              <w:rPr>
                <w:rFonts w:asciiTheme="majorHAnsi" w:eastAsia="Times New Roman" w:hAnsiTheme="majorHAnsi" w:cstheme="majorHAnsi"/>
                <w:i/>
                <w:sz w:val="20"/>
                <w:szCs w:val="20"/>
              </w:rPr>
            </w:pPr>
            <w:r w:rsidRPr="00326F5C">
              <w:rPr>
                <w:rFonts w:asciiTheme="majorHAnsi" w:eastAsia="Times New Roman" w:hAnsiTheme="majorHAnsi" w:cstheme="majorHAnsi"/>
                <w:i/>
                <w:color w:val="000000"/>
                <w:sz w:val="20"/>
                <w:szCs w:val="20"/>
                <w:u w:val="single"/>
              </w:rPr>
              <w:t>Final Product</w:t>
            </w:r>
            <w:r w:rsidRPr="00326F5C">
              <w:rPr>
                <w:rFonts w:asciiTheme="majorHAnsi" w:eastAsia="Times New Roman" w:hAnsiTheme="majorHAnsi" w:cstheme="majorHAnsi"/>
                <w:i/>
                <w:color w:val="000000"/>
                <w:sz w:val="20"/>
                <w:szCs w:val="20"/>
              </w:rPr>
              <w:t>: Thesis:</w:t>
            </w:r>
            <w:r w:rsidRPr="00326F5C">
              <w:rPr>
                <w:rFonts w:asciiTheme="majorHAnsi" w:eastAsia="Times New Roman" w:hAnsiTheme="majorHAnsi" w:cstheme="majorHAnsi"/>
                <w:i/>
                <w:sz w:val="20"/>
                <w:szCs w:val="20"/>
              </w:rPr>
              <w:t xml:space="preserve"> Predictors of On-treatment Mortality of Patients Undergoing Palliative Radiation Therapy: Improving the Quality of End-of-Life Cancer Care</w:t>
            </w:r>
            <w:r w:rsidRPr="00326F5C" w:rsidDel="00CF3A70">
              <w:rPr>
                <w:rFonts w:asciiTheme="majorHAnsi" w:eastAsia="Times New Roman" w:hAnsiTheme="majorHAnsi" w:cstheme="majorHAnsi"/>
                <w:sz w:val="20"/>
                <w:szCs w:val="20"/>
              </w:rPr>
              <w:t xml:space="preserve"> </w:t>
            </w:r>
          </w:p>
        </w:tc>
        <w:tc>
          <w:tcPr>
            <w:tcW w:w="1526" w:type="pct"/>
            <w:shd w:val="clear" w:color="auto" w:fill="auto"/>
          </w:tcPr>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hAnsiTheme="majorHAnsi" w:cstheme="majorHAnsi"/>
                <w:sz w:val="20"/>
                <w:szCs w:val="20"/>
              </w:rPr>
              <w:t>MPH-3: Analyze quantitative and qualitative data using biostatistics, informatics, computer-based programming and software, as appropriate.</w:t>
            </w:r>
          </w:p>
        </w:tc>
        <w:tc>
          <w:tcPr>
            <w:tcW w:w="2158" w:type="pct"/>
            <w:vMerge w:val="restart"/>
            <w:shd w:val="clear" w:color="auto" w:fill="auto"/>
          </w:tcPr>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color w:val="000000"/>
                <w:sz w:val="20"/>
                <w:szCs w:val="20"/>
              </w:rPr>
              <w:t>The student analyzed and interpreted data using computer-based software, evaluating factors associated with mortality during radiation therapy (as this is a suggested measure of healthcare quality with regard to radiotherapy and healthcare in the setting of palliation and end-of-life care) (MPH-3), (MPH-4). The student designed an institution-wide (MD Anderson) guideline for practitioners for the selection of radiotherapy in palliation; patient and treatment factors that may place a patient at high-risk for mortality during or shortly after radiotherapy; and highlighted risk factors to ensure they are taken into consideration (MPH-M3), (MPH-9), (MPH-M2).</w:t>
            </w:r>
          </w:p>
        </w:tc>
      </w:tr>
      <w:tr w:rsidR="00547032" w:rsidRPr="00326F5C" w:rsidTr="00414B04">
        <w:trPr>
          <w:trHeight w:val="332"/>
        </w:trPr>
        <w:tc>
          <w:tcPr>
            <w:tcW w:w="1316"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6" w:type="pct"/>
            <w:shd w:val="clear" w:color="auto" w:fill="auto"/>
          </w:tcPr>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hAnsiTheme="majorHAnsi" w:cstheme="majorHAnsi"/>
                <w:sz w:val="20"/>
                <w:szCs w:val="20"/>
              </w:rPr>
              <w:t>MPH-4: Interpret results of data analysis for public health research, policy or practice.</w:t>
            </w:r>
          </w:p>
        </w:tc>
        <w:tc>
          <w:tcPr>
            <w:tcW w:w="2158"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243"/>
        </w:trPr>
        <w:tc>
          <w:tcPr>
            <w:tcW w:w="1316"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6"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MPH-9: Design a population-based policy, program, project or intervention.</w:t>
            </w:r>
          </w:p>
        </w:tc>
        <w:tc>
          <w:tcPr>
            <w:tcW w:w="2158"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197"/>
        </w:trPr>
        <w:tc>
          <w:tcPr>
            <w:tcW w:w="1316"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6"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MPH-M2. (SO): Strategic Orientation: Synthesizes organizational opportunities and challenges and defends strategies for organizational success.</w:t>
            </w:r>
          </w:p>
        </w:tc>
        <w:tc>
          <w:tcPr>
            <w:tcW w:w="2158"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305"/>
        </w:trPr>
        <w:tc>
          <w:tcPr>
            <w:tcW w:w="1316"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6" w:type="pct"/>
            <w:shd w:val="clear" w:color="auto" w:fill="auto"/>
          </w:tcPr>
          <w:p w:rsidR="00547032" w:rsidRPr="00326F5C" w:rsidRDefault="00547032" w:rsidP="006C308E">
            <w:pPr>
              <w:rPr>
                <w:rFonts w:asciiTheme="majorHAnsi" w:eastAsia="Times New Roman" w:hAnsiTheme="majorHAnsi" w:cstheme="majorHAnsi"/>
                <w:color w:val="000000"/>
                <w:sz w:val="20"/>
                <w:szCs w:val="20"/>
                <w:highlight w:val="yellow"/>
              </w:rPr>
            </w:pPr>
            <w:r w:rsidRPr="00326F5C">
              <w:rPr>
                <w:rFonts w:asciiTheme="majorHAnsi" w:hAnsiTheme="majorHAnsi" w:cstheme="majorHAnsi"/>
                <w:sz w:val="20"/>
                <w:szCs w:val="20"/>
              </w:rPr>
              <w:t>MPH-M3. (AT): Analytical Thinking: Evaluates and analyzes quality, safety and financial performance measures to support managerial decision making in healthcare organizations.</w:t>
            </w:r>
          </w:p>
        </w:tc>
        <w:tc>
          <w:tcPr>
            <w:tcW w:w="2158"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1481"/>
        </w:trPr>
        <w:tc>
          <w:tcPr>
            <w:tcW w:w="1316"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Healthcare Management, Student 4</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PHM 3996</w:t>
            </w:r>
            <w:r w:rsidRPr="00326F5C">
              <w:rPr>
                <w:rFonts w:asciiTheme="majorHAnsi" w:eastAsia="Times New Roman" w:hAnsiTheme="majorHAnsi" w:cstheme="majorHAnsi"/>
                <w:color w:val="000000"/>
                <w:sz w:val="20"/>
                <w:szCs w:val="20"/>
              </w:rPr>
              <w:t xml:space="preserve"> Capstone for MPACH Students - Special Topics: Healthcare Management Case Competition</w:t>
            </w:r>
          </w:p>
          <w:p w:rsidR="00547032" w:rsidRPr="00326F5C" w:rsidRDefault="00547032" w:rsidP="006C308E">
            <w:pPr>
              <w:rPr>
                <w:rFonts w:asciiTheme="majorHAnsi" w:eastAsia="Times New Roman" w:hAnsiTheme="majorHAnsi" w:cstheme="majorHAnsi"/>
                <w:color w:val="000000"/>
                <w:sz w:val="20"/>
                <w:szCs w:val="20"/>
              </w:rPr>
            </w:pP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u w:val="single"/>
              </w:rPr>
              <w:t>Final Product</w:t>
            </w:r>
            <w:r w:rsidRPr="00326F5C">
              <w:rPr>
                <w:rFonts w:asciiTheme="majorHAnsi" w:eastAsia="Times New Roman" w:hAnsiTheme="majorHAnsi" w:cstheme="majorHAnsi"/>
                <w:i/>
                <w:color w:val="000000"/>
                <w:sz w:val="20"/>
                <w:szCs w:val="20"/>
              </w:rPr>
              <w:t xml:space="preserve">: </w:t>
            </w: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i/>
                <w:color w:val="000000"/>
                <w:sz w:val="20"/>
                <w:szCs w:val="20"/>
              </w:rPr>
              <w:t>Hoag Orthopedic Institute</w:t>
            </w:r>
          </w:p>
        </w:tc>
        <w:tc>
          <w:tcPr>
            <w:tcW w:w="1526" w:type="pct"/>
            <w:shd w:val="clear" w:color="auto" w:fill="auto"/>
          </w:tcPr>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hAnsiTheme="majorHAnsi" w:cstheme="majorHAnsi"/>
                <w:sz w:val="20"/>
                <w:szCs w:val="20"/>
              </w:rPr>
              <w:t>MPH-3: Analyze quantitative and qualitative data using biostatistics, informatics, computer-based programming and software, as appropriate.</w:t>
            </w:r>
          </w:p>
        </w:tc>
        <w:tc>
          <w:tcPr>
            <w:tcW w:w="2158" w:type="pct"/>
            <w:vMerge w:val="restart"/>
            <w:shd w:val="clear" w:color="auto" w:fill="auto"/>
          </w:tcPr>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color w:val="000000"/>
                <w:sz w:val="20"/>
                <w:szCs w:val="20"/>
              </w:rPr>
              <w:t xml:space="preserve">The student developed a strategy to expand a for-profit orthopedic hospital in Irvine, California (MPH-M2) whose mission is to </w:t>
            </w:r>
            <w:r w:rsidRPr="00326F5C">
              <w:rPr>
                <w:rFonts w:asciiTheme="majorHAnsi" w:hAnsiTheme="majorHAnsi" w:cstheme="majorHAnsi"/>
                <w:sz w:val="20"/>
                <w:szCs w:val="20"/>
              </w:rPr>
              <w:t>restore, improve, and enhance the health and mobility of individuals with musculoskeletal conditions and disease. Through an analysis of quantitative and qualitative data, they developed a SWOT analysis related to project goals (MPH-3). The student discussed organizational and competitive climate, and synthesized opportunities and challenges the organization faces (MPH-M2). Through the student’s written executive summary and oral presentation, they demonstrated ethical decision-making and professionalism when designing their strategy and detailing its impact at both the organizational- and patient-level (MPH-M4). The results of this project are linked to informing and enhancing public health practice within this identified community and organization (MPH-4).</w:t>
            </w:r>
          </w:p>
        </w:tc>
      </w:tr>
      <w:tr w:rsidR="00547032" w:rsidRPr="00326F5C" w:rsidTr="00414B04">
        <w:trPr>
          <w:trHeight w:val="1482"/>
        </w:trPr>
        <w:tc>
          <w:tcPr>
            <w:tcW w:w="1316" w:type="pct"/>
            <w:vMerge/>
            <w:shd w:val="clear" w:color="auto" w:fill="auto"/>
          </w:tcPr>
          <w:p w:rsidR="00547032" w:rsidRPr="00326F5C" w:rsidRDefault="00547032" w:rsidP="006C308E">
            <w:pPr>
              <w:rPr>
                <w:rFonts w:asciiTheme="majorHAnsi" w:eastAsia="Times New Roman" w:hAnsiTheme="majorHAnsi" w:cstheme="majorHAnsi"/>
                <w:sz w:val="20"/>
                <w:szCs w:val="20"/>
                <w:highlight w:val="yellow"/>
              </w:rPr>
            </w:pPr>
          </w:p>
        </w:tc>
        <w:tc>
          <w:tcPr>
            <w:tcW w:w="1526" w:type="pct"/>
            <w:shd w:val="clear" w:color="auto" w:fill="auto"/>
          </w:tcPr>
          <w:p w:rsidR="00547032" w:rsidRPr="00326F5C" w:rsidRDefault="00547032" w:rsidP="006C308E">
            <w:pPr>
              <w:rPr>
                <w:rFonts w:asciiTheme="majorHAnsi" w:eastAsia="Times New Roman" w:hAnsiTheme="majorHAnsi" w:cstheme="majorHAnsi"/>
                <w:color w:val="000000"/>
                <w:sz w:val="20"/>
                <w:szCs w:val="20"/>
                <w:highlight w:val="yellow"/>
              </w:rPr>
            </w:pPr>
            <w:r w:rsidRPr="00326F5C">
              <w:rPr>
                <w:rFonts w:asciiTheme="majorHAnsi" w:hAnsiTheme="majorHAnsi" w:cstheme="majorHAnsi"/>
                <w:sz w:val="20"/>
                <w:szCs w:val="20"/>
              </w:rPr>
              <w:t>MPH-4: Interpret results of data analysis for public health research, policy or practice.</w:t>
            </w:r>
          </w:p>
        </w:tc>
        <w:tc>
          <w:tcPr>
            <w:tcW w:w="2158" w:type="pct"/>
            <w:vMerge/>
            <w:shd w:val="clear" w:color="auto" w:fill="auto"/>
          </w:tcPr>
          <w:p w:rsidR="00547032" w:rsidRPr="00326F5C" w:rsidRDefault="00547032" w:rsidP="006C308E">
            <w:pPr>
              <w:rPr>
                <w:rFonts w:asciiTheme="majorHAnsi" w:eastAsia="Times New Roman" w:hAnsiTheme="majorHAnsi" w:cstheme="majorHAnsi"/>
                <w:sz w:val="20"/>
                <w:szCs w:val="20"/>
                <w:highlight w:val="yellow"/>
              </w:rPr>
            </w:pPr>
          </w:p>
        </w:tc>
      </w:tr>
      <w:tr w:rsidR="00547032" w:rsidRPr="00326F5C" w:rsidTr="00414B04">
        <w:trPr>
          <w:trHeight w:val="1481"/>
        </w:trPr>
        <w:tc>
          <w:tcPr>
            <w:tcW w:w="1316" w:type="pct"/>
            <w:vMerge/>
            <w:shd w:val="clear" w:color="auto" w:fill="auto"/>
          </w:tcPr>
          <w:p w:rsidR="00547032" w:rsidRPr="00326F5C" w:rsidRDefault="00547032" w:rsidP="006C308E">
            <w:pPr>
              <w:rPr>
                <w:rFonts w:asciiTheme="majorHAnsi" w:eastAsia="Times New Roman" w:hAnsiTheme="majorHAnsi" w:cstheme="majorHAnsi"/>
                <w:sz w:val="20"/>
                <w:szCs w:val="20"/>
                <w:highlight w:val="yellow"/>
              </w:rPr>
            </w:pPr>
          </w:p>
        </w:tc>
        <w:tc>
          <w:tcPr>
            <w:tcW w:w="1526" w:type="pct"/>
            <w:shd w:val="clear" w:color="auto" w:fill="auto"/>
          </w:tcPr>
          <w:p w:rsidR="00547032" w:rsidRPr="00326F5C" w:rsidRDefault="00547032" w:rsidP="006C308E">
            <w:pPr>
              <w:rPr>
                <w:rFonts w:asciiTheme="majorHAnsi" w:eastAsia="Times New Roman" w:hAnsiTheme="majorHAnsi" w:cstheme="majorHAnsi"/>
                <w:color w:val="000000"/>
                <w:sz w:val="20"/>
                <w:szCs w:val="20"/>
                <w:highlight w:val="yellow"/>
              </w:rPr>
            </w:pPr>
            <w:r w:rsidRPr="00326F5C">
              <w:rPr>
                <w:rFonts w:asciiTheme="majorHAnsi" w:hAnsiTheme="majorHAnsi" w:cstheme="majorHAnsi"/>
                <w:sz w:val="20"/>
                <w:szCs w:val="20"/>
              </w:rPr>
              <w:t>MPH-M4. (EP): Ethics &amp; Professionalism: Synthesizes knowledge and skills needed to excel professionally with high ethical standards and uses these skills while making a meaningful contribution to the field.</w:t>
            </w:r>
          </w:p>
        </w:tc>
        <w:tc>
          <w:tcPr>
            <w:tcW w:w="2158" w:type="pct"/>
            <w:vMerge/>
            <w:shd w:val="clear" w:color="auto" w:fill="auto"/>
          </w:tcPr>
          <w:p w:rsidR="00547032" w:rsidRPr="00326F5C" w:rsidRDefault="00547032" w:rsidP="006C308E">
            <w:pPr>
              <w:rPr>
                <w:rFonts w:asciiTheme="majorHAnsi" w:eastAsia="Times New Roman" w:hAnsiTheme="majorHAnsi" w:cstheme="majorHAnsi"/>
                <w:sz w:val="20"/>
                <w:szCs w:val="20"/>
                <w:highlight w:val="yellow"/>
              </w:rPr>
            </w:pPr>
          </w:p>
        </w:tc>
      </w:tr>
      <w:tr w:rsidR="00547032" w:rsidRPr="00326F5C" w:rsidTr="00414B04">
        <w:trPr>
          <w:trHeight w:val="1482"/>
        </w:trPr>
        <w:tc>
          <w:tcPr>
            <w:tcW w:w="1316" w:type="pct"/>
            <w:vMerge/>
            <w:shd w:val="clear" w:color="auto" w:fill="auto"/>
          </w:tcPr>
          <w:p w:rsidR="00547032" w:rsidRPr="00326F5C" w:rsidRDefault="00547032" w:rsidP="006C308E">
            <w:pPr>
              <w:rPr>
                <w:rFonts w:asciiTheme="majorHAnsi" w:eastAsia="Times New Roman" w:hAnsiTheme="majorHAnsi" w:cstheme="majorHAnsi"/>
                <w:sz w:val="20"/>
                <w:szCs w:val="20"/>
                <w:highlight w:val="yellow"/>
              </w:rPr>
            </w:pPr>
          </w:p>
        </w:tc>
        <w:tc>
          <w:tcPr>
            <w:tcW w:w="1526" w:type="pct"/>
            <w:shd w:val="clear" w:color="auto" w:fill="auto"/>
          </w:tcPr>
          <w:p w:rsidR="00547032" w:rsidRPr="00326F5C" w:rsidRDefault="00547032" w:rsidP="006C308E">
            <w:pPr>
              <w:rPr>
                <w:rFonts w:asciiTheme="majorHAnsi" w:eastAsia="Times New Roman" w:hAnsiTheme="majorHAnsi" w:cstheme="majorHAnsi"/>
                <w:color w:val="000000"/>
                <w:sz w:val="20"/>
                <w:szCs w:val="20"/>
                <w:highlight w:val="yellow"/>
              </w:rPr>
            </w:pPr>
            <w:r w:rsidRPr="00326F5C">
              <w:rPr>
                <w:rFonts w:asciiTheme="majorHAnsi" w:hAnsiTheme="majorHAnsi" w:cstheme="majorHAnsi"/>
                <w:sz w:val="20"/>
                <w:szCs w:val="20"/>
              </w:rPr>
              <w:t>MPH-M2 (SO): Strategic Orientation: Synthesizes organizational opportunities and challenges and defends strategies for organizational success.</w:t>
            </w:r>
          </w:p>
        </w:tc>
        <w:tc>
          <w:tcPr>
            <w:tcW w:w="2158" w:type="pct"/>
            <w:vMerge/>
            <w:shd w:val="clear" w:color="auto" w:fill="auto"/>
          </w:tcPr>
          <w:p w:rsidR="00547032" w:rsidRPr="00326F5C" w:rsidRDefault="00547032" w:rsidP="006C308E">
            <w:pPr>
              <w:rPr>
                <w:rFonts w:asciiTheme="majorHAnsi" w:eastAsia="Times New Roman" w:hAnsiTheme="majorHAnsi" w:cstheme="majorHAnsi"/>
                <w:sz w:val="20"/>
                <w:szCs w:val="20"/>
                <w:highlight w:val="yellow"/>
              </w:rPr>
            </w:pPr>
          </w:p>
        </w:tc>
      </w:tr>
      <w:tr w:rsidR="00547032" w:rsidRPr="00326F5C" w:rsidTr="00414B04">
        <w:trPr>
          <w:trHeight w:val="60"/>
        </w:trPr>
        <w:tc>
          <w:tcPr>
            <w:tcW w:w="1316"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Healthcare Management, Student 5</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PHM 9998</w:t>
            </w:r>
            <w:r w:rsidRPr="00326F5C">
              <w:rPr>
                <w:rFonts w:asciiTheme="majorHAnsi" w:eastAsia="Times New Roman" w:hAnsiTheme="majorHAnsi" w:cstheme="majorHAnsi"/>
                <w:color w:val="000000"/>
                <w:sz w:val="20"/>
                <w:szCs w:val="20"/>
              </w:rPr>
              <w:t xml:space="preserve"> Culminating Experience/Thesis</w:t>
            </w:r>
          </w:p>
          <w:p w:rsidR="00547032" w:rsidRPr="00326F5C" w:rsidRDefault="00547032" w:rsidP="006C308E">
            <w:pPr>
              <w:rPr>
                <w:rFonts w:asciiTheme="majorHAnsi" w:eastAsia="Times New Roman" w:hAnsiTheme="majorHAnsi" w:cstheme="majorHAnsi"/>
                <w:color w:val="000000"/>
                <w:sz w:val="20"/>
                <w:szCs w:val="20"/>
              </w:rPr>
            </w:pP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u w:val="single"/>
              </w:rPr>
              <w:t>Final Product</w:t>
            </w:r>
            <w:r w:rsidRPr="00326F5C">
              <w:rPr>
                <w:rFonts w:asciiTheme="majorHAnsi" w:eastAsia="Times New Roman" w:hAnsiTheme="majorHAnsi" w:cstheme="majorHAnsi"/>
                <w:i/>
                <w:color w:val="000000"/>
                <w:sz w:val="20"/>
                <w:szCs w:val="20"/>
              </w:rPr>
              <w:t>: Independent ILE: Team Case Competition, Independent Case Analysis</w:t>
            </w:r>
          </w:p>
        </w:tc>
        <w:tc>
          <w:tcPr>
            <w:tcW w:w="1526"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MPH-2: Select quantitative and qualitative data collection methods appropriate for a given public health context.</w:t>
            </w:r>
          </w:p>
        </w:tc>
        <w:tc>
          <w:tcPr>
            <w:tcW w:w="2158" w:type="pct"/>
            <w:vMerge w:val="restart"/>
            <w:shd w:val="clear" w:color="auto" w:fill="auto"/>
          </w:tcPr>
          <w:p w:rsidR="00547032" w:rsidRPr="00326F5C" w:rsidRDefault="00547032" w:rsidP="006C308E">
            <w:pPr>
              <w:rPr>
                <w:rFonts w:asciiTheme="majorHAnsi" w:eastAsia="Times New Roman" w:hAnsiTheme="majorHAnsi" w:cstheme="majorHAnsi"/>
                <w:sz w:val="20"/>
                <w:szCs w:val="20"/>
                <w:highlight w:val="yellow"/>
              </w:rPr>
            </w:pPr>
            <w:r w:rsidRPr="00326F5C">
              <w:rPr>
                <w:rFonts w:asciiTheme="majorHAnsi" w:hAnsiTheme="majorHAnsi" w:cstheme="majorHAnsi"/>
                <w:sz w:val="20"/>
                <w:szCs w:val="20"/>
              </w:rPr>
              <w:t>The student performed a case analysis analyzing data using appropriate software (MPH-2). The student interpreted the results to inform public health practice and service delivery in Paulding County (MPH-9). As part of this analysis, the student submitted a written executive summary and delivered an oral presentation demonstrating a synthesis of organizational opportunities and challenges and communicating vision and strategies for organizational success (MPH-M2), (MPH-M4).</w:t>
            </w:r>
          </w:p>
        </w:tc>
      </w:tr>
      <w:tr w:rsidR="00547032" w:rsidRPr="00326F5C" w:rsidTr="00414B04">
        <w:trPr>
          <w:trHeight w:val="60"/>
        </w:trPr>
        <w:tc>
          <w:tcPr>
            <w:tcW w:w="1316"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6"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MPH-9: Design a population-based policy, program, project or intervention.</w:t>
            </w:r>
          </w:p>
        </w:tc>
        <w:tc>
          <w:tcPr>
            <w:tcW w:w="2158"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60"/>
        </w:trPr>
        <w:tc>
          <w:tcPr>
            <w:tcW w:w="1316"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6" w:type="pct"/>
            <w:shd w:val="clear" w:color="auto" w:fill="auto"/>
          </w:tcPr>
          <w:p w:rsidR="00547032" w:rsidRPr="00326F5C" w:rsidRDefault="00547032" w:rsidP="006C308E">
            <w:pPr>
              <w:rPr>
                <w:rFonts w:asciiTheme="majorHAnsi" w:hAnsiTheme="majorHAnsi" w:cstheme="majorHAnsi"/>
                <w:sz w:val="20"/>
                <w:szCs w:val="20"/>
                <w:highlight w:val="yellow"/>
              </w:rPr>
            </w:pPr>
            <w:r w:rsidRPr="00326F5C">
              <w:rPr>
                <w:rFonts w:asciiTheme="majorHAnsi" w:hAnsiTheme="majorHAnsi" w:cstheme="majorHAnsi"/>
                <w:sz w:val="20"/>
                <w:szCs w:val="20"/>
              </w:rPr>
              <w:t>MPH-M2. (SO): Strategic Orientation: Synthesizes organizational opportunities and challenges and defends strategies for organizational success.</w:t>
            </w:r>
          </w:p>
        </w:tc>
        <w:tc>
          <w:tcPr>
            <w:tcW w:w="2158"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60"/>
        </w:trPr>
        <w:tc>
          <w:tcPr>
            <w:tcW w:w="1316"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6" w:type="pct"/>
            <w:shd w:val="clear" w:color="auto" w:fill="auto"/>
          </w:tcPr>
          <w:p w:rsidR="00547032" w:rsidRPr="00326F5C" w:rsidRDefault="00547032" w:rsidP="006C308E">
            <w:pPr>
              <w:rPr>
                <w:rFonts w:asciiTheme="majorHAnsi" w:hAnsiTheme="majorHAnsi" w:cstheme="majorHAnsi"/>
                <w:sz w:val="20"/>
                <w:szCs w:val="20"/>
                <w:highlight w:val="yellow"/>
              </w:rPr>
            </w:pPr>
            <w:r w:rsidRPr="00326F5C">
              <w:rPr>
                <w:rFonts w:asciiTheme="majorHAnsi" w:hAnsiTheme="majorHAnsi" w:cstheme="majorHAnsi"/>
                <w:sz w:val="20"/>
                <w:szCs w:val="20"/>
              </w:rPr>
              <w:t>MPH-M4. (EP): Ethics &amp; Professionalism: Synthesizes knowledge and skills needed to excel professionally with high ethical standards and uses these skills while making a meaningful contribution to the field.</w:t>
            </w:r>
          </w:p>
        </w:tc>
        <w:tc>
          <w:tcPr>
            <w:tcW w:w="2158"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bl>
    <w:p w:rsidR="00547032" w:rsidRPr="00326F5C" w:rsidRDefault="00547032" w:rsidP="006C308E">
      <w:pPr>
        <w:rPr>
          <w:rFonts w:asciiTheme="majorHAnsi" w:hAnsiTheme="majorHAnsi" w:cstheme="majorHAnsi"/>
          <w:sz w:val="20"/>
          <w:szCs w:val="20"/>
        </w:rPr>
      </w:pPr>
    </w:p>
    <w:p w:rsidR="00547032" w:rsidRPr="00326F5C" w:rsidRDefault="00547032" w:rsidP="006C308E">
      <w:pPr>
        <w:ind w:left="720"/>
        <w:rPr>
          <w:rFonts w:asciiTheme="majorHAnsi" w:hAnsiTheme="majorHAnsi" w:cstheme="majorHAnsi"/>
          <w:sz w:val="20"/>
          <w:szCs w:val="20"/>
        </w:rPr>
      </w:pPr>
      <w:r w:rsidRPr="00326F5C">
        <w:rPr>
          <w:rFonts w:asciiTheme="majorHAnsi" w:hAnsiTheme="majorHAnsi" w:cstheme="majorHAnsi"/>
          <w:sz w:val="20"/>
          <w:szCs w:val="20"/>
        </w:rPr>
        <w:t>Table D.7.5.i. MPH Integrative Learning Experience Examples for MPH in Health Services Organizations</w:t>
      </w:r>
      <w:r w:rsidR="00363642" w:rsidRPr="00326F5C">
        <w:rPr>
          <w:rFonts w:asciiTheme="majorHAnsi" w:hAnsiTheme="majorHAnsi" w:cstheme="majorHAnsi"/>
          <w:sz w:val="20"/>
          <w:szCs w:val="20"/>
        </w:rPr>
        <w:t xml:space="preserve"> (</w:t>
      </w:r>
      <w:r w:rsidR="00363642" w:rsidRPr="00326F5C">
        <w:rPr>
          <w:rFonts w:asciiTheme="majorHAnsi" w:hAnsiTheme="majorHAnsi" w:cstheme="majorHAnsi"/>
          <w:i/>
          <w:sz w:val="20"/>
          <w:szCs w:val="20"/>
        </w:rPr>
        <w:t>ERF, D7.5. MPH ILE Examples for MPH Concentrations, MPH Health Services Organization</w:t>
      </w:r>
      <w:r w:rsidR="00363642" w:rsidRPr="00326F5C">
        <w:rPr>
          <w:rFonts w:asciiTheme="majorHAnsi" w:hAnsiTheme="majorHAnsi" w:cstheme="majorHAnsi"/>
          <w:sz w:val="20"/>
          <w:szCs w:val="20"/>
        </w:rPr>
        <w:t>)</w:t>
      </w:r>
    </w:p>
    <w:tbl>
      <w:tblPr>
        <w:tblW w:w="4568"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610"/>
        <w:gridCol w:w="3682"/>
      </w:tblGrid>
      <w:tr w:rsidR="00547032" w:rsidRPr="00326F5C" w:rsidTr="00F026B3">
        <w:trPr>
          <w:trHeight w:val="315"/>
          <w:tblHeader/>
        </w:trPr>
        <w:tc>
          <w:tcPr>
            <w:tcW w:w="1317" w:type="pct"/>
            <w:shd w:val="clear" w:color="000000" w:fill="D9D9D9"/>
            <w:vAlign w:val="center"/>
            <w:hideMark/>
          </w:tcPr>
          <w:p w:rsidR="00547032" w:rsidRPr="00326F5C" w:rsidRDefault="00547032" w:rsidP="006C308E">
            <w:pPr>
              <w:jc w:val="center"/>
              <w:rPr>
                <w:rFonts w:asciiTheme="majorHAnsi" w:eastAsia="Times New Roman" w:hAnsiTheme="majorHAnsi" w:cstheme="majorHAnsi"/>
                <w:b/>
                <w:bCs/>
                <w:sz w:val="20"/>
                <w:szCs w:val="20"/>
              </w:rPr>
            </w:pPr>
            <w:r w:rsidRPr="00326F5C">
              <w:rPr>
                <w:rFonts w:asciiTheme="majorHAnsi" w:eastAsia="Times New Roman" w:hAnsiTheme="majorHAnsi" w:cstheme="majorHAnsi"/>
                <w:b/>
                <w:bCs/>
                <w:sz w:val="20"/>
                <w:szCs w:val="20"/>
              </w:rPr>
              <w:t>Integrative Learning Experience Option Completed</w:t>
            </w:r>
          </w:p>
        </w:tc>
        <w:tc>
          <w:tcPr>
            <w:tcW w:w="1528" w:type="pct"/>
            <w:shd w:val="clear" w:color="000000" w:fill="D9D9D9"/>
            <w:vAlign w:val="center"/>
            <w:hideMark/>
          </w:tcPr>
          <w:p w:rsidR="00547032" w:rsidRPr="00326F5C" w:rsidRDefault="00456984" w:rsidP="006C308E">
            <w:pPr>
              <w:jc w:val="center"/>
              <w:rPr>
                <w:rFonts w:asciiTheme="majorHAnsi" w:eastAsia="Times New Roman" w:hAnsiTheme="majorHAnsi" w:cstheme="majorHAnsi"/>
                <w:b/>
                <w:bCs/>
                <w:sz w:val="20"/>
                <w:szCs w:val="20"/>
              </w:rPr>
            </w:pPr>
            <w:r w:rsidRPr="00326F5C">
              <w:rPr>
                <w:rFonts w:asciiTheme="majorHAnsi" w:eastAsia="Times New Roman" w:hAnsiTheme="majorHAnsi" w:cstheme="majorHAnsi"/>
                <w:b/>
                <w:bCs/>
                <w:sz w:val="20"/>
                <w:szCs w:val="20"/>
              </w:rPr>
              <w:t xml:space="preserve">Competency as defined in </w:t>
            </w:r>
            <w:hyperlink w:anchor="_D2._MPH_Foundational_1" w:history="1">
              <w:r w:rsidRPr="00326F5C">
                <w:rPr>
                  <w:rStyle w:val="Hyperlink"/>
                  <w:rFonts w:asciiTheme="majorHAnsi" w:eastAsia="Times New Roman" w:hAnsiTheme="majorHAnsi" w:cstheme="majorHAnsi"/>
                  <w:b/>
                  <w:bCs/>
                  <w:sz w:val="20"/>
                  <w:szCs w:val="20"/>
                </w:rPr>
                <w:t>Criterion D2</w:t>
              </w:r>
            </w:hyperlink>
            <w:r w:rsidRPr="00326F5C">
              <w:rPr>
                <w:rFonts w:asciiTheme="majorHAnsi" w:eastAsia="Times New Roman" w:hAnsiTheme="majorHAnsi" w:cstheme="majorHAnsi"/>
                <w:b/>
                <w:bCs/>
                <w:sz w:val="20"/>
                <w:szCs w:val="20"/>
              </w:rPr>
              <w:t xml:space="preserve"> and </w:t>
            </w:r>
            <w:hyperlink w:anchor="_D4._MPH_&amp;" w:history="1">
              <w:r w:rsidRPr="00326F5C">
                <w:rPr>
                  <w:rStyle w:val="Hyperlink"/>
                  <w:rFonts w:asciiTheme="majorHAnsi" w:eastAsia="Times New Roman" w:hAnsiTheme="majorHAnsi" w:cstheme="majorHAnsi"/>
                  <w:b/>
                  <w:bCs/>
                  <w:sz w:val="20"/>
                  <w:szCs w:val="20"/>
                </w:rPr>
                <w:t>Criterion D4</w:t>
              </w:r>
            </w:hyperlink>
          </w:p>
        </w:tc>
        <w:tc>
          <w:tcPr>
            <w:tcW w:w="2155" w:type="pct"/>
            <w:shd w:val="clear" w:color="000000" w:fill="D9D9D9"/>
            <w:vAlign w:val="center"/>
            <w:hideMark/>
          </w:tcPr>
          <w:p w:rsidR="00547032" w:rsidRPr="00326F5C" w:rsidRDefault="00547032" w:rsidP="006C308E">
            <w:pPr>
              <w:jc w:val="center"/>
              <w:rPr>
                <w:rFonts w:asciiTheme="majorHAnsi" w:eastAsia="Times New Roman" w:hAnsiTheme="majorHAnsi" w:cstheme="majorHAnsi"/>
                <w:b/>
                <w:bCs/>
                <w:sz w:val="20"/>
                <w:szCs w:val="20"/>
              </w:rPr>
            </w:pPr>
            <w:r w:rsidRPr="00326F5C">
              <w:rPr>
                <w:rFonts w:asciiTheme="majorHAnsi" w:eastAsia="Times New Roman" w:hAnsiTheme="majorHAnsi" w:cstheme="majorHAnsi"/>
                <w:b/>
                <w:bCs/>
                <w:sz w:val="20"/>
                <w:szCs w:val="20"/>
              </w:rPr>
              <w:t>How competencies are synthesized</w:t>
            </w:r>
          </w:p>
        </w:tc>
      </w:tr>
      <w:tr w:rsidR="00547032" w:rsidRPr="00326F5C" w:rsidTr="00414B04">
        <w:trPr>
          <w:trHeight w:val="77"/>
        </w:trPr>
        <w:tc>
          <w:tcPr>
            <w:tcW w:w="1317"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Health Services Organizations, Student 1</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PHM 3996</w:t>
            </w:r>
            <w:r w:rsidRPr="00326F5C">
              <w:rPr>
                <w:rFonts w:asciiTheme="majorHAnsi" w:eastAsia="Times New Roman" w:hAnsiTheme="majorHAnsi" w:cstheme="majorHAnsi"/>
                <w:color w:val="000000"/>
                <w:sz w:val="20"/>
                <w:szCs w:val="20"/>
              </w:rPr>
              <w:t xml:space="preserve"> Capstone for MPACH </w:t>
            </w:r>
            <w:r w:rsidRPr="00326F5C">
              <w:rPr>
                <w:rFonts w:asciiTheme="majorHAnsi" w:eastAsia="Times New Roman" w:hAnsiTheme="majorHAnsi" w:cstheme="majorHAnsi"/>
                <w:sz w:val="20"/>
                <w:szCs w:val="20"/>
              </w:rPr>
              <w:t>Students: Special Topics: Public Health in Interprofessional Education</w:t>
            </w:r>
          </w:p>
          <w:p w:rsidR="00547032" w:rsidRPr="00326F5C" w:rsidRDefault="00547032" w:rsidP="006C308E">
            <w:pPr>
              <w:rPr>
                <w:rFonts w:asciiTheme="majorHAnsi" w:eastAsia="Times New Roman" w:hAnsiTheme="majorHAnsi" w:cstheme="majorHAnsi"/>
                <w:color w:val="000000"/>
                <w:sz w:val="20"/>
                <w:szCs w:val="20"/>
              </w:rPr>
            </w:pP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u w:val="single"/>
              </w:rPr>
              <w:t>Final Product</w:t>
            </w:r>
            <w:r w:rsidRPr="00326F5C">
              <w:rPr>
                <w:rFonts w:asciiTheme="majorHAnsi" w:eastAsia="Times New Roman" w:hAnsiTheme="majorHAnsi" w:cstheme="majorHAnsi"/>
                <w:i/>
                <w:color w:val="000000"/>
                <w:sz w:val="20"/>
                <w:szCs w:val="20"/>
              </w:rPr>
              <w:t xml:space="preserve">: </w:t>
            </w: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rPr>
              <w:t>Paper Series</w:t>
            </w:r>
          </w:p>
        </w:tc>
        <w:tc>
          <w:tcPr>
            <w:tcW w:w="1528"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MPH-4: Interpret results of data analysis for public health research, policy or practice.</w:t>
            </w:r>
          </w:p>
        </w:tc>
        <w:tc>
          <w:tcPr>
            <w:tcW w:w="2155" w:type="pct"/>
            <w:vMerge w:val="restart"/>
            <w:shd w:val="clear" w:color="auto" w:fill="auto"/>
          </w:tcPr>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sz w:val="20"/>
                <w:szCs w:val="20"/>
              </w:rPr>
              <w:t>The student produced three papers. Paper one examined case studies and peer-reviewed works to identify and research a patient safety issue and evaluated the role public health played in the issue (MPH-4). Paper two utilized County Health Rankings data to evaluate the health of studied counties to determine factors of health and outcomes including socioeconomic and economic conditions (MPH-7). In this paper, the student also discussed an improvement project where they direct attention to policy and decision-makers (MPH-S4). Paper three researched and detailed the role public health leadership and policies played in selected disaster/disaster recovery (MPH-4) (MPH-S3).</w:t>
            </w:r>
          </w:p>
        </w:tc>
      </w:tr>
      <w:tr w:rsidR="00547032" w:rsidRPr="00326F5C" w:rsidTr="00414B04">
        <w:trPr>
          <w:trHeight w:val="77"/>
        </w:trPr>
        <w:tc>
          <w:tcPr>
            <w:tcW w:w="1317"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8" w:type="pct"/>
            <w:shd w:val="clear" w:color="auto" w:fill="auto"/>
          </w:tcPr>
          <w:p w:rsidR="00547032" w:rsidRPr="00326F5C" w:rsidRDefault="00547032" w:rsidP="006C308E">
            <w:pPr>
              <w:ind w:right="-65"/>
              <w:rPr>
                <w:rFonts w:asciiTheme="majorHAnsi" w:hAnsiTheme="majorHAnsi" w:cstheme="majorHAnsi"/>
                <w:sz w:val="20"/>
                <w:szCs w:val="20"/>
              </w:rPr>
            </w:pPr>
            <w:r w:rsidRPr="00326F5C">
              <w:rPr>
                <w:rFonts w:asciiTheme="majorHAnsi" w:hAnsiTheme="majorHAnsi" w:cstheme="majorHAnsi"/>
                <w:sz w:val="20"/>
                <w:szCs w:val="20"/>
              </w:rPr>
              <w:t>MPH-7: Assess population needs, assets and capacities that affect communities’ health.</w:t>
            </w:r>
          </w:p>
        </w:tc>
        <w:tc>
          <w:tcPr>
            <w:tcW w:w="215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77"/>
        </w:trPr>
        <w:tc>
          <w:tcPr>
            <w:tcW w:w="1317"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8"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MPH-S3: Prepare a detailed policy analysis plan to assess alternative policies for improving the effectiveness, efficiency and equity of health services.</w:t>
            </w:r>
          </w:p>
        </w:tc>
        <w:tc>
          <w:tcPr>
            <w:tcW w:w="215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96"/>
        </w:trPr>
        <w:tc>
          <w:tcPr>
            <w:tcW w:w="1317"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8" w:type="pct"/>
            <w:shd w:val="clear" w:color="auto" w:fill="auto"/>
          </w:tcPr>
          <w:p w:rsidR="00547032" w:rsidRPr="00326F5C" w:rsidRDefault="00547032" w:rsidP="006C308E">
            <w:pPr>
              <w:ind w:right="-75"/>
              <w:rPr>
                <w:rFonts w:asciiTheme="majorHAnsi" w:hAnsiTheme="majorHAnsi" w:cstheme="majorHAnsi"/>
                <w:sz w:val="20"/>
                <w:szCs w:val="20"/>
              </w:rPr>
            </w:pPr>
            <w:r w:rsidRPr="00326F5C">
              <w:rPr>
                <w:rFonts w:asciiTheme="majorHAnsi" w:hAnsiTheme="majorHAnsi" w:cstheme="majorHAnsi"/>
                <w:sz w:val="20"/>
                <w:szCs w:val="20"/>
              </w:rPr>
              <w:t>MPH-S4: Describe the internal and external validity, strengths and limitations of health policy evaluations and the degree to which results are useful to decision-makers.</w:t>
            </w:r>
          </w:p>
        </w:tc>
        <w:tc>
          <w:tcPr>
            <w:tcW w:w="215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77"/>
        </w:trPr>
        <w:tc>
          <w:tcPr>
            <w:tcW w:w="1317"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Health Services Organizations, Student 2</w:t>
            </w:r>
          </w:p>
          <w:p w:rsidR="00547032" w:rsidRPr="00326F5C" w:rsidRDefault="00547032" w:rsidP="006C308E">
            <w:pPr>
              <w:rPr>
                <w:rFonts w:asciiTheme="majorHAnsi" w:eastAsia="Times New Roman" w:hAnsiTheme="majorHAnsi" w:cstheme="majorHAnsi"/>
                <w:b/>
                <w:color w:val="000000"/>
                <w:sz w:val="20"/>
                <w:szCs w:val="20"/>
              </w:rPr>
            </w:pPr>
          </w:p>
          <w:p w:rsidR="00547032" w:rsidRPr="00326F5C" w:rsidRDefault="00547032" w:rsidP="006C308E">
            <w:pPr>
              <w:rPr>
                <w:rFonts w:asciiTheme="majorHAnsi" w:eastAsia="Times New Roman" w:hAnsiTheme="majorHAnsi" w:cstheme="majorHAnsi"/>
                <w:color w:val="000000"/>
                <w:sz w:val="20"/>
                <w:szCs w:val="20"/>
              </w:rPr>
            </w:pPr>
            <w:r w:rsidRPr="00326F5C">
              <w:rPr>
                <w:rFonts w:asciiTheme="majorHAnsi" w:eastAsia="Times New Roman" w:hAnsiTheme="majorHAnsi" w:cstheme="majorHAnsi"/>
                <w:b/>
                <w:color w:val="000000"/>
                <w:sz w:val="20"/>
                <w:szCs w:val="20"/>
              </w:rPr>
              <w:t>PHM 9998</w:t>
            </w:r>
            <w:r w:rsidRPr="00326F5C">
              <w:rPr>
                <w:rFonts w:asciiTheme="majorHAnsi" w:eastAsia="Times New Roman" w:hAnsiTheme="majorHAnsi" w:cstheme="majorHAnsi"/>
                <w:color w:val="000000"/>
                <w:sz w:val="20"/>
                <w:szCs w:val="20"/>
              </w:rPr>
              <w:t xml:space="preserve"> Culminating Experience/Thesis</w:t>
            </w:r>
          </w:p>
          <w:p w:rsidR="00547032" w:rsidRPr="00326F5C" w:rsidRDefault="00547032" w:rsidP="006C308E">
            <w:pPr>
              <w:rPr>
                <w:rFonts w:asciiTheme="majorHAnsi" w:eastAsia="Times New Roman" w:hAnsiTheme="majorHAnsi" w:cstheme="majorHAnsi"/>
                <w:color w:val="000000"/>
                <w:sz w:val="20"/>
                <w:szCs w:val="20"/>
              </w:rPr>
            </w:pPr>
          </w:p>
          <w:p w:rsidR="00547032" w:rsidRPr="00326F5C" w:rsidRDefault="00547032" w:rsidP="006C308E">
            <w:pPr>
              <w:rPr>
                <w:rFonts w:asciiTheme="majorHAnsi" w:eastAsia="Times New Roman" w:hAnsiTheme="majorHAnsi" w:cstheme="majorHAnsi"/>
                <w:i/>
                <w:color w:val="000000"/>
                <w:sz w:val="20"/>
                <w:szCs w:val="20"/>
              </w:rPr>
            </w:pPr>
            <w:r w:rsidRPr="00326F5C">
              <w:rPr>
                <w:rFonts w:asciiTheme="majorHAnsi" w:eastAsia="Times New Roman" w:hAnsiTheme="majorHAnsi" w:cstheme="majorHAnsi"/>
                <w:i/>
                <w:color w:val="000000"/>
                <w:sz w:val="20"/>
                <w:szCs w:val="20"/>
                <w:u w:val="single"/>
              </w:rPr>
              <w:t>Final Product</w:t>
            </w:r>
            <w:r w:rsidRPr="00326F5C">
              <w:rPr>
                <w:rFonts w:asciiTheme="majorHAnsi" w:eastAsia="Times New Roman" w:hAnsiTheme="majorHAnsi" w:cstheme="majorHAnsi"/>
                <w:i/>
                <w:color w:val="000000"/>
                <w:sz w:val="20"/>
                <w:szCs w:val="20"/>
              </w:rPr>
              <w:t>: Independent ILE: Evidence-based white paper</w:t>
            </w:r>
          </w:p>
        </w:tc>
        <w:tc>
          <w:tcPr>
            <w:tcW w:w="1528"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MPH-14: Advocate for political, social or economic policies and programs that will improve health in diverse populations.</w:t>
            </w:r>
          </w:p>
        </w:tc>
        <w:tc>
          <w:tcPr>
            <w:tcW w:w="2155" w:type="pct"/>
            <w:vMerge w:val="restart"/>
            <w:shd w:val="clear" w:color="auto" w:fill="auto"/>
          </w:tcPr>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color w:val="000000"/>
                <w:sz w:val="20"/>
                <w:szCs w:val="20"/>
              </w:rPr>
              <w:t>The student discusses the effects of funding changes to family planning organizations and the effects on the healthcare system and health outcomes (MPH-S1). In this paper, the student evaluated the effect of relevant policies advocating for their change (MPH-14). The student identified programs family planning organizations can be funded through, and how these have changed organizational funding and service delivery (MPH-7). The paper produced uses scientific research to evaluate how funding changes change the effectiveness and equity of healthcare access (MPH-S2).</w:t>
            </w:r>
          </w:p>
        </w:tc>
      </w:tr>
      <w:tr w:rsidR="00547032" w:rsidRPr="00326F5C" w:rsidTr="00414B04">
        <w:trPr>
          <w:trHeight w:val="77"/>
        </w:trPr>
        <w:tc>
          <w:tcPr>
            <w:tcW w:w="1317"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8" w:type="pct"/>
            <w:shd w:val="clear" w:color="auto" w:fill="auto"/>
          </w:tcPr>
          <w:p w:rsidR="00547032" w:rsidRPr="00326F5C" w:rsidRDefault="00547032" w:rsidP="006C308E">
            <w:pPr>
              <w:ind w:right="-65"/>
              <w:rPr>
                <w:rFonts w:asciiTheme="majorHAnsi" w:hAnsiTheme="majorHAnsi" w:cstheme="majorHAnsi"/>
                <w:sz w:val="20"/>
                <w:szCs w:val="20"/>
              </w:rPr>
            </w:pPr>
            <w:r w:rsidRPr="00326F5C">
              <w:rPr>
                <w:rFonts w:asciiTheme="majorHAnsi" w:hAnsiTheme="majorHAnsi" w:cstheme="majorHAnsi"/>
                <w:sz w:val="20"/>
                <w:szCs w:val="20"/>
              </w:rPr>
              <w:t>MPH-7: Assess population needs, assets and capacities that affect communities’ health.</w:t>
            </w:r>
          </w:p>
        </w:tc>
        <w:tc>
          <w:tcPr>
            <w:tcW w:w="215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77"/>
        </w:trPr>
        <w:tc>
          <w:tcPr>
            <w:tcW w:w="1317"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8" w:type="pct"/>
            <w:shd w:val="clear" w:color="auto" w:fill="auto"/>
          </w:tcPr>
          <w:p w:rsidR="00547032" w:rsidRPr="00326F5C" w:rsidRDefault="00547032" w:rsidP="006C308E">
            <w:pPr>
              <w:rPr>
                <w:rFonts w:asciiTheme="majorHAnsi" w:eastAsia="Times New Roman" w:hAnsiTheme="majorHAnsi" w:cstheme="majorHAnsi"/>
                <w:color w:val="000000"/>
                <w:sz w:val="20"/>
                <w:szCs w:val="20"/>
                <w:highlight w:val="yellow"/>
              </w:rPr>
            </w:pPr>
            <w:r w:rsidRPr="00326F5C">
              <w:rPr>
                <w:rFonts w:asciiTheme="majorHAnsi" w:hAnsiTheme="majorHAnsi" w:cstheme="majorHAnsi"/>
                <w:sz w:val="20"/>
                <w:szCs w:val="20"/>
              </w:rPr>
              <w:t>MPH-S1: Demonstrate understanding of microeconomic theory in a market system and how to apply those concepts to understand the economics of the healthcare system and market failure in the US.</w:t>
            </w:r>
          </w:p>
        </w:tc>
        <w:tc>
          <w:tcPr>
            <w:tcW w:w="215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236"/>
        </w:trPr>
        <w:tc>
          <w:tcPr>
            <w:tcW w:w="1317"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8" w:type="pct"/>
            <w:shd w:val="clear" w:color="auto" w:fill="auto"/>
          </w:tcPr>
          <w:p w:rsidR="00547032" w:rsidRPr="00326F5C" w:rsidRDefault="00547032" w:rsidP="006C308E">
            <w:pPr>
              <w:rPr>
                <w:rFonts w:asciiTheme="majorHAnsi" w:eastAsia="Times New Roman" w:hAnsiTheme="majorHAnsi" w:cstheme="majorHAnsi"/>
                <w:color w:val="000000"/>
                <w:sz w:val="20"/>
                <w:szCs w:val="20"/>
                <w:highlight w:val="yellow"/>
              </w:rPr>
            </w:pPr>
            <w:r w:rsidRPr="00326F5C">
              <w:rPr>
                <w:rFonts w:asciiTheme="majorHAnsi" w:hAnsiTheme="majorHAnsi" w:cstheme="majorHAnsi"/>
                <w:sz w:val="20"/>
                <w:szCs w:val="20"/>
              </w:rPr>
              <w:t>MPH-S2: Review and critically evaluate scientific studies that estimate the effectiveness, efficiency, and equity of health policy alternatives.</w:t>
            </w:r>
          </w:p>
        </w:tc>
        <w:tc>
          <w:tcPr>
            <w:tcW w:w="215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246"/>
        </w:trPr>
        <w:tc>
          <w:tcPr>
            <w:tcW w:w="1317"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Health Services Organizations, Student 3</w:t>
            </w:r>
          </w:p>
          <w:p w:rsidR="00547032" w:rsidRPr="00326F5C" w:rsidRDefault="00547032" w:rsidP="006C308E">
            <w:pPr>
              <w:rPr>
                <w:rFonts w:asciiTheme="majorHAnsi" w:eastAsia="Times New Roman" w:hAnsiTheme="majorHAnsi" w:cstheme="majorHAnsi"/>
                <w:b/>
                <w:sz w:val="20"/>
                <w:szCs w:val="20"/>
              </w:rPr>
            </w:pPr>
          </w:p>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b/>
                <w:sz w:val="20"/>
                <w:szCs w:val="20"/>
              </w:rPr>
              <w:t>PHM 9998</w:t>
            </w:r>
            <w:r w:rsidRPr="00326F5C">
              <w:rPr>
                <w:rFonts w:asciiTheme="majorHAnsi" w:eastAsia="Times New Roman" w:hAnsiTheme="majorHAnsi" w:cstheme="majorHAnsi"/>
                <w:sz w:val="20"/>
                <w:szCs w:val="20"/>
              </w:rPr>
              <w:t xml:space="preserve"> Culminating Experience/Thesis</w:t>
            </w:r>
          </w:p>
          <w:p w:rsidR="00547032" w:rsidRPr="00326F5C" w:rsidRDefault="00547032" w:rsidP="006C308E">
            <w:pPr>
              <w:rPr>
                <w:rFonts w:asciiTheme="majorHAnsi" w:eastAsia="Times New Roman" w:hAnsiTheme="majorHAnsi" w:cstheme="majorHAnsi"/>
                <w:sz w:val="20"/>
                <w:szCs w:val="20"/>
              </w:rPr>
            </w:pPr>
          </w:p>
          <w:p w:rsidR="00547032" w:rsidRPr="00326F5C" w:rsidRDefault="00547032" w:rsidP="006C308E">
            <w:pPr>
              <w:rPr>
                <w:rFonts w:asciiTheme="majorHAnsi" w:eastAsia="Times New Roman" w:hAnsiTheme="majorHAnsi" w:cstheme="majorHAnsi"/>
                <w:i/>
                <w:sz w:val="20"/>
                <w:szCs w:val="20"/>
                <w:u w:val="single"/>
              </w:rPr>
            </w:pPr>
            <w:r w:rsidRPr="00326F5C">
              <w:rPr>
                <w:rFonts w:asciiTheme="majorHAnsi" w:eastAsia="Times New Roman" w:hAnsiTheme="majorHAnsi" w:cstheme="majorHAnsi"/>
                <w:i/>
                <w:sz w:val="20"/>
                <w:szCs w:val="20"/>
                <w:u w:val="single"/>
              </w:rPr>
              <w:t xml:space="preserve">Final Product: </w:t>
            </w:r>
          </w:p>
          <w:p w:rsidR="00547032" w:rsidRPr="00326F5C" w:rsidRDefault="00547032" w:rsidP="006C308E">
            <w:pPr>
              <w:rPr>
                <w:rFonts w:asciiTheme="majorHAnsi" w:eastAsia="Times New Roman" w:hAnsiTheme="majorHAnsi" w:cstheme="majorHAnsi"/>
                <w:i/>
                <w:sz w:val="20"/>
                <w:szCs w:val="20"/>
              </w:rPr>
            </w:pPr>
            <w:r w:rsidRPr="00326F5C">
              <w:rPr>
                <w:rFonts w:asciiTheme="majorHAnsi" w:eastAsia="Times New Roman" w:hAnsiTheme="majorHAnsi" w:cstheme="majorHAnsi"/>
                <w:i/>
                <w:sz w:val="20"/>
                <w:szCs w:val="20"/>
              </w:rPr>
              <w:t>Thesis: The Effect of Socio-Demographic Conditions on Vaccination Delinquency at the Elementary School Level</w:t>
            </w:r>
          </w:p>
        </w:tc>
        <w:tc>
          <w:tcPr>
            <w:tcW w:w="1528"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MPH-4: Interpret results of data analysis for public health research, policy or practice.</w:t>
            </w:r>
          </w:p>
        </w:tc>
        <w:tc>
          <w:tcPr>
            <w:tcW w:w="2155" w:type="pct"/>
            <w:vMerge w:val="restart"/>
            <w:shd w:val="clear" w:color="auto" w:fill="auto"/>
          </w:tcPr>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sz w:val="20"/>
                <w:szCs w:val="20"/>
              </w:rPr>
              <w:t>The student performed a cross-sectional analysis, using data collected by Houston ISD, to determine childhood vaccination delinquency was highest among certain racial and cultural groups (MPH-4), (MPH-6). It was also determined that high rates of vaccine compliance were found in high-achieving students (MPH-S2). The student concluded that low rates of parental motivation and potential language barriers may be the cause of low vaccination rates and discussed the policy implications which are useful to decision-makers (MPH-S4).</w:t>
            </w:r>
          </w:p>
        </w:tc>
      </w:tr>
      <w:tr w:rsidR="00547032" w:rsidRPr="00326F5C" w:rsidTr="00414B04">
        <w:trPr>
          <w:trHeight w:val="243"/>
        </w:trPr>
        <w:tc>
          <w:tcPr>
            <w:tcW w:w="1317"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8"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MPH-6: Discuss the means by which structural bias, social inequities and racism undermine health and create challenges to achieving health equity at organizational, community and societal levels.</w:t>
            </w:r>
          </w:p>
        </w:tc>
        <w:tc>
          <w:tcPr>
            <w:tcW w:w="215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243"/>
        </w:trPr>
        <w:tc>
          <w:tcPr>
            <w:tcW w:w="1317"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8" w:type="pct"/>
            <w:shd w:val="clear" w:color="auto" w:fill="auto"/>
          </w:tcPr>
          <w:p w:rsidR="00547032" w:rsidRPr="00326F5C" w:rsidRDefault="00547032" w:rsidP="006C308E">
            <w:pPr>
              <w:rPr>
                <w:rFonts w:asciiTheme="majorHAnsi" w:hAnsiTheme="majorHAnsi" w:cstheme="majorHAnsi"/>
                <w:sz w:val="20"/>
                <w:szCs w:val="20"/>
                <w:highlight w:val="yellow"/>
              </w:rPr>
            </w:pPr>
            <w:r w:rsidRPr="00326F5C">
              <w:rPr>
                <w:rFonts w:asciiTheme="majorHAnsi" w:hAnsiTheme="majorHAnsi" w:cstheme="majorHAnsi"/>
                <w:sz w:val="20"/>
                <w:szCs w:val="20"/>
              </w:rPr>
              <w:t xml:space="preserve">MPH-S2. Review and critically evaluate scientific studies that estimate the effectiveness, efficiency, and equity of health policy alternatives. </w:t>
            </w:r>
          </w:p>
        </w:tc>
        <w:tc>
          <w:tcPr>
            <w:tcW w:w="215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243"/>
        </w:trPr>
        <w:tc>
          <w:tcPr>
            <w:tcW w:w="1317"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8" w:type="pct"/>
            <w:shd w:val="clear" w:color="auto" w:fill="auto"/>
          </w:tcPr>
          <w:p w:rsidR="00547032" w:rsidRPr="00326F5C" w:rsidRDefault="00547032" w:rsidP="006C308E">
            <w:pPr>
              <w:rPr>
                <w:rFonts w:asciiTheme="majorHAnsi" w:hAnsiTheme="majorHAnsi" w:cstheme="majorHAnsi"/>
                <w:sz w:val="20"/>
                <w:szCs w:val="20"/>
                <w:highlight w:val="yellow"/>
              </w:rPr>
            </w:pPr>
            <w:r w:rsidRPr="00326F5C">
              <w:rPr>
                <w:rFonts w:asciiTheme="majorHAnsi" w:hAnsiTheme="majorHAnsi" w:cstheme="majorHAnsi"/>
                <w:sz w:val="20"/>
                <w:szCs w:val="20"/>
              </w:rPr>
              <w:t>MPH-S4. Describe the internal and external validity strengths and limitations of health policy evaluations and the degree to which results are useful to decision-makers.</w:t>
            </w:r>
          </w:p>
        </w:tc>
        <w:tc>
          <w:tcPr>
            <w:tcW w:w="215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60"/>
        </w:trPr>
        <w:tc>
          <w:tcPr>
            <w:tcW w:w="1317"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Health Services Organizations, Student 4</w:t>
            </w:r>
          </w:p>
          <w:p w:rsidR="00547032" w:rsidRPr="00326F5C" w:rsidRDefault="00547032" w:rsidP="006C308E">
            <w:pPr>
              <w:rPr>
                <w:rFonts w:asciiTheme="majorHAnsi" w:eastAsia="Times New Roman" w:hAnsiTheme="majorHAnsi" w:cstheme="majorHAnsi"/>
                <w:b/>
                <w:sz w:val="20"/>
                <w:szCs w:val="20"/>
              </w:rPr>
            </w:pPr>
          </w:p>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b/>
                <w:sz w:val="20"/>
                <w:szCs w:val="20"/>
              </w:rPr>
              <w:t>PHM 9998</w:t>
            </w:r>
            <w:r w:rsidRPr="00326F5C">
              <w:rPr>
                <w:rFonts w:asciiTheme="majorHAnsi" w:eastAsia="Times New Roman" w:hAnsiTheme="majorHAnsi" w:cstheme="majorHAnsi"/>
                <w:sz w:val="20"/>
                <w:szCs w:val="20"/>
              </w:rPr>
              <w:t xml:space="preserve"> Culminating Experience/Thesis</w:t>
            </w:r>
          </w:p>
          <w:p w:rsidR="00547032" w:rsidRPr="00326F5C" w:rsidRDefault="00547032" w:rsidP="006C308E">
            <w:pPr>
              <w:rPr>
                <w:rFonts w:asciiTheme="majorHAnsi" w:eastAsia="Times New Roman" w:hAnsiTheme="majorHAnsi" w:cstheme="majorHAnsi"/>
                <w:sz w:val="20"/>
                <w:szCs w:val="20"/>
              </w:rPr>
            </w:pPr>
          </w:p>
          <w:p w:rsidR="00547032" w:rsidRPr="00326F5C" w:rsidRDefault="00547032" w:rsidP="006C308E">
            <w:pPr>
              <w:rPr>
                <w:rFonts w:asciiTheme="majorHAnsi" w:eastAsia="Times New Roman" w:hAnsiTheme="majorHAnsi" w:cstheme="majorHAnsi"/>
                <w:i/>
                <w:sz w:val="20"/>
                <w:szCs w:val="20"/>
              </w:rPr>
            </w:pPr>
            <w:r w:rsidRPr="00326F5C">
              <w:rPr>
                <w:rFonts w:asciiTheme="majorHAnsi" w:eastAsia="Times New Roman" w:hAnsiTheme="majorHAnsi" w:cstheme="majorHAnsi"/>
                <w:i/>
                <w:sz w:val="20"/>
                <w:szCs w:val="20"/>
                <w:u w:val="single"/>
              </w:rPr>
              <w:t>Final Product</w:t>
            </w:r>
            <w:r w:rsidRPr="00326F5C">
              <w:rPr>
                <w:rFonts w:asciiTheme="majorHAnsi" w:eastAsia="Times New Roman" w:hAnsiTheme="majorHAnsi" w:cstheme="majorHAnsi"/>
                <w:i/>
                <w:sz w:val="20"/>
                <w:szCs w:val="20"/>
              </w:rPr>
              <w:t>: Independent ILE: Case Analysis</w:t>
            </w:r>
          </w:p>
        </w:tc>
        <w:tc>
          <w:tcPr>
            <w:tcW w:w="1528"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MPH-3: Analyze quantitative and qualitative data using biostatistics, informatics, computer-based programming and software, as appropriate.</w:t>
            </w:r>
          </w:p>
        </w:tc>
        <w:tc>
          <w:tcPr>
            <w:tcW w:w="2155" w:type="pct"/>
            <w:vMerge w:val="restart"/>
            <w:shd w:val="clear" w:color="auto" w:fill="auto"/>
          </w:tcPr>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sz w:val="20"/>
                <w:szCs w:val="20"/>
              </w:rPr>
              <w:t>The student performed a case analysis of Bold Goal using data collected during patient screenings and by performing a SWOT analysis (MPH-3). By reviewing and evaluating relevant materials and literature, including materials related to key health indicators, the student produced recommendations to a large healthcare provider for service delivery enhancements (MPH-S2) (MPH-S3). These recommendations evaluated organizational efforts and their potential impact on the communities it serves (MPH-15).</w:t>
            </w:r>
          </w:p>
        </w:tc>
      </w:tr>
      <w:tr w:rsidR="00547032" w:rsidRPr="00326F5C" w:rsidTr="00414B04">
        <w:trPr>
          <w:trHeight w:val="60"/>
        </w:trPr>
        <w:tc>
          <w:tcPr>
            <w:tcW w:w="1317"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8"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MPH-15: Evaluate policies for their impact on public health and health equity.</w:t>
            </w:r>
          </w:p>
        </w:tc>
        <w:tc>
          <w:tcPr>
            <w:tcW w:w="215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60"/>
        </w:trPr>
        <w:tc>
          <w:tcPr>
            <w:tcW w:w="1317"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8" w:type="pct"/>
            <w:shd w:val="clear" w:color="auto" w:fill="auto"/>
          </w:tcPr>
          <w:p w:rsidR="00547032" w:rsidRPr="00326F5C" w:rsidRDefault="00547032" w:rsidP="006C308E">
            <w:pPr>
              <w:rPr>
                <w:rFonts w:asciiTheme="majorHAnsi" w:hAnsiTheme="majorHAnsi" w:cstheme="majorHAnsi"/>
                <w:sz w:val="20"/>
                <w:szCs w:val="20"/>
                <w:highlight w:val="yellow"/>
              </w:rPr>
            </w:pPr>
            <w:r w:rsidRPr="00326F5C">
              <w:rPr>
                <w:rFonts w:asciiTheme="majorHAnsi" w:hAnsiTheme="majorHAnsi" w:cstheme="majorHAnsi"/>
                <w:sz w:val="20"/>
                <w:szCs w:val="20"/>
              </w:rPr>
              <w:t xml:space="preserve"> MPH-S2: Review and critically evaluate scientific studies that estimate the effectiveness, efficiency, and equity of health policy alternatives.</w:t>
            </w:r>
          </w:p>
        </w:tc>
        <w:tc>
          <w:tcPr>
            <w:tcW w:w="215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60"/>
        </w:trPr>
        <w:tc>
          <w:tcPr>
            <w:tcW w:w="1317"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8" w:type="pct"/>
            <w:shd w:val="clear" w:color="auto" w:fill="auto"/>
          </w:tcPr>
          <w:p w:rsidR="00547032" w:rsidRPr="00326F5C" w:rsidRDefault="00547032" w:rsidP="006C308E">
            <w:pPr>
              <w:rPr>
                <w:rFonts w:asciiTheme="majorHAnsi" w:hAnsiTheme="majorHAnsi" w:cstheme="majorHAnsi"/>
                <w:sz w:val="20"/>
                <w:szCs w:val="20"/>
                <w:highlight w:val="yellow"/>
              </w:rPr>
            </w:pPr>
            <w:r w:rsidRPr="00326F5C">
              <w:rPr>
                <w:rFonts w:asciiTheme="majorHAnsi" w:hAnsiTheme="majorHAnsi" w:cstheme="majorHAnsi"/>
                <w:sz w:val="20"/>
                <w:szCs w:val="20"/>
              </w:rPr>
              <w:t>MPH-S3: Prepare a detailed policy analysis plan to assess alternative policies for improving the effectiveness, efficiency, and equity of health services.</w:t>
            </w:r>
          </w:p>
        </w:tc>
        <w:tc>
          <w:tcPr>
            <w:tcW w:w="215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60"/>
        </w:trPr>
        <w:tc>
          <w:tcPr>
            <w:tcW w:w="1317" w:type="pct"/>
            <w:vMerge w:val="restart"/>
            <w:shd w:val="clear" w:color="auto" w:fill="auto"/>
          </w:tcPr>
          <w:p w:rsidR="00547032" w:rsidRPr="00326F5C" w:rsidRDefault="00547032" w:rsidP="006C308E">
            <w:pPr>
              <w:rPr>
                <w:rFonts w:asciiTheme="majorHAnsi" w:eastAsia="Times New Roman" w:hAnsiTheme="majorHAnsi" w:cstheme="majorHAnsi"/>
                <w:sz w:val="20"/>
                <w:szCs w:val="20"/>
                <w:u w:val="single"/>
              </w:rPr>
            </w:pPr>
            <w:r w:rsidRPr="00326F5C">
              <w:rPr>
                <w:rFonts w:asciiTheme="majorHAnsi" w:eastAsia="Times New Roman" w:hAnsiTheme="majorHAnsi" w:cstheme="majorHAnsi"/>
                <w:sz w:val="20"/>
                <w:szCs w:val="20"/>
                <w:u w:val="single"/>
              </w:rPr>
              <w:t>MPH Health Services Organizations, Student 5</w:t>
            </w:r>
          </w:p>
          <w:p w:rsidR="00547032" w:rsidRPr="00326F5C" w:rsidRDefault="00547032" w:rsidP="006C308E">
            <w:pPr>
              <w:rPr>
                <w:rFonts w:asciiTheme="majorHAnsi" w:eastAsia="Times New Roman" w:hAnsiTheme="majorHAnsi" w:cstheme="majorHAnsi"/>
                <w:b/>
                <w:sz w:val="20"/>
                <w:szCs w:val="20"/>
              </w:rPr>
            </w:pPr>
          </w:p>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b/>
                <w:sz w:val="20"/>
                <w:szCs w:val="20"/>
              </w:rPr>
              <w:t>PHM 9998</w:t>
            </w:r>
            <w:r w:rsidRPr="00326F5C">
              <w:rPr>
                <w:rFonts w:asciiTheme="majorHAnsi" w:eastAsia="Times New Roman" w:hAnsiTheme="majorHAnsi" w:cstheme="majorHAnsi"/>
                <w:sz w:val="20"/>
                <w:szCs w:val="20"/>
              </w:rPr>
              <w:t xml:space="preserve"> Culminating Experience/Thesis</w:t>
            </w:r>
          </w:p>
          <w:p w:rsidR="00547032" w:rsidRPr="00326F5C" w:rsidRDefault="00547032" w:rsidP="006C308E">
            <w:pPr>
              <w:rPr>
                <w:rFonts w:asciiTheme="majorHAnsi" w:eastAsia="Times New Roman" w:hAnsiTheme="majorHAnsi" w:cstheme="majorHAnsi"/>
                <w:sz w:val="20"/>
                <w:szCs w:val="20"/>
              </w:rPr>
            </w:pPr>
          </w:p>
          <w:p w:rsidR="00547032" w:rsidRPr="00326F5C" w:rsidRDefault="00547032" w:rsidP="006C308E">
            <w:pPr>
              <w:rPr>
                <w:rFonts w:asciiTheme="majorHAnsi" w:eastAsia="Times New Roman" w:hAnsiTheme="majorHAnsi" w:cstheme="majorHAnsi"/>
                <w:i/>
                <w:sz w:val="20"/>
                <w:szCs w:val="20"/>
                <w:u w:val="single"/>
              </w:rPr>
            </w:pPr>
            <w:r w:rsidRPr="00326F5C">
              <w:rPr>
                <w:rFonts w:asciiTheme="majorHAnsi" w:eastAsia="Times New Roman" w:hAnsiTheme="majorHAnsi" w:cstheme="majorHAnsi"/>
                <w:i/>
                <w:sz w:val="20"/>
                <w:szCs w:val="20"/>
                <w:u w:val="single"/>
              </w:rPr>
              <w:t>Final Product:</w:t>
            </w:r>
          </w:p>
          <w:p w:rsidR="00547032" w:rsidRPr="00326F5C" w:rsidRDefault="00547032" w:rsidP="006C308E">
            <w:pPr>
              <w:rPr>
                <w:rFonts w:asciiTheme="majorHAnsi" w:eastAsia="Times New Roman" w:hAnsiTheme="majorHAnsi" w:cstheme="majorHAnsi"/>
                <w:sz w:val="20"/>
                <w:szCs w:val="20"/>
              </w:rPr>
            </w:pPr>
            <w:r w:rsidRPr="00326F5C">
              <w:rPr>
                <w:rFonts w:asciiTheme="majorHAnsi" w:eastAsia="Times New Roman" w:hAnsiTheme="majorHAnsi" w:cstheme="majorHAnsi"/>
                <w:i/>
                <w:sz w:val="20"/>
                <w:szCs w:val="20"/>
              </w:rPr>
              <w:t>Thesis: Domestic Vaccination Prevalence Among Refugee Arrivals in Texas</w:t>
            </w:r>
          </w:p>
        </w:tc>
        <w:tc>
          <w:tcPr>
            <w:tcW w:w="1528"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MPH-4: Interpret results of data analysis for public health research, policy or practice.</w:t>
            </w:r>
          </w:p>
        </w:tc>
        <w:tc>
          <w:tcPr>
            <w:tcW w:w="2155" w:type="pct"/>
            <w:vMerge w:val="restart"/>
            <w:shd w:val="clear" w:color="auto" w:fill="auto"/>
          </w:tcPr>
          <w:p w:rsidR="00547032" w:rsidRPr="00326F5C" w:rsidRDefault="00547032" w:rsidP="006C308E">
            <w:pPr>
              <w:rPr>
                <w:rFonts w:asciiTheme="majorHAnsi" w:eastAsia="Times New Roman" w:hAnsiTheme="majorHAnsi" w:cstheme="majorHAnsi"/>
                <w:sz w:val="20"/>
                <w:szCs w:val="20"/>
              </w:rPr>
            </w:pPr>
            <w:r w:rsidRPr="00326F5C">
              <w:rPr>
                <w:rFonts w:asciiTheme="majorHAnsi" w:hAnsiTheme="majorHAnsi" w:cstheme="majorHAnsi"/>
                <w:sz w:val="20"/>
                <w:szCs w:val="20"/>
              </w:rPr>
              <w:t>The student discussed the issue of vaccination and health services as it relates to social-structural biases (e.g., nationality, race, age) and conducted an analysis of currently available data and tested the significance of proportion and prevalence ratios for vaccination rates (MPH-6). Additionally, the student relates their findings to current federal policies and guidelines regarding age-based immunization recommendations (MPH-4), (MPH-S2), (MPH-S3).</w:t>
            </w:r>
          </w:p>
        </w:tc>
      </w:tr>
      <w:tr w:rsidR="00547032" w:rsidRPr="00326F5C" w:rsidTr="00414B04">
        <w:trPr>
          <w:trHeight w:val="60"/>
        </w:trPr>
        <w:tc>
          <w:tcPr>
            <w:tcW w:w="1317"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8" w:type="pct"/>
            <w:shd w:val="clear" w:color="auto" w:fill="auto"/>
          </w:tcPr>
          <w:p w:rsidR="00547032" w:rsidRPr="00326F5C" w:rsidRDefault="00547032" w:rsidP="006C308E">
            <w:pPr>
              <w:rPr>
                <w:rFonts w:asciiTheme="majorHAnsi" w:hAnsiTheme="majorHAnsi" w:cstheme="majorHAnsi"/>
                <w:sz w:val="20"/>
                <w:szCs w:val="20"/>
              </w:rPr>
            </w:pPr>
            <w:r w:rsidRPr="00326F5C">
              <w:rPr>
                <w:rFonts w:asciiTheme="majorHAnsi" w:hAnsiTheme="majorHAnsi" w:cstheme="majorHAnsi"/>
                <w:sz w:val="20"/>
                <w:szCs w:val="20"/>
              </w:rPr>
              <w:t>MPH-6: Discuss the means by which structural bias, social inequities and racism undermine health and create challenges to achieving health equity at organizational, community and societal levels.</w:t>
            </w:r>
          </w:p>
        </w:tc>
        <w:tc>
          <w:tcPr>
            <w:tcW w:w="215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60"/>
        </w:trPr>
        <w:tc>
          <w:tcPr>
            <w:tcW w:w="1317"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8" w:type="pct"/>
            <w:shd w:val="clear" w:color="auto" w:fill="auto"/>
          </w:tcPr>
          <w:p w:rsidR="00547032" w:rsidRPr="00326F5C" w:rsidRDefault="00547032" w:rsidP="006C308E">
            <w:pPr>
              <w:rPr>
                <w:rFonts w:asciiTheme="majorHAnsi" w:eastAsia="Times New Roman" w:hAnsiTheme="majorHAnsi" w:cstheme="majorHAnsi"/>
                <w:sz w:val="20"/>
                <w:szCs w:val="20"/>
                <w:highlight w:val="yellow"/>
              </w:rPr>
            </w:pPr>
            <w:r w:rsidRPr="00326F5C">
              <w:rPr>
                <w:rFonts w:asciiTheme="majorHAnsi" w:hAnsiTheme="majorHAnsi" w:cstheme="majorHAnsi"/>
                <w:sz w:val="20"/>
                <w:szCs w:val="20"/>
              </w:rPr>
              <w:t>MPH-S2: Review and critically evaluate scientific studies that estimate the effectiveness, efficiency, and equity of health policy alternatives.</w:t>
            </w:r>
          </w:p>
        </w:tc>
        <w:tc>
          <w:tcPr>
            <w:tcW w:w="215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r w:rsidR="00547032" w:rsidRPr="00326F5C" w:rsidTr="00414B04">
        <w:trPr>
          <w:trHeight w:val="60"/>
        </w:trPr>
        <w:tc>
          <w:tcPr>
            <w:tcW w:w="1317"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c>
          <w:tcPr>
            <w:tcW w:w="1528" w:type="pct"/>
            <w:shd w:val="clear" w:color="auto" w:fill="auto"/>
          </w:tcPr>
          <w:p w:rsidR="00547032" w:rsidRPr="00326F5C" w:rsidRDefault="00547032" w:rsidP="006C308E">
            <w:pPr>
              <w:rPr>
                <w:rFonts w:asciiTheme="majorHAnsi" w:eastAsia="Times New Roman" w:hAnsiTheme="majorHAnsi" w:cstheme="majorHAnsi"/>
                <w:sz w:val="20"/>
                <w:szCs w:val="20"/>
                <w:highlight w:val="yellow"/>
              </w:rPr>
            </w:pPr>
            <w:r w:rsidRPr="00326F5C">
              <w:rPr>
                <w:rFonts w:asciiTheme="majorHAnsi" w:hAnsiTheme="majorHAnsi" w:cstheme="majorHAnsi"/>
                <w:sz w:val="20"/>
                <w:szCs w:val="20"/>
              </w:rPr>
              <w:t>MPH-S3: Prepare a detailed policy analysis plan to assess alternative policies for improving the effectiveness, efficiency and equity of health services.</w:t>
            </w:r>
          </w:p>
        </w:tc>
        <w:tc>
          <w:tcPr>
            <w:tcW w:w="2155" w:type="pct"/>
            <w:vMerge/>
            <w:shd w:val="clear" w:color="auto" w:fill="auto"/>
          </w:tcPr>
          <w:p w:rsidR="00547032" w:rsidRPr="00326F5C" w:rsidRDefault="00547032" w:rsidP="006C308E">
            <w:pPr>
              <w:rPr>
                <w:rFonts w:asciiTheme="majorHAnsi" w:eastAsia="Times New Roman" w:hAnsiTheme="majorHAnsi" w:cstheme="majorHAnsi"/>
                <w:sz w:val="20"/>
                <w:szCs w:val="20"/>
              </w:rPr>
            </w:pPr>
          </w:p>
        </w:tc>
      </w:tr>
    </w:tbl>
    <w:p w:rsidR="00547032" w:rsidRPr="00326F5C" w:rsidRDefault="00547032" w:rsidP="006C308E">
      <w:pPr>
        <w:rPr>
          <w:rFonts w:asciiTheme="majorHAnsi" w:hAnsiTheme="majorHAnsi" w:cstheme="majorHAnsi"/>
          <w:sz w:val="20"/>
          <w:szCs w:val="20"/>
        </w:rPr>
      </w:pPr>
    </w:p>
    <w:p w:rsidR="00547032" w:rsidRPr="00326F5C" w:rsidRDefault="00547032" w:rsidP="006E28EE">
      <w:pPr>
        <w:shd w:val="clear" w:color="auto" w:fill="FFFFFF"/>
        <w:ind w:left="720"/>
        <w:rPr>
          <w:rFonts w:asciiTheme="majorHAnsi" w:eastAsia="Arial Unicode MS" w:hAnsiTheme="majorHAnsi" w:cstheme="majorHAnsi"/>
          <w:i/>
          <w:sz w:val="20"/>
          <w:szCs w:val="20"/>
        </w:rPr>
      </w:pPr>
      <w:r w:rsidRPr="00326F5C">
        <w:rPr>
          <w:rFonts w:asciiTheme="majorHAnsi" w:eastAsia="Arial Unicode MS" w:hAnsiTheme="majorHAnsi" w:cstheme="majorHAnsi"/>
          <w:i/>
          <w:sz w:val="20"/>
          <w:szCs w:val="20"/>
        </w:rPr>
        <w:t>Associated documents in the electronic resource file:</w:t>
      </w:r>
    </w:p>
    <w:p w:rsidR="00547032" w:rsidRPr="00326F5C" w:rsidRDefault="00547032" w:rsidP="00A57835">
      <w:pPr>
        <w:pStyle w:val="ListParagraph"/>
        <w:numPr>
          <w:ilvl w:val="0"/>
          <w:numId w:val="138"/>
        </w:numPr>
        <w:shd w:val="clear" w:color="auto" w:fill="FFFFFF"/>
        <w:rPr>
          <w:rFonts w:asciiTheme="majorHAnsi" w:eastAsia="Arial Unicode MS" w:hAnsiTheme="majorHAnsi" w:cstheme="majorHAnsi"/>
          <w:i/>
          <w:szCs w:val="20"/>
        </w:rPr>
      </w:pPr>
      <w:r w:rsidRPr="00326F5C">
        <w:rPr>
          <w:rFonts w:asciiTheme="majorHAnsi" w:eastAsia="Arial Unicode MS" w:hAnsiTheme="majorHAnsi" w:cstheme="majorHAnsi"/>
          <w:i/>
          <w:szCs w:val="20"/>
        </w:rPr>
        <w:t>D7.5. MPH Integrative Learning Experience Examples for MPH Concentrations</w:t>
      </w:r>
    </w:p>
    <w:p w:rsidR="00441A8B" w:rsidRPr="00326F5C" w:rsidRDefault="00441A8B" w:rsidP="00A57835">
      <w:pPr>
        <w:pStyle w:val="ListParagraph"/>
        <w:numPr>
          <w:ilvl w:val="1"/>
          <w:numId w:val="138"/>
        </w:numPr>
        <w:shd w:val="clear" w:color="auto" w:fill="FFFFFF"/>
        <w:rPr>
          <w:rFonts w:asciiTheme="majorHAnsi" w:eastAsia="Arial Unicode MS" w:hAnsiTheme="majorHAnsi" w:cstheme="majorHAnsi"/>
          <w:szCs w:val="20"/>
        </w:rPr>
      </w:pPr>
      <w:r w:rsidRPr="00326F5C">
        <w:rPr>
          <w:rFonts w:asciiTheme="majorHAnsi" w:eastAsia="Arial Unicode MS" w:hAnsiTheme="majorHAnsi" w:cstheme="majorHAnsi"/>
          <w:i/>
          <w:szCs w:val="20"/>
        </w:rPr>
        <w:t>MPH in Community Health Practice – ILE Documentation (Forms and Final Products)</w:t>
      </w:r>
    </w:p>
    <w:p w:rsidR="006C36BF" w:rsidRPr="00326F5C" w:rsidRDefault="00441A8B" w:rsidP="00A57835">
      <w:pPr>
        <w:pStyle w:val="ListParagraph"/>
        <w:numPr>
          <w:ilvl w:val="1"/>
          <w:numId w:val="138"/>
        </w:numPr>
        <w:shd w:val="clear" w:color="auto" w:fill="FFFFFF"/>
        <w:rPr>
          <w:rFonts w:asciiTheme="majorHAnsi" w:eastAsia="Arial Unicode MS" w:hAnsiTheme="majorHAnsi" w:cstheme="majorHAnsi"/>
          <w:i/>
          <w:szCs w:val="20"/>
        </w:rPr>
      </w:pPr>
      <w:r w:rsidRPr="00326F5C">
        <w:rPr>
          <w:rFonts w:asciiTheme="majorHAnsi" w:eastAsia="Arial Unicode MS" w:hAnsiTheme="majorHAnsi" w:cstheme="majorHAnsi"/>
          <w:i/>
          <w:szCs w:val="20"/>
        </w:rPr>
        <w:t>MPH Customized – ILE Documentation (Forms and Final Products)</w:t>
      </w:r>
    </w:p>
    <w:p w:rsidR="00547032" w:rsidRPr="00326F5C" w:rsidRDefault="00441A8B" w:rsidP="00A57835">
      <w:pPr>
        <w:pStyle w:val="ListParagraph"/>
        <w:numPr>
          <w:ilvl w:val="1"/>
          <w:numId w:val="138"/>
        </w:numPr>
        <w:shd w:val="clear" w:color="auto" w:fill="FFFFFF"/>
        <w:rPr>
          <w:rStyle w:val="Hyperlink"/>
          <w:rFonts w:asciiTheme="majorHAnsi" w:eastAsia="Arial Unicode MS" w:hAnsiTheme="majorHAnsi" w:cstheme="majorHAnsi"/>
          <w:i/>
          <w:color w:val="auto"/>
          <w:szCs w:val="20"/>
          <w:u w:val="none"/>
        </w:rPr>
      </w:pPr>
      <w:r w:rsidRPr="00326F5C">
        <w:rPr>
          <w:rFonts w:asciiTheme="majorHAnsi" w:eastAsia="Arial Unicode MS" w:hAnsiTheme="majorHAnsi" w:cstheme="majorHAnsi"/>
          <w:i/>
          <w:szCs w:val="20"/>
        </w:rPr>
        <w:t>MPH Customized, Dual Degree – ILE Documentation (Forms and Final Products)</w:t>
      </w:r>
      <w:r w:rsidR="00547032" w:rsidRPr="00326F5C">
        <w:rPr>
          <w:rStyle w:val="Hyperlink"/>
          <w:rFonts w:asciiTheme="majorHAnsi" w:eastAsia="Arial Unicode MS" w:hAnsiTheme="majorHAnsi" w:cstheme="majorHAnsi"/>
          <w:i/>
          <w:color w:val="auto"/>
          <w:szCs w:val="20"/>
        </w:rPr>
        <w:t xml:space="preserve"> </w:t>
      </w:r>
    </w:p>
    <w:p w:rsidR="00547032" w:rsidRPr="00326F5C" w:rsidRDefault="00441A8B" w:rsidP="00A57835">
      <w:pPr>
        <w:pStyle w:val="ListParagraph"/>
        <w:numPr>
          <w:ilvl w:val="1"/>
          <w:numId w:val="138"/>
        </w:numPr>
        <w:shd w:val="clear" w:color="auto" w:fill="FFFFFF"/>
        <w:rPr>
          <w:rFonts w:asciiTheme="majorHAnsi" w:eastAsia="Arial Unicode MS" w:hAnsiTheme="majorHAnsi" w:cstheme="majorHAnsi"/>
          <w:i/>
          <w:szCs w:val="20"/>
        </w:rPr>
      </w:pPr>
      <w:r w:rsidRPr="00326F5C">
        <w:rPr>
          <w:rFonts w:asciiTheme="majorHAnsi" w:eastAsia="Arial Unicode MS" w:hAnsiTheme="majorHAnsi" w:cstheme="majorHAnsi"/>
          <w:i/>
          <w:szCs w:val="20"/>
        </w:rPr>
        <w:t>MPH in Environmental Health – ILE Documentation (Forms and Final Products)</w:t>
      </w:r>
    </w:p>
    <w:p w:rsidR="00441A8B" w:rsidRPr="00326F5C" w:rsidRDefault="00441A8B" w:rsidP="00A57835">
      <w:pPr>
        <w:pStyle w:val="ListParagraph"/>
        <w:numPr>
          <w:ilvl w:val="1"/>
          <w:numId w:val="138"/>
        </w:numPr>
        <w:shd w:val="clear" w:color="auto" w:fill="FFFFFF"/>
        <w:rPr>
          <w:rFonts w:asciiTheme="majorHAnsi" w:eastAsia="Arial Unicode MS" w:hAnsiTheme="majorHAnsi" w:cstheme="majorHAnsi"/>
          <w:i/>
          <w:szCs w:val="20"/>
        </w:rPr>
      </w:pPr>
      <w:r w:rsidRPr="00326F5C">
        <w:rPr>
          <w:rFonts w:asciiTheme="majorHAnsi" w:eastAsia="Arial Unicode MS" w:hAnsiTheme="majorHAnsi" w:cstheme="majorHAnsi"/>
          <w:i/>
          <w:szCs w:val="20"/>
        </w:rPr>
        <w:t>MPH in Epidemiology – ILE Documentation (Forms and Final Products)</w:t>
      </w:r>
    </w:p>
    <w:p w:rsidR="00441A8B" w:rsidRPr="00326F5C" w:rsidRDefault="00441A8B" w:rsidP="00A57835">
      <w:pPr>
        <w:pStyle w:val="ListParagraph"/>
        <w:numPr>
          <w:ilvl w:val="1"/>
          <w:numId w:val="138"/>
        </w:numPr>
        <w:shd w:val="clear" w:color="auto" w:fill="FFFFFF"/>
        <w:rPr>
          <w:rFonts w:asciiTheme="majorHAnsi" w:eastAsia="Arial Unicode MS" w:hAnsiTheme="majorHAnsi" w:cstheme="majorHAnsi"/>
          <w:szCs w:val="20"/>
        </w:rPr>
      </w:pPr>
      <w:r w:rsidRPr="00326F5C">
        <w:rPr>
          <w:rFonts w:asciiTheme="majorHAnsi" w:eastAsia="Arial Unicode MS" w:hAnsiTheme="majorHAnsi" w:cstheme="majorHAnsi"/>
          <w:i/>
          <w:szCs w:val="20"/>
        </w:rPr>
        <w:t>MPH in Health Promotion and Health Education – ILE Documentation (Forms and Final Products)</w:t>
      </w:r>
    </w:p>
    <w:p w:rsidR="00547032" w:rsidRPr="00326F5C" w:rsidRDefault="00441A8B" w:rsidP="00A57835">
      <w:pPr>
        <w:pStyle w:val="ListParagraph"/>
        <w:numPr>
          <w:ilvl w:val="1"/>
          <w:numId w:val="138"/>
        </w:numPr>
        <w:shd w:val="clear" w:color="auto" w:fill="FFFFFF"/>
        <w:rPr>
          <w:rFonts w:asciiTheme="majorHAnsi" w:eastAsia="Arial Unicode MS" w:hAnsiTheme="majorHAnsi" w:cstheme="majorHAnsi"/>
          <w:i/>
          <w:szCs w:val="20"/>
        </w:rPr>
      </w:pPr>
      <w:r w:rsidRPr="00326F5C">
        <w:rPr>
          <w:rFonts w:asciiTheme="majorHAnsi" w:eastAsia="Arial Unicode MS" w:hAnsiTheme="majorHAnsi" w:cstheme="majorHAnsi"/>
          <w:i/>
          <w:szCs w:val="20"/>
        </w:rPr>
        <w:t>MPH in Health Promotion and Health Education, Dietetic Internship Track – ILE Documentation (Forms and Final Products)</w:t>
      </w:r>
    </w:p>
    <w:p w:rsidR="00441A8B" w:rsidRPr="00326F5C" w:rsidRDefault="00441A8B" w:rsidP="00A57835">
      <w:pPr>
        <w:pStyle w:val="ListParagraph"/>
        <w:numPr>
          <w:ilvl w:val="1"/>
          <w:numId w:val="138"/>
        </w:numPr>
        <w:shd w:val="clear" w:color="auto" w:fill="FFFFFF"/>
        <w:rPr>
          <w:rFonts w:asciiTheme="majorHAnsi" w:eastAsia="Arial Unicode MS" w:hAnsiTheme="majorHAnsi" w:cstheme="majorHAnsi"/>
          <w:szCs w:val="20"/>
        </w:rPr>
      </w:pPr>
      <w:r w:rsidRPr="00326F5C">
        <w:rPr>
          <w:rFonts w:asciiTheme="majorHAnsi" w:eastAsia="Arial Unicode MS" w:hAnsiTheme="majorHAnsi" w:cstheme="majorHAnsi"/>
          <w:i/>
          <w:szCs w:val="20"/>
        </w:rPr>
        <w:t>MPH in Healthcare Management – ILE Documentation (Forms and Final Products)</w:t>
      </w:r>
    </w:p>
    <w:p w:rsidR="00547032" w:rsidRPr="00326F5C" w:rsidRDefault="00441A8B" w:rsidP="00A57835">
      <w:pPr>
        <w:pStyle w:val="ListParagraph"/>
        <w:numPr>
          <w:ilvl w:val="1"/>
          <w:numId w:val="138"/>
        </w:numPr>
        <w:shd w:val="clear" w:color="auto" w:fill="FFFFFF"/>
        <w:rPr>
          <w:rFonts w:asciiTheme="majorHAnsi" w:eastAsia="Arial Unicode MS" w:hAnsiTheme="majorHAnsi" w:cstheme="majorHAnsi"/>
          <w:i/>
          <w:szCs w:val="20"/>
        </w:rPr>
      </w:pPr>
      <w:r w:rsidRPr="00326F5C">
        <w:rPr>
          <w:rFonts w:asciiTheme="majorHAnsi" w:eastAsia="Arial Unicode MS" w:hAnsiTheme="majorHAnsi" w:cstheme="majorHAnsi"/>
          <w:i/>
          <w:szCs w:val="20"/>
        </w:rPr>
        <w:t>MPH in Health Services Organization – ILE Documentation (Forms and Final Products)</w:t>
      </w:r>
    </w:p>
    <w:p w:rsidR="00933038" w:rsidRPr="00326F5C" w:rsidRDefault="00933038" w:rsidP="006C308E">
      <w:pPr>
        <w:pStyle w:val="ListParagraph"/>
        <w:ind w:left="0"/>
        <w:jc w:val="both"/>
        <w:rPr>
          <w:rFonts w:asciiTheme="majorHAnsi" w:eastAsia="Arial Unicode MS" w:hAnsiTheme="majorHAnsi" w:cstheme="majorHAnsi"/>
          <w:szCs w:val="20"/>
        </w:rPr>
      </w:pPr>
    </w:p>
    <w:p w:rsidR="00933038" w:rsidRPr="00326F5C" w:rsidRDefault="00933038" w:rsidP="006C308E">
      <w:pPr>
        <w:numPr>
          <w:ilvl w:val="0"/>
          <w:numId w:val="24"/>
        </w:numPr>
        <w:shd w:val="clear" w:color="auto" w:fill="FFFFFF"/>
        <w:ind w:left="720"/>
        <w:jc w:val="both"/>
        <w:rPr>
          <w:rFonts w:asciiTheme="majorHAnsi" w:eastAsia="Arial Unicode MS" w:hAnsiTheme="majorHAnsi" w:cstheme="majorHAnsi"/>
          <w:sz w:val="20"/>
          <w:szCs w:val="20"/>
        </w:rPr>
      </w:pPr>
      <w:r w:rsidRPr="00326F5C">
        <w:rPr>
          <w:rFonts w:asciiTheme="majorHAnsi" w:eastAsia="Arial Unicode MS" w:hAnsiTheme="majorHAnsi" w:cstheme="majorHAnsi"/>
          <w:sz w:val="20"/>
          <w:szCs w:val="20"/>
        </w:rPr>
        <w:t xml:space="preserve">If applicable, assess strengths and weaknesses related to this criterion and plans for improvement in this area. </w:t>
      </w:r>
    </w:p>
    <w:p w:rsidR="00933038" w:rsidRPr="00326F5C" w:rsidRDefault="00933038" w:rsidP="006C308E">
      <w:pPr>
        <w:shd w:val="clear" w:color="auto" w:fill="FFFFFF"/>
        <w:jc w:val="both"/>
        <w:rPr>
          <w:rFonts w:asciiTheme="majorHAnsi" w:eastAsia="Arial Unicode MS" w:hAnsiTheme="majorHAnsi" w:cstheme="majorHAnsi"/>
          <w:sz w:val="20"/>
          <w:szCs w:val="20"/>
        </w:rPr>
      </w:pPr>
    </w:p>
    <w:p w:rsidR="00933038" w:rsidRPr="00326F5C" w:rsidRDefault="00E20EE0" w:rsidP="006C308E">
      <w:pPr>
        <w:shd w:val="clear" w:color="auto" w:fill="FFFFFF"/>
        <w:ind w:left="720"/>
        <w:jc w:val="both"/>
        <w:rPr>
          <w:rFonts w:asciiTheme="majorHAnsi" w:eastAsia="Arial Unicode MS" w:hAnsiTheme="majorHAnsi" w:cstheme="majorHAnsi"/>
          <w:b/>
          <w:bCs/>
          <w:kern w:val="32"/>
          <w:sz w:val="20"/>
          <w:szCs w:val="20"/>
          <w:lang w:eastAsia="x-none"/>
        </w:rPr>
      </w:pPr>
      <w:r w:rsidRPr="00326F5C">
        <w:rPr>
          <w:rFonts w:asciiTheme="majorHAnsi" w:eastAsia="Arial Unicode MS" w:hAnsiTheme="majorHAnsi" w:cstheme="majorHAnsi"/>
          <w:i/>
          <w:sz w:val="20"/>
          <w:szCs w:val="20"/>
        </w:rPr>
        <w:t xml:space="preserve">Not applicable. </w:t>
      </w:r>
      <w:bookmarkStart w:id="89" w:name="_Toc464487874"/>
    </w:p>
    <w:p w:rsidR="00501E99" w:rsidRPr="00326F5C" w:rsidRDefault="00501E99" w:rsidP="006C308E">
      <w:pPr>
        <w:rPr>
          <w:rFonts w:asciiTheme="majorHAnsi" w:eastAsia="Arial Unicode MS" w:hAnsiTheme="majorHAnsi" w:cstheme="majorHAnsi"/>
          <w:b/>
          <w:bCs/>
          <w:kern w:val="32"/>
          <w:sz w:val="20"/>
          <w:szCs w:val="20"/>
          <w:lang w:eastAsia="x-none"/>
        </w:rPr>
      </w:pPr>
      <w:bookmarkStart w:id="90" w:name="_D8._DrPH_Integrative"/>
      <w:bookmarkStart w:id="91" w:name="_Toc7118207"/>
      <w:bookmarkEnd w:id="90"/>
      <w:r w:rsidRPr="00326F5C">
        <w:rPr>
          <w:rFonts w:asciiTheme="majorHAnsi" w:hAnsiTheme="majorHAnsi" w:cstheme="majorHAnsi"/>
          <w:sz w:val="20"/>
          <w:szCs w:val="20"/>
        </w:rPr>
        <w:br w:type="page"/>
      </w:r>
    </w:p>
    <w:p w:rsidR="00933038" w:rsidRPr="00326F5C" w:rsidRDefault="00933038" w:rsidP="007A68BE">
      <w:pPr>
        <w:pStyle w:val="Heading1"/>
      </w:pPr>
      <w:r w:rsidRPr="00326F5C">
        <w:t>D8. DrPH Integrative Learning Experience</w:t>
      </w:r>
      <w:bookmarkEnd w:id="89"/>
      <w:bookmarkEnd w:id="91"/>
    </w:p>
    <w:p w:rsidR="00933038" w:rsidRPr="00326F5C" w:rsidRDefault="00933038" w:rsidP="006C308E">
      <w:pPr>
        <w:shd w:val="clear" w:color="auto" w:fill="FFFFFF"/>
        <w:ind w:left="360"/>
        <w:jc w:val="both"/>
        <w:rPr>
          <w:rFonts w:asciiTheme="majorHAnsi" w:eastAsia="Arial Unicode MS" w:hAnsiTheme="majorHAnsi" w:cstheme="majorHAnsi"/>
          <w:sz w:val="20"/>
          <w:szCs w:val="20"/>
        </w:rPr>
      </w:pPr>
    </w:p>
    <w:p w:rsidR="00933038" w:rsidRPr="00326F5C" w:rsidRDefault="00933038" w:rsidP="006C308E">
      <w:pPr>
        <w:shd w:val="clear" w:color="auto" w:fill="FFFFFF"/>
        <w:jc w:val="both"/>
        <w:rPr>
          <w:rFonts w:asciiTheme="majorHAnsi" w:eastAsia="Arial Unicode MS" w:hAnsiTheme="majorHAnsi" w:cstheme="majorHAnsi"/>
          <w:b/>
          <w:sz w:val="20"/>
          <w:szCs w:val="20"/>
        </w:rPr>
      </w:pPr>
      <w:r w:rsidRPr="00326F5C">
        <w:rPr>
          <w:rFonts w:asciiTheme="majorHAnsi" w:eastAsia="Arial Unicode MS" w:hAnsiTheme="majorHAnsi" w:cstheme="majorHAnsi"/>
          <w:b/>
          <w:bCs/>
          <w:sz w:val="20"/>
          <w:szCs w:val="20"/>
        </w:rPr>
        <w:t xml:space="preserve">As part of an integrative learning experience, DrPH candidates </w:t>
      </w:r>
      <w:r w:rsidRPr="00326F5C">
        <w:rPr>
          <w:rFonts w:asciiTheme="majorHAnsi" w:eastAsia="Arial Unicode MS" w:hAnsiTheme="majorHAnsi" w:cstheme="majorHAnsi"/>
          <w:b/>
          <w:sz w:val="20"/>
          <w:szCs w:val="20"/>
        </w:rPr>
        <w:t>generate field-based products consistent with advanced practice designed to influence schools, policies or systems addressing public health</w:t>
      </w:r>
      <w:r w:rsidRPr="00326F5C">
        <w:rPr>
          <w:rFonts w:asciiTheme="majorHAnsi" w:eastAsia="Arial Unicode MS" w:hAnsiTheme="majorHAnsi" w:cstheme="majorHAnsi"/>
          <w:b/>
          <w:bCs/>
          <w:sz w:val="20"/>
          <w:szCs w:val="20"/>
        </w:rPr>
        <w:t>. The products demonstrate s</w:t>
      </w:r>
      <w:r w:rsidRPr="00326F5C">
        <w:rPr>
          <w:rFonts w:asciiTheme="majorHAnsi" w:eastAsia="Arial Unicode MS" w:hAnsiTheme="majorHAnsi" w:cstheme="majorHAnsi"/>
          <w:b/>
          <w:sz w:val="20"/>
          <w:szCs w:val="20"/>
        </w:rPr>
        <w:t>ynthesis of foundational and concentration-specific competencies.</w:t>
      </w:r>
    </w:p>
    <w:p w:rsidR="00933038" w:rsidRPr="00326F5C" w:rsidRDefault="00933038" w:rsidP="006C308E">
      <w:pPr>
        <w:shd w:val="clear" w:color="auto" w:fill="FFFFFF"/>
        <w:ind w:left="720"/>
        <w:jc w:val="both"/>
        <w:rPr>
          <w:rFonts w:asciiTheme="majorHAnsi" w:eastAsia="Arial Unicode MS" w:hAnsiTheme="majorHAnsi" w:cstheme="majorHAnsi"/>
          <w:sz w:val="20"/>
          <w:szCs w:val="20"/>
        </w:rPr>
      </w:pPr>
    </w:p>
    <w:p w:rsidR="00933038" w:rsidRPr="00326F5C" w:rsidRDefault="00933038" w:rsidP="006C308E">
      <w:pPr>
        <w:shd w:val="clear" w:color="auto" w:fill="FFFFFF"/>
        <w:jc w:val="both"/>
        <w:rPr>
          <w:rFonts w:asciiTheme="majorHAnsi" w:eastAsia="Arial Unicode MS" w:hAnsiTheme="majorHAnsi" w:cstheme="majorHAnsi"/>
          <w:b/>
          <w:sz w:val="20"/>
          <w:szCs w:val="20"/>
        </w:rPr>
      </w:pPr>
      <w:r w:rsidRPr="00326F5C">
        <w:rPr>
          <w:rFonts w:asciiTheme="majorHAnsi" w:eastAsia="Arial Unicode MS" w:hAnsiTheme="majorHAnsi" w:cstheme="majorHAnsi"/>
          <w:b/>
          <w:sz w:val="20"/>
          <w:szCs w:val="20"/>
        </w:rPr>
        <w:t>The integrative learning experience is completed at or near the end of the school of study. It may take many forms consistent with advanced, doctoral-level studies and university policies but must require, at a minimum, production of a high-quality written product.</w:t>
      </w:r>
    </w:p>
    <w:p w:rsidR="00933038" w:rsidRPr="00326F5C" w:rsidRDefault="00933038" w:rsidP="006C308E">
      <w:pPr>
        <w:shd w:val="clear" w:color="auto" w:fill="FFFFFF"/>
        <w:jc w:val="both"/>
        <w:rPr>
          <w:rFonts w:asciiTheme="majorHAnsi" w:eastAsia="Arial Unicode MS" w:hAnsiTheme="majorHAnsi" w:cstheme="majorHAnsi"/>
          <w:bCs/>
          <w:sz w:val="20"/>
          <w:szCs w:val="20"/>
        </w:rPr>
      </w:pPr>
    </w:p>
    <w:p w:rsidR="00933038" w:rsidRPr="00326F5C" w:rsidRDefault="00933038" w:rsidP="006C308E">
      <w:pPr>
        <w:numPr>
          <w:ilvl w:val="0"/>
          <w:numId w:val="25"/>
        </w:numPr>
        <w:shd w:val="clear" w:color="auto" w:fill="FFFFFF"/>
        <w:ind w:left="720"/>
        <w:jc w:val="both"/>
        <w:rPr>
          <w:rFonts w:asciiTheme="majorHAnsi" w:eastAsia="Arial Unicode MS" w:hAnsiTheme="majorHAnsi" w:cstheme="majorHAnsi"/>
          <w:sz w:val="20"/>
          <w:szCs w:val="20"/>
        </w:rPr>
      </w:pPr>
      <w:r w:rsidRPr="00326F5C">
        <w:rPr>
          <w:rFonts w:asciiTheme="majorHAnsi" w:eastAsia="Arial Unicode MS" w:hAnsiTheme="majorHAnsi" w:cstheme="majorHAnsi"/>
          <w:sz w:val="20"/>
          <w:szCs w:val="20"/>
        </w:rPr>
        <w:t xml:space="preserve">List, in the format of Template D8-1, the integrative learning experience for each DrPH concentration or generalist degree. The template also requires the school to explain, for each experience, how it ensures that the experience demonstrates synthesis of competencies. </w:t>
      </w:r>
    </w:p>
    <w:p w:rsidR="00933038" w:rsidRPr="00326F5C" w:rsidRDefault="00933038" w:rsidP="006C308E">
      <w:pPr>
        <w:shd w:val="clear" w:color="auto" w:fill="FFFFFF"/>
        <w:ind w:left="720"/>
        <w:rPr>
          <w:rFonts w:asciiTheme="majorHAnsi" w:eastAsia="Arial Unicode MS" w:hAnsiTheme="majorHAnsi" w:cstheme="majorHAnsi"/>
          <w:sz w:val="20"/>
          <w:szCs w:val="20"/>
        </w:rPr>
      </w:pPr>
    </w:p>
    <w:p w:rsidR="00B559E0" w:rsidRPr="00326F5C" w:rsidRDefault="00B559E0" w:rsidP="006C308E">
      <w:pPr>
        <w:shd w:val="clear" w:color="auto" w:fill="FFFFFF"/>
        <w:ind w:left="720"/>
        <w:rPr>
          <w:rStyle w:val="Hyperlink"/>
          <w:rFonts w:asciiTheme="majorHAnsi" w:eastAsia="Times New Roman" w:hAnsiTheme="majorHAnsi" w:cstheme="majorHAnsi"/>
          <w:bCs/>
          <w:sz w:val="20"/>
          <w:szCs w:val="20"/>
        </w:rPr>
      </w:pPr>
      <w:r w:rsidRPr="00326F5C">
        <w:rPr>
          <w:rFonts w:asciiTheme="majorHAnsi" w:eastAsia="Times New Roman" w:hAnsiTheme="majorHAnsi" w:cstheme="majorHAnsi"/>
          <w:bCs/>
          <w:color w:val="000000"/>
          <w:sz w:val="20"/>
          <w:szCs w:val="20"/>
        </w:rPr>
        <w:t xml:space="preserve">DrPH students fulfill the ILE requirement through the completion of a dissertation. Through the dissertation, DrPH students must generate high-quality field-based products consistent with advanced practice designed to influence programs, policies, or systems addressing public health. DrPH students self-identify competencies (a minimum of two DrPH Foundational Competencies and two major-specific competencies as defined in </w:t>
      </w:r>
      <w:hyperlink w:anchor="_D3._DrPH_Foundational" w:history="1">
        <w:r w:rsidR="00A179B7" w:rsidRPr="00326F5C">
          <w:rPr>
            <w:rStyle w:val="Hyperlink"/>
            <w:rFonts w:asciiTheme="majorHAnsi" w:eastAsia="Times New Roman" w:hAnsiTheme="majorHAnsi" w:cstheme="majorHAnsi"/>
            <w:bCs/>
            <w:i/>
            <w:sz w:val="20"/>
            <w:szCs w:val="20"/>
          </w:rPr>
          <w:t>Criterion D3. DrPH Foundational Competencies</w:t>
        </w:r>
      </w:hyperlink>
      <w:r w:rsidRPr="00326F5C">
        <w:rPr>
          <w:rFonts w:asciiTheme="majorHAnsi" w:eastAsia="Times New Roman" w:hAnsiTheme="majorHAnsi" w:cstheme="majorHAnsi"/>
          <w:bCs/>
          <w:color w:val="000000"/>
          <w:sz w:val="20"/>
          <w:szCs w:val="20"/>
        </w:rPr>
        <w:t xml:space="preserve"> and </w:t>
      </w:r>
      <w:hyperlink w:anchor="_D4._MPH_&amp;" w:history="1">
        <w:r w:rsidR="00A179B7" w:rsidRPr="00326F5C">
          <w:rPr>
            <w:rStyle w:val="Hyperlink"/>
            <w:rFonts w:asciiTheme="majorHAnsi" w:eastAsia="Times New Roman" w:hAnsiTheme="majorHAnsi" w:cstheme="majorHAnsi"/>
            <w:bCs/>
            <w:i/>
            <w:sz w:val="20"/>
            <w:szCs w:val="20"/>
          </w:rPr>
          <w:t>Criterion D4. MPH &amp; DrPH Concentration Competencies</w:t>
        </w:r>
      </w:hyperlink>
      <w:r w:rsidR="00156CE8" w:rsidRPr="00326F5C">
        <w:rPr>
          <w:rStyle w:val="Hyperlink"/>
          <w:rFonts w:asciiTheme="majorHAnsi" w:eastAsia="Times New Roman" w:hAnsiTheme="majorHAnsi" w:cstheme="majorHAnsi"/>
          <w:bCs/>
          <w:color w:val="auto"/>
          <w:sz w:val="20"/>
          <w:szCs w:val="20"/>
          <w:u w:val="none"/>
        </w:rPr>
        <w:t xml:space="preserve">). </w:t>
      </w:r>
    </w:p>
    <w:p w:rsidR="00AB680A" w:rsidRPr="00326F5C" w:rsidRDefault="00AB680A" w:rsidP="006C308E">
      <w:pPr>
        <w:shd w:val="clear" w:color="auto" w:fill="FFFFFF"/>
        <w:ind w:left="720"/>
        <w:rPr>
          <w:rFonts w:asciiTheme="majorHAnsi" w:hAnsiTheme="majorHAnsi" w:cstheme="majorHAnsi"/>
          <w:sz w:val="20"/>
          <w:szCs w:val="20"/>
        </w:rPr>
      </w:pPr>
    </w:p>
    <w:p w:rsidR="00AB680A" w:rsidRPr="00326F5C" w:rsidRDefault="00AB680A" w:rsidP="002A0B43">
      <w:pPr>
        <w:shd w:val="clear" w:color="auto" w:fill="FFFFFF"/>
        <w:ind w:left="720"/>
        <w:rPr>
          <w:rFonts w:asciiTheme="majorHAnsi" w:hAnsiTheme="majorHAnsi" w:cstheme="majorHAnsi"/>
          <w:sz w:val="20"/>
          <w:szCs w:val="20"/>
        </w:rPr>
      </w:pPr>
      <w:r w:rsidRPr="00326F5C">
        <w:rPr>
          <w:rFonts w:asciiTheme="majorHAnsi" w:hAnsiTheme="majorHAnsi" w:cstheme="majorHAnsi"/>
          <w:sz w:val="20"/>
          <w:szCs w:val="20"/>
        </w:rPr>
        <w:t>Table D.8.1. Integrative Learning Experiences for DrPH Students</w:t>
      </w:r>
      <w:r w:rsidR="002A0B43">
        <w:rPr>
          <w:rFonts w:asciiTheme="majorHAnsi" w:hAnsiTheme="majorHAnsi" w:cstheme="majorHAnsi"/>
          <w:sz w:val="20"/>
          <w:szCs w:val="20"/>
        </w:rPr>
        <w:t xml:space="preserve"> (</w:t>
      </w:r>
      <w:r w:rsidR="002A0B43" w:rsidRPr="002A0B43">
        <w:rPr>
          <w:rFonts w:asciiTheme="majorHAnsi" w:hAnsiTheme="majorHAnsi" w:cstheme="majorHAnsi"/>
          <w:i/>
          <w:sz w:val="20"/>
          <w:szCs w:val="20"/>
        </w:rPr>
        <w:t>ERF, D8. DrPH Integrative Learning Experience</w:t>
      </w:r>
      <w:r w:rsidR="002A0B43">
        <w:rPr>
          <w:rFonts w:asciiTheme="majorHAnsi" w:hAnsiTheme="majorHAnsi" w:cstheme="majorHAnsi"/>
          <w:sz w:val="20"/>
          <w:szCs w:val="20"/>
        </w:rPr>
        <w:t>)</w:t>
      </w: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6928"/>
      </w:tblGrid>
      <w:tr w:rsidR="00AB680A" w:rsidRPr="00326F5C" w:rsidTr="00474A9A">
        <w:trPr>
          <w:trHeight w:val="327"/>
        </w:trPr>
        <w:tc>
          <w:tcPr>
            <w:tcW w:w="5000" w:type="pct"/>
            <w:gridSpan w:val="2"/>
            <w:shd w:val="clear" w:color="000000" w:fill="D9D9D9"/>
            <w:hideMark/>
          </w:tcPr>
          <w:p w:rsidR="00AB680A" w:rsidRPr="00326F5C" w:rsidRDefault="00AB680A" w:rsidP="006C308E">
            <w:pPr>
              <w:rPr>
                <w:rFonts w:asciiTheme="majorHAnsi" w:eastAsia="Times New Roman" w:hAnsiTheme="majorHAnsi" w:cstheme="majorHAnsi"/>
                <w:b/>
                <w:bCs/>
                <w:color w:val="000000"/>
                <w:sz w:val="20"/>
                <w:szCs w:val="20"/>
              </w:rPr>
            </w:pPr>
            <w:r w:rsidRPr="00326F5C">
              <w:rPr>
                <w:rFonts w:asciiTheme="majorHAnsi" w:eastAsia="Times New Roman" w:hAnsiTheme="majorHAnsi" w:cstheme="majorHAnsi"/>
                <w:b/>
                <w:bCs/>
                <w:color w:val="000000"/>
                <w:sz w:val="20"/>
                <w:szCs w:val="20"/>
              </w:rPr>
              <w:t>DrPH Integrative Learning Experience for all DrPH Concentrations</w:t>
            </w:r>
          </w:p>
        </w:tc>
      </w:tr>
      <w:tr w:rsidR="00AB680A" w:rsidRPr="00326F5C" w:rsidTr="006E28EE">
        <w:trPr>
          <w:trHeight w:val="237"/>
        </w:trPr>
        <w:tc>
          <w:tcPr>
            <w:tcW w:w="990" w:type="pct"/>
            <w:shd w:val="clear" w:color="000000" w:fill="D9D9D9"/>
            <w:hideMark/>
          </w:tcPr>
          <w:p w:rsidR="00AB680A" w:rsidRPr="00326F5C" w:rsidRDefault="00AB680A" w:rsidP="006C308E">
            <w:pPr>
              <w:jc w:val="center"/>
              <w:rPr>
                <w:rFonts w:asciiTheme="majorHAnsi" w:eastAsia="Times New Roman" w:hAnsiTheme="majorHAnsi" w:cstheme="majorHAnsi"/>
                <w:b/>
                <w:bCs/>
                <w:color w:val="000000"/>
                <w:sz w:val="20"/>
                <w:szCs w:val="20"/>
              </w:rPr>
            </w:pPr>
            <w:r w:rsidRPr="00326F5C">
              <w:rPr>
                <w:rFonts w:asciiTheme="majorHAnsi" w:eastAsia="Times New Roman" w:hAnsiTheme="majorHAnsi" w:cstheme="majorHAnsi"/>
                <w:b/>
                <w:bCs/>
                <w:color w:val="000000"/>
                <w:sz w:val="20"/>
                <w:szCs w:val="20"/>
              </w:rPr>
              <w:t>Integrative Learning experience</w:t>
            </w:r>
          </w:p>
        </w:tc>
        <w:tc>
          <w:tcPr>
            <w:tcW w:w="4010" w:type="pct"/>
            <w:shd w:val="clear" w:color="000000" w:fill="D9D9D9"/>
            <w:hideMark/>
          </w:tcPr>
          <w:p w:rsidR="00AB680A" w:rsidRPr="00326F5C" w:rsidRDefault="00AB680A" w:rsidP="006C308E">
            <w:pPr>
              <w:jc w:val="center"/>
              <w:rPr>
                <w:rFonts w:asciiTheme="majorHAnsi" w:eastAsia="Times New Roman" w:hAnsiTheme="majorHAnsi" w:cstheme="majorHAnsi"/>
                <w:b/>
                <w:bCs/>
                <w:color w:val="000000"/>
                <w:sz w:val="20"/>
                <w:szCs w:val="20"/>
              </w:rPr>
            </w:pPr>
            <w:r w:rsidRPr="00326F5C">
              <w:rPr>
                <w:rFonts w:asciiTheme="majorHAnsi" w:eastAsia="Times New Roman" w:hAnsiTheme="majorHAnsi" w:cstheme="majorHAnsi"/>
                <w:b/>
                <w:bCs/>
                <w:color w:val="000000"/>
                <w:sz w:val="20"/>
                <w:szCs w:val="20"/>
              </w:rPr>
              <w:t>How competencies are synthesized</w:t>
            </w:r>
          </w:p>
        </w:tc>
      </w:tr>
      <w:tr w:rsidR="00AB680A" w:rsidRPr="00743A41" w:rsidTr="006E28EE">
        <w:trPr>
          <w:trHeight w:val="237"/>
        </w:trPr>
        <w:tc>
          <w:tcPr>
            <w:tcW w:w="990" w:type="pct"/>
            <w:shd w:val="clear" w:color="auto" w:fill="auto"/>
          </w:tcPr>
          <w:p w:rsidR="00AB680A" w:rsidRPr="002C4CE5" w:rsidRDefault="00AB680A" w:rsidP="006C308E">
            <w:pPr>
              <w:rPr>
                <w:rFonts w:asciiTheme="majorHAnsi" w:eastAsia="Times New Roman" w:hAnsiTheme="majorHAnsi" w:cstheme="majorHAnsi"/>
                <w:bCs/>
                <w:color w:val="000000"/>
                <w:sz w:val="20"/>
                <w:szCs w:val="20"/>
              </w:rPr>
            </w:pPr>
            <w:r w:rsidRPr="002C4CE5">
              <w:rPr>
                <w:rFonts w:asciiTheme="majorHAnsi" w:eastAsia="Times New Roman" w:hAnsiTheme="majorHAnsi" w:cstheme="majorHAnsi"/>
                <w:bCs/>
                <w:color w:val="000000"/>
                <w:sz w:val="20"/>
                <w:szCs w:val="20"/>
              </w:rPr>
              <w:t>PHD 9999 Dissertation</w:t>
            </w:r>
          </w:p>
        </w:tc>
        <w:tc>
          <w:tcPr>
            <w:tcW w:w="4010" w:type="pct"/>
            <w:shd w:val="clear" w:color="auto" w:fill="auto"/>
          </w:tcPr>
          <w:p w:rsidR="00AB680A" w:rsidRPr="00326F5C" w:rsidRDefault="00AB680A" w:rsidP="00B96D95">
            <w:pPr>
              <w:rPr>
                <w:rFonts w:asciiTheme="majorHAnsi" w:eastAsia="Times New Roman" w:hAnsiTheme="majorHAnsi" w:cstheme="majorHAnsi"/>
                <w:bCs/>
                <w:color w:val="000000"/>
                <w:sz w:val="20"/>
                <w:szCs w:val="20"/>
              </w:rPr>
            </w:pPr>
            <w:r w:rsidRPr="00326F5C">
              <w:rPr>
                <w:rFonts w:asciiTheme="majorHAnsi" w:eastAsia="Times New Roman" w:hAnsiTheme="majorHAnsi" w:cstheme="majorHAnsi"/>
                <w:bCs/>
                <w:color w:val="000000"/>
                <w:sz w:val="20"/>
                <w:szCs w:val="20"/>
              </w:rPr>
              <w:t xml:space="preserve">DrPH students fulfill the ILE requirement through the completion of a dissertation. Through the dissertation, DrPH students must generate high-quality field-based products consistent with advanced practice designed to influence programs, policies, or systems addressing public health. Students must follow all policies and procedures detailed in the </w:t>
            </w:r>
            <w:r w:rsidRPr="00326F5C">
              <w:rPr>
                <w:rFonts w:asciiTheme="majorHAnsi" w:hAnsiTheme="majorHAnsi" w:cstheme="majorHAnsi"/>
                <w:sz w:val="20"/>
                <w:szCs w:val="20"/>
              </w:rPr>
              <w:t>DrPH Dissertation Research Guide</w:t>
            </w:r>
            <w:r w:rsidR="00D805C0" w:rsidRPr="00326F5C">
              <w:rPr>
                <w:rFonts w:asciiTheme="majorHAnsi" w:eastAsia="Times New Roman" w:hAnsiTheme="majorHAnsi" w:cstheme="majorHAnsi"/>
                <w:bCs/>
                <w:color w:val="000000"/>
                <w:sz w:val="20"/>
                <w:szCs w:val="20"/>
              </w:rPr>
              <w:t xml:space="preserve"> (</w:t>
            </w:r>
            <w:r w:rsidR="00D805C0" w:rsidRPr="00326F5C">
              <w:rPr>
                <w:rFonts w:asciiTheme="majorHAnsi" w:eastAsia="Times New Roman" w:hAnsiTheme="majorHAnsi" w:cstheme="majorHAnsi"/>
                <w:bCs/>
                <w:i/>
                <w:color w:val="000000"/>
                <w:sz w:val="20"/>
                <w:szCs w:val="20"/>
              </w:rPr>
              <w:t>ERF, D8. DrPH Integrative Learning Experience DrPH Dissertation Guide</w:t>
            </w:r>
            <w:r w:rsidR="00D805C0" w:rsidRPr="00326F5C">
              <w:rPr>
                <w:rFonts w:asciiTheme="majorHAnsi" w:eastAsia="Times New Roman" w:hAnsiTheme="majorHAnsi" w:cstheme="majorHAnsi"/>
                <w:bCs/>
                <w:color w:val="000000"/>
                <w:sz w:val="20"/>
                <w:szCs w:val="20"/>
              </w:rPr>
              <w:t>)</w:t>
            </w:r>
            <w:r w:rsidRPr="00326F5C">
              <w:rPr>
                <w:rFonts w:asciiTheme="majorHAnsi" w:eastAsia="Times New Roman" w:hAnsiTheme="majorHAnsi" w:cstheme="majorHAnsi"/>
                <w:bCs/>
                <w:color w:val="000000"/>
                <w:sz w:val="20"/>
                <w:szCs w:val="20"/>
              </w:rPr>
              <w:t xml:space="preserve">. DrPH students self-identify competencies (a minimum of two DrPH Foundational Competencies and two major-specific competencies as defined in </w:t>
            </w:r>
            <w:hyperlink w:anchor="_D3._DrPH_Foundational" w:history="1">
              <w:r w:rsidR="00156CE8" w:rsidRPr="00326F5C">
                <w:rPr>
                  <w:rStyle w:val="Hyperlink"/>
                  <w:rFonts w:asciiTheme="majorHAnsi" w:eastAsia="Times New Roman" w:hAnsiTheme="majorHAnsi" w:cstheme="majorHAnsi"/>
                  <w:bCs/>
                  <w:i/>
                  <w:sz w:val="20"/>
                  <w:szCs w:val="20"/>
                </w:rPr>
                <w:t>Criterion D3. DrPH Foundational Competencies</w:t>
              </w:r>
            </w:hyperlink>
            <w:r w:rsidR="00156CE8" w:rsidRPr="00326F5C">
              <w:rPr>
                <w:rFonts w:asciiTheme="majorHAnsi" w:eastAsia="Times New Roman" w:hAnsiTheme="majorHAnsi" w:cstheme="majorHAnsi"/>
                <w:bCs/>
                <w:color w:val="000000"/>
                <w:sz w:val="20"/>
                <w:szCs w:val="20"/>
              </w:rPr>
              <w:t xml:space="preserve"> and </w:t>
            </w:r>
            <w:hyperlink w:anchor="_D4._MPH_&amp;" w:history="1">
              <w:r w:rsidR="00156CE8" w:rsidRPr="00326F5C">
                <w:rPr>
                  <w:rStyle w:val="Hyperlink"/>
                  <w:rFonts w:asciiTheme="majorHAnsi" w:eastAsia="Times New Roman" w:hAnsiTheme="majorHAnsi" w:cstheme="majorHAnsi"/>
                  <w:bCs/>
                  <w:i/>
                  <w:sz w:val="20"/>
                  <w:szCs w:val="20"/>
                </w:rPr>
                <w:t>Criterion D4. MPH &amp; DrPH Concentration Competencies</w:t>
              </w:r>
            </w:hyperlink>
            <w:r w:rsidR="00156CE8" w:rsidRPr="00326F5C">
              <w:rPr>
                <w:rFonts w:asciiTheme="majorHAnsi" w:hAnsiTheme="majorHAnsi" w:cstheme="majorHAnsi"/>
                <w:color w:val="000000"/>
                <w:sz w:val="20"/>
                <w:szCs w:val="20"/>
              </w:rPr>
              <w:t>),</w:t>
            </w:r>
            <w:r w:rsidRPr="00326F5C">
              <w:rPr>
                <w:rFonts w:asciiTheme="majorHAnsi" w:eastAsia="Times New Roman" w:hAnsiTheme="majorHAnsi" w:cstheme="majorHAnsi"/>
                <w:bCs/>
                <w:color w:val="000000"/>
                <w:sz w:val="20"/>
                <w:szCs w:val="20"/>
              </w:rPr>
              <w:t xml:space="preserve"> and develop a dissertation proposal in collaboration with a committee of faculty</w:t>
            </w:r>
            <w:r w:rsidR="007546ED" w:rsidRPr="00326F5C">
              <w:rPr>
                <w:rFonts w:asciiTheme="majorHAnsi" w:eastAsia="Times New Roman" w:hAnsiTheme="majorHAnsi" w:cstheme="majorHAnsi"/>
                <w:bCs/>
                <w:color w:val="000000"/>
                <w:sz w:val="20"/>
                <w:szCs w:val="20"/>
              </w:rPr>
              <w:t xml:space="preserve">. Students must adhere to all policies and procedures defined by the Office of Student Research, including </w:t>
            </w:r>
            <w:r w:rsidR="007546ED" w:rsidRPr="00326F5C">
              <w:rPr>
                <w:rFonts w:asciiTheme="majorHAnsi" w:eastAsia="Times New Roman" w:hAnsiTheme="majorHAnsi" w:cstheme="majorHAnsi"/>
                <w:bCs/>
                <w:sz w:val="20"/>
                <w:szCs w:val="20"/>
              </w:rPr>
              <w:t>Policy 102, Doctoral</w:t>
            </w:r>
            <w:r w:rsidR="002073C5" w:rsidRPr="00326F5C">
              <w:rPr>
                <w:rFonts w:asciiTheme="majorHAnsi" w:eastAsia="Times New Roman" w:hAnsiTheme="majorHAnsi" w:cstheme="majorHAnsi"/>
                <w:bCs/>
                <w:sz w:val="20"/>
                <w:szCs w:val="20"/>
              </w:rPr>
              <w:t xml:space="preserve"> Committee Structure</w:t>
            </w:r>
            <w:r w:rsidR="007546ED" w:rsidRPr="00326F5C">
              <w:rPr>
                <w:rStyle w:val="Hyperlink"/>
                <w:rFonts w:asciiTheme="majorHAnsi" w:eastAsia="Times New Roman" w:hAnsiTheme="majorHAnsi" w:cstheme="majorHAnsi"/>
                <w:bCs/>
                <w:color w:val="auto"/>
                <w:sz w:val="20"/>
                <w:szCs w:val="20"/>
                <w:u w:val="none"/>
              </w:rPr>
              <w:t>;</w:t>
            </w:r>
            <w:r w:rsidR="007546ED" w:rsidRPr="00326F5C">
              <w:rPr>
                <w:rStyle w:val="Hyperlink"/>
                <w:rFonts w:asciiTheme="majorHAnsi" w:eastAsia="Times New Roman" w:hAnsiTheme="majorHAnsi" w:cstheme="majorHAnsi"/>
                <w:bCs/>
                <w:sz w:val="20"/>
                <w:szCs w:val="20"/>
                <w:u w:val="none"/>
              </w:rPr>
              <w:t xml:space="preserve"> </w:t>
            </w:r>
            <w:r w:rsidR="007546ED" w:rsidRPr="00326F5C">
              <w:rPr>
                <w:rFonts w:asciiTheme="majorHAnsi" w:eastAsia="Times New Roman" w:hAnsiTheme="majorHAnsi" w:cstheme="majorHAnsi"/>
                <w:bCs/>
                <w:sz w:val="20"/>
                <w:szCs w:val="20"/>
              </w:rPr>
              <w:t>Policy 106, Thesis and Dissertation Data &amp; Publication Authorship</w:t>
            </w:r>
            <w:r w:rsidR="007546ED" w:rsidRPr="00326F5C">
              <w:rPr>
                <w:rStyle w:val="Hyperlink"/>
                <w:rFonts w:asciiTheme="majorHAnsi" w:eastAsia="Times New Roman" w:hAnsiTheme="majorHAnsi" w:cstheme="majorHAnsi"/>
                <w:bCs/>
                <w:color w:val="auto"/>
                <w:sz w:val="20"/>
                <w:szCs w:val="20"/>
                <w:u w:val="none"/>
              </w:rPr>
              <w:t xml:space="preserve">; and </w:t>
            </w:r>
            <w:r w:rsidR="007546ED" w:rsidRPr="00326F5C">
              <w:rPr>
                <w:rFonts w:asciiTheme="majorHAnsi" w:eastAsia="Times New Roman" w:hAnsiTheme="majorHAnsi" w:cstheme="majorHAnsi"/>
                <w:bCs/>
                <w:sz w:val="20"/>
                <w:szCs w:val="20"/>
              </w:rPr>
              <w:t>Policy 109 Student Research Thesis and Dissertation Proposal</w:t>
            </w:r>
            <w:r w:rsidR="007546ED" w:rsidRPr="00326F5C">
              <w:rPr>
                <w:rFonts w:asciiTheme="majorHAnsi" w:eastAsia="Times New Roman" w:hAnsiTheme="majorHAnsi" w:cstheme="majorHAnsi"/>
                <w:bCs/>
                <w:color w:val="000000"/>
                <w:sz w:val="20"/>
                <w:szCs w:val="20"/>
              </w:rPr>
              <w:t xml:space="preserve">; </w:t>
            </w:r>
            <w:r w:rsidR="002073C5" w:rsidRPr="00326F5C">
              <w:rPr>
                <w:rFonts w:asciiTheme="majorHAnsi" w:eastAsia="Times New Roman" w:hAnsiTheme="majorHAnsi" w:cstheme="majorHAnsi"/>
                <w:bCs/>
                <w:i/>
                <w:color w:val="000000"/>
                <w:sz w:val="20"/>
                <w:szCs w:val="20"/>
              </w:rPr>
              <w:t>ERF, D8</w:t>
            </w:r>
            <w:r w:rsidR="007546ED" w:rsidRPr="00326F5C">
              <w:rPr>
                <w:rFonts w:asciiTheme="majorHAnsi" w:eastAsia="Times New Roman" w:hAnsiTheme="majorHAnsi" w:cstheme="majorHAnsi"/>
                <w:bCs/>
                <w:i/>
                <w:color w:val="000000"/>
                <w:sz w:val="20"/>
                <w:szCs w:val="20"/>
              </w:rPr>
              <w:t xml:space="preserve">. </w:t>
            </w:r>
            <w:r w:rsidR="002073C5" w:rsidRPr="00326F5C">
              <w:rPr>
                <w:rFonts w:asciiTheme="majorHAnsi" w:eastAsia="Times New Roman" w:hAnsiTheme="majorHAnsi" w:cstheme="majorHAnsi"/>
                <w:bCs/>
                <w:i/>
                <w:color w:val="000000"/>
                <w:sz w:val="20"/>
                <w:szCs w:val="20"/>
              </w:rPr>
              <w:t>DrPH</w:t>
            </w:r>
            <w:r w:rsidR="007546ED" w:rsidRPr="00326F5C">
              <w:rPr>
                <w:rFonts w:asciiTheme="majorHAnsi" w:eastAsia="Times New Roman" w:hAnsiTheme="majorHAnsi" w:cstheme="majorHAnsi"/>
                <w:bCs/>
                <w:i/>
                <w:color w:val="000000"/>
                <w:sz w:val="20"/>
                <w:szCs w:val="20"/>
              </w:rPr>
              <w:t xml:space="preserve"> Integrative Learning Experience</w:t>
            </w:r>
            <w:r w:rsidR="007546ED" w:rsidRPr="00326F5C">
              <w:rPr>
                <w:rFonts w:asciiTheme="majorHAnsi" w:eastAsia="Times New Roman" w:hAnsiTheme="majorHAnsi" w:cstheme="majorHAnsi"/>
                <w:bCs/>
                <w:color w:val="000000"/>
                <w:sz w:val="20"/>
                <w:szCs w:val="20"/>
              </w:rPr>
              <w:t>)</w:t>
            </w:r>
            <w:r w:rsidR="00F212E2" w:rsidRPr="00326F5C">
              <w:rPr>
                <w:rFonts w:asciiTheme="majorHAnsi" w:eastAsia="Times New Roman" w:hAnsiTheme="majorHAnsi" w:cstheme="majorHAnsi"/>
                <w:bCs/>
                <w:color w:val="000000"/>
                <w:sz w:val="20"/>
                <w:szCs w:val="20"/>
              </w:rPr>
              <w:t xml:space="preserve">. </w:t>
            </w:r>
            <w:r w:rsidRPr="00326F5C">
              <w:rPr>
                <w:rFonts w:asciiTheme="majorHAnsi" w:eastAsia="Times New Roman" w:hAnsiTheme="majorHAnsi" w:cstheme="majorHAnsi"/>
                <w:bCs/>
                <w:color w:val="000000"/>
                <w:sz w:val="20"/>
                <w:szCs w:val="20"/>
              </w:rPr>
              <w:t xml:space="preserve">DrPH students then develop a formal research </w:t>
            </w:r>
            <w:r w:rsidR="001247EE" w:rsidRPr="00326F5C">
              <w:rPr>
                <w:rFonts w:asciiTheme="majorHAnsi" w:eastAsia="Times New Roman" w:hAnsiTheme="majorHAnsi" w:cstheme="majorHAnsi"/>
                <w:bCs/>
                <w:color w:val="000000"/>
                <w:sz w:val="20"/>
                <w:szCs w:val="20"/>
              </w:rPr>
              <w:t>proposal, which</w:t>
            </w:r>
            <w:r w:rsidRPr="00326F5C">
              <w:rPr>
                <w:rFonts w:asciiTheme="majorHAnsi" w:eastAsia="Times New Roman" w:hAnsiTheme="majorHAnsi" w:cstheme="majorHAnsi"/>
                <w:bCs/>
                <w:color w:val="000000"/>
                <w:sz w:val="20"/>
                <w:szCs w:val="20"/>
              </w:rPr>
              <w:t xml:space="preserve"> they must successfully defend to their committee prior to beginning the research. DrPH Students complete the </w:t>
            </w:r>
            <w:r w:rsidRPr="00326F5C">
              <w:rPr>
                <w:rFonts w:asciiTheme="majorHAnsi" w:hAnsiTheme="majorHAnsi" w:cstheme="majorHAnsi"/>
                <w:sz w:val="20"/>
                <w:szCs w:val="20"/>
              </w:rPr>
              <w:t>Doctoral Dissertation Approval Form</w:t>
            </w:r>
            <w:r w:rsidR="00C2515B" w:rsidRPr="00326F5C">
              <w:rPr>
                <w:rFonts w:asciiTheme="majorHAnsi" w:eastAsia="Times New Roman" w:hAnsiTheme="majorHAnsi" w:cstheme="majorHAnsi"/>
                <w:bCs/>
                <w:color w:val="000000"/>
                <w:sz w:val="20"/>
                <w:szCs w:val="20"/>
              </w:rPr>
              <w:t xml:space="preserve"> (</w:t>
            </w:r>
            <w:r w:rsidR="00C2515B" w:rsidRPr="00326F5C">
              <w:rPr>
                <w:rFonts w:asciiTheme="majorHAnsi" w:eastAsia="Times New Roman" w:hAnsiTheme="majorHAnsi" w:cstheme="majorHAnsi"/>
                <w:bCs/>
                <w:i/>
                <w:color w:val="000000"/>
                <w:sz w:val="20"/>
                <w:szCs w:val="20"/>
              </w:rPr>
              <w:t>ERF, D8. DrPH Integrative Learning Experience, Doctoral Dissertation Approval Form</w:t>
            </w:r>
            <w:r w:rsidR="00C2515B" w:rsidRPr="00326F5C">
              <w:rPr>
                <w:rFonts w:asciiTheme="majorHAnsi" w:eastAsia="Times New Roman" w:hAnsiTheme="majorHAnsi" w:cstheme="majorHAnsi"/>
                <w:bCs/>
                <w:color w:val="000000"/>
                <w:sz w:val="20"/>
                <w:szCs w:val="20"/>
              </w:rPr>
              <w:t>)</w:t>
            </w:r>
            <w:r w:rsidRPr="00326F5C">
              <w:rPr>
                <w:rFonts w:asciiTheme="majorHAnsi" w:eastAsia="Times New Roman" w:hAnsiTheme="majorHAnsi" w:cstheme="majorHAnsi"/>
                <w:bCs/>
                <w:color w:val="000000"/>
                <w:sz w:val="20"/>
                <w:szCs w:val="20"/>
              </w:rPr>
              <w:t xml:space="preserve"> at the proposal phase of the dissertation project, </w:t>
            </w:r>
            <w:r w:rsidR="00743B18" w:rsidRPr="00326F5C">
              <w:rPr>
                <w:rFonts w:asciiTheme="majorHAnsi" w:eastAsia="Times New Roman" w:hAnsiTheme="majorHAnsi" w:cstheme="majorHAnsi"/>
                <w:bCs/>
                <w:color w:val="000000"/>
                <w:sz w:val="20"/>
                <w:szCs w:val="20"/>
              </w:rPr>
              <w:t>through</w:t>
            </w:r>
            <w:r w:rsidR="00564B40" w:rsidRPr="00326F5C">
              <w:rPr>
                <w:rFonts w:asciiTheme="majorHAnsi" w:eastAsia="Times New Roman" w:hAnsiTheme="majorHAnsi" w:cstheme="majorHAnsi"/>
                <w:bCs/>
                <w:color w:val="000000"/>
                <w:sz w:val="20"/>
                <w:szCs w:val="20"/>
              </w:rPr>
              <w:t xml:space="preserve"> </w:t>
            </w:r>
            <w:r w:rsidRPr="00326F5C">
              <w:rPr>
                <w:rFonts w:asciiTheme="majorHAnsi" w:eastAsia="Times New Roman" w:hAnsiTheme="majorHAnsi" w:cstheme="majorHAnsi"/>
                <w:bCs/>
                <w:color w:val="000000"/>
                <w:sz w:val="20"/>
                <w:szCs w:val="20"/>
              </w:rPr>
              <w:t xml:space="preserve">which they identify their selected competencies and provide a brief description of their proposed dissertation research, including how the proposed dissertation project will synthesize the selected competencies. Once the student has passed the dissertation proposal, the student will conduct and complete all aspects of the research as needed to write a complete academic research dissertation. Once the dissertation is complete, the student must defend the dissertation in a public forum and to their committee. Faculty on the committee validate that the student has attained the identified competencies, using the </w:t>
            </w:r>
            <w:r w:rsidRPr="00326F5C">
              <w:rPr>
                <w:rFonts w:asciiTheme="majorHAnsi" w:hAnsiTheme="majorHAnsi" w:cstheme="majorHAnsi"/>
                <w:sz w:val="20"/>
                <w:szCs w:val="20"/>
              </w:rPr>
              <w:t>Doctoral Dissertation Completion Form and Evaluation</w:t>
            </w:r>
            <w:r w:rsidR="00B96D95" w:rsidRPr="00326F5C">
              <w:rPr>
                <w:rFonts w:asciiTheme="majorHAnsi" w:eastAsia="Times New Roman" w:hAnsiTheme="majorHAnsi" w:cstheme="majorHAnsi"/>
                <w:bCs/>
                <w:color w:val="000000"/>
                <w:sz w:val="20"/>
                <w:szCs w:val="20"/>
              </w:rPr>
              <w:t xml:space="preserve"> (</w:t>
            </w:r>
            <w:r w:rsidR="00B96D95" w:rsidRPr="00326F5C">
              <w:rPr>
                <w:rFonts w:asciiTheme="majorHAnsi" w:eastAsia="Times New Roman" w:hAnsiTheme="majorHAnsi" w:cstheme="majorHAnsi"/>
                <w:bCs/>
                <w:i/>
                <w:color w:val="000000"/>
                <w:sz w:val="20"/>
                <w:szCs w:val="20"/>
              </w:rPr>
              <w:t>ERF, D8. DrPH Integrative Learning Experience, Doctoral Dissertation Statement of Completion</w:t>
            </w:r>
            <w:r w:rsidR="00B96D95" w:rsidRPr="00326F5C">
              <w:rPr>
                <w:rFonts w:asciiTheme="majorHAnsi" w:eastAsia="Times New Roman" w:hAnsiTheme="majorHAnsi" w:cstheme="majorHAnsi"/>
                <w:bCs/>
                <w:color w:val="000000"/>
                <w:sz w:val="20"/>
                <w:szCs w:val="20"/>
              </w:rPr>
              <w:t>)</w:t>
            </w:r>
            <w:r w:rsidRPr="00326F5C">
              <w:rPr>
                <w:rFonts w:asciiTheme="majorHAnsi" w:eastAsia="Times New Roman" w:hAnsiTheme="majorHAnsi" w:cstheme="majorHAnsi"/>
                <w:bCs/>
                <w:color w:val="000000"/>
                <w:sz w:val="20"/>
                <w:szCs w:val="20"/>
              </w:rPr>
              <w:t xml:space="preserve"> prior to indicating that the student has successfully fulfilled the dissertation (ILE) requirement. </w:t>
            </w:r>
          </w:p>
        </w:tc>
      </w:tr>
    </w:tbl>
    <w:p w:rsidR="00AB680A" w:rsidRPr="002C4CE5" w:rsidRDefault="00AB680A" w:rsidP="006C308E">
      <w:pPr>
        <w:shd w:val="clear" w:color="auto" w:fill="FFFFFF"/>
        <w:ind w:left="720"/>
        <w:jc w:val="both"/>
        <w:rPr>
          <w:rFonts w:asciiTheme="majorHAnsi" w:eastAsia="Arial Unicode MS" w:hAnsiTheme="majorHAnsi" w:cstheme="majorHAnsi"/>
          <w:i/>
          <w:sz w:val="20"/>
          <w:szCs w:val="20"/>
        </w:rPr>
      </w:pPr>
    </w:p>
    <w:p w:rsidR="00933038" w:rsidRPr="002C4CE5" w:rsidRDefault="00933038" w:rsidP="006C308E">
      <w:pPr>
        <w:numPr>
          <w:ilvl w:val="0"/>
          <w:numId w:val="25"/>
        </w:numPr>
        <w:shd w:val="clear" w:color="auto" w:fill="FFFFFF"/>
        <w:ind w:left="720"/>
        <w:jc w:val="both"/>
        <w:rPr>
          <w:rFonts w:asciiTheme="majorHAnsi" w:eastAsia="Arial Unicode MS" w:hAnsiTheme="majorHAnsi" w:cstheme="majorHAnsi"/>
          <w:sz w:val="20"/>
          <w:szCs w:val="20"/>
        </w:rPr>
      </w:pPr>
      <w:r w:rsidRPr="002C4CE5">
        <w:rPr>
          <w:rFonts w:asciiTheme="majorHAnsi" w:eastAsia="Arial Unicode MS" w:hAnsiTheme="majorHAnsi" w:cstheme="majorHAnsi"/>
          <w:sz w:val="20"/>
          <w:szCs w:val="20"/>
        </w:rPr>
        <w:t xml:space="preserve">Briefly summarize the process, expectations and assessment for each integrative learning experience.  </w:t>
      </w:r>
    </w:p>
    <w:p w:rsidR="00933038" w:rsidRPr="002C4CE5" w:rsidRDefault="00933038" w:rsidP="006C308E">
      <w:pPr>
        <w:shd w:val="clear" w:color="auto" w:fill="FFFFFF"/>
        <w:jc w:val="both"/>
        <w:rPr>
          <w:rFonts w:asciiTheme="majorHAnsi" w:eastAsia="Arial Unicode MS" w:hAnsiTheme="majorHAnsi" w:cstheme="majorHAnsi"/>
          <w:sz w:val="20"/>
          <w:szCs w:val="20"/>
        </w:rPr>
      </w:pPr>
    </w:p>
    <w:p w:rsidR="00933038" w:rsidRPr="002C4CE5" w:rsidRDefault="00B078C8" w:rsidP="006C308E">
      <w:pPr>
        <w:shd w:val="clear" w:color="auto" w:fill="FFFFFF"/>
        <w:ind w:left="720"/>
        <w:rPr>
          <w:rFonts w:asciiTheme="majorHAnsi" w:hAnsiTheme="majorHAnsi" w:cstheme="majorHAnsi"/>
          <w:sz w:val="20"/>
          <w:szCs w:val="20"/>
        </w:rPr>
      </w:pPr>
      <w:r w:rsidRPr="002C4CE5">
        <w:rPr>
          <w:rFonts w:asciiTheme="majorHAnsi" w:hAnsiTheme="majorHAnsi" w:cstheme="majorHAnsi"/>
          <w:sz w:val="20"/>
          <w:szCs w:val="20"/>
        </w:rPr>
        <w:t>Students in DrPH programs are required to complete a written research dissertation that makes a substantial contribution to knowledge in the public health sciences. The dissertation requirement will be fulfilled when an oral defense of the dissertation research proposal and of the completed dissertation have been successfully completed, the document has been approved and signed by all members of the dissertation committee, and a copy has been filed in the Dean’s Office.</w:t>
      </w:r>
    </w:p>
    <w:p w:rsidR="00933038" w:rsidRPr="002C4CE5" w:rsidRDefault="00933038" w:rsidP="006C308E">
      <w:pPr>
        <w:shd w:val="clear" w:color="auto" w:fill="FFFFFF"/>
        <w:jc w:val="both"/>
        <w:rPr>
          <w:rFonts w:asciiTheme="majorHAnsi" w:eastAsia="Arial Unicode MS" w:hAnsiTheme="majorHAnsi" w:cstheme="majorHAnsi"/>
          <w:sz w:val="20"/>
          <w:szCs w:val="20"/>
        </w:rPr>
      </w:pPr>
    </w:p>
    <w:p w:rsidR="00933038" w:rsidRPr="002C4CE5" w:rsidRDefault="00933038" w:rsidP="006C308E">
      <w:pPr>
        <w:numPr>
          <w:ilvl w:val="0"/>
          <w:numId w:val="25"/>
        </w:numPr>
        <w:shd w:val="clear" w:color="auto" w:fill="FFFFFF"/>
        <w:ind w:left="720"/>
        <w:jc w:val="both"/>
        <w:rPr>
          <w:rFonts w:asciiTheme="majorHAnsi" w:eastAsia="Arial Unicode MS" w:hAnsiTheme="majorHAnsi" w:cstheme="majorHAnsi"/>
          <w:sz w:val="20"/>
          <w:szCs w:val="20"/>
        </w:rPr>
      </w:pPr>
      <w:r w:rsidRPr="002C4CE5">
        <w:rPr>
          <w:rFonts w:asciiTheme="majorHAnsi" w:eastAsia="Arial Unicode MS" w:hAnsiTheme="majorHAnsi" w:cstheme="majorHAnsi"/>
          <w:sz w:val="20"/>
          <w:szCs w:val="20"/>
        </w:rPr>
        <w:t xml:space="preserve">Provide documentation, including syllabi and/or handbooks, that communicates integrative learning experience policies and procedures to students. </w:t>
      </w:r>
    </w:p>
    <w:p w:rsidR="00933038" w:rsidRPr="002C4CE5" w:rsidRDefault="00933038" w:rsidP="006C308E">
      <w:pPr>
        <w:shd w:val="clear" w:color="auto" w:fill="FFFFFF"/>
        <w:jc w:val="both"/>
        <w:rPr>
          <w:rFonts w:asciiTheme="majorHAnsi" w:eastAsia="Arial Unicode MS" w:hAnsiTheme="majorHAnsi" w:cstheme="majorHAnsi"/>
          <w:sz w:val="20"/>
          <w:szCs w:val="20"/>
        </w:rPr>
      </w:pPr>
    </w:p>
    <w:p w:rsidR="00230C72" w:rsidRPr="00326F5C" w:rsidRDefault="00230C72" w:rsidP="006C308E">
      <w:pPr>
        <w:shd w:val="clear" w:color="auto" w:fill="FFFFFF"/>
        <w:ind w:left="720"/>
        <w:jc w:val="both"/>
        <w:rPr>
          <w:rFonts w:asciiTheme="majorHAnsi" w:eastAsia="Arial Unicode MS" w:hAnsiTheme="majorHAnsi" w:cstheme="majorHAnsi"/>
          <w:sz w:val="20"/>
          <w:szCs w:val="20"/>
        </w:rPr>
      </w:pPr>
      <w:r w:rsidRPr="00326F5C">
        <w:rPr>
          <w:rFonts w:asciiTheme="majorHAnsi" w:eastAsia="Arial Unicode MS" w:hAnsiTheme="majorHAnsi" w:cstheme="majorHAnsi"/>
          <w:sz w:val="20"/>
          <w:szCs w:val="20"/>
        </w:rPr>
        <w:t>Associated documents in the electronic resource file:</w:t>
      </w:r>
    </w:p>
    <w:p w:rsidR="00230C72" w:rsidRPr="00326F5C" w:rsidRDefault="0011252C" w:rsidP="006C308E">
      <w:pPr>
        <w:pStyle w:val="ListParagraph"/>
        <w:numPr>
          <w:ilvl w:val="0"/>
          <w:numId w:val="138"/>
        </w:numPr>
        <w:shd w:val="clear" w:color="auto" w:fill="FFFFFF"/>
        <w:jc w:val="both"/>
        <w:rPr>
          <w:rStyle w:val="Hyperlink"/>
          <w:rFonts w:asciiTheme="majorHAnsi" w:eastAsia="Arial Unicode MS" w:hAnsiTheme="majorHAnsi" w:cstheme="majorHAnsi"/>
          <w:i/>
          <w:color w:val="auto"/>
          <w:szCs w:val="20"/>
          <w:u w:val="none"/>
        </w:rPr>
      </w:pPr>
      <w:r w:rsidRPr="00326F5C">
        <w:rPr>
          <w:rFonts w:asciiTheme="majorHAnsi" w:eastAsia="Arial Unicode MS" w:hAnsiTheme="majorHAnsi" w:cstheme="majorHAnsi"/>
          <w:i/>
        </w:rPr>
        <w:t>D8. DrPH Integrative Learning Experience</w:t>
      </w:r>
    </w:p>
    <w:p w:rsidR="0011252C" w:rsidRPr="00326F5C" w:rsidRDefault="0011252C" w:rsidP="0011252C">
      <w:pPr>
        <w:pStyle w:val="ListParagraph"/>
        <w:numPr>
          <w:ilvl w:val="1"/>
          <w:numId w:val="138"/>
        </w:numPr>
        <w:rPr>
          <w:rFonts w:asciiTheme="majorHAnsi" w:hAnsiTheme="majorHAnsi" w:cstheme="majorHAnsi"/>
          <w:i/>
        </w:rPr>
      </w:pPr>
      <w:r w:rsidRPr="00326F5C">
        <w:rPr>
          <w:rFonts w:asciiTheme="majorHAnsi" w:hAnsiTheme="majorHAnsi" w:cstheme="majorHAnsi"/>
          <w:i/>
        </w:rPr>
        <w:t>DrPH Dissertation Guide</w:t>
      </w:r>
    </w:p>
    <w:p w:rsidR="00146AC1" w:rsidRPr="00326F5C" w:rsidRDefault="00146AC1" w:rsidP="006C308E">
      <w:pPr>
        <w:pStyle w:val="ListParagraph"/>
        <w:numPr>
          <w:ilvl w:val="1"/>
          <w:numId w:val="138"/>
        </w:numPr>
        <w:rPr>
          <w:rFonts w:asciiTheme="majorHAnsi" w:hAnsiTheme="majorHAnsi" w:cstheme="majorHAnsi"/>
          <w:i/>
          <w:szCs w:val="20"/>
          <w:u w:val="single"/>
        </w:rPr>
      </w:pPr>
      <w:r w:rsidRPr="00326F5C">
        <w:rPr>
          <w:rFonts w:asciiTheme="majorHAnsi" w:hAnsiTheme="majorHAnsi" w:cstheme="majorHAnsi"/>
          <w:i/>
        </w:rPr>
        <w:t>Doctoral Dissertation Approval Form</w:t>
      </w:r>
    </w:p>
    <w:p w:rsidR="00146AC1" w:rsidRPr="00326F5C" w:rsidRDefault="00146AC1" w:rsidP="006C308E">
      <w:pPr>
        <w:pStyle w:val="ListParagraph"/>
        <w:numPr>
          <w:ilvl w:val="1"/>
          <w:numId w:val="138"/>
        </w:numPr>
        <w:rPr>
          <w:rFonts w:asciiTheme="majorHAnsi" w:eastAsia="Arial Unicode MS" w:hAnsiTheme="majorHAnsi" w:cstheme="majorHAnsi"/>
          <w:i/>
          <w:szCs w:val="20"/>
        </w:rPr>
      </w:pPr>
      <w:r w:rsidRPr="00326F5C">
        <w:rPr>
          <w:rFonts w:asciiTheme="majorHAnsi" w:hAnsiTheme="majorHAnsi" w:cstheme="majorHAnsi"/>
          <w:i/>
        </w:rPr>
        <w:t>Doctoral Dissertation Completion Form and Evaluation</w:t>
      </w:r>
    </w:p>
    <w:p w:rsidR="002A6D8A" w:rsidRPr="00326F5C" w:rsidRDefault="00185F1F" w:rsidP="006C308E">
      <w:pPr>
        <w:pStyle w:val="ListParagraph"/>
        <w:numPr>
          <w:ilvl w:val="1"/>
          <w:numId w:val="138"/>
        </w:numPr>
        <w:shd w:val="clear" w:color="auto" w:fill="FFFFFF"/>
        <w:rPr>
          <w:rStyle w:val="Hyperlink"/>
          <w:rFonts w:asciiTheme="majorHAnsi" w:eastAsia="Arial Unicode MS" w:hAnsiTheme="majorHAnsi" w:cstheme="majorHAnsi"/>
          <w:i/>
          <w:color w:val="auto"/>
          <w:szCs w:val="20"/>
          <w:u w:val="none"/>
        </w:rPr>
      </w:pPr>
      <w:r w:rsidRPr="00326F5C">
        <w:rPr>
          <w:rFonts w:asciiTheme="majorHAnsi" w:hAnsiTheme="majorHAnsi" w:cstheme="majorHAnsi"/>
          <w:i/>
        </w:rPr>
        <w:t>Policy 102, Doctoral Committee Structure</w:t>
      </w:r>
    </w:p>
    <w:p w:rsidR="002A6D8A" w:rsidRPr="00326F5C" w:rsidRDefault="00146AC1" w:rsidP="006C308E">
      <w:pPr>
        <w:pStyle w:val="ListParagraph"/>
        <w:numPr>
          <w:ilvl w:val="1"/>
          <w:numId w:val="138"/>
        </w:numPr>
        <w:shd w:val="clear" w:color="auto" w:fill="FFFFFF"/>
        <w:rPr>
          <w:rStyle w:val="Hyperlink"/>
          <w:rFonts w:asciiTheme="majorHAnsi" w:eastAsia="Arial Unicode MS" w:hAnsiTheme="majorHAnsi" w:cstheme="majorHAnsi"/>
          <w:i/>
          <w:color w:val="auto"/>
          <w:szCs w:val="20"/>
          <w:u w:val="none"/>
        </w:rPr>
      </w:pPr>
      <w:r w:rsidRPr="00326F5C">
        <w:rPr>
          <w:rFonts w:asciiTheme="majorHAnsi" w:hAnsiTheme="majorHAnsi" w:cstheme="majorHAnsi"/>
          <w:i/>
        </w:rPr>
        <w:t>Policy 106, Thesis and Dissertation Data &amp; Publication Authorship</w:t>
      </w:r>
    </w:p>
    <w:p w:rsidR="00146AC1" w:rsidRPr="00326F5C" w:rsidRDefault="00146AC1" w:rsidP="006C308E">
      <w:pPr>
        <w:pStyle w:val="ListParagraph"/>
        <w:numPr>
          <w:ilvl w:val="1"/>
          <w:numId w:val="138"/>
        </w:numPr>
        <w:shd w:val="clear" w:color="auto" w:fill="FFFFFF"/>
        <w:rPr>
          <w:rFonts w:asciiTheme="majorHAnsi" w:eastAsia="Arial Unicode MS" w:hAnsiTheme="majorHAnsi" w:cstheme="majorHAnsi"/>
          <w:i/>
          <w:szCs w:val="20"/>
        </w:rPr>
      </w:pPr>
      <w:r w:rsidRPr="00326F5C">
        <w:rPr>
          <w:rFonts w:asciiTheme="majorHAnsi" w:hAnsiTheme="majorHAnsi" w:cstheme="majorHAnsi"/>
          <w:i/>
        </w:rPr>
        <w:t>Policy 109 Student Research Thesis and Dissertation Proposal</w:t>
      </w:r>
    </w:p>
    <w:p w:rsidR="00230C72" w:rsidRPr="002C4CE5" w:rsidRDefault="00230C72" w:rsidP="006C308E">
      <w:pPr>
        <w:shd w:val="clear" w:color="auto" w:fill="FFFFFF"/>
        <w:ind w:left="720" w:hanging="360"/>
        <w:jc w:val="both"/>
        <w:rPr>
          <w:rFonts w:asciiTheme="majorHAnsi" w:eastAsia="Arial Unicode MS" w:hAnsiTheme="majorHAnsi" w:cstheme="majorHAnsi"/>
          <w:sz w:val="20"/>
          <w:szCs w:val="20"/>
        </w:rPr>
      </w:pPr>
    </w:p>
    <w:p w:rsidR="00933038" w:rsidRPr="002C4CE5" w:rsidRDefault="00933038" w:rsidP="006C308E">
      <w:pPr>
        <w:numPr>
          <w:ilvl w:val="0"/>
          <w:numId w:val="25"/>
        </w:numPr>
        <w:shd w:val="clear" w:color="auto" w:fill="FFFFFF"/>
        <w:ind w:left="720"/>
        <w:jc w:val="both"/>
        <w:rPr>
          <w:rFonts w:asciiTheme="majorHAnsi" w:eastAsia="Arial Unicode MS" w:hAnsiTheme="majorHAnsi" w:cstheme="majorHAnsi"/>
          <w:sz w:val="20"/>
          <w:szCs w:val="20"/>
        </w:rPr>
      </w:pPr>
      <w:r w:rsidRPr="002C4CE5">
        <w:rPr>
          <w:rFonts w:asciiTheme="majorHAnsi" w:eastAsia="Arial Unicode MS" w:hAnsiTheme="majorHAnsi" w:cstheme="majorHAnsi"/>
          <w:sz w:val="20"/>
          <w:szCs w:val="20"/>
        </w:rPr>
        <w:t>Provide documentation, i</w:t>
      </w:r>
      <w:r w:rsidR="00FA0E5C" w:rsidRPr="002C4CE5">
        <w:rPr>
          <w:rFonts w:asciiTheme="majorHAnsi" w:eastAsia="Arial Unicode MS" w:hAnsiTheme="majorHAnsi" w:cstheme="majorHAnsi"/>
          <w:sz w:val="20"/>
          <w:szCs w:val="20"/>
        </w:rPr>
        <w:t xml:space="preserve">ncluding rubrics or guidelines, </w:t>
      </w:r>
      <w:r w:rsidRPr="002C4CE5">
        <w:rPr>
          <w:rFonts w:asciiTheme="majorHAnsi" w:eastAsia="Arial Unicode MS" w:hAnsiTheme="majorHAnsi" w:cstheme="majorHAnsi"/>
          <w:sz w:val="20"/>
          <w:szCs w:val="20"/>
        </w:rPr>
        <w:t xml:space="preserve">that explains the methods through which faculty and/or other qualified individuals assess the integrative learning experience with regard to students’ demonstration of the selected competencies. </w:t>
      </w:r>
    </w:p>
    <w:p w:rsidR="00933038" w:rsidRPr="002C4CE5" w:rsidRDefault="00933038" w:rsidP="006C308E">
      <w:pPr>
        <w:shd w:val="clear" w:color="auto" w:fill="FFFFFF"/>
        <w:jc w:val="both"/>
        <w:rPr>
          <w:rFonts w:asciiTheme="majorHAnsi" w:eastAsia="Arial Unicode MS" w:hAnsiTheme="majorHAnsi" w:cstheme="majorHAnsi"/>
          <w:sz w:val="20"/>
          <w:szCs w:val="20"/>
        </w:rPr>
      </w:pPr>
    </w:p>
    <w:p w:rsidR="0052015A" w:rsidRPr="002C4CE5" w:rsidRDefault="00C039A3" w:rsidP="006C308E">
      <w:pPr>
        <w:pStyle w:val="ListParagraph"/>
        <w:rPr>
          <w:rFonts w:asciiTheme="majorHAnsi" w:eastAsia="Arial Unicode MS" w:hAnsiTheme="majorHAnsi" w:cstheme="majorHAnsi"/>
          <w:szCs w:val="20"/>
        </w:rPr>
      </w:pPr>
      <w:r w:rsidRPr="002C4CE5">
        <w:rPr>
          <w:rFonts w:asciiTheme="majorHAnsi" w:hAnsiTheme="majorHAnsi" w:cstheme="majorHAnsi"/>
          <w:bCs/>
          <w:color w:val="000000"/>
          <w:szCs w:val="20"/>
        </w:rPr>
        <w:t xml:space="preserve">DrPH students fulfill the ILE requirement through the completion of a dissertation. Through the dissertation, DrPH students must generate high-quality field-based products consistent with advanced practice designed to influence programs, policies, or systems addressing public health. Students must follow all policies and procedures detailed in the </w:t>
      </w:r>
      <w:r w:rsidRPr="002C4CE5">
        <w:rPr>
          <w:rFonts w:asciiTheme="majorHAnsi" w:hAnsiTheme="majorHAnsi" w:cstheme="majorHAnsi"/>
          <w:bCs/>
          <w:szCs w:val="20"/>
        </w:rPr>
        <w:t>DrPH Dissertation Research Guide</w:t>
      </w:r>
      <w:r w:rsidRPr="002C4CE5">
        <w:rPr>
          <w:rFonts w:asciiTheme="majorHAnsi" w:hAnsiTheme="majorHAnsi" w:cstheme="majorHAnsi"/>
          <w:bCs/>
          <w:color w:val="000000"/>
          <w:szCs w:val="20"/>
        </w:rPr>
        <w:t xml:space="preserve"> (</w:t>
      </w:r>
      <w:r w:rsidRPr="002C4CE5">
        <w:rPr>
          <w:rFonts w:asciiTheme="majorHAnsi" w:hAnsiTheme="majorHAnsi" w:cstheme="majorHAnsi"/>
          <w:bCs/>
          <w:i/>
          <w:color w:val="000000"/>
          <w:szCs w:val="20"/>
        </w:rPr>
        <w:t>ERF, D8. DrPH Integrative Learning Experience</w:t>
      </w:r>
      <w:r w:rsidR="00E82236">
        <w:rPr>
          <w:rFonts w:asciiTheme="majorHAnsi" w:hAnsiTheme="majorHAnsi" w:cstheme="majorHAnsi"/>
          <w:bCs/>
          <w:i/>
          <w:color w:val="000000"/>
          <w:szCs w:val="20"/>
        </w:rPr>
        <w:t>,</w:t>
      </w:r>
      <w:r w:rsidRPr="002C4CE5">
        <w:rPr>
          <w:rFonts w:asciiTheme="majorHAnsi" w:hAnsiTheme="majorHAnsi" w:cstheme="majorHAnsi"/>
          <w:bCs/>
          <w:i/>
          <w:color w:val="000000"/>
          <w:szCs w:val="20"/>
        </w:rPr>
        <w:t xml:space="preserve"> DrPH Dissertation Guide</w:t>
      </w:r>
      <w:r w:rsidRPr="002C4CE5">
        <w:rPr>
          <w:rFonts w:asciiTheme="majorHAnsi" w:hAnsiTheme="majorHAnsi" w:cstheme="majorHAnsi"/>
          <w:bCs/>
          <w:color w:val="000000"/>
          <w:szCs w:val="20"/>
        </w:rPr>
        <w:t xml:space="preserve">). DrPH students self-identify competencies (a minimum of two DrPH Foundational Competencies and two major-specific competencies as defined in </w:t>
      </w:r>
      <w:hyperlink w:anchor="_D3._DrPH_Foundational" w:history="1">
        <w:r w:rsidRPr="002C4CE5">
          <w:rPr>
            <w:rStyle w:val="Hyperlink"/>
            <w:rFonts w:asciiTheme="majorHAnsi" w:hAnsiTheme="majorHAnsi" w:cstheme="majorHAnsi"/>
            <w:bCs/>
            <w:i/>
            <w:szCs w:val="20"/>
          </w:rPr>
          <w:t>Criterion D3. DrPH Foundational Competencies</w:t>
        </w:r>
      </w:hyperlink>
      <w:r w:rsidRPr="002C4CE5">
        <w:rPr>
          <w:rFonts w:asciiTheme="majorHAnsi" w:hAnsiTheme="majorHAnsi" w:cstheme="majorHAnsi"/>
          <w:bCs/>
          <w:color w:val="000000"/>
          <w:szCs w:val="20"/>
        </w:rPr>
        <w:t xml:space="preserve"> and </w:t>
      </w:r>
      <w:hyperlink w:anchor="_D4._MPH_&amp;" w:history="1">
        <w:r w:rsidRPr="002C4CE5">
          <w:rPr>
            <w:rStyle w:val="Hyperlink"/>
            <w:rFonts w:asciiTheme="majorHAnsi" w:hAnsiTheme="majorHAnsi" w:cstheme="majorHAnsi"/>
            <w:bCs/>
            <w:i/>
            <w:szCs w:val="20"/>
          </w:rPr>
          <w:t>Criterion D4. MPH &amp; DrPH Concentration Competencies</w:t>
        </w:r>
      </w:hyperlink>
      <w:r w:rsidRPr="002C4CE5">
        <w:rPr>
          <w:rFonts w:asciiTheme="majorHAnsi" w:hAnsiTheme="majorHAnsi" w:cstheme="majorHAnsi"/>
          <w:color w:val="000000"/>
          <w:szCs w:val="20"/>
        </w:rPr>
        <w:t>),</w:t>
      </w:r>
      <w:r w:rsidRPr="002C4CE5">
        <w:rPr>
          <w:rFonts w:asciiTheme="majorHAnsi" w:hAnsiTheme="majorHAnsi" w:cstheme="majorHAnsi"/>
          <w:bCs/>
          <w:color w:val="000000"/>
          <w:szCs w:val="20"/>
        </w:rPr>
        <w:t xml:space="preserve"> and develop a dissertation proposal in collaboration with a committee of faculty. Students must adhere to all policies and procedures defined by the Office of Student Research, including </w:t>
      </w:r>
      <w:r w:rsidRPr="002C4CE5">
        <w:rPr>
          <w:rFonts w:asciiTheme="majorHAnsi" w:hAnsiTheme="majorHAnsi" w:cstheme="majorHAnsi"/>
          <w:bCs/>
          <w:szCs w:val="20"/>
        </w:rPr>
        <w:t>Policy 102, Doctoral Committee Structure</w:t>
      </w:r>
      <w:r w:rsidRPr="002C4CE5">
        <w:rPr>
          <w:rStyle w:val="Hyperlink"/>
          <w:rFonts w:asciiTheme="majorHAnsi" w:hAnsiTheme="majorHAnsi" w:cstheme="majorHAnsi"/>
          <w:bCs/>
          <w:color w:val="auto"/>
          <w:szCs w:val="20"/>
          <w:u w:val="none"/>
        </w:rPr>
        <w:t>;</w:t>
      </w:r>
      <w:r w:rsidRPr="002C4CE5">
        <w:rPr>
          <w:rStyle w:val="Hyperlink"/>
          <w:rFonts w:asciiTheme="majorHAnsi" w:hAnsiTheme="majorHAnsi" w:cstheme="majorHAnsi"/>
          <w:bCs/>
          <w:szCs w:val="20"/>
          <w:u w:val="none"/>
        </w:rPr>
        <w:t xml:space="preserve"> </w:t>
      </w:r>
      <w:r w:rsidRPr="002C4CE5">
        <w:rPr>
          <w:rFonts w:asciiTheme="majorHAnsi" w:hAnsiTheme="majorHAnsi" w:cstheme="majorHAnsi"/>
          <w:bCs/>
          <w:szCs w:val="20"/>
        </w:rPr>
        <w:t>Policy 106, Thesis and Dissertation Data &amp; Publication Authorship</w:t>
      </w:r>
      <w:r w:rsidRPr="002C4CE5">
        <w:rPr>
          <w:rStyle w:val="Hyperlink"/>
          <w:rFonts w:asciiTheme="majorHAnsi" w:hAnsiTheme="majorHAnsi" w:cstheme="majorHAnsi"/>
          <w:bCs/>
          <w:color w:val="auto"/>
          <w:szCs w:val="20"/>
          <w:u w:val="none"/>
        </w:rPr>
        <w:t xml:space="preserve">; and </w:t>
      </w:r>
      <w:r w:rsidRPr="002C4CE5">
        <w:rPr>
          <w:rFonts w:asciiTheme="majorHAnsi" w:hAnsiTheme="majorHAnsi" w:cstheme="majorHAnsi"/>
          <w:bCs/>
          <w:szCs w:val="20"/>
        </w:rPr>
        <w:t>Policy 109 Student Research Thesis and Dissertation Proposal</w:t>
      </w:r>
      <w:r w:rsidRPr="002C4CE5">
        <w:rPr>
          <w:rFonts w:asciiTheme="majorHAnsi" w:hAnsiTheme="majorHAnsi" w:cstheme="majorHAnsi"/>
          <w:bCs/>
          <w:color w:val="000000"/>
          <w:szCs w:val="20"/>
        </w:rPr>
        <w:t xml:space="preserve">; </w:t>
      </w:r>
      <w:r w:rsidRPr="002C4CE5">
        <w:rPr>
          <w:rFonts w:asciiTheme="majorHAnsi" w:hAnsiTheme="majorHAnsi" w:cstheme="majorHAnsi"/>
          <w:bCs/>
          <w:i/>
          <w:color w:val="000000"/>
          <w:szCs w:val="20"/>
        </w:rPr>
        <w:t>ERF, D8. DrPH Integrative Learning Experience</w:t>
      </w:r>
      <w:r w:rsidRPr="002C4CE5">
        <w:rPr>
          <w:rFonts w:asciiTheme="majorHAnsi" w:hAnsiTheme="majorHAnsi" w:cstheme="majorHAnsi"/>
          <w:bCs/>
          <w:color w:val="000000"/>
          <w:szCs w:val="20"/>
        </w:rPr>
        <w:t>). DrPH students then dev</w:t>
      </w:r>
      <w:r w:rsidR="00326F5C">
        <w:rPr>
          <w:rFonts w:asciiTheme="majorHAnsi" w:hAnsiTheme="majorHAnsi" w:cstheme="majorHAnsi"/>
          <w:bCs/>
          <w:color w:val="000000"/>
          <w:szCs w:val="20"/>
        </w:rPr>
        <w:t xml:space="preserve">elop a formal research proposal, </w:t>
      </w:r>
      <w:r w:rsidRPr="002C4CE5">
        <w:rPr>
          <w:rFonts w:asciiTheme="majorHAnsi" w:hAnsiTheme="majorHAnsi" w:cstheme="majorHAnsi"/>
          <w:bCs/>
          <w:color w:val="000000"/>
          <w:szCs w:val="20"/>
        </w:rPr>
        <w:t xml:space="preserve">which they must successfully defend to their committee prior to beginning the research. DrPH Students complete the </w:t>
      </w:r>
      <w:r w:rsidRPr="002C4CE5">
        <w:rPr>
          <w:rFonts w:asciiTheme="majorHAnsi" w:hAnsiTheme="majorHAnsi" w:cstheme="majorHAnsi"/>
          <w:bCs/>
          <w:szCs w:val="20"/>
        </w:rPr>
        <w:t>Doctoral Dissertation Approval Form</w:t>
      </w:r>
      <w:r w:rsidRPr="002C4CE5">
        <w:rPr>
          <w:rFonts w:asciiTheme="majorHAnsi" w:hAnsiTheme="majorHAnsi" w:cstheme="majorHAnsi"/>
          <w:bCs/>
          <w:color w:val="000000"/>
          <w:szCs w:val="20"/>
        </w:rPr>
        <w:t xml:space="preserve"> (</w:t>
      </w:r>
      <w:r w:rsidRPr="002C4CE5">
        <w:rPr>
          <w:rFonts w:asciiTheme="majorHAnsi" w:hAnsiTheme="majorHAnsi" w:cstheme="majorHAnsi"/>
          <w:bCs/>
          <w:i/>
          <w:color w:val="000000"/>
          <w:szCs w:val="20"/>
        </w:rPr>
        <w:t>ERF, D8. DrPH Integrative Learning Experience, Doctoral Dissertation Approval Form</w:t>
      </w:r>
      <w:r w:rsidRPr="002C4CE5">
        <w:rPr>
          <w:rFonts w:asciiTheme="majorHAnsi" w:hAnsiTheme="majorHAnsi" w:cstheme="majorHAnsi"/>
          <w:bCs/>
          <w:color w:val="000000"/>
          <w:szCs w:val="20"/>
        </w:rPr>
        <w:t xml:space="preserve">) at the proposal phase of the dissertation project, through which they identify their selected competencies and provide a brief description of their proposed dissertation research, including how the proposed dissertation project will synthesize the selected competencies. Once the student has passed the dissertation proposal, the student will conduct and complete all aspects of the research as needed to write a complete academic research dissertation. Once the dissertation is complete, the student must defend the dissertation in a public forum and to their committee. Faculty on the committee validate that the student has attained the identified competencies, using the </w:t>
      </w:r>
      <w:r w:rsidRPr="002C4CE5">
        <w:rPr>
          <w:rFonts w:asciiTheme="majorHAnsi" w:hAnsiTheme="majorHAnsi" w:cstheme="majorHAnsi"/>
          <w:bCs/>
          <w:szCs w:val="20"/>
        </w:rPr>
        <w:t>Doctoral Dissertation Completion Form and Evaluation</w:t>
      </w:r>
      <w:r w:rsidRPr="002C4CE5">
        <w:rPr>
          <w:rFonts w:asciiTheme="majorHAnsi" w:hAnsiTheme="majorHAnsi" w:cstheme="majorHAnsi"/>
          <w:bCs/>
          <w:color w:val="000000"/>
          <w:szCs w:val="20"/>
        </w:rPr>
        <w:t xml:space="preserve"> (</w:t>
      </w:r>
      <w:r w:rsidRPr="002C4CE5">
        <w:rPr>
          <w:rFonts w:asciiTheme="majorHAnsi" w:hAnsiTheme="majorHAnsi" w:cstheme="majorHAnsi"/>
          <w:bCs/>
          <w:i/>
          <w:color w:val="000000"/>
          <w:szCs w:val="20"/>
        </w:rPr>
        <w:t>ERF, D8. DrPH Integrative Learning Experience, Doctoral Dissertation Statement of Completion</w:t>
      </w:r>
      <w:r w:rsidRPr="002C4CE5">
        <w:rPr>
          <w:rFonts w:asciiTheme="majorHAnsi" w:hAnsiTheme="majorHAnsi" w:cstheme="majorHAnsi"/>
          <w:bCs/>
          <w:color w:val="000000"/>
          <w:szCs w:val="20"/>
        </w:rPr>
        <w:t xml:space="preserve">) prior to indicating that the student has successfully fulfilled the dissertation (ILE) requirement. </w:t>
      </w:r>
    </w:p>
    <w:p w:rsidR="00933038" w:rsidRPr="002C4CE5" w:rsidRDefault="00933038" w:rsidP="006C308E">
      <w:pPr>
        <w:numPr>
          <w:ilvl w:val="0"/>
          <w:numId w:val="25"/>
        </w:numPr>
        <w:shd w:val="clear" w:color="auto" w:fill="FFFFFF"/>
        <w:ind w:left="720"/>
        <w:jc w:val="both"/>
        <w:rPr>
          <w:rFonts w:asciiTheme="majorHAnsi" w:eastAsia="Arial Unicode MS" w:hAnsiTheme="majorHAnsi" w:cstheme="majorHAnsi"/>
          <w:sz w:val="20"/>
          <w:szCs w:val="20"/>
        </w:rPr>
      </w:pPr>
      <w:r w:rsidRPr="002C4CE5">
        <w:rPr>
          <w:rFonts w:asciiTheme="majorHAnsi" w:eastAsia="Arial Unicode MS" w:hAnsiTheme="majorHAnsi" w:cstheme="majorHAnsi"/>
          <w:sz w:val="20"/>
          <w:szCs w:val="20"/>
        </w:rPr>
        <w:t>Include completed, graded samples of deliverables associated with each integrative learning experience option from different concentrations. The school must provide at least 10% of the number produced in the last three years or five examples, whichever is greater. If the school does not have five recent samples for an option, note this and provide all available samples.</w:t>
      </w:r>
    </w:p>
    <w:p w:rsidR="00933038" w:rsidRPr="002C4CE5" w:rsidRDefault="00933038" w:rsidP="006C308E">
      <w:pPr>
        <w:shd w:val="clear" w:color="auto" w:fill="FFFFFF"/>
        <w:jc w:val="both"/>
        <w:rPr>
          <w:rFonts w:asciiTheme="majorHAnsi" w:eastAsia="Arial Unicode MS" w:hAnsiTheme="majorHAnsi" w:cstheme="majorHAnsi"/>
          <w:sz w:val="20"/>
          <w:szCs w:val="20"/>
        </w:rPr>
      </w:pPr>
    </w:p>
    <w:p w:rsidR="00C41001" w:rsidRPr="002C4CE5" w:rsidRDefault="00C41001" w:rsidP="00C41001">
      <w:pPr>
        <w:ind w:left="720"/>
        <w:rPr>
          <w:rFonts w:asciiTheme="majorHAnsi" w:eastAsia="Arial Unicode MS" w:hAnsiTheme="majorHAnsi" w:cstheme="majorHAnsi"/>
          <w:sz w:val="20"/>
          <w:szCs w:val="20"/>
        </w:rPr>
      </w:pPr>
      <w:r w:rsidRPr="002C4CE5">
        <w:rPr>
          <w:rFonts w:asciiTheme="majorHAnsi" w:eastAsia="Arial Unicode MS" w:hAnsiTheme="majorHAnsi" w:cstheme="majorHAnsi"/>
          <w:sz w:val="20"/>
          <w:szCs w:val="20"/>
        </w:rPr>
        <w:t xml:space="preserve">Samples of DrPH integrative learning experience deliverables </w:t>
      </w:r>
      <w:r w:rsidR="00CC373E" w:rsidRPr="002C4CE5">
        <w:rPr>
          <w:rFonts w:asciiTheme="majorHAnsi" w:eastAsia="Arial Unicode MS" w:hAnsiTheme="majorHAnsi" w:cstheme="majorHAnsi"/>
          <w:sz w:val="20"/>
          <w:szCs w:val="20"/>
        </w:rPr>
        <w:t xml:space="preserve">(dissertations) </w:t>
      </w:r>
      <w:r w:rsidR="008C31AD">
        <w:rPr>
          <w:rFonts w:asciiTheme="majorHAnsi" w:eastAsia="Arial Unicode MS" w:hAnsiTheme="majorHAnsi" w:cstheme="majorHAnsi"/>
          <w:sz w:val="20"/>
          <w:szCs w:val="20"/>
        </w:rPr>
        <w:t>are available in the electronic resource file</w:t>
      </w:r>
      <w:r w:rsidRPr="002C4CE5">
        <w:rPr>
          <w:rFonts w:asciiTheme="majorHAnsi" w:eastAsia="Arial Unicode MS" w:hAnsiTheme="majorHAnsi" w:cstheme="majorHAnsi"/>
          <w:sz w:val="20"/>
          <w:szCs w:val="20"/>
        </w:rPr>
        <w:t xml:space="preserve"> (</w:t>
      </w:r>
      <w:r w:rsidRPr="002C4CE5">
        <w:rPr>
          <w:rFonts w:asciiTheme="majorHAnsi" w:eastAsia="Arial Unicode MS" w:hAnsiTheme="majorHAnsi" w:cstheme="majorHAnsi"/>
          <w:i/>
          <w:sz w:val="20"/>
          <w:szCs w:val="20"/>
        </w:rPr>
        <w:t xml:space="preserve">ERF, </w:t>
      </w:r>
      <w:r w:rsidR="00CC373E" w:rsidRPr="002C4CE5">
        <w:rPr>
          <w:rFonts w:asciiTheme="majorHAnsi" w:eastAsia="Arial Unicode MS" w:hAnsiTheme="majorHAnsi" w:cstheme="majorHAnsi"/>
          <w:i/>
          <w:sz w:val="20"/>
          <w:szCs w:val="20"/>
        </w:rPr>
        <w:t xml:space="preserve">D8.5. </w:t>
      </w:r>
      <w:r w:rsidR="00D54BCC" w:rsidRPr="006E28EE">
        <w:rPr>
          <w:rFonts w:asciiTheme="majorHAnsi" w:hAnsiTheme="majorHAnsi" w:cstheme="majorHAnsi"/>
          <w:i/>
          <w:sz w:val="20"/>
          <w:szCs w:val="20"/>
        </w:rPr>
        <w:t>DrPH Integrative Learning Experience Examples</w:t>
      </w:r>
      <w:r w:rsidRPr="002C4CE5">
        <w:rPr>
          <w:rFonts w:asciiTheme="majorHAnsi" w:eastAsia="Arial Unicode MS" w:hAnsiTheme="majorHAnsi" w:cstheme="majorHAnsi"/>
          <w:sz w:val="20"/>
          <w:szCs w:val="20"/>
        </w:rPr>
        <w:t xml:space="preserve">). </w:t>
      </w:r>
    </w:p>
    <w:p w:rsidR="00C41001" w:rsidRPr="002C4CE5" w:rsidRDefault="00C41001" w:rsidP="006C308E">
      <w:pPr>
        <w:shd w:val="clear" w:color="auto" w:fill="FFFFFF"/>
        <w:jc w:val="both"/>
        <w:rPr>
          <w:rFonts w:asciiTheme="majorHAnsi" w:eastAsia="Arial Unicode MS" w:hAnsiTheme="majorHAnsi" w:cstheme="majorHAnsi"/>
          <w:sz w:val="20"/>
          <w:szCs w:val="20"/>
        </w:rPr>
      </w:pPr>
    </w:p>
    <w:p w:rsidR="00230C72" w:rsidRPr="002C4CE5" w:rsidRDefault="00230C72" w:rsidP="006C308E">
      <w:pPr>
        <w:shd w:val="clear" w:color="auto" w:fill="FFFFFF"/>
        <w:ind w:left="720"/>
        <w:jc w:val="both"/>
        <w:rPr>
          <w:rFonts w:asciiTheme="majorHAnsi" w:eastAsia="Arial Unicode MS" w:hAnsiTheme="majorHAnsi" w:cstheme="majorHAnsi"/>
          <w:sz w:val="20"/>
          <w:szCs w:val="20"/>
        </w:rPr>
      </w:pPr>
      <w:r w:rsidRPr="002C4CE5">
        <w:rPr>
          <w:rFonts w:asciiTheme="majorHAnsi" w:eastAsia="Arial Unicode MS" w:hAnsiTheme="majorHAnsi" w:cstheme="majorHAnsi"/>
          <w:sz w:val="20"/>
          <w:szCs w:val="20"/>
        </w:rPr>
        <w:t>Associated documents in the electronic resource file:</w:t>
      </w:r>
    </w:p>
    <w:p w:rsidR="00230C72" w:rsidRPr="00326F5C" w:rsidRDefault="00230C72" w:rsidP="006C308E">
      <w:pPr>
        <w:pStyle w:val="ListParagraph"/>
        <w:numPr>
          <w:ilvl w:val="0"/>
          <w:numId w:val="138"/>
        </w:numPr>
        <w:shd w:val="clear" w:color="auto" w:fill="FFFFFF"/>
        <w:jc w:val="both"/>
        <w:rPr>
          <w:rFonts w:asciiTheme="majorHAnsi" w:eastAsia="Arial Unicode MS" w:hAnsiTheme="majorHAnsi" w:cstheme="majorHAnsi"/>
          <w:i/>
          <w:szCs w:val="20"/>
        </w:rPr>
      </w:pPr>
      <w:r w:rsidRPr="00326F5C">
        <w:rPr>
          <w:rFonts w:asciiTheme="majorHAnsi" w:eastAsia="Arial Unicode MS" w:hAnsiTheme="majorHAnsi" w:cstheme="majorHAnsi"/>
          <w:i/>
        </w:rPr>
        <w:t>D8. DrPH Integrative Learning Experience</w:t>
      </w:r>
    </w:p>
    <w:p w:rsidR="00230C72" w:rsidRPr="00326F5C" w:rsidRDefault="00230C72" w:rsidP="006C308E">
      <w:pPr>
        <w:pStyle w:val="ListParagraph"/>
        <w:numPr>
          <w:ilvl w:val="1"/>
          <w:numId w:val="138"/>
        </w:numPr>
        <w:shd w:val="clear" w:color="auto" w:fill="FFFFFF"/>
        <w:jc w:val="both"/>
        <w:rPr>
          <w:rFonts w:asciiTheme="majorHAnsi" w:eastAsia="Arial Unicode MS" w:hAnsiTheme="majorHAnsi" w:cstheme="majorHAnsi"/>
          <w:i/>
          <w:szCs w:val="20"/>
        </w:rPr>
      </w:pPr>
      <w:r w:rsidRPr="00326F5C">
        <w:rPr>
          <w:rFonts w:asciiTheme="majorHAnsi" w:eastAsia="Arial Unicode MS" w:hAnsiTheme="majorHAnsi" w:cstheme="majorHAnsi"/>
          <w:i/>
        </w:rPr>
        <w:t>D8.5. DrPH Integrative Learning Experience Examples</w:t>
      </w:r>
    </w:p>
    <w:p w:rsidR="00961D7E" w:rsidRPr="00C34E1B" w:rsidRDefault="00961D7E" w:rsidP="006C308E">
      <w:pPr>
        <w:pStyle w:val="ListParagraph"/>
        <w:ind w:hanging="360"/>
        <w:jc w:val="both"/>
        <w:rPr>
          <w:rFonts w:asciiTheme="majorHAnsi" w:eastAsia="Arial Unicode MS" w:hAnsiTheme="majorHAnsi" w:cstheme="majorHAnsi"/>
          <w:szCs w:val="20"/>
        </w:rPr>
      </w:pPr>
    </w:p>
    <w:p w:rsidR="00933038" w:rsidRPr="00C34E1B" w:rsidRDefault="00933038" w:rsidP="006C308E">
      <w:pPr>
        <w:numPr>
          <w:ilvl w:val="0"/>
          <w:numId w:val="25"/>
        </w:numPr>
        <w:shd w:val="clear" w:color="auto" w:fill="FFFFFF"/>
        <w:ind w:left="720"/>
        <w:jc w:val="both"/>
        <w:rPr>
          <w:rFonts w:asciiTheme="majorHAnsi" w:eastAsia="Arial Unicode MS" w:hAnsiTheme="majorHAnsi" w:cstheme="majorHAnsi"/>
          <w:sz w:val="20"/>
          <w:szCs w:val="20"/>
        </w:rPr>
      </w:pPr>
      <w:r w:rsidRPr="00C34E1B">
        <w:rPr>
          <w:rFonts w:asciiTheme="majorHAnsi" w:eastAsia="Arial Unicode MS" w:hAnsiTheme="majorHAnsi" w:cstheme="majorHAnsi"/>
          <w:sz w:val="20"/>
          <w:szCs w:val="20"/>
        </w:rPr>
        <w:t xml:space="preserve">If applicable, assess strengths and weaknesses related to this criterion and plans for improvement in this area. </w:t>
      </w:r>
    </w:p>
    <w:p w:rsidR="00933038" w:rsidRPr="00C34E1B" w:rsidRDefault="00933038" w:rsidP="006C308E">
      <w:pPr>
        <w:shd w:val="clear" w:color="auto" w:fill="FFFFFF"/>
        <w:jc w:val="both"/>
        <w:rPr>
          <w:rFonts w:asciiTheme="majorHAnsi" w:eastAsia="Arial Unicode MS" w:hAnsiTheme="majorHAnsi" w:cstheme="majorHAnsi"/>
          <w:sz w:val="20"/>
          <w:szCs w:val="20"/>
        </w:rPr>
      </w:pPr>
    </w:p>
    <w:p w:rsidR="00961D7E" w:rsidRPr="00C34E1B" w:rsidRDefault="00961D7E" w:rsidP="006C308E">
      <w:pPr>
        <w:keepNext/>
        <w:ind w:left="720"/>
        <w:jc w:val="both"/>
        <w:rPr>
          <w:rFonts w:asciiTheme="majorHAnsi" w:hAnsiTheme="majorHAnsi" w:cstheme="majorHAnsi"/>
          <w:b/>
          <w:sz w:val="20"/>
          <w:szCs w:val="20"/>
        </w:rPr>
      </w:pPr>
      <w:r w:rsidRPr="00C34E1B">
        <w:rPr>
          <w:rFonts w:asciiTheme="majorHAnsi" w:hAnsiTheme="majorHAnsi" w:cstheme="majorHAnsi"/>
          <w:b/>
          <w:sz w:val="20"/>
          <w:szCs w:val="20"/>
        </w:rPr>
        <w:t>Strengths:</w:t>
      </w:r>
    </w:p>
    <w:p w:rsidR="00961D7E" w:rsidRPr="00C34E1B" w:rsidRDefault="00961D7E" w:rsidP="006C308E">
      <w:pPr>
        <w:pStyle w:val="ListParagraph"/>
        <w:keepNext/>
        <w:numPr>
          <w:ilvl w:val="0"/>
          <w:numId w:val="203"/>
        </w:numPr>
        <w:jc w:val="both"/>
        <w:rPr>
          <w:rFonts w:asciiTheme="majorHAnsi" w:eastAsia="Calibri" w:hAnsiTheme="majorHAnsi" w:cstheme="majorHAnsi"/>
          <w:szCs w:val="20"/>
        </w:rPr>
      </w:pPr>
      <w:r w:rsidRPr="00C34E1B">
        <w:rPr>
          <w:rFonts w:asciiTheme="majorHAnsi" w:eastAsia="Calibri" w:hAnsiTheme="majorHAnsi" w:cstheme="majorHAnsi"/>
          <w:szCs w:val="20"/>
        </w:rPr>
        <w:t>Students produce high-quality research projects designed to influence public health programs, policies, or systems. Faculty committees work closely with students throughout the proposal, implementation, dissertation, and dissertation defense stage to ensure the integrative learning experience is high quality.</w:t>
      </w:r>
    </w:p>
    <w:p w:rsidR="00690868" w:rsidRPr="00C34E1B" w:rsidRDefault="00690868" w:rsidP="006C308E">
      <w:pPr>
        <w:keepNext/>
        <w:jc w:val="both"/>
        <w:rPr>
          <w:rFonts w:asciiTheme="majorHAnsi" w:eastAsia="Calibri" w:hAnsiTheme="majorHAnsi" w:cstheme="majorHAnsi"/>
          <w:sz w:val="20"/>
          <w:szCs w:val="20"/>
        </w:rPr>
      </w:pPr>
    </w:p>
    <w:p w:rsidR="00961D7E" w:rsidRPr="00C34E1B" w:rsidRDefault="00961D7E" w:rsidP="006C308E">
      <w:pPr>
        <w:keepNext/>
        <w:ind w:left="720"/>
        <w:jc w:val="both"/>
        <w:rPr>
          <w:rFonts w:asciiTheme="majorHAnsi" w:eastAsia="Calibri" w:hAnsiTheme="majorHAnsi" w:cstheme="majorHAnsi"/>
          <w:b/>
          <w:sz w:val="20"/>
          <w:szCs w:val="20"/>
        </w:rPr>
      </w:pPr>
      <w:r w:rsidRPr="00C34E1B">
        <w:rPr>
          <w:rFonts w:asciiTheme="majorHAnsi" w:eastAsia="Calibri" w:hAnsiTheme="majorHAnsi" w:cstheme="majorHAnsi"/>
          <w:b/>
          <w:sz w:val="20"/>
          <w:szCs w:val="20"/>
        </w:rPr>
        <w:t>Weaknesses:</w:t>
      </w:r>
    </w:p>
    <w:p w:rsidR="00961D7E" w:rsidRPr="00C34E1B" w:rsidRDefault="00961D7E" w:rsidP="006C308E">
      <w:pPr>
        <w:pStyle w:val="ListParagraph"/>
        <w:keepNext/>
        <w:numPr>
          <w:ilvl w:val="0"/>
          <w:numId w:val="203"/>
        </w:numPr>
        <w:jc w:val="both"/>
        <w:rPr>
          <w:rFonts w:asciiTheme="majorHAnsi" w:eastAsia="Calibri" w:hAnsiTheme="majorHAnsi" w:cstheme="majorHAnsi"/>
          <w:szCs w:val="20"/>
        </w:rPr>
      </w:pPr>
      <w:r w:rsidRPr="00C34E1B">
        <w:rPr>
          <w:rFonts w:asciiTheme="majorHAnsi" w:eastAsia="Calibri" w:hAnsiTheme="majorHAnsi" w:cstheme="majorHAnsi"/>
          <w:szCs w:val="20"/>
        </w:rPr>
        <w:t xml:space="preserve">While students in the DrPH program have always been expected to conduct high-quality, applied dissertation work that contributes to public health practice, the requirement that dissertations are field-based is a relatively new requirement (implemented fall 2018). While DrPH dissertation products may look similar to products completed prior to this requirement, the UTHealth School of Public Health embraces the opportunity to be more intentional in partnering with community-based organizations and public health practice to ensure products advance public health practice in ways that are meaningful to these organizations. </w:t>
      </w:r>
    </w:p>
    <w:p w:rsidR="00933038" w:rsidRPr="00C34E1B" w:rsidRDefault="00933038" w:rsidP="006C308E">
      <w:pPr>
        <w:shd w:val="clear" w:color="auto" w:fill="FFFFFF"/>
        <w:ind w:left="720"/>
        <w:jc w:val="both"/>
        <w:rPr>
          <w:rFonts w:asciiTheme="majorHAnsi" w:eastAsia="Arial Unicode MS" w:hAnsiTheme="majorHAnsi" w:cstheme="majorHAnsi"/>
          <w:i/>
          <w:sz w:val="20"/>
          <w:szCs w:val="20"/>
        </w:rPr>
      </w:pPr>
    </w:p>
    <w:p w:rsidR="00933038" w:rsidRPr="00C34E1B" w:rsidRDefault="00933038" w:rsidP="006C308E">
      <w:pPr>
        <w:shd w:val="clear" w:color="auto" w:fill="FFFFFF"/>
        <w:ind w:left="720"/>
        <w:jc w:val="both"/>
        <w:rPr>
          <w:rFonts w:asciiTheme="majorHAnsi" w:eastAsia="Arial Unicode MS" w:hAnsiTheme="majorHAnsi" w:cstheme="majorHAnsi"/>
          <w:i/>
          <w:sz w:val="20"/>
          <w:szCs w:val="20"/>
        </w:rPr>
      </w:pPr>
    </w:p>
    <w:p w:rsidR="00933038" w:rsidRPr="00C34E1B" w:rsidRDefault="00933038" w:rsidP="006C308E">
      <w:pPr>
        <w:rPr>
          <w:rFonts w:asciiTheme="majorHAnsi" w:eastAsia="Arial Unicode MS" w:hAnsiTheme="majorHAnsi" w:cstheme="majorHAnsi"/>
          <w:b/>
          <w:bCs/>
          <w:kern w:val="32"/>
          <w:sz w:val="20"/>
          <w:szCs w:val="20"/>
          <w:lang w:eastAsia="x-none"/>
        </w:rPr>
      </w:pPr>
      <w:bookmarkStart w:id="92" w:name="_Toc464487875"/>
      <w:r w:rsidRPr="00C34E1B">
        <w:rPr>
          <w:rFonts w:asciiTheme="majorHAnsi" w:hAnsiTheme="majorHAnsi" w:cstheme="majorHAnsi"/>
          <w:sz w:val="20"/>
          <w:szCs w:val="20"/>
        </w:rPr>
        <w:br w:type="page"/>
      </w:r>
    </w:p>
    <w:p w:rsidR="00933038" w:rsidRPr="00C34E1B" w:rsidRDefault="00933038" w:rsidP="007A68BE">
      <w:pPr>
        <w:pStyle w:val="Heading1"/>
      </w:pPr>
      <w:bookmarkStart w:id="93" w:name="_Toc7118208"/>
      <w:r w:rsidRPr="00C34E1B">
        <w:t>D9. Public Health Bachelor’s Degree General Curriculum</w:t>
      </w:r>
      <w:bookmarkEnd w:id="92"/>
      <w:bookmarkEnd w:id="93"/>
    </w:p>
    <w:p w:rsidR="00933038" w:rsidRPr="00C34E1B" w:rsidRDefault="00933038" w:rsidP="006C308E">
      <w:pPr>
        <w:ind w:left="720"/>
        <w:contextualSpacing/>
        <w:jc w:val="both"/>
        <w:rPr>
          <w:rFonts w:asciiTheme="majorHAnsi" w:eastAsia="Arial Unicode MS" w:hAnsiTheme="majorHAnsi" w:cstheme="majorHAnsi"/>
          <w:sz w:val="20"/>
          <w:szCs w:val="20"/>
        </w:rPr>
      </w:pPr>
    </w:p>
    <w:p w:rsidR="009D07E5" w:rsidRPr="00C34E1B" w:rsidRDefault="009D07E5" w:rsidP="006C308E">
      <w:pPr>
        <w:jc w:val="both"/>
        <w:rPr>
          <w:rFonts w:asciiTheme="majorHAnsi" w:hAnsiTheme="majorHAnsi" w:cstheme="majorHAnsi"/>
          <w:i/>
          <w:sz w:val="20"/>
          <w:szCs w:val="20"/>
        </w:rPr>
      </w:pPr>
      <w:r w:rsidRPr="00C34E1B">
        <w:rPr>
          <w:rFonts w:asciiTheme="majorHAnsi" w:hAnsiTheme="majorHAnsi" w:cstheme="majorHAnsi"/>
          <w:i/>
          <w:sz w:val="20"/>
          <w:szCs w:val="20"/>
        </w:rPr>
        <w:t xml:space="preserve">Not applicable. </w:t>
      </w:r>
    </w:p>
    <w:p w:rsidR="00933038" w:rsidRPr="00C34E1B" w:rsidRDefault="00933038" w:rsidP="006C308E">
      <w:pPr>
        <w:rPr>
          <w:rFonts w:asciiTheme="majorHAnsi" w:eastAsia="Arial Unicode MS" w:hAnsiTheme="majorHAnsi" w:cstheme="majorHAnsi"/>
          <w:b/>
          <w:bCs/>
          <w:kern w:val="32"/>
          <w:sz w:val="20"/>
          <w:szCs w:val="20"/>
          <w:lang w:eastAsia="x-none"/>
        </w:rPr>
      </w:pPr>
      <w:bookmarkStart w:id="94" w:name="_Toc464487876"/>
      <w:r w:rsidRPr="00C34E1B">
        <w:rPr>
          <w:rFonts w:asciiTheme="majorHAnsi" w:hAnsiTheme="majorHAnsi" w:cstheme="majorHAnsi"/>
          <w:sz w:val="20"/>
          <w:szCs w:val="20"/>
        </w:rPr>
        <w:br w:type="page"/>
      </w:r>
    </w:p>
    <w:p w:rsidR="00933038" w:rsidRPr="00C34E1B" w:rsidRDefault="00933038" w:rsidP="007A68BE">
      <w:pPr>
        <w:pStyle w:val="Heading1"/>
      </w:pPr>
      <w:bookmarkStart w:id="95" w:name="_Toc7118209"/>
      <w:r w:rsidRPr="00C34E1B">
        <w:t>D10. Public Health Bachelor’s Degree Foundational Domains</w:t>
      </w:r>
      <w:bookmarkEnd w:id="94"/>
      <w:bookmarkEnd w:id="95"/>
    </w:p>
    <w:p w:rsidR="00933038" w:rsidRPr="00C34E1B" w:rsidRDefault="00933038" w:rsidP="006C308E">
      <w:pPr>
        <w:contextualSpacing/>
        <w:jc w:val="both"/>
        <w:rPr>
          <w:rFonts w:asciiTheme="majorHAnsi" w:hAnsiTheme="majorHAnsi" w:cstheme="majorHAnsi"/>
          <w:b/>
          <w:sz w:val="20"/>
          <w:szCs w:val="20"/>
        </w:rPr>
      </w:pPr>
    </w:p>
    <w:p w:rsidR="009D07E5" w:rsidRPr="00C34E1B" w:rsidRDefault="009D07E5" w:rsidP="006C308E">
      <w:pPr>
        <w:jc w:val="both"/>
        <w:rPr>
          <w:rFonts w:asciiTheme="majorHAnsi" w:hAnsiTheme="majorHAnsi" w:cstheme="majorHAnsi"/>
          <w:i/>
          <w:sz w:val="20"/>
          <w:szCs w:val="20"/>
        </w:rPr>
      </w:pPr>
      <w:r w:rsidRPr="00C34E1B">
        <w:rPr>
          <w:rFonts w:asciiTheme="majorHAnsi" w:hAnsiTheme="majorHAnsi" w:cstheme="majorHAnsi"/>
          <w:i/>
          <w:sz w:val="20"/>
          <w:szCs w:val="20"/>
        </w:rPr>
        <w:t xml:space="preserve">Not applicable. </w:t>
      </w:r>
    </w:p>
    <w:p w:rsidR="00933038" w:rsidRPr="00C34E1B" w:rsidRDefault="00933038" w:rsidP="006C308E">
      <w:pPr>
        <w:shd w:val="clear" w:color="auto" w:fill="FFFFFF"/>
        <w:contextualSpacing/>
        <w:jc w:val="both"/>
        <w:rPr>
          <w:rFonts w:asciiTheme="majorHAnsi" w:hAnsiTheme="majorHAnsi" w:cstheme="majorHAnsi"/>
          <w:i/>
          <w:sz w:val="20"/>
          <w:szCs w:val="20"/>
        </w:rPr>
      </w:pPr>
    </w:p>
    <w:p w:rsidR="00933038" w:rsidRPr="00C34E1B" w:rsidRDefault="00933038" w:rsidP="006C308E">
      <w:pPr>
        <w:rPr>
          <w:rFonts w:asciiTheme="majorHAnsi" w:eastAsia="Arial Unicode MS" w:hAnsiTheme="majorHAnsi" w:cstheme="majorHAnsi"/>
          <w:b/>
          <w:bCs/>
          <w:kern w:val="32"/>
          <w:sz w:val="20"/>
          <w:szCs w:val="20"/>
          <w:lang w:eastAsia="x-none"/>
        </w:rPr>
      </w:pPr>
      <w:bookmarkStart w:id="96" w:name="_Toc464487877"/>
      <w:r w:rsidRPr="00C34E1B">
        <w:rPr>
          <w:rFonts w:asciiTheme="majorHAnsi" w:hAnsiTheme="majorHAnsi" w:cstheme="majorHAnsi"/>
          <w:sz w:val="20"/>
          <w:szCs w:val="20"/>
        </w:rPr>
        <w:br w:type="page"/>
      </w:r>
    </w:p>
    <w:p w:rsidR="00933038" w:rsidRPr="00C34E1B" w:rsidRDefault="00933038" w:rsidP="007A68BE">
      <w:pPr>
        <w:pStyle w:val="Heading1"/>
      </w:pPr>
      <w:bookmarkStart w:id="97" w:name="_Toc7118210"/>
      <w:r w:rsidRPr="00C34E1B">
        <w:t>D11. Public Health Bachelor’s Degree Foundational Competencies</w:t>
      </w:r>
      <w:bookmarkEnd w:id="96"/>
      <w:bookmarkEnd w:id="97"/>
    </w:p>
    <w:p w:rsidR="00933038" w:rsidRPr="00C34E1B" w:rsidRDefault="00933038" w:rsidP="006C308E">
      <w:pPr>
        <w:keepNext/>
        <w:contextualSpacing/>
        <w:jc w:val="both"/>
        <w:rPr>
          <w:rFonts w:asciiTheme="majorHAnsi" w:hAnsiTheme="majorHAnsi" w:cstheme="majorHAnsi"/>
          <w:b/>
          <w:sz w:val="20"/>
          <w:szCs w:val="20"/>
        </w:rPr>
      </w:pPr>
    </w:p>
    <w:p w:rsidR="009D07E5" w:rsidRPr="00C34E1B" w:rsidRDefault="009D07E5" w:rsidP="006C308E">
      <w:pPr>
        <w:jc w:val="both"/>
        <w:rPr>
          <w:rFonts w:asciiTheme="majorHAnsi" w:hAnsiTheme="majorHAnsi" w:cstheme="majorHAnsi"/>
          <w:i/>
          <w:sz w:val="20"/>
          <w:szCs w:val="20"/>
        </w:rPr>
      </w:pPr>
      <w:r w:rsidRPr="00C34E1B">
        <w:rPr>
          <w:rFonts w:asciiTheme="majorHAnsi" w:hAnsiTheme="majorHAnsi" w:cstheme="majorHAnsi"/>
          <w:i/>
          <w:sz w:val="20"/>
          <w:szCs w:val="20"/>
        </w:rPr>
        <w:t xml:space="preserve">Not applicable. </w:t>
      </w:r>
    </w:p>
    <w:p w:rsidR="00933038" w:rsidRPr="00C34E1B" w:rsidRDefault="00933038" w:rsidP="006C308E">
      <w:pPr>
        <w:contextualSpacing/>
        <w:jc w:val="both"/>
        <w:rPr>
          <w:rFonts w:asciiTheme="majorHAnsi" w:hAnsiTheme="majorHAnsi" w:cstheme="majorHAnsi"/>
          <w:i/>
          <w:sz w:val="20"/>
          <w:szCs w:val="20"/>
        </w:rPr>
      </w:pPr>
    </w:p>
    <w:p w:rsidR="00933038" w:rsidRPr="00C34E1B" w:rsidRDefault="00933038" w:rsidP="006C308E">
      <w:pPr>
        <w:rPr>
          <w:rFonts w:asciiTheme="majorHAnsi" w:eastAsia="Arial Unicode MS" w:hAnsiTheme="majorHAnsi" w:cstheme="majorHAnsi"/>
          <w:b/>
          <w:bCs/>
          <w:kern w:val="32"/>
          <w:sz w:val="20"/>
          <w:szCs w:val="20"/>
          <w:lang w:eastAsia="x-none"/>
        </w:rPr>
      </w:pPr>
      <w:bookmarkStart w:id="98" w:name="_Toc464487878"/>
      <w:r w:rsidRPr="00C34E1B">
        <w:rPr>
          <w:rFonts w:asciiTheme="majorHAnsi" w:hAnsiTheme="majorHAnsi" w:cstheme="majorHAnsi"/>
          <w:sz w:val="20"/>
          <w:szCs w:val="20"/>
        </w:rPr>
        <w:br w:type="page"/>
      </w:r>
    </w:p>
    <w:p w:rsidR="00933038" w:rsidRPr="00C34E1B" w:rsidRDefault="00933038" w:rsidP="007A68BE">
      <w:pPr>
        <w:pStyle w:val="Heading1"/>
      </w:pPr>
      <w:bookmarkStart w:id="99" w:name="_Toc7118211"/>
      <w:r w:rsidRPr="00C34E1B">
        <w:t>D12. Public Health Bachelor’s Degree Cumulative and Experiential Activities</w:t>
      </w:r>
      <w:bookmarkEnd w:id="98"/>
      <w:bookmarkEnd w:id="99"/>
    </w:p>
    <w:p w:rsidR="00933038" w:rsidRPr="00C34E1B" w:rsidRDefault="00933038" w:rsidP="006C308E">
      <w:pPr>
        <w:contextualSpacing/>
        <w:jc w:val="both"/>
        <w:rPr>
          <w:rFonts w:asciiTheme="majorHAnsi" w:hAnsiTheme="majorHAnsi" w:cstheme="majorHAnsi"/>
          <w:b/>
          <w:sz w:val="20"/>
          <w:szCs w:val="20"/>
        </w:rPr>
      </w:pPr>
    </w:p>
    <w:p w:rsidR="009D07E5" w:rsidRPr="00C34E1B" w:rsidRDefault="009D07E5" w:rsidP="006C308E">
      <w:pPr>
        <w:jc w:val="both"/>
        <w:rPr>
          <w:rFonts w:asciiTheme="majorHAnsi" w:hAnsiTheme="majorHAnsi" w:cstheme="majorHAnsi"/>
          <w:i/>
          <w:sz w:val="20"/>
          <w:szCs w:val="20"/>
        </w:rPr>
      </w:pPr>
      <w:r w:rsidRPr="00C34E1B">
        <w:rPr>
          <w:rFonts w:asciiTheme="majorHAnsi" w:hAnsiTheme="majorHAnsi" w:cstheme="majorHAnsi"/>
          <w:i/>
          <w:sz w:val="20"/>
          <w:szCs w:val="20"/>
        </w:rPr>
        <w:t xml:space="preserve">Not applicable. </w:t>
      </w:r>
    </w:p>
    <w:p w:rsidR="00933038" w:rsidRPr="00C34E1B" w:rsidRDefault="00933038" w:rsidP="006C308E">
      <w:pPr>
        <w:contextualSpacing/>
        <w:jc w:val="both"/>
        <w:rPr>
          <w:rFonts w:asciiTheme="majorHAnsi" w:hAnsiTheme="majorHAnsi" w:cstheme="majorHAnsi"/>
          <w:sz w:val="20"/>
          <w:szCs w:val="20"/>
        </w:rPr>
      </w:pPr>
    </w:p>
    <w:p w:rsidR="00933038" w:rsidRPr="00C34E1B" w:rsidRDefault="00933038" w:rsidP="006C308E">
      <w:pPr>
        <w:rPr>
          <w:rFonts w:asciiTheme="majorHAnsi" w:eastAsia="Arial Unicode MS" w:hAnsiTheme="majorHAnsi" w:cstheme="majorHAnsi"/>
          <w:b/>
          <w:bCs/>
          <w:kern w:val="32"/>
          <w:sz w:val="20"/>
          <w:szCs w:val="20"/>
          <w:lang w:eastAsia="x-none"/>
        </w:rPr>
      </w:pPr>
      <w:bookmarkStart w:id="100" w:name="_Toc464487879"/>
      <w:r w:rsidRPr="00C34E1B">
        <w:rPr>
          <w:rFonts w:asciiTheme="majorHAnsi" w:hAnsiTheme="majorHAnsi" w:cstheme="majorHAnsi"/>
          <w:sz w:val="20"/>
          <w:szCs w:val="20"/>
        </w:rPr>
        <w:br w:type="page"/>
      </w:r>
    </w:p>
    <w:p w:rsidR="00933038" w:rsidRPr="00C34E1B" w:rsidRDefault="00933038" w:rsidP="007A68BE">
      <w:pPr>
        <w:pStyle w:val="Heading1"/>
      </w:pPr>
      <w:bookmarkStart w:id="101" w:name="_Toc7118212"/>
      <w:r w:rsidRPr="00C34E1B">
        <w:t>D13. Public Health Bachelor’s Degree Cross-Cutting Concepts and Experiences</w:t>
      </w:r>
      <w:bookmarkEnd w:id="100"/>
      <w:bookmarkEnd w:id="101"/>
    </w:p>
    <w:p w:rsidR="00933038" w:rsidRPr="00C34E1B" w:rsidRDefault="00933038" w:rsidP="006C308E">
      <w:pPr>
        <w:keepNext/>
        <w:ind w:left="720"/>
        <w:contextualSpacing/>
        <w:jc w:val="both"/>
        <w:rPr>
          <w:rFonts w:asciiTheme="majorHAnsi" w:hAnsiTheme="majorHAnsi" w:cstheme="majorHAnsi"/>
          <w:b/>
          <w:sz w:val="20"/>
          <w:szCs w:val="20"/>
        </w:rPr>
      </w:pPr>
    </w:p>
    <w:p w:rsidR="009D07E5" w:rsidRPr="00C34E1B" w:rsidRDefault="009D07E5" w:rsidP="006C308E">
      <w:pPr>
        <w:jc w:val="both"/>
        <w:rPr>
          <w:rFonts w:asciiTheme="majorHAnsi" w:hAnsiTheme="majorHAnsi" w:cstheme="majorHAnsi"/>
          <w:i/>
          <w:sz w:val="20"/>
          <w:szCs w:val="20"/>
        </w:rPr>
      </w:pPr>
      <w:r w:rsidRPr="00C34E1B">
        <w:rPr>
          <w:rFonts w:asciiTheme="majorHAnsi" w:hAnsiTheme="majorHAnsi" w:cstheme="majorHAnsi"/>
          <w:i/>
          <w:sz w:val="20"/>
          <w:szCs w:val="20"/>
        </w:rPr>
        <w:t xml:space="preserve">Not applicable. </w:t>
      </w:r>
    </w:p>
    <w:p w:rsidR="00933038" w:rsidRPr="00C34E1B" w:rsidRDefault="00933038" w:rsidP="006C308E">
      <w:pPr>
        <w:contextualSpacing/>
        <w:jc w:val="both"/>
        <w:rPr>
          <w:rFonts w:asciiTheme="majorHAnsi" w:hAnsiTheme="majorHAnsi" w:cstheme="majorHAnsi"/>
          <w:sz w:val="20"/>
          <w:szCs w:val="20"/>
        </w:rPr>
      </w:pPr>
    </w:p>
    <w:p w:rsidR="00933038" w:rsidRPr="00C34E1B" w:rsidRDefault="00933038" w:rsidP="006C308E">
      <w:pPr>
        <w:rPr>
          <w:rFonts w:asciiTheme="majorHAnsi" w:eastAsia="Arial Unicode MS" w:hAnsiTheme="majorHAnsi" w:cstheme="majorHAnsi"/>
          <w:b/>
          <w:bCs/>
          <w:kern w:val="32"/>
          <w:sz w:val="20"/>
          <w:szCs w:val="20"/>
          <w:lang w:eastAsia="x-none"/>
        </w:rPr>
      </w:pPr>
      <w:bookmarkStart w:id="102" w:name="_Toc464487880"/>
      <w:r w:rsidRPr="00C34E1B">
        <w:rPr>
          <w:rFonts w:asciiTheme="majorHAnsi" w:hAnsiTheme="majorHAnsi" w:cstheme="majorHAnsi"/>
          <w:sz w:val="20"/>
          <w:szCs w:val="20"/>
        </w:rPr>
        <w:br w:type="page"/>
      </w:r>
    </w:p>
    <w:p w:rsidR="00933038" w:rsidRPr="00C34E1B" w:rsidRDefault="00933038" w:rsidP="007A68BE">
      <w:pPr>
        <w:pStyle w:val="Heading1"/>
      </w:pPr>
      <w:bookmarkStart w:id="103" w:name="_Toc7118213"/>
      <w:r w:rsidRPr="00C34E1B">
        <w:t xml:space="preserve">D14. MPH </w:t>
      </w:r>
      <w:r w:rsidR="000865BE" w:rsidRPr="00C34E1B">
        <w:t>Program</w:t>
      </w:r>
      <w:r w:rsidRPr="00C34E1B">
        <w:t xml:space="preserve"> Length</w:t>
      </w:r>
      <w:bookmarkEnd w:id="103"/>
      <w:r w:rsidRPr="00C34E1B">
        <w:t xml:space="preserve"> </w:t>
      </w:r>
      <w:bookmarkEnd w:id="102"/>
    </w:p>
    <w:p w:rsidR="00933038" w:rsidRPr="00C34E1B" w:rsidRDefault="00933038" w:rsidP="006C308E">
      <w:pPr>
        <w:jc w:val="both"/>
        <w:rPr>
          <w:rFonts w:asciiTheme="majorHAnsi" w:hAnsiTheme="majorHAnsi" w:cstheme="majorHAnsi"/>
          <w:sz w:val="20"/>
          <w:szCs w:val="20"/>
        </w:rPr>
      </w:pPr>
    </w:p>
    <w:p w:rsidR="00933038" w:rsidRPr="00C34E1B" w:rsidRDefault="00933038" w:rsidP="006C308E">
      <w:pPr>
        <w:jc w:val="both"/>
        <w:rPr>
          <w:rFonts w:asciiTheme="majorHAnsi" w:hAnsiTheme="majorHAnsi" w:cstheme="majorHAnsi"/>
          <w:b/>
          <w:sz w:val="20"/>
          <w:szCs w:val="20"/>
        </w:rPr>
      </w:pPr>
      <w:r w:rsidRPr="00C34E1B">
        <w:rPr>
          <w:rFonts w:asciiTheme="majorHAnsi" w:hAnsiTheme="majorHAnsi" w:cstheme="majorHAnsi"/>
          <w:b/>
          <w:sz w:val="20"/>
          <w:szCs w:val="20"/>
        </w:rPr>
        <w:t>An MPH degree requires at least 42 semester-credits, 56 quarter-credits or the equivalent for completion.</w:t>
      </w:r>
    </w:p>
    <w:p w:rsidR="00933038" w:rsidRPr="00C34E1B" w:rsidRDefault="00933038" w:rsidP="006C308E">
      <w:pPr>
        <w:jc w:val="both"/>
        <w:rPr>
          <w:rFonts w:asciiTheme="majorHAnsi" w:hAnsiTheme="majorHAnsi" w:cstheme="majorHAnsi"/>
          <w:b/>
          <w:sz w:val="20"/>
          <w:szCs w:val="20"/>
        </w:rPr>
      </w:pPr>
    </w:p>
    <w:p w:rsidR="00933038" w:rsidRPr="00C34E1B" w:rsidRDefault="00933038" w:rsidP="006C308E">
      <w:pPr>
        <w:jc w:val="both"/>
        <w:rPr>
          <w:rFonts w:asciiTheme="majorHAnsi" w:hAnsiTheme="majorHAnsi" w:cstheme="majorHAnsi"/>
          <w:b/>
          <w:sz w:val="20"/>
          <w:szCs w:val="20"/>
        </w:rPr>
      </w:pPr>
      <w:r w:rsidRPr="00C34E1B">
        <w:rPr>
          <w:rFonts w:asciiTheme="majorHAnsi" w:hAnsiTheme="majorHAnsi" w:cstheme="majorHAnsi"/>
          <w:b/>
          <w:sz w:val="20"/>
          <w:szCs w:val="20"/>
        </w:rPr>
        <w:t>Schools use university definitions for credit hours.</w:t>
      </w:r>
    </w:p>
    <w:p w:rsidR="00933038" w:rsidRPr="00C34E1B" w:rsidRDefault="00933038" w:rsidP="006C308E">
      <w:pPr>
        <w:jc w:val="both"/>
        <w:rPr>
          <w:rFonts w:asciiTheme="majorHAnsi" w:hAnsiTheme="majorHAnsi" w:cstheme="majorHAnsi"/>
          <w:sz w:val="20"/>
          <w:szCs w:val="20"/>
        </w:rPr>
      </w:pPr>
    </w:p>
    <w:p w:rsidR="00933038" w:rsidRPr="00C34E1B" w:rsidRDefault="00933038" w:rsidP="006C308E">
      <w:pPr>
        <w:numPr>
          <w:ilvl w:val="0"/>
          <w:numId w:val="26"/>
        </w:numPr>
        <w:jc w:val="both"/>
        <w:rPr>
          <w:rFonts w:asciiTheme="majorHAnsi" w:hAnsiTheme="majorHAnsi" w:cstheme="majorHAnsi"/>
          <w:sz w:val="20"/>
          <w:szCs w:val="20"/>
        </w:rPr>
      </w:pPr>
      <w:r w:rsidRPr="00C34E1B">
        <w:rPr>
          <w:rFonts w:asciiTheme="majorHAnsi" w:hAnsiTheme="majorHAnsi" w:cstheme="majorHAnsi"/>
          <w:sz w:val="20"/>
          <w:szCs w:val="20"/>
        </w:rPr>
        <w:t xml:space="preserve">Provide information about the minimum credit-hour requirements for all MPH degree options. If the university uses a unit of academic credit or an academic term different from the standard semester or quarter, explain the difference and present an equivalency in table or narrative form. </w:t>
      </w:r>
    </w:p>
    <w:p w:rsidR="00933038" w:rsidRPr="00C34E1B" w:rsidRDefault="00933038" w:rsidP="006C308E">
      <w:pPr>
        <w:jc w:val="both"/>
        <w:rPr>
          <w:rFonts w:asciiTheme="majorHAnsi" w:hAnsiTheme="majorHAnsi" w:cstheme="majorHAnsi"/>
          <w:sz w:val="20"/>
          <w:szCs w:val="20"/>
        </w:rPr>
      </w:pPr>
    </w:p>
    <w:p w:rsidR="00933038" w:rsidRPr="00C34E1B" w:rsidRDefault="00557608" w:rsidP="006C308E">
      <w:pPr>
        <w:ind w:left="720"/>
        <w:rPr>
          <w:rFonts w:asciiTheme="majorHAnsi" w:eastAsia="Arial" w:hAnsiTheme="majorHAnsi" w:cstheme="majorHAnsi"/>
          <w:sz w:val="20"/>
          <w:szCs w:val="20"/>
        </w:rPr>
      </w:pPr>
      <w:r w:rsidRPr="00C34E1B">
        <w:rPr>
          <w:rFonts w:asciiTheme="majorHAnsi" w:eastAsia="Arial" w:hAnsiTheme="majorHAnsi" w:cstheme="majorHAnsi"/>
          <w:sz w:val="20"/>
          <w:szCs w:val="20"/>
        </w:rPr>
        <w:t xml:space="preserve">The UTHealth SPH offers the MPH in eight areas of study as detailed in </w:t>
      </w:r>
      <w:hyperlink w:anchor="Table_Intro1a" w:history="1">
        <w:r w:rsidRPr="00C34E1B">
          <w:rPr>
            <w:rStyle w:val="Hyperlink"/>
            <w:rFonts w:asciiTheme="majorHAnsi" w:eastAsia="Arial" w:hAnsiTheme="majorHAnsi" w:cstheme="majorHAnsi"/>
            <w:sz w:val="20"/>
            <w:szCs w:val="20"/>
          </w:rPr>
          <w:t>Table Intro.</w:t>
        </w:r>
        <w:r w:rsidR="00127BFE" w:rsidRPr="00C34E1B">
          <w:rPr>
            <w:rStyle w:val="Hyperlink"/>
            <w:rFonts w:asciiTheme="majorHAnsi" w:eastAsia="Arial" w:hAnsiTheme="majorHAnsi" w:cstheme="majorHAnsi"/>
            <w:sz w:val="20"/>
            <w:szCs w:val="20"/>
          </w:rPr>
          <w:t>1.a. Matrix of Degrees</w:t>
        </w:r>
      </w:hyperlink>
      <w:r w:rsidRPr="00C34E1B">
        <w:rPr>
          <w:rFonts w:asciiTheme="majorHAnsi" w:eastAsia="Arial" w:hAnsiTheme="majorHAnsi" w:cstheme="majorHAnsi"/>
          <w:sz w:val="20"/>
          <w:szCs w:val="20"/>
        </w:rPr>
        <w:t xml:space="preserve"> Successful completion of the MPH degree requires at least 45 credit hours of coursework, including major courses, electives, a practicum (</w:t>
      </w:r>
      <w:hyperlink w:anchor="_D5._MPH_Applied" w:history="1">
        <w:r w:rsidR="00074268" w:rsidRPr="006E28EE">
          <w:rPr>
            <w:rStyle w:val="Hyperlink"/>
            <w:rFonts w:asciiTheme="majorHAnsi" w:eastAsia="Arial" w:hAnsiTheme="majorHAnsi" w:cstheme="majorHAnsi"/>
            <w:i/>
            <w:sz w:val="20"/>
            <w:szCs w:val="20"/>
          </w:rPr>
          <w:t>Criterion D5</w:t>
        </w:r>
        <w:r w:rsidR="00B36FF4" w:rsidRPr="00C34E1B">
          <w:rPr>
            <w:rStyle w:val="Hyperlink"/>
            <w:rFonts w:asciiTheme="majorHAnsi" w:eastAsia="Arial" w:hAnsiTheme="majorHAnsi" w:cstheme="majorHAnsi"/>
            <w:i/>
            <w:sz w:val="20"/>
            <w:szCs w:val="20"/>
          </w:rPr>
          <w:t>.</w:t>
        </w:r>
        <w:r w:rsidR="00074268" w:rsidRPr="006E28EE">
          <w:rPr>
            <w:rStyle w:val="Hyperlink"/>
            <w:rFonts w:asciiTheme="majorHAnsi" w:eastAsia="Arial" w:hAnsiTheme="majorHAnsi" w:cstheme="majorHAnsi"/>
            <w:i/>
            <w:sz w:val="20"/>
            <w:szCs w:val="20"/>
          </w:rPr>
          <w:t xml:space="preserve"> MPH Applied Practice Experience</w:t>
        </w:r>
      </w:hyperlink>
      <w:r w:rsidRPr="00C34E1B">
        <w:rPr>
          <w:rFonts w:asciiTheme="majorHAnsi" w:eastAsia="Arial" w:hAnsiTheme="majorHAnsi" w:cstheme="majorHAnsi"/>
          <w:sz w:val="20"/>
          <w:szCs w:val="20"/>
        </w:rPr>
        <w:t>) and an integrative learning experience (</w:t>
      </w:r>
      <w:hyperlink w:anchor="_D7._MPH_Integrative" w:history="1">
        <w:r w:rsidR="00074268" w:rsidRPr="006E28EE">
          <w:rPr>
            <w:rStyle w:val="Hyperlink"/>
            <w:rFonts w:asciiTheme="majorHAnsi" w:eastAsia="Arial" w:hAnsiTheme="majorHAnsi" w:cstheme="majorHAnsi"/>
            <w:i/>
            <w:sz w:val="20"/>
            <w:szCs w:val="20"/>
          </w:rPr>
          <w:t>Criterion D7</w:t>
        </w:r>
        <w:r w:rsidR="00B36FF4" w:rsidRPr="00C34E1B">
          <w:rPr>
            <w:rStyle w:val="Hyperlink"/>
            <w:rFonts w:asciiTheme="majorHAnsi" w:eastAsia="Arial" w:hAnsiTheme="majorHAnsi" w:cstheme="majorHAnsi"/>
            <w:i/>
            <w:sz w:val="20"/>
            <w:szCs w:val="20"/>
          </w:rPr>
          <w:t>.</w:t>
        </w:r>
        <w:r w:rsidR="00074268" w:rsidRPr="006E28EE">
          <w:rPr>
            <w:rStyle w:val="Hyperlink"/>
            <w:rFonts w:asciiTheme="majorHAnsi" w:eastAsia="Arial" w:hAnsiTheme="majorHAnsi" w:cstheme="majorHAnsi"/>
            <w:i/>
            <w:sz w:val="20"/>
            <w:szCs w:val="20"/>
          </w:rPr>
          <w:t xml:space="preserve"> MPH Integrative Learning Experience</w:t>
        </w:r>
      </w:hyperlink>
      <w:r w:rsidRPr="00C34E1B">
        <w:rPr>
          <w:rFonts w:asciiTheme="majorHAnsi" w:eastAsia="Arial" w:hAnsiTheme="majorHAnsi" w:cstheme="majorHAnsi"/>
          <w:sz w:val="20"/>
          <w:szCs w:val="20"/>
        </w:rPr>
        <w:t>). All MPH students attain the Foundational Public Health Knowledge objectives through completion of PH101 Foundations in Public Health (</w:t>
      </w:r>
      <w:hyperlink w:anchor="_D1._MPH_&amp;" w:history="1">
        <w:r w:rsidR="00D54BCC" w:rsidRPr="00C34E1B">
          <w:rPr>
            <w:rStyle w:val="Hyperlink"/>
            <w:rFonts w:asciiTheme="majorHAnsi" w:eastAsia="Arial" w:hAnsiTheme="majorHAnsi" w:cstheme="majorHAnsi"/>
            <w:i/>
            <w:sz w:val="20"/>
            <w:szCs w:val="20"/>
          </w:rPr>
          <w:t>Criterion D1. MPH &amp; DrPH Foundational Public Health Competencies</w:t>
        </w:r>
      </w:hyperlink>
      <w:r w:rsidRPr="00C34E1B">
        <w:rPr>
          <w:rFonts w:asciiTheme="majorHAnsi" w:eastAsia="Arial" w:hAnsiTheme="majorHAnsi" w:cstheme="majorHAnsi"/>
          <w:sz w:val="20"/>
          <w:szCs w:val="20"/>
        </w:rPr>
        <w:t>), and the MPH Foundational Knowledge Competencies through a series of required core course</w:t>
      </w:r>
      <w:r w:rsidR="0018792B" w:rsidRPr="00C34E1B">
        <w:rPr>
          <w:rFonts w:asciiTheme="majorHAnsi" w:eastAsia="Arial" w:hAnsiTheme="majorHAnsi" w:cstheme="majorHAnsi"/>
          <w:sz w:val="20"/>
          <w:szCs w:val="20"/>
        </w:rPr>
        <w:t>s</w:t>
      </w:r>
      <w:r w:rsidRPr="00C34E1B">
        <w:rPr>
          <w:rFonts w:asciiTheme="majorHAnsi" w:eastAsia="Arial" w:hAnsiTheme="majorHAnsi" w:cstheme="majorHAnsi"/>
          <w:sz w:val="20"/>
          <w:szCs w:val="20"/>
        </w:rPr>
        <w:t xml:space="preserve"> (</w:t>
      </w:r>
      <w:hyperlink w:anchor="_D2._MPH_Foundational" w:history="1">
        <w:r w:rsidR="00D54BCC" w:rsidRPr="00C34E1B">
          <w:rPr>
            <w:rStyle w:val="Hyperlink"/>
            <w:rFonts w:asciiTheme="majorHAnsi" w:eastAsia="Arial" w:hAnsiTheme="majorHAnsi" w:cstheme="majorHAnsi"/>
            <w:i/>
            <w:sz w:val="20"/>
            <w:szCs w:val="20"/>
          </w:rPr>
          <w:t>Criterion D2. MPH Foundational Competencies</w:t>
        </w:r>
      </w:hyperlink>
      <w:r w:rsidRPr="00C34E1B">
        <w:rPr>
          <w:rFonts w:asciiTheme="majorHAnsi" w:eastAsia="Arial" w:hAnsiTheme="majorHAnsi" w:cstheme="majorHAnsi"/>
          <w:sz w:val="20"/>
          <w:szCs w:val="20"/>
        </w:rPr>
        <w:t xml:space="preserve">). A major (referred to as concentration by CEPH) is defined by a set of competencies and course requirements as defined in </w:t>
      </w:r>
      <w:hyperlink w:anchor="_D4._MPH_&amp;" w:history="1">
        <w:r w:rsidR="00D54BCC" w:rsidRPr="00326F5C">
          <w:rPr>
            <w:rStyle w:val="Hyperlink"/>
            <w:rFonts w:asciiTheme="majorHAnsi" w:eastAsia="Arial" w:hAnsiTheme="majorHAnsi" w:cstheme="majorHAnsi"/>
            <w:i/>
            <w:sz w:val="20"/>
            <w:szCs w:val="20"/>
          </w:rPr>
          <w:t>Criterion D4. MPH &amp; DrPH Concentration Competencies</w:t>
        </w:r>
      </w:hyperlink>
      <w:r w:rsidRPr="00326F5C">
        <w:rPr>
          <w:rFonts w:asciiTheme="majorHAnsi" w:eastAsia="Arial" w:hAnsiTheme="majorHAnsi" w:cstheme="majorHAnsi"/>
          <w:sz w:val="20"/>
          <w:szCs w:val="20"/>
        </w:rPr>
        <w:t xml:space="preserve"> and in the degree planner</w:t>
      </w:r>
      <w:r w:rsidR="00127BFE" w:rsidRPr="00326F5C">
        <w:rPr>
          <w:rFonts w:asciiTheme="majorHAnsi" w:eastAsia="Arial" w:hAnsiTheme="majorHAnsi" w:cstheme="majorHAnsi"/>
          <w:sz w:val="20"/>
          <w:szCs w:val="20"/>
        </w:rPr>
        <w:t xml:space="preserve"> (</w:t>
      </w:r>
      <w:r w:rsidR="00127BFE" w:rsidRPr="00326F5C">
        <w:rPr>
          <w:rFonts w:asciiTheme="majorHAnsi" w:eastAsia="Arial" w:hAnsiTheme="majorHAnsi" w:cstheme="majorHAnsi"/>
          <w:i/>
          <w:sz w:val="20"/>
          <w:szCs w:val="20"/>
        </w:rPr>
        <w:t>ERF</w:t>
      </w:r>
      <w:r w:rsidR="00D54BCC" w:rsidRPr="00326F5C">
        <w:rPr>
          <w:rFonts w:asciiTheme="majorHAnsi" w:eastAsia="Arial" w:hAnsiTheme="majorHAnsi" w:cstheme="majorHAnsi"/>
          <w:i/>
          <w:sz w:val="20"/>
          <w:szCs w:val="20"/>
        </w:rPr>
        <w:t>,</w:t>
      </w:r>
      <w:r w:rsidR="00127BFE" w:rsidRPr="00326F5C">
        <w:rPr>
          <w:rFonts w:asciiTheme="majorHAnsi" w:eastAsia="Arial" w:hAnsiTheme="majorHAnsi" w:cstheme="majorHAnsi"/>
          <w:i/>
          <w:sz w:val="20"/>
          <w:szCs w:val="20"/>
        </w:rPr>
        <w:t xml:space="preserve"> </w:t>
      </w:r>
      <w:r w:rsidR="00D54BCC" w:rsidRPr="00326F5C">
        <w:rPr>
          <w:rFonts w:asciiTheme="majorHAnsi" w:hAnsiTheme="majorHAnsi" w:cstheme="majorHAnsi"/>
          <w:i/>
          <w:sz w:val="20"/>
          <w:szCs w:val="20"/>
        </w:rPr>
        <w:t>D2.1 Requirements for MPH Degrees</w:t>
      </w:r>
      <w:r w:rsidR="00127BFE" w:rsidRPr="00326F5C">
        <w:rPr>
          <w:rFonts w:asciiTheme="majorHAnsi" w:eastAsia="Arial" w:hAnsiTheme="majorHAnsi" w:cstheme="majorHAnsi"/>
          <w:sz w:val="20"/>
          <w:szCs w:val="20"/>
        </w:rPr>
        <w:t>)</w:t>
      </w:r>
      <w:r w:rsidR="0096375B" w:rsidRPr="00326F5C">
        <w:rPr>
          <w:rFonts w:asciiTheme="majorHAnsi" w:eastAsia="Arial" w:hAnsiTheme="majorHAnsi" w:cstheme="majorHAnsi"/>
          <w:sz w:val="20"/>
          <w:szCs w:val="20"/>
        </w:rPr>
        <w:t xml:space="preserve"> </w:t>
      </w:r>
      <w:r w:rsidRPr="00326F5C">
        <w:rPr>
          <w:rFonts w:asciiTheme="majorHAnsi" w:eastAsia="Arial" w:hAnsiTheme="majorHAnsi" w:cstheme="majorHAnsi"/>
          <w:sz w:val="20"/>
          <w:szCs w:val="20"/>
        </w:rPr>
        <w:t>for each major.</w:t>
      </w:r>
    </w:p>
    <w:p w:rsidR="00557608" w:rsidRPr="00C34E1B" w:rsidRDefault="00557608" w:rsidP="006C308E">
      <w:pPr>
        <w:ind w:left="720"/>
        <w:jc w:val="both"/>
        <w:rPr>
          <w:rFonts w:asciiTheme="majorHAnsi" w:hAnsiTheme="majorHAnsi" w:cstheme="majorHAnsi"/>
          <w:sz w:val="20"/>
          <w:szCs w:val="20"/>
        </w:rPr>
      </w:pPr>
    </w:p>
    <w:p w:rsidR="00933038" w:rsidRPr="00C34E1B" w:rsidRDefault="00933038" w:rsidP="006C308E">
      <w:pPr>
        <w:numPr>
          <w:ilvl w:val="0"/>
          <w:numId w:val="26"/>
        </w:numPr>
        <w:jc w:val="both"/>
        <w:rPr>
          <w:rFonts w:asciiTheme="majorHAnsi" w:hAnsiTheme="majorHAnsi" w:cstheme="majorHAnsi"/>
          <w:sz w:val="20"/>
          <w:szCs w:val="20"/>
        </w:rPr>
      </w:pPr>
      <w:r w:rsidRPr="00C34E1B">
        <w:rPr>
          <w:rFonts w:asciiTheme="majorHAnsi" w:hAnsiTheme="majorHAnsi" w:cstheme="majorHAnsi"/>
          <w:sz w:val="20"/>
          <w:szCs w:val="20"/>
        </w:rPr>
        <w:t xml:space="preserve">Define a credit with regard to classroom/contact hours. </w:t>
      </w:r>
    </w:p>
    <w:p w:rsidR="00933038" w:rsidRPr="00C34E1B" w:rsidRDefault="00933038" w:rsidP="006C308E">
      <w:pPr>
        <w:jc w:val="both"/>
        <w:rPr>
          <w:rFonts w:asciiTheme="majorHAnsi" w:hAnsiTheme="majorHAnsi" w:cstheme="majorHAnsi"/>
          <w:sz w:val="20"/>
          <w:szCs w:val="20"/>
        </w:rPr>
      </w:pPr>
    </w:p>
    <w:p w:rsidR="00933038" w:rsidRPr="00C34E1B" w:rsidRDefault="00127BFE" w:rsidP="006C308E">
      <w:pPr>
        <w:ind w:left="720"/>
        <w:rPr>
          <w:rFonts w:asciiTheme="majorHAnsi" w:hAnsiTheme="majorHAnsi" w:cstheme="majorHAnsi"/>
          <w:i/>
          <w:sz w:val="20"/>
          <w:szCs w:val="20"/>
        </w:rPr>
      </w:pPr>
      <w:r w:rsidRPr="00C34E1B">
        <w:rPr>
          <w:rFonts w:asciiTheme="majorHAnsi" w:eastAsia="Arial" w:hAnsiTheme="majorHAnsi" w:cstheme="majorHAnsi"/>
          <w:sz w:val="20"/>
          <w:szCs w:val="20"/>
        </w:rPr>
        <w:t>Consistent with UT System policy, the UTHealth School of Public Health defines a credit hour as 15 contact hours per academic term. Most masters and doctoral courses are three or four credits.</w:t>
      </w:r>
    </w:p>
    <w:p w:rsidR="00933038" w:rsidRPr="00C34E1B" w:rsidRDefault="00933038" w:rsidP="006C308E">
      <w:pPr>
        <w:contextualSpacing/>
        <w:jc w:val="both"/>
        <w:rPr>
          <w:rFonts w:asciiTheme="majorHAnsi" w:hAnsiTheme="majorHAnsi" w:cstheme="majorHAnsi"/>
          <w:sz w:val="20"/>
          <w:szCs w:val="20"/>
        </w:rPr>
      </w:pPr>
    </w:p>
    <w:p w:rsidR="00933038" w:rsidRPr="00C34E1B" w:rsidRDefault="00933038" w:rsidP="006C308E">
      <w:pPr>
        <w:rPr>
          <w:rFonts w:asciiTheme="majorHAnsi" w:eastAsia="Arial Unicode MS" w:hAnsiTheme="majorHAnsi" w:cstheme="majorHAnsi"/>
          <w:b/>
          <w:bCs/>
          <w:kern w:val="32"/>
          <w:sz w:val="20"/>
          <w:szCs w:val="20"/>
          <w:lang w:eastAsia="x-none"/>
        </w:rPr>
      </w:pPr>
      <w:bookmarkStart w:id="104" w:name="_Toc464487881"/>
      <w:r w:rsidRPr="00C34E1B">
        <w:rPr>
          <w:rFonts w:asciiTheme="majorHAnsi" w:hAnsiTheme="majorHAnsi" w:cstheme="majorHAnsi"/>
          <w:sz w:val="20"/>
          <w:szCs w:val="20"/>
        </w:rPr>
        <w:br w:type="page"/>
      </w:r>
    </w:p>
    <w:p w:rsidR="00933038" w:rsidRPr="00C34E1B" w:rsidRDefault="00933038" w:rsidP="007A68BE">
      <w:pPr>
        <w:pStyle w:val="Heading1"/>
      </w:pPr>
      <w:bookmarkStart w:id="105" w:name="_Toc7118214"/>
      <w:r w:rsidRPr="00C34E1B">
        <w:t xml:space="preserve">D15. DrPH </w:t>
      </w:r>
      <w:r w:rsidR="000865BE" w:rsidRPr="00C34E1B">
        <w:t>Program</w:t>
      </w:r>
      <w:r w:rsidRPr="00C34E1B">
        <w:t xml:space="preserve"> Length</w:t>
      </w:r>
      <w:bookmarkEnd w:id="104"/>
      <w:bookmarkEnd w:id="105"/>
    </w:p>
    <w:p w:rsidR="00933038" w:rsidRPr="00C34E1B" w:rsidRDefault="00933038" w:rsidP="006C308E">
      <w:pPr>
        <w:keepNext/>
        <w:jc w:val="both"/>
        <w:rPr>
          <w:rFonts w:asciiTheme="majorHAnsi" w:hAnsiTheme="majorHAnsi" w:cstheme="majorHAnsi"/>
          <w:sz w:val="20"/>
          <w:szCs w:val="20"/>
        </w:rPr>
      </w:pPr>
    </w:p>
    <w:p w:rsidR="00933038" w:rsidRPr="00C34E1B" w:rsidRDefault="00933038" w:rsidP="006C308E">
      <w:pPr>
        <w:contextualSpacing/>
        <w:jc w:val="both"/>
        <w:rPr>
          <w:rFonts w:asciiTheme="majorHAnsi" w:hAnsiTheme="majorHAnsi" w:cstheme="majorHAnsi"/>
          <w:b/>
          <w:sz w:val="20"/>
          <w:szCs w:val="20"/>
        </w:rPr>
      </w:pPr>
      <w:r w:rsidRPr="00C34E1B">
        <w:rPr>
          <w:rFonts w:asciiTheme="majorHAnsi" w:hAnsiTheme="majorHAnsi" w:cstheme="majorHAnsi"/>
          <w:b/>
          <w:sz w:val="20"/>
          <w:szCs w:val="20"/>
        </w:rPr>
        <w:t>The DrPH degree requires a minimum of 36 semester-credits of post-master’s coursework or its equivalent. Credits associated with the integrative learning experience and, if applicable, a residency, internship or other applied practice experience conducted outside of a didactic course, do not count toward this requirement. The minimum credit requirement also does not count MPH-level prerequisite courses or their equivalent.</w:t>
      </w:r>
    </w:p>
    <w:p w:rsidR="00933038" w:rsidRPr="00C34E1B" w:rsidRDefault="00933038" w:rsidP="006C308E">
      <w:pPr>
        <w:contextualSpacing/>
        <w:jc w:val="both"/>
        <w:rPr>
          <w:rFonts w:asciiTheme="majorHAnsi" w:hAnsiTheme="majorHAnsi" w:cstheme="majorHAnsi"/>
          <w:b/>
          <w:sz w:val="20"/>
          <w:szCs w:val="20"/>
        </w:rPr>
      </w:pPr>
    </w:p>
    <w:p w:rsidR="00933038" w:rsidRPr="00C34E1B" w:rsidRDefault="00933038" w:rsidP="006C308E">
      <w:pPr>
        <w:contextualSpacing/>
        <w:jc w:val="both"/>
        <w:rPr>
          <w:rFonts w:asciiTheme="majorHAnsi" w:hAnsiTheme="majorHAnsi" w:cstheme="majorHAnsi"/>
          <w:b/>
          <w:sz w:val="20"/>
          <w:szCs w:val="20"/>
        </w:rPr>
      </w:pPr>
      <w:r w:rsidRPr="00C34E1B">
        <w:rPr>
          <w:rFonts w:asciiTheme="majorHAnsi" w:hAnsiTheme="majorHAnsi" w:cstheme="majorHAnsi"/>
          <w:b/>
          <w:sz w:val="20"/>
          <w:szCs w:val="20"/>
        </w:rPr>
        <w:t>Schools use university definitions for credit hours.</w:t>
      </w:r>
    </w:p>
    <w:p w:rsidR="00933038" w:rsidRPr="00C34E1B" w:rsidRDefault="00933038" w:rsidP="006C308E">
      <w:pPr>
        <w:contextualSpacing/>
        <w:jc w:val="both"/>
        <w:rPr>
          <w:rFonts w:asciiTheme="majorHAnsi" w:hAnsiTheme="majorHAnsi" w:cstheme="majorHAnsi"/>
          <w:b/>
          <w:sz w:val="20"/>
          <w:szCs w:val="20"/>
        </w:rPr>
      </w:pPr>
    </w:p>
    <w:p w:rsidR="00933038" w:rsidRPr="00C34E1B" w:rsidRDefault="00933038" w:rsidP="006C308E">
      <w:pPr>
        <w:numPr>
          <w:ilvl w:val="0"/>
          <w:numId w:val="27"/>
        </w:numPr>
        <w:jc w:val="both"/>
        <w:rPr>
          <w:rFonts w:asciiTheme="majorHAnsi" w:hAnsiTheme="majorHAnsi" w:cstheme="majorHAnsi"/>
          <w:sz w:val="20"/>
          <w:szCs w:val="20"/>
        </w:rPr>
      </w:pPr>
      <w:r w:rsidRPr="00C34E1B">
        <w:rPr>
          <w:rFonts w:asciiTheme="majorHAnsi" w:hAnsiTheme="majorHAnsi" w:cstheme="majorHAnsi"/>
          <w:sz w:val="20"/>
          <w:szCs w:val="20"/>
        </w:rPr>
        <w:t xml:space="preserve">Provide information about the minimum credit-hour requirements for all DrPH degree options. If the university uses a unit of academic credit or an academic term different from the standard semester or quarter, explain the difference and present an equivalency in table or narrative form. </w:t>
      </w:r>
    </w:p>
    <w:p w:rsidR="00933038" w:rsidRPr="00C34E1B" w:rsidRDefault="00933038" w:rsidP="006C308E">
      <w:pPr>
        <w:rPr>
          <w:rFonts w:asciiTheme="majorHAnsi" w:hAnsiTheme="majorHAnsi" w:cstheme="majorHAnsi"/>
          <w:sz w:val="20"/>
          <w:szCs w:val="20"/>
        </w:rPr>
      </w:pPr>
    </w:p>
    <w:p w:rsidR="00837962" w:rsidRPr="00326F5C" w:rsidRDefault="00354A75" w:rsidP="00837962">
      <w:pPr>
        <w:ind w:left="720"/>
        <w:rPr>
          <w:rFonts w:asciiTheme="majorHAnsi" w:eastAsia="Arial" w:hAnsiTheme="majorHAnsi" w:cstheme="majorHAnsi"/>
          <w:sz w:val="20"/>
          <w:szCs w:val="20"/>
        </w:rPr>
      </w:pPr>
      <w:r w:rsidRPr="00C34E1B">
        <w:rPr>
          <w:rFonts w:asciiTheme="majorHAnsi" w:eastAsia="Arial" w:hAnsiTheme="majorHAnsi" w:cstheme="majorHAnsi"/>
          <w:sz w:val="20"/>
          <w:szCs w:val="20"/>
        </w:rPr>
        <w:t xml:space="preserve">The DrPH degree at the UTHealth SPH requires a major in one of the two public health areas of study as detailed in </w:t>
      </w:r>
      <w:hyperlink w:anchor="Table_Intro1a" w:history="1">
        <w:r w:rsidRPr="00C34E1B">
          <w:rPr>
            <w:rStyle w:val="Hyperlink"/>
            <w:rFonts w:asciiTheme="majorHAnsi" w:eastAsia="Arial" w:hAnsiTheme="majorHAnsi" w:cstheme="majorHAnsi"/>
            <w:sz w:val="20"/>
            <w:szCs w:val="20"/>
          </w:rPr>
          <w:t>Table Intro.1.a. Matrix of Degrees</w:t>
        </w:r>
      </w:hyperlink>
      <w:r w:rsidRPr="00C34E1B">
        <w:rPr>
          <w:rFonts w:asciiTheme="majorHAnsi" w:eastAsia="Arial" w:hAnsiTheme="majorHAnsi" w:cstheme="majorHAnsi"/>
          <w:sz w:val="20"/>
          <w:szCs w:val="20"/>
        </w:rPr>
        <w:t>. The DrPH degree program requires 54 credit hours of coursework beyond the MPH degree; students are required to have an MPH or equivalent course work for admission. Degree requirements include major, minor, elective courses, a practicum (</w:t>
      </w:r>
      <w:hyperlink w:anchor="_D6._DrPH_Applied" w:history="1">
        <w:r w:rsidR="00C20612" w:rsidRPr="00C34E1B">
          <w:rPr>
            <w:rStyle w:val="Hyperlink"/>
            <w:rFonts w:asciiTheme="majorHAnsi" w:eastAsia="Arial" w:hAnsiTheme="majorHAnsi" w:cstheme="majorHAnsi"/>
            <w:i/>
            <w:sz w:val="20"/>
            <w:szCs w:val="20"/>
          </w:rPr>
          <w:t>Criterion D6. DrPH Applied Practice Experience</w:t>
        </w:r>
      </w:hyperlink>
      <w:r w:rsidRPr="00C34E1B">
        <w:rPr>
          <w:rFonts w:asciiTheme="majorHAnsi" w:eastAsia="Arial" w:hAnsiTheme="majorHAnsi" w:cstheme="majorHAnsi"/>
          <w:sz w:val="20"/>
          <w:szCs w:val="20"/>
        </w:rPr>
        <w:t>); and an integrative learning experience which is fulfilled through the completion of a traditional academic research dissertation (</w:t>
      </w:r>
      <w:hyperlink w:anchor="_D8._DrPH_Integrative" w:history="1">
        <w:r w:rsidR="00C20612" w:rsidRPr="00C34E1B">
          <w:rPr>
            <w:rStyle w:val="Hyperlink"/>
            <w:rFonts w:asciiTheme="majorHAnsi" w:eastAsia="Arial" w:hAnsiTheme="majorHAnsi" w:cstheme="majorHAnsi"/>
            <w:i/>
            <w:sz w:val="20"/>
            <w:szCs w:val="20"/>
          </w:rPr>
          <w:t>Criterion D8. DrPH Integrative Learning Experience</w:t>
        </w:r>
      </w:hyperlink>
      <w:r w:rsidRPr="00C34E1B">
        <w:rPr>
          <w:rFonts w:asciiTheme="majorHAnsi" w:eastAsia="Arial" w:hAnsiTheme="majorHAnsi" w:cstheme="majorHAnsi"/>
          <w:sz w:val="20"/>
          <w:szCs w:val="20"/>
        </w:rPr>
        <w:t xml:space="preserve">). Once approximately 18 hours of division-specified required courses are completed, students must pass a preliminary examination. </w:t>
      </w:r>
      <w:r w:rsidR="00837962" w:rsidRPr="00C34E1B">
        <w:rPr>
          <w:rFonts w:asciiTheme="majorHAnsi" w:eastAsia="Arial" w:hAnsiTheme="majorHAnsi" w:cstheme="majorHAnsi"/>
          <w:sz w:val="20"/>
          <w:szCs w:val="20"/>
        </w:rPr>
        <w:t>All DrPH students attain the Foundational Public Health Knowledge objectives through completion of PH101 Foundations in Public Health (</w:t>
      </w:r>
      <w:hyperlink w:anchor="_D1._MPH_&amp;" w:history="1">
        <w:r w:rsidR="00837962" w:rsidRPr="00C34E1B">
          <w:rPr>
            <w:rStyle w:val="Hyperlink"/>
            <w:rFonts w:asciiTheme="majorHAnsi" w:eastAsia="Arial" w:hAnsiTheme="majorHAnsi" w:cstheme="majorHAnsi"/>
            <w:i/>
            <w:sz w:val="20"/>
            <w:szCs w:val="20"/>
          </w:rPr>
          <w:t>Criterion D1. MPH &amp; DrPH Foundational Public Health Competencies</w:t>
        </w:r>
      </w:hyperlink>
      <w:r w:rsidR="00837962" w:rsidRPr="00C34E1B">
        <w:rPr>
          <w:rFonts w:asciiTheme="majorHAnsi" w:eastAsia="Arial" w:hAnsiTheme="majorHAnsi" w:cstheme="majorHAnsi"/>
          <w:sz w:val="20"/>
          <w:szCs w:val="20"/>
        </w:rPr>
        <w:t xml:space="preserve">), and the </w:t>
      </w:r>
      <w:r w:rsidR="008C7734" w:rsidRPr="00C34E1B">
        <w:rPr>
          <w:rFonts w:asciiTheme="majorHAnsi" w:eastAsia="Arial" w:hAnsiTheme="majorHAnsi" w:cstheme="majorHAnsi"/>
          <w:sz w:val="20"/>
          <w:szCs w:val="20"/>
        </w:rPr>
        <w:t>DrPH</w:t>
      </w:r>
      <w:r w:rsidR="00837962" w:rsidRPr="00C34E1B">
        <w:rPr>
          <w:rFonts w:asciiTheme="majorHAnsi" w:eastAsia="Arial" w:hAnsiTheme="majorHAnsi" w:cstheme="majorHAnsi"/>
          <w:sz w:val="20"/>
          <w:szCs w:val="20"/>
        </w:rPr>
        <w:t xml:space="preserve"> Foundational Knowledge Competencies through a series of required </w:t>
      </w:r>
      <w:r w:rsidR="008C7734" w:rsidRPr="00C34E1B">
        <w:rPr>
          <w:rFonts w:asciiTheme="majorHAnsi" w:eastAsia="Arial" w:hAnsiTheme="majorHAnsi" w:cstheme="majorHAnsi"/>
          <w:sz w:val="20"/>
          <w:szCs w:val="20"/>
        </w:rPr>
        <w:t xml:space="preserve">courses </w:t>
      </w:r>
      <w:r w:rsidR="00837962" w:rsidRPr="00C34E1B">
        <w:rPr>
          <w:rFonts w:asciiTheme="majorHAnsi" w:eastAsia="Arial" w:hAnsiTheme="majorHAnsi" w:cstheme="majorHAnsi"/>
          <w:sz w:val="20"/>
          <w:szCs w:val="20"/>
        </w:rPr>
        <w:t>(</w:t>
      </w:r>
      <w:hyperlink w:anchor="_D3._DrPH_Foundational" w:history="1">
        <w:r w:rsidR="008C7734" w:rsidRPr="00C34E1B">
          <w:rPr>
            <w:rStyle w:val="Hyperlink"/>
            <w:rFonts w:asciiTheme="majorHAnsi" w:eastAsia="Arial" w:hAnsiTheme="majorHAnsi" w:cstheme="majorHAnsi"/>
            <w:i/>
            <w:sz w:val="20"/>
            <w:szCs w:val="20"/>
          </w:rPr>
          <w:t>Criterion D3. DrPH Foundational Competencies</w:t>
        </w:r>
      </w:hyperlink>
      <w:r w:rsidR="00837962" w:rsidRPr="00C34E1B">
        <w:rPr>
          <w:rFonts w:asciiTheme="majorHAnsi" w:eastAsia="Arial" w:hAnsiTheme="majorHAnsi" w:cstheme="majorHAnsi"/>
          <w:sz w:val="20"/>
          <w:szCs w:val="20"/>
        </w:rPr>
        <w:t xml:space="preserve">). A major (referred to as concentration by CEPH) is defined by a set of competencies and </w:t>
      </w:r>
      <w:r w:rsidR="00837962" w:rsidRPr="00326F5C">
        <w:rPr>
          <w:rFonts w:asciiTheme="majorHAnsi" w:eastAsia="Arial" w:hAnsiTheme="majorHAnsi" w:cstheme="majorHAnsi"/>
          <w:sz w:val="20"/>
          <w:szCs w:val="20"/>
        </w:rPr>
        <w:t xml:space="preserve">course requirements as defined in </w:t>
      </w:r>
      <w:hyperlink w:anchor="_D4._MPH_&amp;" w:history="1">
        <w:r w:rsidR="00837962" w:rsidRPr="00326F5C">
          <w:rPr>
            <w:rStyle w:val="Hyperlink"/>
            <w:rFonts w:asciiTheme="majorHAnsi" w:eastAsia="Arial" w:hAnsiTheme="majorHAnsi" w:cstheme="majorHAnsi"/>
            <w:i/>
            <w:sz w:val="20"/>
            <w:szCs w:val="20"/>
          </w:rPr>
          <w:t>Criterion D4. MPH &amp; DrPH Concentration Competencies</w:t>
        </w:r>
      </w:hyperlink>
      <w:r w:rsidR="00837962" w:rsidRPr="00326F5C">
        <w:rPr>
          <w:rFonts w:asciiTheme="majorHAnsi" w:eastAsia="Arial" w:hAnsiTheme="majorHAnsi" w:cstheme="majorHAnsi"/>
          <w:sz w:val="20"/>
          <w:szCs w:val="20"/>
        </w:rPr>
        <w:t xml:space="preserve"> and in the degree planner (</w:t>
      </w:r>
      <w:r w:rsidR="00837962" w:rsidRPr="00326F5C">
        <w:rPr>
          <w:rFonts w:asciiTheme="majorHAnsi" w:eastAsia="Arial" w:hAnsiTheme="majorHAnsi" w:cstheme="majorHAnsi"/>
          <w:i/>
          <w:sz w:val="20"/>
          <w:szCs w:val="20"/>
        </w:rPr>
        <w:t xml:space="preserve">ERF, </w:t>
      </w:r>
      <w:r w:rsidR="00844A39" w:rsidRPr="00326F5C">
        <w:rPr>
          <w:rFonts w:asciiTheme="majorHAnsi" w:hAnsiTheme="majorHAnsi" w:cstheme="majorHAnsi"/>
          <w:sz w:val="20"/>
          <w:szCs w:val="20"/>
        </w:rPr>
        <w:t>D3.1 Requirements for DrPH Degrees</w:t>
      </w:r>
      <w:r w:rsidR="00837962" w:rsidRPr="00326F5C">
        <w:rPr>
          <w:rFonts w:asciiTheme="majorHAnsi" w:eastAsia="Arial" w:hAnsiTheme="majorHAnsi" w:cstheme="majorHAnsi"/>
          <w:sz w:val="20"/>
          <w:szCs w:val="20"/>
        </w:rPr>
        <w:t>) for each major.</w:t>
      </w:r>
    </w:p>
    <w:p w:rsidR="00354A75" w:rsidRPr="00C34E1B" w:rsidRDefault="00354A75" w:rsidP="006C308E">
      <w:pPr>
        <w:ind w:left="720"/>
        <w:rPr>
          <w:rFonts w:asciiTheme="majorHAnsi" w:hAnsiTheme="majorHAnsi" w:cstheme="majorHAnsi"/>
          <w:sz w:val="20"/>
          <w:szCs w:val="20"/>
        </w:rPr>
      </w:pPr>
    </w:p>
    <w:p w:rsidR="00933038" w:rsidRPr="00C34E1B" w:rsidRDefault="00933038" w:rsidP="006C308E">
      <w:pPr>
        <w:numPr>
          <w:ilvl w:val="0"/>
          <w:numId w:val="27"/>
        </w:numPr>
        <w:shd w:val="clear" w:color="auto" w:fill="FFFFFF"/>
        <w:contextualSpacing/>
        <w:jc w:val="both"/>
        <w:rPr>
          <w:rFonts w:asciiTheme="majorHAnsi" w:hAnsiTheme="majorHAnsi" w:cstheme="majorHAnsi"/>
          <w:sz w:val="20"/>
          <w:szCs w:val="20"/>
        </w:rPr>
      </w:pPr>
      <w:r w:rsidRPr="00C34E1B">
        <w:rPr>
          <w:rFonts w:asciiTheme="majorHAnsi" w:hAnsiTheme="majorHAnsi" w:cstheme="majorHAnsi"/>
          <w:sz w:val="20"/>
          <w:szCs w:val="20"/>
        </w:rPr>
        <w:t xml:space="preserve">Define a credit with regard to classroom/contact hours. </w:t>
      </w:r>
    </w:p>
    <w:p w:rsidR="00933038" w:rsidRPr="00C34E1B" w:rsidRDefault="00933038" w:rsidP="006C308E">
      <w:pPr>
        <w:shd w:val="clear" w:color="auto" w:fill="FFFFFF"/>
        <w:contextualSpacing/>
        <w:jc w:val="both"/>
        <w:rPr>
          <w:rFonts w:asciiTheme="majorHAnsi" w:hAnsiTheme="majorHAnsi" w:cstheme="majorHAnsi"/>
          <w:sz w:val="20"/>
          <w:szCs w:val="20"/>
        </w:rPr>
      </w:pPr>
    </w:p>
    <w:p w:rsidR="00933038" w:rsidRPr="00C34E1B" w:rsidRDefault="00354A75" w:rsidP="006C308E">
      <w:pPr>
        <w:shd w:val="clear" w:color="auto" w:fill="FFFFFF"/>
        <w:ind w:left="720"/>
        <w:contextualSpacing/>
        <w:jc w:val="both"/>
        <w:rPr>
          <w:rFonts w:asciiTheme="majorHAnsi" w:hAnsiTheme="majorHAnsi" w:cstheme="majorHAnsi"/>
          <w:i/>
          <w:sz w:val="20"/>
          <w:szCs w:val="20"/>
        </w:rPr>
      </w:pPr>
      <w:r w:rsidRPr="00C34E1B">
        <w:rPr>
          <w:rFonts w:asciiTheme="majorHAnsi" w:eastAsia="Arial" w:hAnsiTheme="majorHAnsi" w:cstheme="majorHAnsi"/>
          <w:sz w:val="20"/>
          <w:szCs w:val="20"/>
        </w:rPr>
        <w:t>Consistent with UT System policy, the UTHealth School of Public Health defines a credit hour as 15 contact hours per academic term. Most masters and doctoral courses are three or four credits.</w:t>
      </w:r>
    </w:p>
    <w:p w:rsidR="00933038" w:rsidRPr="00C34E1B" w:rsidRDefault="00933038" w:rsidP="006C308E">
      <w:pPr>
        <w:rPr>
          <w:rFonts w:asciiTheme="majorHAnsi" w:eastAsia="Arial Unicode MS" w:hAnsiTheme="majorHAnsi" w:cstheme="majorHAnsi"/>
          <w:b/>
          <w:bCs/>
          <w:kern w:val="32"/>
          <w:sz w:val="20"/>
          <w:szCs w:val="20"/>
          <w:lang w:eastAsia="x-none"/>
        </w:rPr>
      </w:pPr>
      <w:r w:rsidRPr="00C34E1B">
        <w:rPr>
          <w:rFonts w:asciiTheme="majorHAnsi" w:hAnsiTheme="majorHAnsi" w:cstheme="majorHAnsi"/>
          <w:sz w:val="20"/>
          <w:szCs w:val="20"/>
        </w:rPr>
        <w:br w:type="page"/>
      </w:r>
    </w:p>
    <w:p w:rsidR="00933038" w:rsidRPr="00C34E1B" w:rsidRDefault="00933038" w:rsidP="007A68BE">
      <w:pPr>
        <w:pStyle w:val="Heading1"/>
      </w:pPr>
      <w:bookmarkStart w:id="106" w:name="_Toc7118215"/>
      <w:r w:rsidRPr="00C34E1B">
        <w:t xml:space="preserve">D16. Bachelor’s Degree </w:t>
      </w:r>
      <w:r w:rsidR="000865BE" w:rsidRPr="00C34E1B">
        <w:t>Program</w:t>
      </w:r>
      <w:r w:rsidR="00C74F29" w:rsidRPr="00C34E1B">
        <w:t xml:space="preserve"> Length</w:t>
      </w:r>
      <w:bookmarkEnd w:id="106"/>
    </w:p>
    <w:p w:rsidR="00933038" w:rsidRPr="00C34E1B" w:rsidRDefault="00933038" w:rsidP="006C308E">
      <w:pPr>
        <w:keepNext/>
        <w:jc w:val="both"/>
        <w:rPr>
          <w:rFonts w:asciiTheme="majorHAnsi" w:hAnsiTheme="majorHAnsi" w:cstheme="majorHAnsi"/>
          <w:sz w:val="20"/>
          <w:szCs w:val="20"/>
        </w:rPr>
      </w:pPr>
    </w:p>
    <w:p w:rsidR="00786F69" w:rsidRPr="00C34E1B" w:rsidRDefault="00786F69" w:rsidP="006C308E">
      <w:pPr>
        <w:jc w:val="both"/>
        <w:rPr>
          <w:rFonts w:asciiTheme="majorHAnsi" w:hAnsiTheme="majorHAnsi" w:cstheme="majorHAnsi"/>
          <w:i/>
          <w:sz w:val="20"/>
          <w:szCs w:val="20"/>
        </w:rPr>
      </w:pPr>
      <w:r w:rsidRPr="00C34E1B">
        <w:rPr>
          <w:rFonts w:asciiTheme="majorHAnsi" w:hAnsiTheme="majorHAnsi" w:cstheme="majorHAnsi"/>
          <w:i/>
          <w:sz w:val="20"/>
          <w:szCs w:val="20"/>
        </w:rPr>
        <w:t>Not applicable.</w:t>
      </w:r>
    </w:p>
    <w:p w:rsidR="00786F69" w:rsidRPr="00C34E1B" w:rsidRDefault="00786F69" w:rsidP="006C308E">
      <w:pPr>
        <w:rPr>
          <w:rFonts w:asciiTheme="majorHAnsi" w:eastAsia="Arial Unicode MS" w:hAnsiTheme="majorHAnsi" w:cstheme="majorHAnsi"/>
          <w:b/>
          <w:bCs/>
          <w:kern w:val="32"/>
          <w:sz w:val="20"/>
          <w:szCs w:val="20"/>
          <w:lang w:eastAsia="x-none"/>
        </w:rPr>
      </w:pPr>
      <w:bookmarkStart w:id="107" w:name="_Toc464487883"/>
      <w:bookmarkStart w:id="108" w:name="_Toc7118216"/>
      <w:r w:rsidRPr="00C34E1B">
        <w:rPr>
          <w:rFonts w:asciiTheme="majorHAnsi" w:hAnsiTheme="majorHAnsi" w:cstheme="majorHAnsi"/>
          <w:sz w:val="20"/>
          <w:szCs w:val="20"/>
        </w:rPr>
        <w:br w:type="page"/>
      </w:r>
    </w:p>
    <w:p w:rsidR="00933038" w:rsidRPr="00C34E1B" w:rsidRDefault="00933038" w:rsidP="007A68BE">
      <w:pPr>
        <w:pStyle w:val="Heading1"/>
      </w:pPr>
      <w:bookmarkStart w:id="109" w:name="_D17._Academic_Public"/>
      <w:bookmarkEnd w:id="109"/>
      <w:r w:rsidRPr="00C34E1B">
        <w:t>D17. Academic Public Health Master’s Degrees</w:t>
      </w:r>
      <w:bookmarkEnd w:id="107"/>
      <w:bookmarkEnd w:id="108"/>
    </w:p>
    <w:p w:rsidR="00933038" w:rsidRPr="00C34E1B" w:rsidRDefault="00933038" w:rsidP="006C308E">
      <w:pPr>
        <w:jc w:val="both"/>
        <w:rPr>
          <w:rFonts w:asciiTheme="majorHAnsi" w:eastAsia="Arial Unicode MS" w:hAnsiTheme="majorHAnsi" w:cstheme="majorHAnsi"/>
          <w:b/>
          <w:sz w:val="20"/>
          <w:szCs w:val="20"/>
        </w:rPr>
      </w:pPr>
    </w:p>
    <w:p w:rsidR="00933038" w:rsidRPr="00C34E1B" w:rsidRDefault="00933038" w:rsidP="006C308E">
      <w:pPr>
        <w:jc w:val="both"/>
        <w:rPr>
          <w:rFonts w:asciiTheme="majorHAnsi" w:eastAsia="Arial Unicode MS" w:hAnsiTheme="majorHAnsi" w:cstheme="majorHAnsi"/>
          <w:b/>
          <w:sz w:val="20"/>
          <w:szCs w:val="20"/>
        </w:rPr>
      </w:pPr>
      <w:r w:rsidRPr="00C34E1B">
        <w:rPr>
          <w:rFonts w:asciiTheme="majorHAnsi" w:eastAsia="Arial Unicode MS" w:hAnsiTheme="majorHAnsi" w:cstheme="majorHAnsi"/>
          <w:b/>
          <w:sz w:val="20"/>
          <w:szCs w:val="20"/>
        </w:rPr>
        <w:t xml:space="preserve">These students also complete coursework and other experiences, outside of the major paper or project, that substantively address scientific and analytic approaches to discovery and translation of public health knowledge in the context of a population health framework. </w:t>
      </w:r>
    </w:p>
    <w:p w:rsidR="00933038" w:rsidRPr="00C34E1B" w:rsidRDefault="00933038" w:rsidP="006C308E">
      <w:pPr>
        <w:jc w:val="both"/>
        <w:rPr>
          <w:rFonts w:asciiTheme="majorHAnsi" w:eastAsia="Arial Unicode MS" w:hAnsiTheme="majorHAnsi" w:cstheme="majorHAnsi"/>
          <w:b/>
          <w:sz w:val="20"/>
          <w:szCs w:val="20"/>
        </w:rPr>
      </w:pPr>
    </w:p>
    <w:p w:rsidR="00933038" w:rsidRPr="00C34E1B" w:rsidRDefault="00933038" w:rsidP="006C308E">
      <w:pPr>
        <w:jc w:val="both"/>
        <w:rPr>
          <w:rFonts w:asciiTheme="majorHAnsi" w:eastAsia="Arial Unicode MS" w:hAnsiTheme="majorHAnsi" w:cstheme="majorHAnsi"/>
          <w:b/>
          <w:sz w:val="20"/>
          <w:szCs w:val="20"/>
        </w:rPr>
      </w:pPr>
      <w:r w:rsidRPr="00C34E1B">
        <w:rPr>
          <w:rFonts w:asciiTheme="majorHAnsi" w:eastAsia="Arial Unicode MS" w:hAnsiTheme="majorHAnsi" w:cstheme="majorHAnsi"/>
          <w:b/>
          <w:sz w:val="20"/>
          <w:szCs w:val="20"/>
        </w:rPr>
        <w:t>Finally, students complete coursework that provides instruction in the foundational public health knowledge at an appropriate level of complexity. This instruction may be delivered through online, in-person or blended methodologies, but it must meet the following requirements while covering the defined content areas.</w:t>
      </w:r>
    </w:p>
    <w:p w:rsidR="00933038" w:rsidRPr="00C34E1B" w:rsidRDefault="00933038" w:rsidP="006C308E">
      <w:pPr>
        <w:jc w:val="both"/>
        <w:rPr>
          <w:rFonts w:asciiTheme="majorHAnsi" w:eastAsia="Arial Unicode MS" w:hAnsiTheme="majorHAnsi" w:cstheme="majorHAnsi"/>
          <w:b/>
          <w:sz w:val="20"/>
          <w:szCs w:val="20"/>
        </w:rPr>
      </w:pPr>
    </w:p>
    <w:p w:rsidR="00933038" w:rsidRPr="00C34E1B" w:rsidRDefault="00933038" w:rsidP="006C308E">
      <w:pPr>
        <w:jc w:val="both"/>
        <w:rPr>
          <w:rFonts w:asciiTheme="majorHAnsi" w:eastAsia="Arial Unicode MS" w:hAnsiTheme="majorHAnsi" w:cstheme="majorHAnsi"/>
          <w:b/>
          <w:sz w:val="20"/>
          <w:szCs w:val="20"/>
        </w:rPr>
      </w:pPr>
      <w:r w:rsidRPr="00C34E1B">
        <w:rPr>
          <w:rFonts w:asciiTheme="majorHAnsi" w:eastAsia="Arial Unicode MS" w:hAnsiTheme="majorHAnsi" w:cstheme="majorHAnsi"/>
          <w:b/>
          <w:sz w:val="20"/>
          <w:szCs w:val="20"/>
        </w:rPr>
        <w:t xml:space="preserve">The school identifies at least one required assessment activity for each of the foundational public health learning objectives. </w:t>
      </w:r>
    </w:p>
    <w:p w:rsidR="00933038" w:rsidRPr="00C34E1B" w:rsidRDefault="00933038" w:rsidP="006C308E">
      <w:pPr>
        <w:shd w:val="clear" w:color="auto" w:fill="FFFFFF"/>
        <w:jc w:val="both"/>
        <w:rPr>
          <w:rFonts w:asciiTheme="majorHAnsi" w:eastAsia="Arial Unicode MS" w:hAnsiTheme="majorHAnsi" w:cstheme="majorHAnsi"/>
          <w:b/>
          <w:sz w:val="20"/>
          <w:szCs w:val="20"/>
        </w:rPr>
      </w:pPr>
    </w:p>
    <w:p w:rsidR="00933038" w:rsidRPr="00C34E1B" w:rsidRDefault="00933038" w:rsidP="006C308E">
      <w:pPr>
        <w:jc w:val="both"/>
        <w:rPr>
          <w:rFonts w:asciiTheme="majorHAnsi" w:eastAsia="Arial Unicode MS" w:hAnsiTheme="majorHAnsi" w:cstheme="majorHAnsi"/>
          <w:b/>
          <w:sz w:val="20"/>
          <w:szCs w:val="20"/>
        </w:rPr>
      </w:pPr>
      <w:r w:rsidRPr="00C34E1B">
        <w:rPr>
          <w:rFonts w:asciiTheme="majorHAnsi" w:eastAsia="Arial Unicode MS" w:hAnsiTheme="majorHAnsi" w:cstheme="majorHAnsi"/>
          <w:b/>
          <w:sz w:val="20"/>
          <w:szCs w:val="20"/>
        </w:rPr>
        <w:t>The school validates academic public health master’s students’ foundational public health knowledge through appropriate methods.</w:t>
      </w:r>
    </w:p>
    <w:p w:rsidR="00933038" w:rsidRPr="00C34E1B" w:rsidRDefault="00933038" w:rsidP="006C308E">
      <w:pPr>
        <w:keepNext/>
        <w:shd w:val="clear" w:color="auto" w:fill="FFFFFF"/>
        <w:jc w:val="both"/>
        <w:rPr>
          <w:rFonts w:asciiTheme="majorHAnsi" w:eastAsia="Arial Unicode MS" w:hAnsiTheme="majorHAnsi" w:cstheme="majorHAnsi"/>
          <w:sz w:val="20"/>
          <w:szCs w:val="20"/>
        </w:rPr>
      </w:pPr>
    </w:p>
    <w:p w:rsidR="00933038" w:rsidRPr="00C34E1B" w:rsidRDefault="00933038" w:rsidP="006C308E">
      <w:pPr>
        <w:numPr>
          <w:ilvl w:val="0"/>
          <w:numId w:val="28"/>
        </w:numPr>
        <w:shd w:val="clear" w:color="auto" w:fill="FFFFFF"/>
        <w:jc w:val="both"/>
        <w:rPr>
          <w:rFonts w:asciiTheme="majorHAnsi" w:eastAsia="Arial Unicode MS" w:hAnsiTheme="majorHAnsi" w:cstheme="majorHAnsi"/>
          <w:sz w:val="20"/>
          <w:szCs w:val="20"/>
        </w:rPr>
      </w:pPr>
      <w:r w:rsidRPr="00C34E1B">
        <w:rPr>
          <w:rFonts w:asciiTheme="majorHAnsi" w:eastAsia="Arial Unicode MS" w:hAnsiTheme="majorHAnsi" w:cstheme="majorHAnsi"/>
          <w:sz w:val="20"/>
          <w:szCs w:val="20"/>
        </w:rPr>
        <w:t xml:space="preserve">List the curricular requirements for each relevant degree in the unit of accreditation. </w:t>
      </w:r>
    </w:p>
    <w:p w:rsidR="00933038" w:rsidRPr="00C34E1B" w:rsidRDefault="00933038" w:rsidP="006C308E">
      <w:pPr>
        <w:shd w:val="clear" w:color="auto" w:fill="FFFFFF"/>
        <w:jc w:val="both"/>
        <w:rPr>
          <w:rFonts w:asciiTheme="majorHAnsi" w:eastAsia="Arial Unicode MS" w:hAnsiTheme="majorHAnsi" w:cstheme="majorHAnsi"/>
          <w:sz w:val="20"/>
          <w:szCs w:val="20"/>
        </w:rPr>
      </w:pPr>
    </w:p>
    <w:p w:rsidR="009B0D78" w:rsidRPr="00326F5C" w:rsidRDefault="00E339A8" w:rsidP="006C308E">
      <w:pPr>
        <w:shd w:val="clear" w:color="auto" w:fill="FFFFFF"/>
        <w:ind w:left="720"/>
        <w:rPr>
          <w:rFonts w:asciiTheme="majorHAnsi" w:eastAsia="Arial Unicode MS" w:hAnsiTheme="majorHAnsi" w:cstheme="majorHAnsi"/>
          <w:i/>
          <w:sz w:val="20"/>
          <w:szCs w:val="20"/>
        </w:rPr>
      </w:pPr>
      <w:r w:rsidRPr="00326F5C">
        <w:rPr>
          <w:rFonts w:asciiTheme="majorHAnsi" w:eastAsia="Arial" w:hAnsiTheme="majorHAnsi" w:cstheme="majorHAnsi"/>
          <w:sz w:val="20"/>
          <w:szCs w:val="20"/>
        </w:rPr>
        <w:t xml:space="preserve">The </w:t>
      </w:r>
      <w:r w:rsidR="009B0D78" w:rsidRPr="00326F5C">
        <w:rPr>
          <w:rFonts w:asciiTheme="majorHAnsi" w:eastAsia="Arial" w:hAnsiTheme="majorHAnsi" w:cstheme="majorHAnsi"/>
          <w:sz w:val="20"/>
          <w:szCs w:val="20"/>
        </w:rPr>
        <w:t>UTHealth School of Public Health offers a Master of Science (MS) degree in</w:t>
      </w:r>
      <w:r w:rsidR="0074445D" w:rsidRPr="00326F5C">
        <w:rPr>
          <w:rFonts w:asciiTheme="majorHAnsi" w:eastAsia="Arial" w:hAnsiTheme="majorHAnsi" w:cstheme="majorHAnsi"/>
          <w:sz w:val="20"/>
          <w:szCs w:val="20"/>
        </w:rPr>
        <w:t xml:space="preserve"> </w:t>
      </w:r>
      <w:r w:rsidR="009B0D78" w:rsidRPr="00326F5C">
        <w:rPr>
          <w:rFonts w:asciiTheme="majorHAnsi" w:eastAsia="Arial" w:hAnsiTheme="majorHAnsi" w:cstheme="majorHAnsi"/>
          <w:sz w:val="20"/>
          <w:szCs w:val="20"/>
        </w:rPr>
        <w:t>biostatistics,</w:t>
      </w:r>
      <w:r w:rsidR="0074445D" w:rsidRPr="00326F5C">
        <w:rPr>
          <w:rFonts w:asciiTheme="majorHAnsi" w:eastAsia="Arial" w:hAnsiTheme="majorHAnsi" w:cstheme="majorHAnsi"/>
          <w:sz w:val="20"/>
          <w:szCs w:val="20"/>
        </w:rPr>
        <w:t xml:space="preserve"> </w:t>
      </w:r>
      <w:r w:rsidR="009B0D78" w:rsidRPr="00326F5C">
        <w:rPr>
          <w:rFonts w:asciiTheme="majorHAnsi" w:eastAsia="Arial" w:hAnsiTheme="majorHAnsi" w:cstheme="majorHAnsi"/>
          <w:sz w:val="20"/>
          <w:szCs w:val="20"/>
        </w:rPr>
        <w:t xml:space="preserve">as indicated in </w:t>
      </w:r>
      <w:hyperlink w:anchor="tablea52" w:history="1">
        <w:r w:rsidR="009B0D78" w:rsidRPr="00326F5C">
          <w:rPr>
            <w:rStyle w:val="Hyperlink"/>
            <w:rFonts w:asciiTheme="majorHAnsi" w:eastAsia="Arial" w:hAnsiTheme="majorHAnsi" w:cstheme="majorHAnsi"/>
            <w:sz w:val="20"/>
            <w:szCs w:val="20"/>
          </w:rPr>
          <w:t>Table A.5.2 Matrix of Degrees</w:t>
        </w:r>
      </w:hyperlink>
      <w:r w:rsidR="008613D9" w:rsidRPr="00326F5C">
        <w:rPr>
          <w:rFonts w:asciiTheme="majorHAnsi" w:eastAsia="Arial" w:hAnsiTheme="majorHAnsi" w:cstheme="majorHAnsi"/>
          <w:color w:val="000000"/>
          <w:sz w:val="20"/>
          <w:szCs w:val="20"/>
        </w:rPr>
        <w:t xml:space="preserve">. </w:t>
      </w:r>
      <w:r w:rsidR="009B0D78" w:rsidRPr="00326F5C">
        <w:rPr>
          <w:rFonts w:asciiTheme="majorHAnsi" w:eastAsia="Arial" w:hAnsiTheme="majorHAnsi" w:cstheme="majorHAnsi"/>
          <w:sz w:val="20"/>
          <w:szCs w:val="20"/>
        </w:rPr>
        <w:t xml:space="preserve">The curricular requirements for </w:t>
      </w:r>
      <w:r w:rsidR="00A25860" w:rsidRPr="00326F5C">
        <w:rPr>
          <w:rFonts w:asciiTheme="majorHAnsi" w:eastAsia="Arial" w:hAnsiTheme="majorHAnsi" w:cstheme="majorHAnsi"/>
          <w:sz w:val="20"/>
          <w:szCs w:val="20"/>
        </w:rPr>
        <w:t xml:space="preserve">the </w:t>
      </w:r>
      <w:r w:rsidR="009B0D78" w:rsidRPr="00326F5C">
        <w:rPr>
          <w:rFonts w:asciiTheme="majorHAnsi" w:eastAsia="Arial" w:hAnsiTheme="majorHAnsi" w:cstheme="majorHAnsi"/>
          <w:sz w:val="20"/>
          <w:szCs w:val="20"/>
        </w:rPr>
        <w:t xml:space="preserve">MS </w:t>
      </w:r>
      <w:r w:rsidR="00A25860" w:rsidRPr="00326F5C">
        <w:rPr>
          <w:rFonts w:asciiTheme="majorHAnsi" w:eastAsia="Arial" w:hAnsiTheme="majorHAnsi" w:cstheme="majorHAnsi"/>
          <w:sz w:val="20"/>
          <w:szCs w:val="20"/>
        </w:rPr>
        <w:t xml:space="preserve">in </w:t>
      </w:r>
      <w:r w:rsidR="004361CE">
        <w:rPr>
          <w:rFonts w:asciiTheme="majorHAnsi" w:eastAsia="Arial" w:hAnsiTheme="majorHAnsi" w:cstheme="majorHAnsi"/>
          <w:sz w:val="20"/>
          <w:szCs w:val="20"/>
        </w:rPr>
        <w:t>B</w:t>
      </w:r>
      <w:r w:rsidR="00A25860" w:rsidRPr="00326F5C">
        <w:rPr>
          <w:rFonts w:asciiTheme="majorHAnsi" w:eastAsia="Arial" w:hAnsiTheme="majorHAnsi" w:cstheme="majorHAnsi"/>
          <w:sz w:val="20"/>
          <w:szCs w:val="20"/>
        </w:rPr>
        <w:t xml:space="preserve">iostatistics </w:t>
      </w:r>
      <w:r w:rsidR="009B0D78" w:rsidRPr="00326F5C">
        <w:rPr>
          <w:rFonts w:asciiTheme="majorHAnsi" w:eastAsia="Arial" w:hAnsiTheme="majorHAnsi" w:cstheme="majorHAnsi"/>
          <w:sz w:val="20"/>
          <w:szCs w:val="20"/>
        </w:rPr>
        <w:t xml:space="preserve">can be found in </w:t>
      </w:r>
      <w:r w:rsidR="008613D9" w:rsidRPr="00326F5C">
        <w:rPr>
          <w:rFonts w:asciiTheme="majorHAnsi" w:eastAsia="Arial" w:hAnsiTheme="majorHAnsi" w:cstheme="majorHAnsi"/>
          <w:color w:val="000000"/>
          <w:sz w:val="20"/>
          <w:szCs w:val="20"/>
        </w:rPr>
        <w:t xml:space="preserve">the </w:t>
      </w:r>
      <w:r w:rsidR="008613D9" w:rsidRPr="00326F5C">
        <w:rPr>
          <w:rFonts w:asciiTheme="majorHAnsi" w:eastAsia="Arial" w:hAnsiTheme="majorHAnsi" w:cstheme="majorHAnsi"/>
          <w:sz w:val="20"/>
          <w:szCs w:val="20"/>
        </w:rPr>
        <w:t>2018–2020 Academic Catalog</w:t>
      </w:r>
      <w:r w:rsidR="008613D9" w:rsidRPr="00326F5C">
        <w:rPr>
          <w:rFonts w:asciiTheme="majorHAnsi" w:eastAsia="Arial" w:hAnsiTheme="majorHAnsi" w:cstheme="majorHAnsi"/>
          <w:color w:val="000000"/>
          <w:sz w:val="20"/>
          <w:szCs w:val="20"/>
        </w:rPr>
        <w:t xml:space="preserve"> and </w:t>
      </w:r>
      <w:r w:rsidR="008613D9" w:rsidRPr="00326F5C">
        <w:rPr>
          <w:rFonts w:asciiTheme="majorHAnsi" w:hAnsiTheme="majorHAnsi" w:cstheme="majorHAnsi"/>
          <w:sz w:val="20"/>
          <w:szCs w:val="20"/>
        </w:rPr>
        <w:t xml:space="preserve">2019–2020 </w:t>
      </w:r>
      <w:r w:rsidR="008613D9" w:rsidRPr="00326F5C">
        <w:rPr>
          <w:rFonts w:asciiTheme="majorHAnsi" w:eastAsia="Arial" w:hAnsiTheme="majorHAnsi" w:cstheme="majorHAnsi"/>
          <w:sz w:val="20"/>
          <w:szCs w:val="20"/>
        </w:rPr>
        <w:t xml:space="preserve">Academic </w:t>
      </w:r>
      <w:r w:rsidR="008613D9" w:rsidRPr="00326F5C">
        <w:rPr>
          <w:rFonts w:asciiTheme="majorHAnsi" w:hAnsiTheme="majorHAnsi" w:cstheme="majorHAnsi"/>
          <w:sz w:val="20"/>
          <w:szCs w:val="20"/>
        </w:rPr>
        <w:t>Catalog Addendum</w:t>
      </w:r>
      <w:r w:rsidR="008613D9" w:rsidRPr="00326F5C">
        <w:rPr>
          <w:rFonts w:asciiTheme="majorHAnsi" w:eastAsia="Arial" w:hAnsiTheme="majorHAnsi" w:cstheme="majorHAnsi"/>
          <w:color w:val="000000"/>
          <w:sz w:val="20"/>
          <w:szCs w:val="20"/>
        </w:rPr>
        <w:t xml:space="preserve"> </w:t>
      </w:r>
      <w:r w:rsidR="008613D9" w:rsidRPr="00326F5C">
        <w:rPr>
          <w:rFonts w:asciiTheme="majorHAnsi" w:hAnsiTheme="majorHAnsi" w:cstheme="majorHAnsi"/>
          <w:sz w:val="20"/>
          <w:szCs w:val="20"/>
        </w:rPr>
        <w:t>(</w:t>
      </w:r>
      <w:r w:rsidR="008613D9" w:rsidRPr="00326F5C">
        <w:rPr>
          <w:rFonts w:asciiTheme="majorHAnsi" w:hAnsiTheme="majorHAnsi" w:cstheme="majorHAnsi"/>
          <w:i/>
          <w:sz w:val="20"/>
          <w:szCs w:val="20"/>
        </w:rPr>
        <w:t>ERF, A5. Degree Offerings in Schools of Public Health</w:t>
      </w:r>
      <w:r w:rsidR="008613D9" w:rsidRPr="00326F5C">
        <w:rPr>
          <w:rFonts w:asciiTheme="majorHAnsi" w:hAnsiTheme="majorHAnsi" w:cstheme="majorHAnsi"/>
          <w:sz w:val="20"/>
          <w:szCs w:val="20"/>
        </w:rPr>
        <w:t>)</w:t>
      </w:r>
      <w:r w:rsidR="008613D9" w:rsidRPr="00326F5C">
        <w:rPr>
          <w:rFonts w:asciiTheme="majorHAnsi" w:eastAsia="Arial" w:hAnsiTheme="majorHAnsi" w:cstheme="majorHAnsi"/>
          <w:color w:val="000000"/>
          <w:sz w:val="20"/>
          <w:szCs w:val="20"/>
        </w:rPr>
        <w:t xml:space="preserve">, </w:t>
      </w:r>
      <w:r w:rsidR="009B0D78" w:rsidRPr="00326F5C">
        <w:rPr>
          <w:rFonts w:asciiTheme="majorHAnsi" w:eastAsia="Arial" w:hAnsiTheme="majorHAnsi" w:cstheme="majorHAnsi"/>
          <w:sz w:val="20"/>
          <w:szCs w:val="20"/>
        </w:rPr>
        <w:t xml:space="preserve">and the </w:t>
      </w:r>
      <w:r w:rsidR="008613D9" w:rsidRPr="00326F5C">
        <w:rPr>
          <w:rFonts w:asciiTheme="majorHAnsi" w:hAnsiTheme="majorHAnsi" w:cstheme="majorHAnsi"/>
          <w:sz w:val="20"/>
          <w:szCs w:val="20"/>
        </w:rPr>
        <w:t>MS Biostatistics degree planner</w:t>
      </w:r>
      <w:r w:rsidR="008613D9" w:rsidRPr="00326F5C">
        <w:rPr>
          <w:rFonts w:asciiTheme="majorHAnsi" w:eastAsia="Arial" w:hAnsiTheme="majorHAnsi" w:cstheme="majorHAnsi"/>
          <w:sz w:val="20"/>
          <w:szCs w:val="20"/>
        </w:rPr>
        <w:t xml:space="preserve"> (</w:t>
      </w:r>
      <w:r w:rsidR="008613D9" w:rsidRPr="00326F5C">
        <w:rPr>
          <w:rFonts w:asciiTheme="majorHAnsi" w:eastAsia="Arial" w:hAnsiTheme="majorHAnsi" w:cstheme="majorHAnsi"/>
          <w:i/>
          <w:sz w:val="20"/>
          <w:szCs w:val="20"/>
        </w:rPr>
        <w:t>ERF, D17. MS Biostatistics, Degree Planner</w:t>
      </w:r>
      <w:r w:rsidR="008613D9" w:rsidRPr="00326F5C">
        <w:rPr>
          <w:rFonts w:asciiTheme="majorHAnsi" w:eastAsia="Arial" w:hAnsiTheme="majorHAnsi" w:cstheme="majorHAnsi"/>
          <w:sz w:val="20"/>
          <w:szCs w:val="20"/>
        </w:rPr>
        <w:t>). S</w:t>
      </w:r>
      <w:r w:rsidR="009B0D78" w:rsidRPr="00326F5C">
        <w:rPr>
          <w:rFonts w:asciiTheme="majorHAnsi" w:eastAsia="Arial" w:hAnsiTheme="majorHAnsi" w:cstheme="majorHAnsi"/>
          <w:sz w:val="20"/>
          <w:szCs w:val="20"/>
        </w:rPr>
        <w:t>tudents enrolled in the 36 credit hour MS degree programs complete major, minor</w:t>
      </w:r>
      <w:r w:rsidR="00F2561E" w:rsidRPr="00326F5C">
        <w:rPr>
          <w:rFonts w:asciiTheme="majorHAnsi" w:eastAsia="Arial" w:hAnsiTheme="majorHAnsi" w:cstheme="majorHAnsi"/>
          <w:sz w:val="20"/>
          <w:szCs w:val="20"/>
        </w:rPr>
        <w:t xml:space="preserve"> (optional</w:t>
      </w:r>
      <w:r w:rsidR="00D02D65" w:rsidRPr="00326F5C">
        <w:rPr>
          <w:rFonts w:asciiTheme="majorHAnsi" w:eastAsia="Arial" w:hAnsiTheme="majorHAnsi" w:cstheme="majorHAnsi"/>
          <w:sz w:val="20"/>
          <w:szCs w:val="20"/>
        </w:rPr>
        <w:t xml:space="preserve"> effective Fall 2019</w:t>
      </w:r>
      <w:r w:rsidR="00F2561E" w:rsidRPr="00326F5C">
        <w:rPr>
          <w:rFonts w:asciiTheme="majorHAnsi" w:eastAsia="Arial" w:hAnsiTheme="majorHAnsi" w:cstheme="majorHAnsi"/>
          <w:sz w:val="20"/>
          <w:szCs w:val="20"/>
        </w:rPr>
        <w:t>)</w:t>
      </w:r>
      <w:r w:rsidR="00577CAD" w:rsidRPr="00326F5C">
        <w:rPr>
          <w:rFonts w:asciiTheme="majorHAnsi" w:eastAsia="Arial" w:hAnsiTheme="majorHAnsi" w:cstheme="majorHAnsi"/>
          <w:sz w:val="20"/>
          <w:szCs w:val="20"/>
        </w:rPr>
        <w:t>,</w:t>
      </w:r>
      <w:r w:rsidR="001F4704" w:rsidRPr="00326F5C">
        <w:rPr>
          <w:rFonts w:asciiTheme="majorHAnsi" w:eastAsia="Arial" w:hAnsiTheme="majorHAnsi" w:cstheme="majorHAnsi"/>
          <w:sz w:val="20"/>
          <w:szCs w:val="20"/>
        </w:rPr>
        <w:t xml:space="preserve"> </w:t>
      </w:r>
      <w:r w:rsidR="009B0D78" w:rsidRPr="00326F5C">
        <w:rPr>
          <w:rFonts w:asciiTheme="majorHAnsi" w:eastAsia="Arial" w:hAnsiTheme="majorHAnsi" w:cstheme="majorHAnsi"/>
          <w:sz w:val="20"/>
          <w:szCs w:val="20"/>
        </w:rPr>
        <w:t>elective coursework</w:t>
      </w:r>
      <w:r w:rsidR="00577CAD" w:rsidRPr="00326F5C">
        <w:rPr>
          <w:rFonts w:asciiTheme="majorHAnsi" w:eastAsia="Arial" w:hAnsiTheme="majorHAnsi" w:cstheme="majorHAnsi"/>
          <w:sz w:val="20"/>
          <w:szCs w:val="20"/>
        </w:rPr>
        <w:t xml:space="preserve">, and a traditional academic thesis </w:t>
      </w:r>
      <w:r w:rsidR="009C42AE" w:rsidRPr="00326F5C">
        <w:rPr>
          <w:rFonts w:asciiTheme="majorHAnsi" w:eastAsia="Arial" w:hAnsiTheme="majorHAnsi" w:cstheme="majorHAnsi"/>
          <w:sz w:val="20"/>
          <w:szCs w:val="20"/>
        </w:rPr>
        <w:t>to fulfi</w:t>
      </w:r>
      <w:r w:rsidR="00577CAD" w:rsidRPr="00326F5C">
        <w:rPr>
          <w:rFonts w:asciiTheme="majorHAnsi" w:eastAsia="Arial" w:hAnsiTheme="majorHAnsi" w:cstheme="majorHAnsi"/>
          <w:sz w:val="20"/>
          <w:szCs w:val="20"/>
        </w:rPr>
        <w:t>ll</w:t>
      </w:r>
      <w:r w:rsidR="009B0D78" w:rsidRPr="00326F5C">
        <w:rPr>
          <w:rFonts w:asciiTheme="majorHAnsi" w:eastAsia="Arial" w:hAnsiTheme="majorHAnsi" w:cstheme="majorHAnsi"/>
          <w:sz w:val="20"/>
          <w:szCs w:val="20"/>
        </w:rPr>
        <w:t xml:space="preserve"> degree</w:t>
      </w:r>
      <w:r w:rsidR="003A36CB" w:rsidRPr="00326F5C">
        <w:rPr>
          <w:rFonts w:asciiTheme="majorHAnsi" w:eastAsia="Arial" w:hAnsiTheme="majorHAnsi" w:cstheme="majorHAnsi"/>
          <w:sz w:val="20"/>
          <w:szCs w:val="20"/>
        </w:rPr>
        <w:t>’s</w:t>
      </w:r>
      <w:r w:rsidR="009B0D78" w:rsidRPr="00326F5C">
        <w:rPr>
          <w:rFonts w:asciiTheme="majorHAnsi" w:eastAsia="Arial" w:hAnsiTheme="majorHAnsi" w:cstheme="majorHAnsi"/>
          <w:sz w:val="20"/>
          <w:szCs w:val="20"/>
        </w:rPr>
        <w:t xml:space="preserve"> requirement</w:t>
      </w:r>
      <w:r w:rsidR="002F6FC6" w:rsidRPr="00326F5C">
        <w:rPr>
          <w:rFonts w:asciiTheme="majorHAnsi" w:eastAsia="Arial" w:hAnsiTheme="majorHAnsi" w:cstheme="majorHAnsi"/>
          <w:sz w:val="20"/>
          <w:szCs w:val="20"/>
        </w:rPr>
        <w:t>s</w:t>
      </w:r>
      <w:r w:rsidR="009B0D78" w:rsidRPr="00326F5C">
        <w:rPr>
          <w:rFonts w:asciiTheme="majorHAnsi" w:eastAsia="Arial" w:hAnsiTheme="majorHAnsi" w:cstheme="majorHAnsi"/>
          <w:sz w:val="20"/>
          <w:szCs w:val="20"/>
        </w:rPr>
        <w:t>.</w:t>
      </w:r>
    </w:p>
    <w:p w:rsidR="00933038" w:rsidRPr="00326F5C" w:rsidRDefault="00933038" w:rsidP="006C308E">
      <w:pPr>
        <w:shd w:val="clear" w:color="auto" w:fill="FFFFFF"/>
        <w:ind w:left="720"/>
        <w:jc w:val="both"/>
        <w:rPr>
          <w:rFonts w:asciiTheme="majorHAnsi" w:eastAsia="Arial Unicode MS" w:hAnsiTheme="majorHAnsi" w:cstheme="majorHAnsi"/>
          <w:sz w:val="20"/>
          <w:szCs w:val="20"/>
        </w:rPr>
      </w:pPr>
    </w:p>
    <w:p w:rsidR="00933038" w:rsidRPr="00326F5C" w:rsidRDefault="00933038" w:rsidP="006C308E">
      <w:pPr>
        <w:numPr>
          <w:ilvl w:val="0"/>
          <w:numId w:val="28"/>
        </w:numPr>
        <w:shd w:val="clear" w:color="auto" w:fill="FFFFFF"/>
        <w:jc w:val="both"/>
        <w:rPr>
          <w:rFonts w:asciiTheme="majorHAnsi" w:eastAsia="Arial Unicode MS" w:hAnsiTheme="majorHAnsi" w:cstheme="majorHAnsi"/>
          <w:sz w:val="20"/>
          <w:szCs w:val="20"/>
        </w:rPr>
      </w:pPr>
      <w:r w:rsidRPr="00326F5C">
        <w:rPr>
          <w:rFonts w:asciiTheme="majorHAnsi" w:eastAsia="Arial Unicode MS" w:hAnsiTheme="majorHAnsi" w:cstheme="majorHAnsi"/>
          <w:sz w:val="20"/>
          <w:szCs w:val="20"/>
        </w:rPr>
        <w:t xml:space="preserve">Provide a matrix, in the format of Template D17-1, that indicates the required assessment opportunities for each of the defined foundational public health learning objectives (1-12). Typically, the school will present a separate matrix for each degree school, but matrices may be combined if requirements are identical. </w:t>
      </w:r>
    </w:p>
    <w:p w:rsidR="00933038" w:rsidRPr="00326F5C" w:rsidRDefault="00933038" w:rsidP="006C308E">
      <w:pPr>
        <w:shd w:val="clear" w:color="auto" w:fill="FFFFFF"/>
        <w:jc w:val="both"/>
        <w:rPr>
          <w:rFonts w:asciiTheme="majorHAnsi" w:eastAsia="Arial Unicode MS" w:hAnsiTheme="majorHAnsi" w:cstheme="majorHAnsi"/>
          <w:sz w:val="20"/>
          <w:szCs w:val="20"/>
        </w:rPr>
      </w:pPr>
    </w:p>
    <w:p w:rsidR="00933038" w:rsidRPr="00326F5C" w:rsidRDefault="00C835BC" w:rsidP="006C308E">
      <w:pPr>
        <w:shd w:val="clear" w:color="auto" w:fill="FFFFFF"/>
        <w:ind w:left="720"/>
        <w:rPr>
          <w:rStyle w:val="Hyperlink"/>
          <w:rFonts w:asciiTheme="majorHAnsi" w:hAnsiTheme="majorHAnsi" w:cstheme="majorHAnsi"/>
          <w:sz w:val="20"/>
          <w:szCs w:val="20"/>
        </w:rPr>
      </w:pPr>
      <w:r w:rsidRPr="00326F5C">
        <w:rPr>
          <w:rFonts w:asciiTheme="majorHAnsi" w:hAnsiTheme="majorHAnsi" w:cstheme="majorHAnsi"/>
          <w:sz w:val="20"/>
          <w:szCs w:val="20"/>
        </w:rPr>
        <w:t>Table D</w:t>
      </w:r>
      <w:r w:rsidR="00603453" w:rsidRPr="00326F5C">
        <w:rPr>
          <w:rFonts w:asciiTheme="majorHAnsi" w:hAnsiTheme="majorHAnsi" w:cstheme="majorHAnsi"/>
          <w:sz w:val="20"/>
          <w:szCs w:val="20"/>
        </w:rPr>
        <w:t>.</w:t>
      </w:r>
      <w:r w:rsidRPr="00326F5C">
        <w:rPr>
          <w:rFonts w:asciiTheme="majorHAnsi" w:hAnsiTheme="majorHAnsi" w:cstheme="majorHAnsi"/>
          <w:sz w:val="20"/>
          <w:szCs w:val="20"/>
        </w:rPr>
        <w:t>17.2</w:t>
      </w:r>
      <w:r w:rsidR="00603453" w:rsidRPr="00326F5C">
        <w:rPr>
          <w:rFonts w:asciiTheme="majorHAnsi" w:hAnsiTheme="majorHAnsi" w:cstheme="majorHAnsi"/>
          <w:sz w:val="20"/>
          <w:szCs w:val="20"/>
        </w:rPr>
        <w:t>.</w:t>
      </w:r>
      <w:r w:rsidRPr="00326F5C">
        <w:rPr>
          <w:rFonts w:asciiTheme="majorHAnsi" w:hAnsiTheme="majorHAnsi" w:cstheme="majorHAnsi"/>
          <w:sz w:val="20"/>
          <w:szCs w:val="20"/>
        </w:rPr>
        <w:t xml:space="preserve">a.  Content Coverage for Academic Public Health </w:t>
      </w:r>
      <w:r w:rsidR="00D947EA" w:rsidRPr="00326F5C">
        <w:rPr>
          <w:rFonts w:asciiTheme="majorHAnsi" w:hAnsiTheme="majorHAnsi" w:cstheme="majorHAnsi"/>
          <w:sz w:val="20"/>
          <w:szCs w:val="20"/>
        </w:rPr>
        <w:t>Master’s</w:t>
      </w:r>
      <w:r w:rsidRPr="00326F5C">
        <w:rPr>
          <w:rFonts w:asciiTheme="majorHAnsi" w:hAnsiTheme="majorHAnsi" w:cstheme="majorHAnsi"/>
          <w:sz w:val="20"/>
          <w:szCs w:val="20"/>
        </w:rPr>
        <w:t xml:space="preserve"> Degree in Biostatistic</w:t>
      </w:r>
      <w:r w:rsidR="00AB0E77" w:rsidRPr="00326F5C">
        <w:rPr>
          <w:rFonts w:asciiTheme="majorHAnsi" w:hAnsiTheme="majorHAnsi" w:cstheme="majorHAnsi"/>
          <w:sz w:val="20"/>
          <w:szCs w:val="20"/>
        </w:rPr>
        <w:t>s (</w:t>
      </w:r>
      <w:r w:rsidR="00AB0E77" w:rsidRPr="00326F5C">
        <w:rPr>
          <w:rFonts w:asciiTheme="majorHAnsi" w:hAnsiTheme="majorHAnsi" w:cstheme="majorHAnsi"/>
          <w:i/>
          <w:sz w:val="20"/>
          <w:szCs w:val="20"/>
        </w:rPr>
        <w:t>ERF, D17.2. Content Coverage for Academic Public Health Masters Degrees</w:t>
      </w:r>
      <w:r w:rsidR="00AB0E77" w:rsidRPr="00326F5C">
        <w:rPr>
          <w:rFonts w:asciiTheme="majorHAnsi" w:hAnsiTheme="majorHAnsi" w:cstheme="majorHAnsi"/>
          <w:sz w:val="20"/>
          <w:szCs w:val="20"/>
        </w:rPr>
        <w:t>)</w:t>
      </w:r>
    </w:p>
    <w:tbl>
      <w:tblPr>
        <w:tblW w:w="4625" w:type="pct"/>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83"/>
        <w:gridCol w:w="2884"/>
        <w:gridCol w:w="2882"/>
      </w:tblGrid>
      <w:tr w:rsidR="00336C54" w:rsidRPr="00743A41" w:rsidTr="006E28EE">
        <w:trPr>
          <w:cantSplit/>
          <w:trHeight w:val="458"/>
          <w:tblHeader/>
        </w:trPr>
        <w:tc>
          <w:tcPr>
            <w:tcW w:w="1667" w:type="pct"/>
            <w:shd w:val="clear" w:color="auto" w:fill="D9D9D9"/>
            <w:tcMar>
              <w:top w:w="0" w:type="dxa"/>
              <w:left w:w="108" w:type="dxa"/>
              <w:bottom w:w="0" w:type="dxa"/>
              <w:right w:w="108" w:type="dxa"/>
            </w:tcMar>
            <w:vAlign w:val="center"/>
            <w:hideMark/>
          </w:tcPr>
          <w:p w:rsidR="00336C54" w:rsidRPr="00C34E1B" w:rsidRDefault="00336C54" w:rsidP="00336C54">
            <w:pPr>
              <w:jc w:val="center"/>
              <w:rPr>
                <w:rFonts w:asciiTheme="majorHAnsi" w:hAnsiTheme="majorHAnsi" w:cstheme="majorHAnsi"/>
                <w:b/>
                <w:bCs/>
                <w:color w:val="000000"/>
                <w:sz w:val="20"/>
                <w:szCs w:val="20"/>
              </w:rPr>
            </w:pPr>
            <w:r w:rsidRPr="00C34E1B">
              <w:rPr>
                <w:rFonts w:asciiTheme="majorHAnsi" w:hAnsiTheme="majorHAnsi" w:cstheme="majorHAnsi"/>
                <w:b/>
                <w:bCs/>
                <w:color w:val="000000"/>
                <w:sz w:val="20"/>
                <w:szCs w:val="20"/>
              </w:rPr>
              <w:t>Content</w:t>
            </w:r>
          </w:p>
        </w:tc>
        <w:tc>
          <w:tcPr>
            <w:tcW w:w="1667" w:type="pct"/>
            <w:shd w:val="clear" w:color="auto" w:fill="D9D9D9"/>
            <w:tcMar>
              <w:top w:w="0" w:type="dxa"/>
              <w:left w:w="108" w:type="dxa"/>
              <w:bottom w:w="0" w:type="dxa"/>
              <w:right w:w="108" w:type="dxa"/>
            </w:tcMar>
            <w:vAlign w:val="center"/>
            <w:hideMark/>
          </w:tcPr>
          <w:p w:rsidR="00336C54" w:rsidRPr="00C34E1B" w:rsidRDefault="00336C54" w:rsidP="00336C54">
            <w:pPr>
              <w:jc w:val="center"/>
              <w:rPr>
                <w:rFonts w:asciiTheme="majorHAnsi" w:hAnsiTheme="majorHAnsi" w:cstheme="majorHAnsi"/>
                <w:b/>
                <w:bCs/>
                <w:color w:val="000000"/>
                <w:sz w:val="20"/>
                <w:szCs w:val="20"/>
              </w:rPr>
            </w:pPr>
            <w:r w:rsidRPr="00C34E1B">
              <w:rPr>
                <w:rFonts w:asciiTheme="majorHAnsi" w:hAnsiTheme="majorHAnsi" w:cstheme="majorHAnsi"/>
                <w:b/>
                <w:bCs/>
                <w:color w:val="000000"/>
                <w:sz w:val="20"/>
                <w:szCs w:val="20"/>
              </w:rPr>
              <w:t>Course number(s) and name(s)</w:t>
            </w:r>
          </w:p>
        </w:tc>
        <w:tc>
          <w:tcPr>
            <w:tcW w:w="1666" w:type="pct"/>
            <w:shd w:val="clear" w:color="auto" w:fill="D9D9D9"/>
            <w:tcMar>
              <w:top w:w="0" w:type="dxa"/>
              <w:left w:w="108" w:type="dxa"/>
              <w:bottom w:w="0" w:type="dxa"/>
              <w:right w:w="108" w:type="dxa"/>
            </w:tcMar>
            <w:vAlign w:val="center"/>
            <w:hideMark/>
          </w:tcPr>
          <w:p w:rsidR="00336C54" w:rsidRPr="00C34E1B" w:rsidRDefault="00336C54" w:rsidP="00336C54">
            <w:pPr>
              <w:jc w:val="center"/>
              <w:rPr>
                <w:rFonts w:asciiTheme="majorHAnsi" w:hAnsiTheme="majorHAnsi" w:cstheme="majorHAnsi"/>
                <w:b/>
                <w:bCs/>
                <w:color w:val="000000"/>
                <w:sz w:val="20"/>
                <w:szCs w:val="20"/>
              </w:rPr>
            </w:pPr>
            <w:r w:rsidRPr="00C34E1B">
              <w:rPr>
                <w:rFonts w:asciiTheme="majorHAnsi" w:hAnsiTheme="majorHAnsi" w:cstheme="majorHAnsi"/>
                <w:b/>
                <w:bCs/>
                <w:color w:val="000000"/>
                <w:sz w:val="20"/>
                <w:szCs w:val="20"/>
              </w:rPr>
              <w:t>Specific assessment opportunity</w:t>
            </w:r>
          </w:p>
        </w:tc>
      </w:tr>
      <w:tr w:rsidR="005B03BB" w:rsidRPr="00743A41" w:rsidTr="00331B1A">
        <w:trPr>
          <w:cantSplit/>
          <w:trHeight w:val="525"/>
        </w:trPr>
        <w:tc>
          <w:tcPr>
            <w:tcW w:w="1667" w:type="pct"/>
            <w:tcMar>
              <w:top w:w="0" w:type="dxa"/>
              <w:left w:w="108" w:type="dxa"/>
              <w:bottom w:w="0" w:type="dxa"/>
              <w:right w:w="108" w:type="dxa"/>
            </w:tcMar>
            <w:hideMark/>
          </w:tcPr>
          <w:p w:rsidR="005B03BB" w:rsidRPr="00C34E1B" w:rsidRDefault="005B03BB" w:rsidP="006C308E">
            <w:pPr>
              <w:rPr>
                <w:rFonts w:asciiTheme="majorHAnsi" w:hAnsiTheme="majorHAnsi" w:cstheme="majorHAnsi"/>
                <w:color w:val="000000"/>
                <w:sz w:val="20"/>
                <w:szCs w:val="20"/>
              </w:rPr>
            </w:pPr>
            <w:r w:rsidRPr="00C34E1B">
              <w:rPr>
                <w:rFonts w:asciiTheme="majorHAnsi" w:hAnsiTheme="majorHAnsi" w:cstheme="majorHAnsi"/>
                <w:color w:val="000000"/>
                <w:sz w:val="20"/>
                <w:szCs w:val="20"/>
              </w:rPr>
              <w:t>1. Explain public health history, philosophy and values</w:t>
            </w:r>
          </w:p>
        </w:tc>
        <w:tc>
          <w:tcPr>
            <w:tcW w:w="1667" w:type="pct"/>
            <w:tcMar>
              <w:top w:w="0" w:type="dxa"/>
              <w:left w:w="108" w:type="dxa"/>
              <w:bottom w:w="0" w:type="dxa"/>
              <w:right w:w="108" w:type="dxa"/>
            </w:tcMar>
          </w:tcPr>
          <w:p w:rsidR="005B03BB" w:rsidRPr="00C34E1B" w:rsidRDefault="005B03BB" w:rsidP="006C308E">
            <w:pPr>
              <w:rPr>
                <w:rFonts w:asciiTheme="majorHAnsi" w:hAnsiTheme="majorHAnsi" w:cstheme="majorHAnsi"/>
                <w:bCs/>
                <w:iCs/>
                <w:color w:val="000000"/>
                <w:sz w:val="20"/>
                <w:szCs w:val="20"/>
              </w:rPr>
            </w:pPr>
            <w:r w:rsidRPr="00C34E1B">
              <w:rPr>
                <w:rFonts w:asciiTheme="majorHAnsi" w:hAnsiTheme="majorHAnsi" w:cstheme="majorHAnsi"/>
                <w:b/>
                <w:bCs/>
                <w:iCs/>
                <w:color w:val="000000"/>
                <w:sz w:val="20"/>
                <w:szCs w:val="20"/>
              </w:rPr>
              <w:t>PH 101</w:t>
            </w:r>
            <w:r w:rsidRPr="00C34E1B">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5B03BB" w:rsidRPr="00C34E1B" w:rsidRDefault="005B03BB" w:rsidP="006C308E">
            <w:pPr>
              <w:rPr>
                <w:rFonts w:asciiTheme="majorHAnsi" w:hAnsiTheme="majorHAnsi" w:cstheme="majorHAnsi"/>
                <w:sz w:val="20"/>
                <w:szCs w:val="20"/>
              </w:rPr>
            </w:pPr>
            <w:r w:rsidRPr="00C34E1B">
              <w:rPr>
                <w:rFonts w:asciiTheme="majorHAnsi" w:hAnsiTheme="majorHAnsi" w:cstheme="majorHAnsi"/>
                <w:sz w:val="20"/>
                <w:szCs w:val="20"/>
              </w:rPr>
              <w:t>Online exam for Module: Introduction to Public Health</w:t>
            </w:r>
          </w:p>
        </w:tc>
      </w:tr>
      <w:tr w:rsidR="005B03BB" w:rsidRPr="00743A41" w:rsidTr="00331B1A">
        <w:trPr>
          <w:cantSplit/>
          <w:trHeight w:val="510"/>
        </w:trPr>
        <w:tc>
          <w:tcPr>
            <w:tcW w:w="1667" w:type="pct"/>
            <w:tcMar>
              <w:top w:w="0" w:type="dxa"/>
              <w:left w:w="108" w:type="dxa"/>
              <w:bottom w:w="0" w:type="dxa"/>
              <w:right w:w="108" w:type="dxa"/>
            </w:tcMar>
            <w:hideMark/>
          </w:tcPr>
          <w:p w:rsidR="005B03BB" w:rsidRPr="00C34E1B" w:rsidRDefault="005B03BB" w:rsidP="006C308E">
            <w:pPr>
              <w:rPr>
                <w:rFonts w:asciiTheme="majorHAnsi" w:hAnsiTheme="majorHAnsi" w:cstheme="majorHAnsi"/>
                <w:color w:val="000000"/>
                <w:sz w:val="20"/>
                <w:szCs w:val="20"/>
              </w:rPr>
            </w:pPr>
            <w:r w:rsidRPr="00C34E1B">
              <w:rPr>
                <w:rFonts w:asciiTheme="majorHAnsi" w:hAnsiTheme="majorHAnsi" w:cstheme="majorHAnsi"/>
                <w:color w:val="000000"/>
                <w:sz w:val="20"/>
                <w:szCs w:val="20"/>
              </w:rPr>
              <w:t>2. Identify the core functions of public health and the 10 Essential Services</w:t>
            </w:r>
          </w:p>
        </w:tc>
        <w:tc>
          <w:tcPr>
            <w:tcW w:w="1667" w:type="pct"/>
            <w:tcMar>
              <w:top w:w="0" w:type="dxa"/>
              <w:left w:w="108" w:type="dxa"/>
              <w:bottom w:w="0" w:type="dxa"/>
              <w:right w:w="108" w:type="dxa"/>
            </w:tcMar>
          </w:tcPr>
          <w:p w:rsidR="005B03BB" w:rsidRPr="00C34E1B" w:rsidRDefault="005B03BB" w:rsidP="006C308E">
            <w:pPr>
              <w:rPr>
                <w:rFonts w:asciiTheme="majorHAnsi" w:hAnsiTheme="majorHAnsi" w:cstheme="majorHAnsi"/>
                <w:b/>
                <w:sz w:val="20"/>
                <w:szCs w:val="20"/>
              </w:rPr>
            </w:pPr>
            <w:r w:rsidRPr="00C34E1B">
              <w:rPr>
                <w:rFonts w:asciiTheme="majorHAnsi" w:hAnsiTheme="majorHAnsi" w:cstheme="majorHAnsi"/>
                <w:b/>
                <w:bCs/>
                <w:iCs/>
                <w:color w:val="000000"/>
                <w:sz w:val="20"/>
                <w:szCs w:val="20"/>
              </w:rPr>
              <w:t>PH 101</w:t>
            </w:r>
            <w:r w:rsidRPr="00C34E1B">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5B03BB" w:rsidRPr="00C34E1B" w:rsidRDefault="005B03BB" w:rsidP="006C308E">
            <w:pPr>
              <w:rPr>
                <w:rFonts w:asciiTheme="majorHAnsi" w:hAnsiTheme="majorHAnsi" w:cstheme="majorHAnsi"/>
                <w:sz w:val="20"/>
                <w:szCs w:val="20"/>
              </w:rPr>
            </w:pPr>
            <w:r w:rsidRPr="00C34E1B">
              <w:rPr>
                <w:rFonts w:asciiTheme="majorHAnsi" w:hAnsiTheme="majorHAnsi" w:cstheme="majorHAnsi"/>
                <w:sz w:val="20"/>
                <w:szCs w:val="20"/>
              </w:rPr>
              <w:t>Online exam for Module: Introduction to Public Health</w:t>
            </w:r>
          </w:p>
        </w:tc>
      </w:tr>
      <w:tr w:rsidR="005B03BB" w:rsidRPr="00743A41" w:rsidTr="00331B1A">
        <w:trPr>
          <w:cantSplit/>
          <w:trHeight w:val="765"/>
        </w:trPr>
        <w:tc>
          <w:tcPr>
            <w:tcW w:w="1667" w:type="pct"/>
            <w:tcMar>
              <w:top w:w="0" w:type="dxa"/>
              <w:left w:w="108" w:type="dxa"/>
              <w:bottom w:w="0" w:type="dxa"/>
              <w:right w:w="108" w:type="dxa"/>
            </w:tcMar>
            <w:hideMark/>
          </w:tcPr>
          <w:p w:rsidR="005B03BB" w:rsidRPr="00C34E1B" w:rsidRDefault="005B03BB" w:rsidP="006C308E">
            <w:pPr>
              <w:rPr>
                <w:rFonts w:asciiTheme="majorHAnsi" w:hAnsiTheme="majorHAnsi" w:cstheme="majorHAnsi"/>
                <w:color w:val="000000"/>
                <w:sz w:val="20"/>
                <w:szCs w:val="20"/>
              </w:rPr>
            </w:pPr>
            <w:r w:rsidRPr="00C34E1B">
              <w:rPr>
                <w:rFonts w:asciiTheme="majorHAnsi" w:hAnsiTheme="majorHAnsi" w:cstheme="majorHAnsi"/>
                <w:color w:val="000000"/>
                <w:sz w:val="20"/>
                <w:szCs w:val="20"/>
              </w:rPr>
              <w:t xml:space="preserve">3. Explain the role of quantitative and qualitative methods and sciences in describing and assessing a population’s health </w:t>
            </w:r>
          </w:p>
        </w:tc>
        <w:tc>
          <w:tcPr>
            <w:tcW w:w="1667" w:type="pct"/>
            <w:tcMar>
              <w:top w:w="0" w:type="dxa"/>
              <w:left w:w="108" w:type="dxa"/>
              <w:bottom w:w="0" w:type="dxa"/>
              <w:right w:w="108" w:type="dxa"/>
            </w:tcMar>
          </w:tcPr>
          <w:p w:rsidR="005B03BB" w:rsidRPr="00C34E1B" w:rsidRDefault="005B03BB" w:rsidP="006C308E">
            <w:pPr>
              <w:rPr>
                <w:rFonts w:asciiTheme="majorHAnsi" w:hAnsiTheme="majorHAnsi" w:cstheme="majorHAnsi"/>
                <w:b/>
                <w:sz w:val="20"/>
                <w:szCs w:val="20"/>
              </w:rPr>
            </w:pPr>
            <w:r w:rsidRPr="00C34E1B">
              <w:rPr>
                <w:rFonts w:asciiTheme="majorHAnsi" w:hAnsiTheme="majorHAnsi" w:cstheme="majorHAnsi"/>
                <w:b/>
                <w:bCs/>
                <w:iCs/>
                <w:color w:val="000000"/>
                <w:sz w:val="20"/>
                <w:szCs w:val="20"/>
              </w:rPr>
              <w:t>PH 101</w:t>
            </w:r>
            <w:r w:rsidRPr="00C34E1B">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5B03BB" w:rsidRPr="00C34E1B" w:rsidRDefault="005B03BB" w:rsidP="006C308E">
            <w:pPr>
              <w:rPr>
                <w:rFonts w:asciiTheme="majorHAnsi" w:hAnsiTheme="majorHAnsi" w:cstheme="majorHAnsi"/>
                <w:sz w:val="20"/>
                <w:szCs w:val="20"/>
              </w:rPr>
            </w:pPr>
            <w:r w:rsidRPr="00C34E1B">
              <w:rPr>
                <w:rFonts w:asciiTheme="majorHAnsi" w:hAnsiTheme="majorHAnsi" w:cstheme="majorHAnsi"/>
                <w:sz w:val="20"/>
                <w:szCs w:val="20"/>
              </w:rPr>
              <w:t>Online exam for Module: Introduction to Epidemiology</w:t>
            </w:r>
          </w:p>
          <w:p w:rsidR="005B03BB" w:rsidRPr="00C34E1B" w:rsidRDefault="005B03BB" w:rsidP="006C308E">
            <w:pPr>
              <w:rPr>
                <w:rFonts w:asciiTheme="majorHAnsi" w:hAnsiTheme="majorHAnsi" w:cstheme="majorHAnsi"/>
                <w:sz w:val="20"/>
                <w:szCs w:val="20"/>
              </w:rPr>
            </w:pPr>
            <w:r w:rsidRPr="00C34E1B">
              <w:rPr>
                <w:rFonts w:asciiTheme="majorHAnsi" w:hAnsiTheme="majorHAnsi" w:cstheme="majorHAnsi"/>
                <w:sz w:val="20"/>
                <w:szCs w:val="20"/>
              </w:rPr>
              <w:t>Online exam for Module: Evidence-based Public Health</w:t>
            </w:r>
          </w:p>
          <w:p w:rsidR="005B03BB" w:rsidRPr="00C34E1B" w:rsidRDefault="005B03BB" w:rsidP="006C308E">
            <w:pPr>
              <w:rPr>
                <w:rFonts w:asciiTheme="majorHAnsi" w:hAnsiTheme="majorHAnsi" w:cstheme="majorHAnsi"/>
                <w:sz w:val="20"/>
                <w:szCs w:val="20"/>
              </w:rPr>
            </w:pPr>
          </w:p>
        </w:tc>
      </w:tr>
      <w:tr w:rsidR="005B03BB" w:rsidRPr="00743A41" w:rsidTr="00331B1A">
        <w:trPr>
          <w:cantSplit/>
          <w:trHeight w:val="765"/>
        </w:trPr>
        <w:tc>
          <w:tcPr>
            <w:tcW w:w="1667" w:type="pct"/>
            <w:tcMar>
              <w:top w:w="0" w:type="dxa"/>
              <w:left w:w="108" w:type="dxa"/>
              <w:bottom w:w="0" w:type="dxa"/>
              <w:right w:w="108" w:type="dxa"/>
            </w:tcMar>
            <w:hideMark/>
          </w:tcPr>
          <w:p w:rsidR="005B03BB" w:rsidRPr="00C34E1B" w:rsidRDefault="005B03BB" w:rsidP="006C308E">
            <w:pPr>
              <w:rPr>
                <w:rFonts w:asciiTheme="majorHAnsi" w:hAnsiTheme="majorHAnsi" w:cstheme="majorHAnsi"/>
                <w:color w:val="000000"/>
                <w:sz w:val="20"/>
                <w:szCs w:val="20"/>
              </w:rPr>
            </w:pPr>
            <w:r w:rsidRPr="00C34E1B">
              <w:rPr>
                <w:rFonts w:asciiTheme="majorHAnsi" w:hAnsiTheme="majorHAnsi" w:cstheme="majorHAnsi"/>
                <w:color w:val="000000"/>
                <w:sz w:val="20"/>
                <w:szCs w:val="20"/>
              </w:rPr>
              <w:t>4. List major causes and trends of morbidity and mortality in the US or other community relevant to the school or program</w:t>
            </w:r>
          </w:p>
        </w:tc>
        <w:tc>
          <w:tcPr>
            <w:tcW w:w="1667" w:type="pct"/>
            <w:tcMar>
              <w:top w:w="0" w:type="dxa"/>
              <w:left w:w="108" w:type="dxa"/>
              <w:bottom w:w="0" w:type="dxa"/>
              <w:right w:w="108" w:type="dxa"/>
            </w:tcMar>
          </w:tcPr>
          <w:p w:rsidR="005B03BB" w:rsidRPr="00C34E1B" w:rsidRDefault="005B03BB" w:rsidP="006C308E">
            <w:pPr>
              <w:rPr>
                <w:rFonts w:asciiTheme="majorHAnsi" w:hAnsiTheme="majorHAnsi" w:cstheme="majorHAnsi"/>
                <w:b/>
                <w:sz w:val="20"/>
                <w:szCs w:val="20"/>
              </w:rPr>
            </w:pPr>
            <w:r w:rsidRPr="00C34E1B">
              <w:rPr>
                <w:rFonts w:asciiTheme="majorHAnsi" w:hAnsiTheme="majorHAnsi" w:cstheme="majorHAnsi"/>
                <w:b/>
                <w:bCs/>
                <w:iCs/>
                <w:color w:val="000000"/>
                <w:sz w:val="20"/>
                <w:szCs w:val="20"/>
              </w:rPr>
              <w:t>PH 101</w:t>
            </w:r>
            <w:r w:rsidRPr="00C34E1B">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5B03BB" w:rsidRPr="00C34E1B" w:rsidRDefault="005B03BB" w:rsidP="006C308E">
            <w:pPr>
              <w:rPr>
                <w:rFonts w:asciiTheme="majorHAnsi" w:hAnsiTheme="majorHAnsi" w:cstheme="majorHAnsi"/>
                <w:sz w:val="20"/>
                <w:szCs w:val="20"/>
              </w:rPr>
            </w:pPr>
            <w:r w:rsidRPr="00C34E1B">
              <w:rPr>
                <w:rFonts w:asciiTheme="majorHAnsi" w:hAnsiTheme="majorHAnsi" w:cstheme="majorHAnsi"/>
                <w:sz w:val="20"/>
                <w:szCs w:val="20"/>
              </w:rPr>
              <w:t>Online exam for Module: Burden of Disease</w:t>
            </w:r>
          </w:p>
          <w:p w:rsidR="005B03BB" w:rsidRPr="00C34E1B" w:rsidRDefault="005B03BB" w:rsidP="006C308E">
            <w:pPr>
              <w:rPr>
                <w:rFonts w:asciiTheme="majorHAnsi" w:hAnsiTheme="majorHAnsi" w:cstheme="majorHAnsi"/>
                <w:sz w:val="20"/>
                <w:szCs w:val="20"/>
              </w:rPr>
            </w:pPr>
          </w:p>
        </w:tc>
      </w:tr>
      <w:tr w:rsidR="005B03BB" w:rsidRPr="00743A41" w:rsidTr="00331B1A">
        <w:trPr>
          <w:cantSplit/>
          <w:trHeight w:val="765"/>
        </w:trPr>
        <w:tc>
          <w:tcPr>
            <w:tcW w:w="1667" w:type="pct"/>
            <w:tcMar>
              <w:top w:w="0" w:type="dxa"/>
              <w:left w:w="108" w:type="dxa"/>
              <w:bottom w:w="0" w:type="dxa"/>
              <w:right w:w="108" w:type="dxa"/>
            </w:tcMar>
            <w:hideMark/>
          </w:tcPr>
          <w:p w:rsidR="005B03BB" w:rsidRPr="00C34E1B" w:rsidRDefault="005B03BB" w:rsidP="006C308E">
            <w:pPr>
              <w:rPr>
                <w:rFonts w:asciiTheme="majorHAnsi" w:hAnsiTheme="majorHAnsi" w:cstheme="majorHAnsi"/>
                <w:color w:val="000000"/>
                <w:sz w:val="20"/>
                <w:szCs w:val="20"/>
              </w:rPr>
            </w:pPr>
            <w:r w:rsidRPr="00C34E1B">
              <w:rPr>
                <w:rFonts w:asciiTheme="majorHAnsi" w:hAnsiTheme="majorHAnsi" w:cstheme="majorHAnsi"/>
                <w:color w:val="000000"/>
                <w:sz w:val="20"/>
                <w:szCs w:val="20"/>
              </w:rPr>
              <w:t>5. Discuss the science of primary, secondary and tertiary prevention in population health, including health promotion, screening, etc.</w:t>
            </w:r>
          </w:p>
        </w:tc>
        <w:tc>
          <w:tcPr>
            <w:tcW w:w="1667" w:type="pct"/>
            <w:tcMar>
              <w:top w:w="0" w:type="dxa"/>
              <w:left w:w="108" w:type="dxa"/>
              <w:bottom w:w="0" w:type="dxa"/>
              <w:right w:w="108" w:type="dxa"/>
            </w:tcMar>
          </w:tcPr>
          <w:p w:rsidR="005B03BB" w:rsidRPr="00C34E1B" w:rsidRDefault="005B03BB" w:rsidP="006C308E">
            <w:pPr>
              <w:rPr>
                <w:rFonts w:asciiTheme="majorHAnsi" w:hAnsiTheme="majorHAnsi" w:cstheme="majorHAnsi"/>
                <w:b/>
                <w:sz w:val="20"/>
                <w:szCs w:val="20"/>
              </w:rPr>
            </w:pPr>
            <w:r w:rsidRPr="00C34E1B">
              <w:rPr>
                <w:rFonts w:asciiTheme="majorHAnsi" w:hAnsiTheme="majorHAnsi" w:cstheme="majorHAnsi"/>
                <w:b/>
                <w:bCs/>
                <w:iCs/>
                <w:color w:val="000000"/>
                <w:sz w:val="20"/>
                <w:szCs w:val="20"/>
              </w:rPr>
              <w:t>PH 101</w:t>
            </w:r>
            <w:r w:rsidRPr="00C34E1B">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5B03BB" w:rsidRPr="00C34E1B" w:rsidRDefault="005B03BB" w:rsidP="006C308E">
            <w:pPr>
              <w:rPr>
                <w:rFonts w:asciiTheme="majorHAnsi" w:hAnsiTheme="majorHAnsi" w:cstheme="majorHAnsi"/>
                <w:sz w:val="20"/>
                <w:szCs w:val="20"/>
              </w:rPr>
            </w:pPr>
            <w:r w:rsidRPr="00C34E1B">
              <w:rPr>
                <w:rFonts w:asciiTheme="majorHAnsi" w:hAnsiTheme="majorHAnsi" w:cstheme="majorHAnsi"/>
                <w:sz w:val="20"/>
                <w:szCs w:val="20"/>
              </w:rPr>
              <w:t>Online exam for Module: Disease Prevention and Control</w:t>
            </w:r>
          </w:p>
          <w:p w:rsidR="005B03BB" w:rsidRPr="00C34E1B" w:rsidRDefault="005B03BB" w:rsidP="006C308E">
            <w:pPr>
              <w:rPr>
                <w:rFonts w:asciiTheme="majorHAnsi" w:hAnsiTheme="majorHAnsi" w:cstheme="majorHAnsi"/>
                <w:sz w:val="20"/>
                <w:szCs w:val="20"/>
              </w:rPr>
            </w:pPr>
          </w:p>
        </w:tc>
      </w:tr>
      <w:tr w:rsidR="005B03BB" w:rsidRPr="00743A41" w:rsidTr="00331B1A">
        <w:trPr>
          <w:cantSplit/>
          <w:trHeight w:val="510"/>
        </w:trPr>
        <w:tc>
          <w:tcPr>
            <w:tcW w:w="1667" w:type="pct"/>
            <w:tcMar>
              <w:top w:w="0" w:type="dxa"/>
              <w:left w:w="108" w:type="dxa"/>
              <w:bottom w:w="0" w:type="dxa"/>
              <w:right w:w="108" w:type="dxa"/>
            </w:tcMar>
            <w:hideMark/>
          </w:tcPr>
          <w:p w:rsidR="005B03BB" w:rsidRPr="00C34E1B" w:rsidRDefault="005B03BB" w:rsidP="006C308E">
            <w:pPr>
              <w:rPr>
                <w:rFonts w:asciiTheme="majorHAnsi" w:hAnsiTheme="majorHAnsi" w:cstheme="majorHAnsi"/>
                <w:color w:val="000000"/>
                <w:sz w:val="20"/>
                <w:szCs w:val="20"/>
              </w:rPr>
            </w:pPr>
            <w:r w:rsidRPr="00C34E1B">
              <w:rPr>
                <w:rFonts w:asciiTheme="majorHAnsi" w:hAnsiTheme="majorHAnsi" w:cstheme="majorHAnsi"/>
                <w:color w:val="000000"/>
                <w:sz w:val="20"/>
                <w:szCs w:val="20"/>
              </w:rPr>
              <w:t xml:space="preserve">6. Explain the critical importance of evidence in advancing public health knowledge </w:t>
            </w:r>
          </w:p>
        </w:tc>
        <w:tc>
          <w:tcPr>
            <w:tcW w:w="1667" w:type="pct"/>
            <w:tcMar>
              <w:top w:w="0" w:type="dxa"/>
              <w:left w:w="108" w:type="dxa"/>
              <w:bottom w:w="0" w:type="dxa"/>
              <w:right w:w="108" w:type="dxa"/>
            </w:tcMar>
          </w:tcPr>
          <w:p w:rsidR="005B03BB" w:rsidRPr="00C34E1B" w:rsidRDefault="005B03BB" w:rsidP="006C308E">
            <w:pPr>
              <w:rPr>
                <w:rFonts w:asciiTheme="majorHAnsi" w:hAnsiTheme="majorHAnsi" w:cstheme="majorHAnsi"/>
                <w:b/>
                <w:sz w:val="20"/>
                <w:szCs w:val="20"/>
              </w:rPr>
            </w:pPr>
            <w:r w:rsidRPr="00C34E1B">
              <w:rPr>
                <w:rFonts w:asciiTheme="majorHAnsi" w:hAnsiTheme="majorHAnsi" w:cstheme="majorHAnsi"/>
                <w:b/>
                <w:bCs/>
                <w:iCs/>
                <w:color w:val="000000"/>
                <w:sz w:val="20"/>
                <w:szCs w:val="20"/>
              </w:rPr>
              <w:t>PH 101</w:t>
            </w:r>
            <w:r w:rsidRPr="00C34E1B">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5B03BB" w:rsidRPr="00C34E1B" w:rsidRDefault="005B03BB" w:rsidP="006C308E">
            <w:pPr>
              <w:rPr>
                <w:rFonts w:asciiTheme="majorHAnsi" w:hAnsiTheme="majorHAnsi" w:cstheme="majorHAnsi"/>
                <w:sz w:val="20"/>
                <w:szCs w:val="20"/>
              </w:rPr>
            </w:pPr>
            <w:r w:rsidRPr="00C34E1B">
              <w:rPr>
                <w:rFonts w:asciiTheme="majorHAnsi" w:hAnsiTheme="majorHAnsi" w:cstheme="majorHAnsi"/>
                <w:sz w:val="20"/>
                <w:szCs w:val="20"/>
              </w:rPr>
              <w:t xml:space="preserve">Online exam for Module: </w:t>
            </w:r>
          </w:p>
          <w:p w:rsidR="005B03BB" w:rsidRPr="00C34E1B" w:rsidRDefault="005B03BB" w:rsidP="006C308E">
            <w:pPr>
              <w:rPr>
                <w:rFonts w:asciiTheme="majorHAnsi" w:hAnsiTheme="majorHAnsi" w:cstheme="majorHAnsi"/>
                <w:sz w:val="20"/>
                <w:szCs w:val="20"/>
              </w:rPr>
            </w:pPr>
            <w:r w:rsidRPr="00C34E1B">
              <w:rPr>
                <w:rFonts w:asciiTheme="majorHAnsi" w:hAnsiTheme="majorHAnsi" w:cstheme="majorHAnsi"/>
                <w:sz w:val="20"/>
                <w:szCs w:val="20"/>
              </w:rPr>
              <w:t>Evidence-based Public Health</w:t>
            </w:r>
          </w:p>
        </w:tc>
      </w:tr>
      <w:tr w:rsidR="005B03BB" w:rsidRPr="00743A41" w:rsidTr="00331B1A">
        <w:trPr>
          <w:cantSplit/>
          <w:trHeight w:val="510"/>
        </w:trPr>
        <w:tc>
          <w:tcPr>
            <w:tcW w:w="1667" w:type="pct"/>
            <w:tcMar>
              <w:top w:w="0" w:type="dxa"/>
              <w:left w:w="108" w:type="dxa"/>
              <w:bottom w:w="0" w:type="dxa"/>
              <w:right w:w="108" w:type="dxa"/>
            </w:tcMar>
            <w:hideMark/>
          </w:tcPr>
          <w:p w:rsidR="005B03BB" w:rsidRPr="00C34E1B" w:rsidRDefault="005B03BB" w:rsidP="006C308E">
            <w:pPr>
              <w:rPr>
                <w:rFonts w:asciiTheme="majorHAnsi" w:hAnsiTheme="majorHAnsi" w:cstheme="majorHAnsi"/>
                <w:color w:val="000000"/>
                <w:sz w:val="20"/>
                <w:szCs w:val="20"/>
              </w:rPr>
            </w:pPr>
            <w:r w:rsidRPr="00C34E1B">
              <w:rPr>
                <w:rFonts w:asciiTheme="majorHAnsi" w:hAnsiTheme="majorHAnsi" w:cstheme="majorHAnsi"/>
                <w:color w:val="000000"/>
                <w:sz w:val="20"/>
                <w:szCs w:val="20"/>
              </w:rPr>
              <w:t>7. Explain effects of environmental factors on a population’s health</w:t>
            </w:r>
          </w:p>
        </w:tc>
        <w:tc>
          <w:tcPr>
            <w:tcW w:w="1667" w:type="pct"/>
            <w:tcMar>
              <w:top w:w="0" w:type="dxa"/>
              <w:left w:w="108" w:type="dxa"/>
              <w:bottom w:w="0" w:type="dxa"/>
              <w:right w:w="108" w:type="dxa"/>
            </w:tcMar>
          </w:tcPr>
          <w:p w:rsidR="005B03BB" w:rsidRPr="00C34E1B" w:rsidRDefault="005B03BB" w:rsidP="006C308E">
            <w:pPr>
              <w:rPr>
                <w:rFonts w:asciiTheme="majorHAnsi" w:hAnsiTheme="majorHAnsi" w:cstheme="majorHAnsi"/>
                <w:b/>
                <w:sz w:val="20"/>
                <w:szCs w:val="20"/>
              </w:rPr>
            </w:pPr>
            <w:r w:rsidRPr="00C34E1B">
              <w:rPr>
                <w:rFonts w:asciiTheme="majorHAnsi" w:hAnsiTheme="majorHAnsi" w:cstheme="majorHAnsi"/>
                <w:b/>
                <w:bCs/>
                <w:iCs/>
                <w:color w:val="000000"/>
                <w:sz w:val="20"/>
                <w:szCs w:val="20"/>
              </w:rPr>
              <w:t>PH 101</w:t>
            </w:r>
            <w:r w:rsidRPr="00C34E1B">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5B03BB" w:rsidRPr="00C34E1B" w:rsidRDefault="005B03BB" w:rsidP="006C308E">
            <w:pPr>
              <w:rPr>
                <w:rFonts w:asciiTheme="majorHAnsi" w:hAnsiTheme="majorHAnsi" w:cstheme="majorHAnsi"/>
                <w:sz w:val="20"/>
                <w:szCs w:val="20"/>
              </w:rPr>
            </w:pPr>
            <w:r w:rsidRPr="00C34E1B">
              <w:rPr>
                <w:rFonts w:asciiTheme="majorHAnsi" w:hAnsiTheme="majorHAnsi" w:cstheme="majorHAnsi"/>
                <w:sz w:val="20"/>
                <w:szCs w:val="20"/>
              </w:rPr>
              <w:t>Online exam for Module: Environmental Health</w:t>
            </w:r>
          </w:p>
        </w:tc>
      </w:tr>
      <w:tr w:rsidR="005B03BB" w:rsidRPr="00743A41" w:rsidTr="00331B1A">
        <w:trPr>
          <w:cantSplit/>
          <w:trHeight w:val="510"/>
        </w:trPr>
        <w:tc>
          <w:tcPr>
            <w:tcW w:w="1667" w:type="pct"/>
            <w:tcMar>
              <w:top w:w="0" w:type="dxa"/>
              <w:left w:w="108" w:type="dxa"/>
              <w:bottom w:w="0" w:type="dxa"/>
              <w:right w:w="108" w:type="dxa"/>
            </w:tcMar>
            <w:hideMark/>
          </w:tcPr>
          <w:p w:rsidR="005B03BB" w:rsidRPr="00C34E1B" w:rsidRDefault="005B03BB" w:rsidP="006C308E">
            <w:pPr>
              <w:rPr>
                <w:rFonts w:asciiTheme="majorHAnsi" w:hAnsiTheme="majorHAnsi" w:cstheme="majorHAnsi"/>
                <w:color w:val="000000"/>
                <w:sz w:val="20"/>
                <w:szCs w:val="20"/>
              </w:rPr>
            </w:pPr>
            <w:r w:rsidRPr="00C34E1B">
              <w:rPr>
                <w:rFonts w:asciiTheme="majorHAnsi" w:hAnsiTheme="majorHAnsi" w:cstheme="majorHAnsi"/>
                <w:color w:val="000000"/>
                <w:sz w:val="20"/>
                <w:szCs w:val="20"/>
              </w:rPr>
              <w:t>8. Explain biological and genetic factors that affect a population’s health</w:t>
            </w:r>
          </w:p>
        </w:tc>
        <w:tc>
          <w:tcPr>
            <w:tcW w:w="1667" w:type="pct"/>
            <w:tcMar>
              <w:top w:w="0" w:type="dxa"/>
              <w:left w:w="108" w:type="dxa"/>
              <w:bottom w:w="0" w:type="dxa"/>
              <w:right w:w="108" w:type="dxa"/>
            </w:tcMar>
          </w:tcPr>
          <w:p w:rsidR="005B03BB" w:rsidRPr="00C34E1B" w:rsidRDefault="005B03BB" w:rsidP="006C308E">
            <w:pPr>
              <w:rPr>
                <w:rFonts w:asciiTheme="majorHAnsi" w:hAnsiTheme="majorHAnsi" w:cstheme="majorHAnsi"/>
                <w:b/>
                <w:sz w:val="20"/>
                <w:szCs w:val="20"/>
              </w:rPr>
            </w:pPr>
            <w:r w:rsidRPr="00C34E1B">
              <w:rPr>
                <w:rFonts w:asciiTheme="majorHAnsi" w:hAnsiTheme="majorHAnsi" w:cstheme="majorHAnsi"/>
                <w:b/>
                <w:bCs/>
                <w:iCs/>
                <w:color w:val="000000"/>
                <w:sz w:val="20"/>
                <w:szCs w:val="20"/>
              </w:rPr>
              <w:t>PH 101</w:t>
            </w:r>
            <w:r w:rsidRPr="00C34E1B">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5B03BB" w:rsidRPr="00C34E1B" w:rsidRDefault="005B03BB" w:rsidP="006C308E">
            <w:pPr>
              <w:pStyle w:val="ListParagraph"/>
              <w:ind w:left="0"/>
              <w:rPr>
                <w:rFonts w:asciiTheme="majorHAnsi" w:hAnsiTheme="majorHAnsi" w:cstheme="majorHAnsi"/>
                <w:szCs w:val="20"/>
              </w:rPr>
            </w:pPr>
            <w:r w:rsidRPr="00C34E1B">
              <w:rPr>
                <w:rFonts w:asciiTheme="majorHAnsi" w:hAnsiTheme="majorHAnsi" w:cstheme="majorHAnsi"/>
                <w:szCs w:val="20"/>
              </w:rPr>
              <w:t>Online exam for Module: Public Health Biology and Human Disease</w:t>
            </w:r>
          </w:p>
          <w:p w:rsidR="005B03BB" w:rsidRPr="00C34E1B" w:rsidRDefault="005B03BB" w:rsidP="006C308E">
            <w:pPr>
              <w:rPr>
                <w:rFonts w:asciiTheme="majorHAnsi" w:hAnsiTheme="majorHAnsi" w:cstheme="majorHAnsi"/>
                <w:sz w:val="20"/>
                <w:szCs w:val="20"/>
              </w:rPr>
            </w:pPr>
          </w:p>
        </w:tc>
      </w:tr>
      <w:tr w:rsidR="005B03BB" w:rsidRPr="00743A41" w:rsidTr="00331B1A">
        <w:trPr>
          <w:cantSplit/>
          <w:trHeight w:val="510"/>
        </w:trPr>
        <w:tc>
          <w:tcPr>
            <w:tcW w:w="1667" w:type="pct"/>
            <w:tcMar>
              <w:top w:w="0" w:type="dxa"/>
              <w:left w:w="108" w:type="dxa"/>
              <w:bottom w:w="0" w:type="dxa"/>
              <w:right w:w="108" w:type="dxa"/>
            </w:tcMar>
            <w:hideMark/>
          </w:tcPr>
          <w:p w:rsidR="005B03BB" w:rsidRPr="00C34E1B" w:rsidRDefault="005B03BB" w:rsidP="006C308E">
            <w:pPr>
              <w:rPr>
                <w:rFonts w:asciiTheme="majorHAnsi" w:hAnsiTheme="majorHAnsi" w:cstheme="majorHAnsi"/>
                <w:color w:val="000000"/>
                <w:sz w:val="20"/>
                <w:szCs w:val="20"/>
              </w:rPr>
            </w:pPr>
            <w:r w:rsidRPr="00C34E1B">
              <w:rPr>
                <w:rFonts w:asciiTheme="majorHAnsi" w:hAnsiTheme="majorHAnsi" w:cstheme="majorHAnsi"/>
                <w:color w:val="000000"/>
                <w:sz w:val="20"/>
                <w:szCs w:val="20"/>
              </w:rPr>
              <w:t>9. Explain behavioral and psychological factors that affect a population’s health</w:t>
            </w:r>
          </w:p>
        </w:tc>
        <w:tc>
          <w:tcPr>
            <w:tcW w:w="1667" w:type="pct"/>
            <w:tcMar>
              <w:top w:w="0" w:type="dxa"/>
              <w:left w:w="108" w:type="dxa"/>
              <w:bottom w:w="0" w:type="dxa"/>
              <w:right w:w="108" w:type="dxa"/>
            </w:tcMar>
          </w:tcPr>
          <w:p w:rsidR="005B03BB" w:rsidRPr="00C34E1B" w:rsidRDefault="005B03BB" w:rsidP="006C308E">
            <w:pPr>
              <w:rPr>
                <w:rFonts w:asciiTheme="majorHAnsi" w:hAnsiTheme="majorHAnsi" w:cstheme="majorHAnsi"/>
                <w:b/>
                <w:sz w:val="20"/>
                <w:szCs w:val="20"/>
              </w:rPr>
            </w:pPr>
            <w:r w:rsidRPr="00C34E1B">
              <w:rPr>
                <w:rFonts w:asciiTheme="majorHAnsi" w:hAnsiTheme="majorHAnsi" w:cstheme="majorHAnsi"/>
                <w:b/>
                <w:bCs/>
                <w:iCs/>
                <w:color w:val="000000"/>
                <w:sz w:val="20"/>
                <w:szCs w:val="20"/>
              </w:rPr>
              <w:t>PH 101</w:t>
            </w:r>
            <w:r w:rsidRPr="00C34E1B">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5B03BB" w:rsidRPr="00C34E1B" w:rsidRDefault="005B03BB" w:rsidP="006C308E">
            <w:pPr>
              <w:pStyle w:val="ListParagraph"/>
              <w:ind w:left="0"/>
              <w:rPr>
                <w:rFonts w:asciiTheme="majorHAnsi" w:hAnsiTheme="majorHAnsi" w:cstheme="majorHAnsi"/>
                <w:szCs w:val="20"/>
              </w:rPr>
            </w:pPr>
            <w:r w:rsidRPr="00C34E1B">
              <w:rPr>
                <w:rFonts w:asciiTheme="majorHAnsi" w:hAnsiTheme="majorHAnsi" w:cstheme="majorHAnsi"/>
                <w:szCs w:val="20"/>
              </w:rPr>
              <w:t>Online exam for Module: Health Determinants</w:t>
            </w:r>
          </w:p>
          <w:p w:rsidR="005B03BB" w:rsidRPr="00C34E1B" w:rsidRDefault="005B03BB" w:rsidP="006C308E">
            <w:pPr>
              <w:pStyle w:val="ListParagraph"/>
              <w:ind w:left="0"/>
              <w:rPr>
                <w:rFonts w:asciiTheme="majorHAnsi" w:hAnsiTheme="majorHAnsi" w:cstheme="majorHAnsi"/>
                <w:szCs w:val="20"/>
              </w:rPr>
            </w:pPr>
          </w:p>
          <w:p w:rsidR="005B03BB" w:rsidRPr="00C34E1B" w:rsidRDefault="005B03BB" w:rsidP="006C308E">
            <w:pPr>
              <w:rPr>
                <w:rFonts w:asciiTheme="majorHAnsi" w:hAnsiTheme="majorHAnsi" w:cstheme="majorHAnsi"/>
                <w:sz w:val="20"/>
                <w:szCs w:val="20"/>
              </w:rPr>
            </w:pPr>
          </w:p>
        </w:tc>
      </w:tr>
      <w:tr w:rsidR="005B03BB" w:rsidRPr="00743A41" w:rsidTr="00331B1A">
        <w:trPr>
          <w:cantSplit/>
          <w:trHeight w:val="765"/>
        </w:trPr>
        <w:tc>
          <w:tcPr>
            <w:tcW w:w="1667" w:type="pct"/>
            <w:tcMar>
              <w:top w:w="0" w:type="dxa"/>
              <w:left w:w="108" w:type="dxa"/>
              <w:bottom w:w="0" w:type="dxa"/>
              <w:right w:w="108" w:type="dxa"/>
            </w:tcMar>
            <w:hideMark/>
          </w:tcPr>
          <w:p w:rsidR="005B03BB" w:rsidRPr="00C34E1B" w:rsidRDefault="005B03BB" w:rsidP="006C308E">
            <w:pPr>
              <w:rPr>
                <w:rFonts w:asciiTheme="majorHAnsi" w:hAnsiTheme="majorHAnsi" w:cstheme="majorHAnsi"/>
                <w:color w:val="000000"/>
                <w:sz w:val="20"/>
                <w:szCs w:val="20"/>
              </w:rPr>
            </w:pPr>
            <w:r w:rsidRPr="00C34E1B">
              <w:rPr>
                <w:rFonts w:asciiTheme="majorHAnsi" w:hAnsiTheme="majorHAnsi" w:cstheme="majorHAnsi"/>
                <w:color w:val="000000"/>
                <w:sz w:val="20"/>
                <w:szCs w:val="20"/>
              </w:rPr>
              <w:t>10. Explain the social, political and economic determinants of health and how they contribute to population health and health inequities</w:t>
            </w:r>
          </w:p>
        </w:tc>
        <w:tc>
          <w:tcPr>
            <w:tcW w:w="1667" w:type="pct"/>
            <w:tcMar>
              <w:top w:w="0" w:type="dxa"/>
              <w:left w:w="108" w:type="dxa"/>
              <w:bottom w:w="0" w:type="dxa"/>
              <w:right w:w="108" w:type="dxa"/>
            </w:tcMar>
          </w:tcPr>
          <w:p w:rsidR="005B03BB" w:rsidRPr="00C34E1B" w:rsidRDefault="005B03BB" w:rsidP="006C308E">
            <w:pPr>
              <w:rPr>
                <w:rFonts w:asciiTheme="majorHAnsi" w:hAnsiTheme="majorHAnsi" w:cstheme="majorHAnsi"/>
                <w:b/>
                <w:sz w:val="20"/>
                <w:szCs w:val="20"/>
              </w:rPr>
            </w:pPr>
            <w:r w:rsidRPr="00C34E1B">
              <w:rPr>
                <w:rFonts w:asciiTheme="majorHAnsi" w:hAnsiTheme="majorHAnsi" w:cstheme="majorHAnsi"/>
                <w:b/>
                <w:bCs/>
                <w:iCs/>
                <w:color w:val="000000"/>
                <w:sz w:val="20"/>
                <w:szCs w:val="20"/>
              </w:rPr>
              <w:t>PH 101</w:t>
            </w:r>
            <w:r w:rsidRPr="00C34E1B">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5B03BB" w:rsidRPr="00C34E1B" w:rsidRDefault="005B03BB" w:rsidP="006C308E">
            <w:pPr>
              <w:pStyle w:val="ListParagraph"/>
              <w:ind w:left="0"/>
              <w:rPr>
                <w:rFonts w:asciiTheme="majorHAnsi" w:hAnsiTheme="majorHAnsi" w:cstheme="majorHAnsi"/>
                <w:szCs w:val="20"/>
              </w:rPr>
            </w:pPr>
            <w:r w:rsidRPr="00C34E1B">
              <w:rPr>
                <w:rFonts w:asciiTheme="majorHAnsi" w:hAnsiTheme="majorHAnsi" w:cstheme="majorHAnsi"/>
                <w:szCs w:val="20"/>
              </w:rPr>
              <w:t>Online exam for Module: Health Determinants</w:t>
            </w:r>
          </w:p>
          <w:p w:rsidR="005B03BB" w:rsidRPr="00C34E1B" w:rsidRDefault="005B03BB" w:rsidP="006C308E">
            <w:pPr>
              <w:rPr>
                <w:rFonts w:asciiTheme="majorHAnsi" w:hAnsiTheme="majorHAnsi" w:cstheme="majorHAnsi"/>
                <w:sz w:val="20"/>
                <w:szCs w:val="20"/>
              </w:rPr>
            </w:pPr>
          </w:p>
        </w:tc>
      </w:tr>
      <w:tr w:rsidR="005B03BB" w:rsidRPr="00743A41" w:rsidTr="00331B1A">
        <w:trPr>
          <w:cantSplit/>
          <w:trHeight w:val="510"/>
        </w:trPr>
        <w:tc>
          <w:tcPr>
            <w:tcW w:w="1667" w:type="pct"/>
            <w:tcMar>
              <w:top w:w="0" w:type="dxa"/>
              <w:left w:w="108" w:type="dxa"/>
              <w:bottom w:w="0" w:type="dxa"/>
              <w:right w:w="108" w:type="dxa"/>
            </w:tcMar>
            <w:hideMark/>
          </w:tcPr>
          <w:p w:rsidR="005B03BB" w:rsidRPr="00C34E1B" w:rsidRDefault="005B03BB" w:rsidP="006C308E">
            <w:pPr>
              <w:rPr>
                <w:rFonts w:asciiTheme="majorHAnsi" w:hAnsiTheme="majorHAnsi" w:cstheme="majorHAnsi"/>
                <w:color w:val="000000"/>
                <w:sz w:val="20"/>
                <w:szCs w:val="20"/>
              </w:rPr>
            </w:pPr>
            <w:r w:rsidRPr="00C34E1B">
              <w:rPr>
                <w:rFonts w:asciiTheme="majorHAnsi" w:hAnsiTheme="majorHAnsi" w:cstheme="majorHAnsi"/>
                <w:color w:val="000000"/>
                <w:sz w:val="20"/>
                <w:szCs w:val="20"/>
              </w:rPr>
              <w:t>11. Explain how globalization affects global burdens of disease</w:t>
            </w:r>
          </w:p>
        </w:tc>
        <w:tc>
          <w:tcPr>
            <w:tcW w:w="1667" w:type="pct"/>
            <w:tcMar>
              <w:top w:w="0" w:type="dxa"/>
              <w:left w:w="108" w:type="dxa"/>
              <w:bottom w:w="0" w:type="dxa"/>
              <w:right w:w="108" w:type="dxa"/>
            </w:tcMar>
          </w:tcPr>
          <w:p w:rsidR="005B03BB" w:rsidRPr="00C34E1B" w:rsidRDefault="005B03BB" w:rsidP="006C308E">
            <w:pPr>
              <w:rPr>
                <w:rFonts w:asciiTheme="majorHAnsi" w:hAnsiTheme="majorHAnsi" w:cstheme="majorHAnsi"/>
                <w:b/>
                <w:sz w:val="20"/>
                <w:szCs w:val="20"/>
              </w:rPr>
            </w:pPr>
            <w:r w:rsidRPr="00C34E1B">
              <w:rPr>
                <w:rFonts w:asciiTheme="majorHAnsi" w:hAnsiTheme="majorHAnsi" w:cstheme="majorHAnsi"/>
                <w:b/>
                <w:bCs/>
                <w:iCs/>
                <w:color w:val="000000"/>
                <w:sz w:val="20"/>
                <w:szCs w:val="20"/>
              </w:rPr>
              <w:t>PH 101</w:t>
            </w:r>
            <w:r w:rsidRPr="00C34E1B">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5B03BB" w:rsidRPr="00C34E1B" w:rsidRDefault="005B03BB" w:rsidP="006C308E">
            <w:pPr>
              <w:rPr>
                <w:rFonts w:asciiTheme="majorHAnsi" w:hAnsiTheme="majorHAnsi" w:cstheme="majorHAnsi"/>
                <w:sz w:val="20"/>
                <w:szCs w:val="20"/>
              </w:rPr>
            </w:pPr>
            <w:r w:rsidRPr="00C34E1B">
              <w:rPr>
                <w:rFonts w:asciiTheme="majorHAnsi" w:hAnsiTheme="majorHAnsi" w:cstheme="majorHAnsi"/>
                <w:sz w:val="20"/>
                <w:szCs w:val="20"/>
              </w:rPr>
              <w:t xml:space="preserve">Online exam for Module: Impact of Globalization on Health </w:t>
            </w:r>
          </w:p>
        </w:tc>
      </w:tr>
      <w:tr w:rsidR="005B03BB" w:rsidRPr="00743A41" w:rsidTr="00331B1A">
        <w:trPr>
          <w:cantSplit/>
          <w:trHeight w:val="780"/>
        </w:trPr>
        <w:tc>
          <w:tcPr>
            <w:tcW w:w="1667" w:type="pct"/>
            <w:tcMar>
              <w:top w:w="0" w:type="dxa"/>
              <w:left w:w="108" w:type="dxa"/>
              <w:bottom w:w="0" w:type="dxa"/>
              <w:right w:w="108" w:type="dxa"/>
            </w:tcMar>
            <w:hideMark/>
          </w:tcPr>
          <w:p w:rsidR="005B03BB" w:rsidRPr="00C34E1B" w:rsidRDefault="005B03BB" w:rsidP="006C308E">
            <w:pPr>
              <w:rPr>
                <w:rFonts w:asciiTheme="majorHAnsi" w:hAnsiTheme="majorHAnsi" w:cstheme="majorHAnsi"/>
                <w:color w:val="000000"/>
                <w:sz w:val="20"/>
                <w:szCs w:val="20"/>
              </w:rPr>
            </w:pPr>
            <w:r w:rsidRPr="00C34E1B">
              <w:rPr>
                <w:rFonts w:asciiTheme="majorHAnsi" w:hAnsiTheme="majorHAnsi" w:cstheme="majorHAnsi"/>
                <w:color w:val="000000"/>
                <w:sz w:val="20"/>
                <w:szCs w:val="20"/>
              </w:rPr>
              <w:t>12. Explain an ecological perspective on the connections among human health, animal health and ecosystem health (e.g., One Health)</w:t>
            </w:r>
          </w:p>
        </w:tc>
        <w:tc>
          <w:tcPr>
            <w:tcW w:w="1667" w:type="pct"/>
            <w:tcMar>
              <w:top w:w="0" w:type="dxa"/>
              <w:left w:w="108" w:type="dxa"/>
              <w:bottom w:w="0" w:type="dxa"/>
              <w:right w:w="108" w:type="dxa"/>
            </w:tcMar>
          </w:tcPr>
          <w:p w:rsidR="005B03BB" w:rsidRPr="00C34E1B" w:rsidRDefault="005B03BB" w:rsidP="006C308E">
            <w:pPr>
              <w:rPr>
                <w:rFonts w:asciiTheme="majorHAnsi" w:hAnsiTheme="majorHAnsi" w:cstheme="majorHAnsi"/>
                <w:b/>
                <w:sz w:val="20"/>
                <w:szCs w:val="20"/>
              </w:rPr>
            </w:pPr>
            <w:r w:rsidRPr="00C34E1B">
              <w:rPr>
                <w:rFonts w:asciiTheme="majorHAnsi" w:hAnsiTheme="majorHAnsi" w:cstheme="majorHAnsi"/>
                <w:b/>
                <w:bCs/>
                <w:iCs/>
                <w:color w:val="000000"/>
                <w:sz w:val="20"/>
                <w:szCs w:val="20"/>
              </w:rPr>
              <w:t>PH 101</w:t>
            </w:r>
            <w:r w:rsidRPr="00C34E1B">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5B03BB" w:rsidRPr="00C34E1B" w:rsidRDefault="005B03BB" w:rsidP="006C308E">
            <w:pPr>
              <w:rPr>
                <w:rFonts w:asciiTheme="majorHAnsi" w:hAnsiTheme="majorHAnsi" w:cstheme="majorHAnsi"/>
                <w:sz w:val="20"/>
                <w:szCs w:val="20"/>
              </w:rPr>
            </w:pPr>
            <w:r w:rsidRPr="00C34E1B">
              <w:rPr>
                <w:rFonts w:asciiTheme="majorHAnsi" w:hAnsiTheme="majorHAnsi" w:cstheme="majorHAnsi"/>
                <w:sz w:val="20"/>
                <w:szCs w:val="20"/>
              </w:rPr>
              <w:t>Online exam for Module One Health</w:t>
            </w:r>
          </w:p>
          <w:p w:rsidR="005B03BB" w:rsidRPr="00C34E1B" w:rsidRDefault="005B03BB" w:rsidP="006C308E">
            <w:pPr>
              <w:rPr>
                <w:rFonts w:asciiTheme="majorHAnsi" w:hAnsiTheme="majorHAnsi" w:cstheme="majorHAnsi"/>
                <w:sz w:val="20"/>
                <w:szCs w:val="20"/>
              </w:rPr>
            </w:pPr>
          </w:p>
        </w:tc>
      </w:tr>
    </w:tbl>
    <w:p w:rsidR="005B03BB" w:rsidRPr="00C34E1B" w:rsidRDefault="005B03BB" w:rsidP="006C308E">
      <w:pPr>
        <w:shd w:val="clear" w:color="auto" w:fill="FFFFFF"/>
        <w:ind w:left="720"/>
        <w:rPr>
          <w:rStyle w:val="Hyperlink"/>
          <w:rFonts w:asciiTheme="majorHAnsi" w:hAnsiTheme="majorHAnsi" w:cstheme="majorHAnsi"/>
          <w:sz w:val="20"/>
          <w:szCs w:val="20"/>
        </w:rPr>
      </w:pPr>
    </w:p>
    <w:p w:rsidR="00590884" w:rsidRPr="00C34E1B" w:rsidRDefault="00590884" w:rsidP="00590884">
      <w:pPr>
        <w:shd w:val="clear" w:color="auto" w:fill="FFFFFF"/>
        <w:ind w:left="720"/>
        <w:jc w:val="both"/>
        <w:rPr>
          <w:rFonts w:asciiTheme="majorHAnsi" w:eastAsia="Arial Unicode MS" w:hAnsiTheme="majorHAnsi" w:cstheme="majorHAnsi"/>
          <w:sz w:val="20"/>
          <w:szCs w:val="20"/>
        </w:rPr>
      </w:pPr>
      <w:r w:rsidRPr="00C34E1B">
        <w:rPr>
          <w:rFonts w:asciiTheme="majorHAnsi" w:eastAsia="Arial Unicode MS" w:hAnsiTheme="majorHAnsi" w:cstheme="majorHAnsi"/>
          <w:sz w:val="20"/>
          <w:szCs w:val="20"/>
        </w:rPr>
        <w:t>Associated documents in the electronic resource file:</w:t>
      </w:r>
    </w:p>
    <w:p w:rsidR="00590884" w:rsidRPr="00C34E1B" w:rsidRDefault="002F6672" w:rsidP="002F6672">
      <w:pPr>
        <w:pStyle w:val="ListParagraph"/>
        <w:numPr>
          <w:ilvl w:val="0"/>
          <w:numId w:val="138"/>
        </w:numPr>
        <w:shd w:val="clear" w:color="auto" w:fill="FFFFFF"/>
        <w:rPr>
          <w:rFonts w:asciiTheme="majorHAnsi" w:eastAsia="Arial Unicode MS" w:hAnsiTheme="majorHAnsi" w:cstheme="majorHAnsi"/>
          <w:i/>
          <w:szCs w:val="20"/>
        </w:rPr>
      </w:pPr>
      <w:r w:rsidRPr="00C34E1B">
        <w:rPr>
          <w:rFonts w:asciiTheme="majorHAnsi" w:eastAsia="Arial Unicode MS" w:hAnsiTheme="majorHAnsi" w:cstheme="majorHAnsi"/>
          <w:i/>
          <w:szCs w:val="20"/>
        </w:rPr>
        <w:t>D17.2. Content Coverage for Academic Public Health Masters Degrees</w:t>
      </w:r>
    </w:p>
    <w:p w:rsidR="00590884" w:rsidRPr="00C34E1B" w:rsidRDefault="00590884" w:rsidP="00590884">
      <w:pPr>
        <w:pStyle w:val="ListParagraph"/>
        <w:numPr>
          <w:ilvl w:val="1"/>
          <w:numId w:val="138"/>
        </w:numPr>
        <w:shd w:val="clear" w:color="auto" w:fill="FFFFFF"/>
        <w:rPr>
          <w:rFonts w:asciiTheme="majorHAnsi" w:eastAsia="Arial Unicode MS" w:hAnsiTheme="majorHAnsi" w:cstheme="majorHAnsi"/>
          <w:i/>
          <w:szCs w:val="20"/>
        </w:rPr>
      </w:pPr>
      <w:r w:rsidRPr="00C34E1B">
        <w:rPr>
          <w:rFonts w:asciiTheme="majorHAnsi" w:hAnsiTheme="majorHAnsi" w:cstheme="majorHAnsi"/>
          <w:i/>
          <w:szCs w:val="20"/>
        </w:rPr>
        <w:t>PH 101 Foundations in Public Health, Syllabus</w:t>
      </w:r>
    </w:p>
    <w:p w:rsidR="00590884" w:rsidRPr="00C34E1B" w:rsidRDefault="00590884" w:rsidP="00590884">
      <w:pPr>
        <w:pStyle w:val="ListParagraph"/>
        <w:numPr>
          <w:ilvl w:val="1"/>
          <w:numId w:val="138"/>
        </w:numPr>
        <w:shd w:val="clear" w:color="auto" w:fill="FFFFFF"/>
        <w:rPr>
          <w:rFonts w:asciiTheme="majorHAnsi" w:eastAsia="Arial Unicode MS" w:hAnsiTheme="majorHAnsi" w:cstheme="majorHAnsi"/>
          <w:i/>
          <w:szCs w:val="20"/>
        </w:rPr>
      </w:pPr>
      <w:r w:rsidRPr="00C34E1B">
        <w:rPr>
          <w:rFonts w:asciiTheme="majorHAnsi" w:hAnsiTheme="majorHAnsi" w:cstheme="majorHAnsi"/>
          <w:i/>
          <w:szCs w:val="20"/>
        </w:rPr>
        <w:t>PH 101 Foundations in Public Health, Exams</w:t>
      </w:r>
    </w:p>
    <w:p w:rsidR="00590884" w:rsidRPr="00C34E1B" w:rsidRDefault="00590884" w:rsidP="00590884">
      <w:pPr>
        <w:pStyle w:val="ListParagraph"/>
        <w:numPr>
          <w:ilvl w:val="1"/>
          <w:numId w:val="138"/>
        </w:numPr>
        <w:shd w:val="clear" w:color="auto" w:fill="FFFFFF"/>
        <w:rPr>
          <w:rFonts w:asciiTheme="majorHAnsi" w:eastAsia="Arial Unicode MS" w:hAnsiTheme="majorHAnsi" w:cstheme="majorHAnsi"/>
          <w:i/>
          <w:szCs w:val="20"/>
        </w:rPr>
      </w:pPr>
      <w:r w:rsidRPr="00C34E1B">
        <w:rPr>
          <w:rFonts w:asciiTheme="majorHAnsi" w:eastAsia="Arial Unicode MS" w:hAnsiTheme="majorHAnsi" w:cstheme="majorHAnsi"/>
          <w:i/>
          <w:szCs w:val="20"/>
        </w:rPr>
        <w:t xml:space="preserve">PH 101 Waiver Request Form </w:t>
      </w:r>
    </w:p>
    <w:p w:rsidR="00590884" w:rsidRPr="00C34E1B" w:rsidRDefault="00590884" w:rsidP="006C308E">
      <w:pPr>
        <w:shd w:val="clear" w:color="auto" w:fill="FFFFFF"/>
        <w:ind w:left="720"/>
        <w:rPr>
          <w:rStyle w:val="Hyperlink"/>
          <w:rFonts w:asciiTheme="majorHAnsi" w:hAnsiTheme="majorHAnsi" w:cstheme="majorHAnsi"/>
          <w:sz w:val="20"/>
          <w:szCs w:val="20"/>
        </w:rPr>
      </w:pPr>
    </w:p>
    <w:p w:rsidR="00933038" w:rsidRPr="00C34E1B" w:rsidRDefault="00933038" w:rsidP="006C308E">
      <w:pPr>
        <w:numPr>
          <w:ilvl w:val="0"/>
          <w:numId w:val="28"/>
        </w:numPr>
        <w:jc w:val="both"/>
        <w:rPr>
          <w:rFonts w:asciiTheme="majorHAnsi" w:eastAsia="Arial Unicode MS" w:hAnsiTheme="majorHAnsi" w:cstheme="majorHAnsi"/>
          <w:sz w:val="20"/>
          <w:szCs w:val="20"/>
        </w:rPr>
      </w:pPr>
      <w:r w:rsidRPr="00C34E1B">
        <w:rPr>
          <w:rFonts w:asciiTheme="majorHAnsi" w:eastAsia="Arial Unicode MS" w:hAnsiTheme="majorHAnsi" w:cstheme="majorHAnsi"/>
          <w:sz w:val="20"/>
          <w:szCs w:val="20"/>
        </w:rPr>
        <w:t xml:space="preserve">Provide a matrix, in the format of Template D17-2, that lists competencies for each relevant degree and concentration. The matrix indicates at least one assessment activity for each of the listed competencies. Typically, the school will present a separate matrix for each concentration. Note: these competencies are defined by the school and are distinct from the foundational public health learning objectives defined in this criterion. </w:t>
      </w:r>
    </w:p>
    <w:p w:rsidR="00933038" w:rsidRPr="00C34E1B" w:rsidRDefault="00933038" w:rsidP="006C308E">
      <w:pPr>
        <w:jc w:val="both"/>
        <w:rPr>
          <w:rFonts w:asciiTheme="majorHAnsi" w:eastAsia="Arial Unicode MS" w:hAnsiTheme="majorHAnsi" w:cstheme="majorHAnsi"/>
          <w:sz w:val="20"/>
          <w:szCs w:val="20"/>
        </w:rPr>
      </w:pPr>
    </w:p>
    <w:p w:rsidR="006B4377" w:rsidRPr="00C34E1B" w:rsidRDefault="006B4377" w:rsidP="006E28EE">
      <w:pPr>
        <w:ind w:left="720"/>
        <w:rPr>
          <w:rFonts w:asciiTheme="majorHAnsi" w:eastAsia="Arial Unicode MS" w:hAnsiTheme="majorHAnsi" w:cstheme="majorHAnsi"/>
          <w:sz w:val="20"/>
          <w:szCs w:val="20"/>
        </w:rPr>
      </w:pPr>
      <w:r w:rsidRPr="00C34E1B">
        <w:rPr>
          <w:rFonts w:asciiTheme="majorHAnsi" w:eastAsia="Arial Unicode MS" w:hAnsiTheme="majorHAnsi" w:cstheme="majorHAnsi"/>
          <w:sz w:val="20"/>
          <w:szCs w:val="20"/>
        </w:rPr>
        <w:t xml:space="preserve">Documentation to validate didactic coverage and assessment of competencies for the MS in Biostatistics program </w:t>
      </w:r>
      <w:r w:rsidR="008C31AD">
        <w:rPr>
          <w:rFonts w:asciiTheme="majorHAnsi" w:eastAsia="Arial Unicode MS" w:hAnsiTheme="majorHAnsi" w:cstheme="majorHAnsi"/>
          <w:sz w:val="20"/>
          <w:szCs w:val="20"/>
        </w:rPr>
        <w:t>is available in the electronic resource file</w:t>
      </w:r>
      <w:r w:rsidRPr="00C34E1B">
        <w:rPr>
          <w:rFonts w:asciiTheme="majorHAnsi" w:eastAsia="Arial Unicode MS" w:hAnsiTheme="majorHAnsi" w:cstheme="majorHAnsi"/>
          <w:sz w:val="20"/>
          <w:szCs w:val="20"/>
        </w:rPr>
        <w:t xml:space="preserve"> (</w:t>
      </w:r>
      <w:r w:rsidR="00B25380" w:rsidRPr="00C34E1B">
        <w:rPr>
          <w:rStyle w:val="Hyperlink"/>
          <w:rFonts w:asciiTheme="majorHAnsi" w:hAnsiTheme="majorHAnsi" w:cstheme="majorHAnsi"/>
          <w:i/>
          <w:color w:val="auto"/>
          <w:sz w:val="20"/>
          <w:szCs w:val="20"/>
          <w:u w:val="none"/>
        </w:rPr>
        <w:t>ERF, D17.3. MS in Biostatistics</w:t>
      </w:r>
      <w:r w:rsidRPr="00C34E1B">
        <w:rPr>
          <w:rFonts w:asciiTheme="majorHAnsi" w:eastAsia="Arial Unicode MS" w:hAnsiTheme="majorHAnsi" w:cstheme="majorHAnsi"/>
          <w:sz w:val="20"/>
          <w:szCs w:val="20"/>
        </w:rPr>
        <w:t xml:space="preserve">). </w:t>
      </w:r>
    </w:p>
    <w:p w:rsidR="006B4377" w:rsidRPr="00C34E1B" w:rsidRDefault="006B4377" w:rsidP="006E28EE">
      <w:pPr>
        <w:ind w:left="720"/>
        <w:rPr>
          <w:rFonts w:asciiTheme="majorHAnsi" w:eastAsia="Arial Unicode MS" w:hAnsiTheme="majorHAnsi" w:cstheme="majorHAnsi"/>
          <w:sz w:val="20"/>
          <w:szCs w:val="20"/>
        </w:rPr>
      </w:pPr>
    </w:p>
    <w:p w:rsidR="006B4377" w:rsidRPr="00C34E1B" w:rsidRDefault="006B4377" w:rsidP="006E28EE">
      <w:pPr>
        <w:ind w:left="720"/>
        <w:rPr>
          <w:rFonts w:asciiTheme="majorHAnsi" w:eastAsia="Arial Unicode MS" w:hAnsiTheme="majorHAnsi" w:cstheme="majorHAnsi"/>
          <w:sz w:val="20"/>
          <w:szCs w:val="20"/>
        </w:rPr>
      </w:pPr>
    </w:p>
    <w:p w:rsidR="00B25380" w:rsidRPr="00C34E1B" w:rsidRDefault="00B25380" w:rsidP="006E28EE">
      <w:pPr>
        <w:ind w:left="720"/>
        <w:rPr>
          <w:rFonts w:asciiTheme="majorHAnsi" w:eastAsia="Arial Unicode MS" w:hAnsiTheme="majorHAnsi" w:cstheme="majorHAnsi"/>
          <w:sz w:val="20"/>
          <w:szCs w:val="20"/>
        </w:rPr>
      </w:pPr>
    </w:p>
    <w:p w:rsidR="007D13E2" w:rsidRDefault="007D13E2" w:rsidP="006E28EE">
      <w:pPr>
        <w:ind w:left="720"/>
        <w:rPr>
          <w:rFonts w:asciiTheme="majorHAnsi" w:hAnsiTheme="majorHAnsi" w:cstheme="majorHAnsi"/>
          <w:sz w:val="20"/>
          <w:szCs w:val="20"/>
        </w:rPr>
      </w:pPr>
    </w:p>
    <w:p w:rsidR="006D0FB6" w:rsidRDefault="006D0FB6" w:rsidP="006E28EE">
      <w:pPr>
        <w:ind w:left="720"/>
        <w:rPr>
          <w:rFonts w:asciiTheme="majorHAnsi" w:hAnsiTheme="majorHAnsi" w:cstheme="majorHAnsi"/>
          <w:sz w:val="20"/>
          <w:szCs w:val="20"/>
        </w:rPr>
      </w:pPr>
    </w:p>
    <w:p w:rsidR="006D0FB6" w:rsidRDefault="006D0FB6" w:rsidP="006E28EE">
      <w:pPr>
        <w:ind w:left="720"/>
        <w:rPr>
          <w:rFonts w:asciiTheme="majorHAnsi" w:hAnsiTheme="majorHAnsi" w:cstheme="majorHAnsi"/>
          <w:sz w:val="20"/>
          <w:szCs w:val="20"/>
        </w:rPr>
      </w:pPr>
    </w:p>
    <w:p w:rsidR="006D0FB6" w:rsidRDefault="006D0FB6" w:rsidP="006E28EE">
      <w:pPr>
        <w:ind w:left="720"/>
        <w:rPr>
          <w:rFonts w:asciiTheme="majorHAnsi" w:hAnsiTheme="majorHAnsi" w:cstheme="majorHAnsi"/>
          <w:sz w:val="20"/>
          <w:szCs w:val="20"/>
        </w:rPr>
      </w:pPr>
    </w:p>
    <w:p w:rsidR="006D0FB6" w:rsidRDefault="006D0FB6" w:rsidP="006E28EE">
      <w:pPr>
        <w:ind w:left="720"/>
        <w:rPr>
          <w:rFonts w:asciiTheme="majorHAnsi" w:hAnsiTheme="majorHAnsi" w:cstheme="majorHAnsi"/>
          <w:sz w:val="20"/>
          <w:szCs w:val="20"/>
        </w:rPr>
      </w:pPr>
    </w:p>
    <w:p w:rsidR="006D0FB6" w:rsidRPr="00C34E1B" w:rsidRDefault="006D0FB6" w:rsidP="006E28EE">
      <w:pPr>
        <w:ind w:left="720"/>
        <w:rPr>
          <w:rFonts w:asciiTheme="majorHAnsi" w:hAnsiTheme="majorHAnsi" w:cstheme="majorHAnsi"/>
          <w:sz w:val="20"/>
          <w:szCs w:val="20"/>
        </w:rPr>
      </w:pPr>
    </w:p>
    <w:p w:rsidR="00933038" w:rsidRPr="00326F5C" w:rsidRDefault="007B53B7" w:rsidP="006C308E">
      <w:pPr>
        <w:ind w:left="720"/>
        <w:jc w:val="both"/>
        <w:rPr>
          <w:rStyle w:val="Hyperlink"/>
          <w:rFonts w:asciiTheme="majorHAnsi" w:hAnsiTheme="majorHAnsi" w:cstheme="majorHAnsi"/>
          <w:sz w:val="20"/>
          <w:szCs w:val="20"/>
          <w:u w:val="none"/>
        </w:rPr>
      </w:pPr>
      <w:bookmarkStart w:id="110" w:name="D173a"/>
      <w:r w:rsidRPr="00326F5C">
        <w:rPr>
          <w:rFonts w:asciiTheme="majorHAnsi" w:hAnsiTheme="majorHAnsi" w:cstheme="majorHAnsi"/>
          <w:sz w:val="20"/>
          <w:szCs w:val="20"/>
        </w:rPr>
        <w:t>Table D</w:t>
      </w:r>
      <w:r w:rsidR="00E94C84" w:rsidRPr="00326F5C">
        <w:rPr>
          <w:rFonts w:asciiTheme="majorHAnsi" w:hAnsiTheme="majorHAnsi" w:cstheme="majorHAnsi"/>
          <w:sz w:val="20"/>
          <w:szCs w:val="20"/>
        </w:rPr>
        <w:t>.</w:t>
      </w:r>
      <w:r w:rsidRPr="00326F5C">
        <w:rPr>
          <w:rFonts w:asciiTheme="majorHAnsi" w:hAnsiTheme="majorHAnsi" w:cstheme="majorHAnsi"/>
          <w:sz w:val="20"/>
          <w:szCs w:val="20"/>
        </w:rPr>
        <w:t>17.3</w:t>
      </w:r>
      <w:r w:rsidR="00E94C84" w:rsidRPr="00326F5C">
        <w:rPr>
          <w:rFonts w:asciiTheme="majorHAnsi" w:hAnsiTheme="majorHAnsi" w:cstheme="majorHAnsi"/>
          <w:sz w:val="20"/>
          <w:szCs w:val="20"/>
        </w:rPr>
        <w:t>.</w:t>
      </w:r>
      <w:r w:rsidRPr="00326F5C">
        <w:rPr>
          <w:rFonts w:asciiTheme="majorHAnsi" w:hAnsiTheme="majorHAnsi" w:cstheme="majorHAnsi"/>
          <w:sz w:val="20"/>
          <w:szCs w:val="20"/>
        </w:rPr>
        <w:t>a.</w:t>
      </w:r>
      <w:bookmarkEnd w:id="110"/>
      <w:r w:rsidRPr="00326F5C">
        <w:rPr>
          <w:rFonts w:asciiTheme="majorHAnsi" w:hAnsiTheme="majorHAnsi" w:cstheme="majorHAnsi"/>
          <w:sz w:val="20"/>
          <w:szCs w:val="20"/>
        </w:rPr>
        <w:t xml:space="preserve"> Assessment of Competencies for MS Degree in Biostatistics</w:t>
      </w:r>
      <w:r w:rsidR="007B4EB7" w:rsidRPr="00326F5C">
        <w:rPr>
          <w:rStyle w:val="Hyperlink"/>
          <w:rFonts w:asciiTheme="majorHAnsi" w:hAnsiTheme="majorHAnsi" w:cstheme="majorHAnsi"/>
          <w:color w:val="auto"/>
          <w:sz w:val="20"/>
          <w:szCs w:val="20"/>
          <w:u w:val="none"/>
        </w:rPr>
        <w:t xml:space="preserve"> </w:t>
      </w:r>
      <w:r w:rsidR="00AD47C6" w:rsidRPr="00326F5C">
        <w:rPr>
          <w:rStyle w:val="Hyperlink"/>
          <w:rFonts w:asciiTheme="majorHAnsi" w:hAnsiTheme="majorHAnsi" w:cstheme="majorHAnsi"/>
          <w:color w:val="auto"/>
          <w:sz w:val="20"/>
          <w:szCs w:val="20"/>
          <w:u w:val="none"/>
        </w:rPr>
        <w:t>(</w:t>
      </w:r>
      <w:r w:rsidR="00AD47C6" w:rsidRPr="00326F5C">
        <w:rPr>
          <w:rStyle w:val="Hyperlink"/>
          <w:rFonts w:asciiTheme="majorHAnsi" w:hAnsiTheme="majorHAnsi" w:cstheme="majorHAnsi"/>
          <w:i/>
          <w:color w:val="auto"/>
          <w:sz w:val="20"/>
          <w:szCs w:val="20"/>
          <w:u w:val="none"/>
        </w:rPr>
        <w:t>ERF, D17.3. MS in Biostatistics</w:t>
      </w:r>
      <w:r w:rsidR="00AD47C6" w:rsidRPr="00326F5C">
        <w:rPr>
          <w:rStyle w:val="Hyperlink"/>
          <w:rFonts w:asciiTheme="majorHAnsi" w:hAnsiTheme="majorHAnsi" w:cstheme="majorHAnsi"/>
          <w:color w:val="auto"/>
          <w:sz w:val="20"/>
          <w:szCs w:val="20"/>
          <w:u w:val="none"/>
        </w:rPr>
        <w:t>)</w:t>
      </w:r>
    </w:p>
    <w:tbl>
      <w:tblPr>
        <w:tblW w:w="467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2430"/>
        <w:gridCol w:w="4234"/>
      </w:tblGrid>
      <w:tr w:rsidR="003555DB" w:rsidRPr="00326F5C" w:rsidTr="00DE072A">
        <w:trPr>
          <w:cantSplit/>
          <w:trHeight w:val="201"/>
          <w:tblHeader/>
        </w:trPr>
        <w:tc>
          <w:tcPr>
            <w:tcW w:w="1185" w:type="pct"/>
            <w:shd w:val="clear" w:color="000000" w:fill="D9D9D9"/>
            <w:hideMark/>
          </w:tcPr>
          <w:p w:rsidR="003555DB" w:rsidRPr="00326F5C" w:rsidRDefault="003555DB" w:rsidP="006C308E">
            <w:pPr>
              <w:jc w:val="center"/>
              <w:rPr>
                <w:rFonts w:asciiTheme="majorHAnsi" w:eastAsia="Times New Roman" w:hAnsiTheme="majorHAnsi" w:cstheme="majorHAnsi"/>
                <w:b/>
                <w:bCs/>
                <w:color w:val="000000"/>
                <w:sz w:val="20"/>
                <w:szCs w:val="20"/>
              </w:rPr>
            </w:pPr>
            <w:r w:rsidRPr="00326F5C">
              <w:rPr>
                <w:rFonts w:asciiTheme="majorHAnsi" w:eastAsia="Times New Roman" w:hAnsiTheme="majorHAnsi" w:cstheme="majorHAnsi"/>
                <w:b/>
                <w:bCs/>
                <w:color w:val="000000"/>
                <w:sz w:val="20"/>
                <w:szCs w:val="20"/>
              </w:rPr>
              <w:t>Competency</w:t>
            </w:r>
          </w:p>
        </w:tc>
        <w:tc>
          <w:tcPr>
            <w:tcW w:w="1391" w:type="pct"/>
            <w:shd w:val="clear" w:color="000000" w:fill="D9D9D9"/>
          </w:tcPr>
          <w:p w:rsidR="003555DB" w:rsidRPr="00326F5C" w:rsidRDefault="003555DB" w:rsidP="006C308E">
            <w:pPr>
              <w:jc w:val="center"/>
              <w:rPr>
                <w:rFonts w:asciiTheme="majorHAnsi" w:eastAsia="Times New Roman" w:hAnsiTheme="majorHAnsi" w:cstheme="majorHAnsi"/>
                <w:b/>
                <w:bCs/>
                <w:color w:val="000000"/>
                <w:sz w:val="20"/>
                <w:szCs w:val="20"/>
              </w:rPr>
            </w:pPr>
            <w:r w:rsidRPr="00326F5C">
              <w:rPr>
                <w:rFonts w:asciiTheme="majorHAnsi" w:eastAsia="Times New Roman" w:hAnsiTheme="majorHAnsi" w:cstheme="majorHAnsi"/>
                <w:b/>
                <w:bCs/>
                <w:color w:val="000000"/>
                <w:sz w:val="20"/>
                <w:szCs w:val="20"/>
              </w:rPr>
              <w:t>Course number(s) and name(s)</w:t>
            </w:r>
          </w:p>
        </w:tc>
        <w:tc>
          <w:tcPr>
            <w:tcW w:w="2424" w:type="pct"/>
            <w:shd w:val="clear" w:color="000000" w:fill="D9D9D9"/>
            <w:hideMark/>
          </w:tcPr>
          <w:p w:rsidR="003555DB" w:rsidRPr="00326F5C" w:rsidRDefault="003555DB" w:rsidP="006C308E">
            <w:pPr>
              <w:jc w:val="center"/>
              <w:rPr>
                <w:rFonts w:asciiTheme="majorHAnsi" w:eastAsia="Times New Roman" w:hAnsiTheme="majorHAnsi" w:cstheme="majorHAnsi"/>
                <w:b/>
                <w:bCs/>
                <w:color w:val="000000"/>
                <w:sz w:val="20"/>
                <w:szCs w:val="20"/>
              </w:rPr>
            </w:pPr>
            <w:r w:rsidRPr="00326F5C">
              <w:rPr>
                <w:rFonts w:asciiTheme="majorHAnsi" w:eastAsia="Times New Roman" w:hAnsiTheme="majorHAnsi" w:cstheme="majorHAnsi"/>
                <w:b/>
                <w:bCs/>
                <w:color w:val="000000"/>
                <w:sz w:val="20"/>
                <w:szCs w:val="20"/>
              </w:rPr>
              <w:t>Specific assessment opportunity</w:t>
            </w:r>
          </w:p>
        </w:tc>
      </w:tr>
      <w:tr w:rsidR="003555DB" w:rsidRPr="00326F5C" w:rsidTr="00DE072A">
        <w:trPr>
          <w:cantSplit/>
          <w:trHeight w:val="201"/>
        </w:trPr>
        <w:tc>
          <w:tcPr>
            <w:tcW w:w="1185" w:type="pct"/>
            <w:vMerge w:val="restart"/>
            <w:shd w:val="clear" w:color="auto" w:fill="auto"/>
          </w:tcPr>
          <w:p w:rsidR="003555DB" w:rsidRPr="00326F5C" w:rsidRDefault="003555DB" w:rsidP="006C308E">
            <w:pPr>
              <w:rPr>
                <w:rFonts w:asciiTheme="majorHAnsi" w:hAnsiTheme="majorHAnsi" w:cstheme="majorHAnsi"/>
                <w:color w:val="000000"/>
                <w:sz w:val="20"/>
                <w:szCs w:val="20"/>
              </w:rPr>
            </w:pPr>
            <w:r w:rsidRPr="00326F5C">
              <w:rPr>
                <w:rFonts w:asciiTheme="majorHAnsi" w:hAnsiTheme="majorHAnsi" w:cstheme="majorHAnsi"/>
                <w:color w:val="000000"/>
                <w:sz w:val="20"/>
                <w:szCs w:val="20"/>
              </w:rPr>
              <w:t>MS-B1. Use appropriate statistical methods and models to analyze data from the public health, biomedical, or bioinformatics arena.</w:t>
            </w:r>
          </w:p>
        </w:tc>
        <w:tc>
          <w:tcPr>
            <w:tcW w:w="1391" w:type="pct"/>
          </w:tcPr>
          <w:p w:rsidR="003555DB" w:rsidRPr="00326F5C" w:rsidRDefault="003555DB" w:rsidP="00AA39F8">
            <w:pPr>
              <w:rPr>
                <w:rFonts w:asciiTheme="majorHAnsi" w:eastAsia="Times New Roman" w:hAnsiTheme="majorHAnsi" w:cstheme="majorHAnsi"/>
                <w:b/>
                <w:sz w:val="20"/>
                <w:szCs w:val="20"/>
              </w:rPr>
            </w:pPr>
            <w:r w:rsidRPr="00AF5600">
              <w:rPr>
                <w:rFonts w:asciiTheme="majorHAnsi" w:hAnsiTheme="majorHAnsi" w:cstheme="majorHAnsi"/>
                <w:b/>
                <w:sz w:val="20"/>
                <w:szCs w:val="20"/>
              </w:rPr>
              <w:t>PH 1700</w:t>
            </w:r>
            <w:r w:rsidRPr="00326F5C">
              <w:rPr>
                <w:rFonts w:asciiTheme="majorHAnsi" w:hAnsiTheme="majorHAnsi" w:cstheme="majorHAnsi"/>
                <w:sz w:val="20"/>
                <w:szCs w:val="20"/>
              </w:rPr>
              <w:t xml:space="preserve"> Intermediate Biostatistics</w:t>
            </w:r>
          </w:p>
        </w:tc>
        <w:tc>
          <w:tcPr>
            <w:tcW w:w="2424" w:type="pct"/>
            <w:shd w:val="clear" w:color="auto" w:fill="auto"/>
          </w:tcPr>
          <w:p w:rsidR="00641ACD" w:rsidRPr="00AF5600" w:rsidRDefault="00641ACD" w:rsidP="006C308E">
            <w:pPr>
              <w:rPr>
                <w:rFonts w:asciiTheme="majorHAnsi" w:eastAsia="Times New Roman" w:hAnsiTheme="majorHAnsi" w:cstheme="majorHAnsi"/>
                <w:sz w:val="20"/>
                <w:szCs w:val="20"/>
              </w:rPr>
            </w:pPr>
            <w:r w:rsidRPr="00AF5600">
              <w:rPr>
                <w:rFonts w:asciiTheme="majorHAnsi" w:hAnsiTheme="majorHAnsi" w:cstheme="majorHAnsi"/>
                <w:sz w:val="20"/>
                <w:szCs w:val="20"/>
              </w:rPr>
              <w:t>Midterm Exam</w:t>
            </w:r>
            <w:r w:rsidR="007B53B7" w:rsidRPr="00AF5600">
              <w:rPr>
                <w:rFonts w:asciiTheme="majorHAnsi" w:eastAsia="Times New Roman" w:hAnsiTheme="majorHAnsi" w:cstheme="majorHAnsi"/>
                <w:sz w:val="20"/>
                <w:szCs w:val="20"/>
              </w:rPr>
              <w:t xml:space="preserve"> (and </w:t>
            </w:r>
            <w:r w:rsidR="007B53B7" w:rsidRPr="00AF5600">
              <w:rPr>
                <w:rFonts w:asciiTheme="majorHAnsi" w:hAnsiTheme="majorHAnsi" w:cstheme="majorHAnsi"/>
                <w:sz w:val="20"/>
                <w:szCs w:val="20"/>
              </w:rPr>
              <w:t>STATA Output</w:t>
            </w:r>
            <w:r w:rsidR="007B53B7" w:rsidRPr="00AF5600">
              <w:rPr>
                <w:rFonts w:asciiTheme="majorHAnsi" w:eastAsia="Times New Roman" w:hAnsiTheme="majorHAnsi" w:cstheme="majorHAnsi"/>
                <w:sz w:val="20"/>
                <w:szCs w:val="20"/>
              </w:rPr>
              <w:t>)</w:t>
            </w:r>
            <w:r w:rsidRPr="00AF5600">
              <w:rPr>
                <w:rFonts w:asciiTheme="majorHAnsi" w:eastAsia="Times New Roman" w:hAnsiTheme="majorHAnsi" w:cstheme="majorHAnsi"/>
                <w:sz w:val="20"/>
                <w:szCs w:val="20"/>
              </w:rPr>
              <w:t>:</w:t>
            </w:r>
            <w:r w:rsidRPr="00AF5600">
              <w:rPr>
                <w:rFonts w:asciiTheme="majorHAnsi" w:hAnsiTheme="majorHAnsi" w:cstheme="majorHAnsi"/>
                <w:sz w:val="20"/>
                <w:szCs w:val="20"/>
              </w:rPr>
              <w:t xml:space="preserve"> </w:t>
            </w:r>
            <w:r w:rsidRPr="00AF5600">
              <w:rPr>
                <w:rFonts w:asciiTheme="majorHAnsi" w:eastAsia="Times New Roman" w:hAnsiTheme="majorHAnsi" w:cstheme="majorHAnsi"/>
                <w:sz w:val="20"/>
                <w:szCs w:val="20"/>
              </w:rPr>
              <w:t>Asks questions to identify appropriate test to perform, and perform the test using data or summaries of the data.</w:t>
            </w:r>
          </w:p>
          <w:p w:rsidR="00641ACD" w:rsidRPr="00AF5600" w:rsidRDefault="00641ACD" w:rsidP="006C308E">
            <w:pPr>
              <w:rPr>
                <w:rFonts w:asciiTheme="majorHAnsi" w:eastAsia="Times New Roman" w:hAnsiTheme="majorHAnsi" w:cstheme="majorHAnsi"/>
                <w:sz w:val="20"/>
                <w:szCs w:val="20"/>
              </w:rPr>
            </w:pPr>
          </w:p>
          <w:p w:rsidR="00637559" w:rsidRPr="00AF5600" w:rsidRDefault="00641ACD" w:rsidP="00AF5600">
            <w:pPr>
              <w:rPr>
                <w:rFonts w:asciiTheme="majorHAnsi" w:eastAsia="Times New Roman" w:hAnsiTheme="majorHAnsi" w:cstheme="majorHAnsi"/>
                <w:color w:val="FF0000"/>
                <w:sz w:val="20"/>
                <w:szCs w:val="20"/>
              </w:rPr>
            </w:pPr>
            <w:r w:rsidRPr="00AF5600">
              <w:rPr>
                <w:rFonts w:asciiTheme="majorHAnsi" w:hAnsiTheme="majorHAnsi" w:cstheme="majorHAnsi"/>
                <w:sz w:val="20"/>
                <w:szCs w:val="20"/>
              </w:rPr>
              <w:t>Assignment 5</w:t>
            </w:r>
            <w:r w:rsidR="005373A4" w:rsidRPr="00AF5600">
              <w:rPr>
                <w:rFonts w:asciiTheme="majorHAnsi" w:eastAsia="Times New Roman" w:hAnsiTheme="majorHAnsi" w:cstheme="majorHAnsi"/>
                <w:sz w:val="20"/>
                <w:szCs w:val="20"/>
              </w:rPr>
              <w:t xml:space="preserve"> </w:t>
            </w:r>
            <w:r w:rsidRPr="00AF5600">
              <w:rPr>
                <w:rFonts w:asciiTheme="majorHAnsi" w:eastAsia="Times New Roman" w:hAnsiTheme="majorHAnsi" w:cstheme="majorHAnsi"/>
                <w:sz w:val="20"/>
                <w:szCs w:val="20"/>
              </w:rPr>
              <w:t>(using STATA): Requests analyses of real data sets from the textbook. Each problem requires selecting the appropriate statistical method to analyze the data and performing the analysis using biomedical data (e.g. pain treatment while playing tennis).</w:t>
            </w:r>
          </w:p>
        </w:tc>
      </w:tr>
      <w:tr w:rsidR="003555DB" w:rsidRPr="00326F5C" w:rsidTr="00DE072A">
        <w:trPr>
          <w:cantSplit/>
          <w:trHeight w:val="201"/>
        </w:trPr>
        <w:tc>
          <w:tcPr>
            <w:tcW w:w="1185" w:type="pct"/>
            <w:vMerge/>
            <w:shd w:val="clear" w:color="auto" w:fill="auto"/>
            <w:hideMark/>
          </w:tcPr>
          <w:p w:rsidR="003555DB" w:rsidRPr="00326F5C" w:rsidRDefault="003555DB" w:rsidP="006C308E">
            <w:pPr>
              <w:rPr>
                <w:rFonts w:asciiTheme="majorHAnsi" w:hAnsiTheme="majorHAnsi" w:cstheme="majorHAnsi"/>
                <w:color w:val="000000"/>
                <w:sz w:val="20"/>
                <w:szCs w:val="20"/>
              </w:rPr>
            </w:pPr>
          </w:p>
        </w:tc>
        <w:tc>
          <w:tcPr>
            <w:tcW w:w="1391" w:type="pct"/>
          </w:tcPr>
          <w:p w:rsidR="003555DB" w:rsidRPr="00326F5C" w:rsidRDefault="003555DB" w:rsidP="006C308E">
            <w:pPr>
              <w:rPr>
                <w:rFonts w:asciiTheme="majorHAnsi" w:eastAsia="Times New Roman" w:hAnsiTheme="majorHAnsi" w:cstheme="majorHAnsi"/>
                <w:sz w:val="20"/>
                <w:szCs w:val="20"/>
              </w:rPr>
            </w:pPr>
            <w:r w:rsidRPr="00AF5600">
              <w:rPr>
                <w:rFonts w:asciiTheme="majorHAnsi" w:hAnsiTheme="majorHAnsi" w:cstheme="majorHAnsi"/>
                <w:b/>
                <w:sz w:val="20"/>
                <w:szCs w:val="20"/>
              </w:rPr>
              <w:t>PH 1820</w:t>
            </w:r>
            <w:r w:rsidRPr="00326F5C">
              <w:rPr>
                <w:rFonts w:asciiTheme="majorHAnsi" w:hAnsiTheme="majorHAnsi" w:cstheme="majorHAnsi"/>
                <w:sz w:val="20"/>
                <w:szCs w:val="20"/>
              </w:rPr>
              <w:t xml:space="preserve"> Applied Linear Regression</w:t>
            </w:r>
          </w:p>
          <w:p w:rsidR="003555DB" w:rsidRPr="00326F5C" w:rsidRDefault="003555DB" w:rsidP="006C308E">
            <w:pPr>
              <w:rPr>
                <w:rFonts w:asciiTheme="majorHAnsi" w:eastAsia="Times New Roman" w:hAnsiTheme="majorHAnsi" w:cstheme="majorHAnsi"/>
                <w:sz w:val="20"/>
                <w:szCs w:val="20"/>
              </w:rPr>
            </w:pPr>
          </w:p>
        </w:tc>
        <w:tc>
          <w:tcPr>
            <w:tcW w:w="2424" w:type="pct"/>
            <w:shd w:val="clear" w:color="auto" w:fill="auto"/>
          </w:tcPr>
          <w:p w:rsidR="003555DB" w:rsidRPr="00AF5600" w:rsidRDefault="00637559" w:rsidP="006C308E">
            <w:pPr>
              <w:rPr>
                <w:rFonts w:asciiTheme="majorHAnsi" w:eastAsia="Times New Roman" w:hAnsiTheme="majorHAnsi" w:cstheme="majorHAnsi"/>
                <w:color w:val="FF0000"/>
                <w:sz w:val="20"/>
                <w:szCs w:val="20"/>
              </w:rPr>
            </w:pPr>
            <w:r w:rsidRPr="00AF5600">
              <w:rPr>
                <w:rFonts w:asciiTheme="majorHAnsi" w:hAnsiTheme="majorHAnsi" w:cstheme="majorHAnsi"/>
                <w:sz w:val="20"/>
                <w:szCs w:val="20"/>
              </w:rPr>
              <w:t>Homework 4</w:t>
            </w:r>
            <w:r w:rsidRPr="00AF5600">
              <w:rPr>
                <w:rFonts w:asciiTheme="majorHAnsi" w:eastAsia="Times New Roman" w:hAnsiTheme="majorHAnsi" w:cstheme="majorHAnsi"/>
                <w:sz w:val="20"/>
                <w:szCs w:val="20"/>
              </w:rPr>
              <w:t xml:space="preserve"> and </w:t>
            </w:r>
            <w:r w:rsidRPr="00AF5600">
              <w:rPr>
                <w:rFonts w:asciiTheme="majorHAnsi" w:hAnsiTheme="majorHAnsi" w:cstheme="majorHAnsi"/>
                <w:sz w:val="20"/>
                <w:szCs w:val="20"/>
              </w:rPr>
              <w:t>Homework 6</w:t>
            </w:r>
            <w:r w:rsidRPr="00AF5600">
              <w:rPr>
                <w:rFonts w:asciiTheme="majorHAnsi" w:eastAsia="Times New Roman" w:hAnsiTheme="majorHAnsi" w:cstheme="majorHAnsi"/>
                <w:sz w:val="20"/>
                <w:szCs w:val="20"/>
              </w:rPr>
              <w:t>: These assignments guide students through performing an appropriate statistical analysis of real data, while providing a didactic example of outlining the analysis strategy</w:t>
            </w:r>
          </w:p>
        </w:tc>
      </w:tr>
      <w:tr w:rsidR="003555DB" w:rsidRPr="00326F5C" w:rsidTr="00DE072A">
        <w:trPr>
          <w:cantSplit/>
          <w:trHeight w:val="201"/>
        </w:trPr>
        <w:tc>
          <w:tcPr>
            <w:tcW w:w="1185" w:type="pct"/>
            <w:vMerge/>
            <w:shd w:val="clear" w:color="auto" w:fill="auto"/>
          </w:tcPr>
          <w:p w:rsidR="003555DB" w:rsidRPr="00326F5C" w:rsidRDefault="003555DB" w:rsidP="006C308E">
            <w:pPr>
              <w:rPr>
                <w:rFonts w:asciiTheme="majorHAnsi" w:hAnsiTheme="majorHAnsi" w:cstheme="majorHAnsi"/>
                <w:color w:val="000000"/>
                <w:sz w:val="20"/>
                <w:szCs w:val="20"/>
              </w:rPr>
            </w:pPr>
          </w:p>
        </w:tc>
        <w:tc>
          <w:tcPr>
            <w:tcW w:w="1391" w:type="pct"/>
          </w:tcPr>
          <w:p w:rsidR="003555DB" w:rsidRPr="00326F5C" w:rsidRDefault="003555DB" w:rsidP="00AA39F8">
            <w:pPr>
              <w:rPr>
                <w:rFonts w:asciiTheme="majorHAnsi" w:eastAsia="Times New Roman" w:hAnsiTheme="majorHAnsi" w:cstheme="majorHAnsi"/>
                <w:sz w:val="20"/>
                <w:szCs w:val="20"/>
              </w:rPr>
            </w:pPr>
            <w:r w:rsidRPr="00AF5600">
              <w:rPr>
                <w:rFonts w:asciiTheme="majorHAnsi" w:hAnsiTheme="majorHAnsi" w:cstheme="majorHAnsi"/>
                <w:b/>
                <w:sz w:val="20"/>
                <w:szCs w:val="20"/>
              </w:rPr>
              <w:t>PH 1821</w:t>
            </w:r>
            <w:r w:rsidRPr="00326F5C">
              <w:rPr>
                <w:rFonts w:asciiTheme="majorHAnsi" w:hAnsiTheme="majorHAnsi" w:cstheme="majorHAnsi"/>
                <w:sz w:val="20"/>
                <w:szCs w:val="20"/>
              </w:rPr>
              <w:t xml:space="preserve"> Applied Multivariate Analysis</w:t>
            </w:r>
          </w:p>
        </w:tc>
        <w:tc>
          <w:tcPr>
            <w:tcW w:w="2424" w:type="pct"/>
            <w:shd w:val="clear" w:color="auto" w:fill="auto"/>
          </w:tcPr>
          <w:p w:rsidR="003555DB" w:rsidRPr="00AF5600" w:rsidRDefault="00E14E76" w:rsidP="006C308E">
            <w:pPr>
              <w:rPr>
                <w:rFonts w:asciiTheme="majorHAnsi" w:eastAsia="Times New Roman" w:hAnsiTheme="majorHAnsi" w:cstheme="majorHAnsi"/>
                <w:sz w:val="20"/>
                <w:szCs w:val="20"/>
              </w:rPr>
            </w:pPr>
            <w:r w:rsidRPr="00AF5600">
              <w:rPr>
                <w:rFonts w:asciiTheme="majorHAnsi" w:hAnsiTheme="majorHAnsi" w:cstheme="majorHAnsi"/>
                <w:sz w:val="20"/>
                <w:szCs w:val="20"/>
              </w:rPr>
              <w:t>Final Project</w:t>
            </w:r>
            <w:r w:rsidR="00114C08" w:rsidRPr="00AF5600">
              <w:rPr>
                <w:rFonts w:asciiTheme="majorHAnsi" w:hAnsiTheme="majorHAnsi" w:cstheme="majorHAnsi"/>
                <w:sz w:val="20"/>
                <w:szCs w:val="20"/>
              </w:rPr>
              <w:t xml:space="preserve"> and Paper</w:t>
            </w:r>
            <w:r w:rsidRPr="00AF5600">
              <w:rPr>
                <w:rFonts w:asciiTheme="majorHAnsi" w:eastAsia="Times New Roman" w:hAnsiTheme="majorHAnsi" w:cstheme="majorHAnsi"/>
                <w:sz w:val="20"/>
                <w:szCs w:val="20"/>
              </w:rPr>
              <w:t xml:space="preserve">: The final project requires students to conduct an applied multivariate analysis, specifically MANOVA and complete a paper that includes details on the statistical analysis. Specifically, students must describe the scientific question being answered and the motivation of the multivariate analysis, describe the data, present details of the statistical analysis of data, and present limitations. </w:t>
            </w:r>
          </w:p>
          <w:p w:rsidR="00114C08" w:rsidRPr="00AF5600" w:rsidRDefault="00114C08" w:rsidP="006C308E">
            <w:pPr>
              <w:rPr>
                <w:rFonts w:asciiTheme="majorHAnsi" w:eastAsia="Times New Roman" w:hAnsiTheme="majorHAnsi" w:cstheme="majorHAnsi"/>
                <w:sz w:val="20"/>
                <w:szCs w:val="20"/>
              </w:rPr>
            </w:pPr>
          </w:p>
          <w:p w:rsidR="00114C08" w:rsidRPr="00AF5600" w:rsidRDefault="00114C08" w:rsidP="006C308E">
            <w:pPr>
              <w:rPr>
                <w:rFonts w:asciiTheme="majorHAnsi" w:eastAsia="Times New Roman" w:hAnsiTheme="majorHAnsi" w:cstheme="majorHAnsi"/>
                <w:sz w:val="20"/>
                <w:szCs w:val="20"/>
              </w:rPr>
            </w:pPr>
            <w:r w:rsidRPr="00AF5600">
              <w:rPr>
                <w:rFonts w:asciiTheme="majorHAnsi" w:hAnsiTheme="majorHAnsi" w:cstheme="majorHAnsi"/>
                <w:sz w:val="20"/>
                <w:szCs w:val="20"/>
              </w:rPr>
              <w:t>Midterm Exam</w:t>
            </w:r>
            <w:r w:rsidRPr="00AF5600">
              <w:rPr>
                <w:rFonts w:asciiTheme="majorHAnsi" w:eastAsia="Times New Roman" w:hAnsiTheme="majorHAnsi" w:cstheme="majorHAnsi"/>
                <w:sz w:val="20"/>
                <w:szCs w:val="20"/>
              </w:rPr>
              <w:t xml:space="preserve">: Students complete a midterm exam in which they must apply appropriate statistical methods to a variety of health-related data. </w:t>
            </w:r>
          </w:p>
        </w:tc>
      </w:tr>
      <w:tr w:rsidR="003555DB" w:rsidRPr="00326F5C" w:rsidTr="00DE072A">
        <w:trPr>
          <w:cantSplit/>
          <w:trHeight w:val="201"/>
        </w:trPr>
        <w:tc>
          <w:tcPr>
            <w:tcW w:w="1185" w:type="pct"/>
            <w:vMerge/>
            <w:shd w:val="clear" w:color="auto" w:fill="auto"/>
          </w:tcPr>
          <w:p w:rsidR="003555DB" w:rsidRPr="00326F5C" w:rsidRDefault="003555DB" w:rsidP="006C308E">
            <w:pPr>
              <w:rPr>
                <w:rFonts w:asciiTheme="majorHAnsi" w:hAnsiTheme="majorHAnsi" w:cstheme="majorHAnsi"/>
                <w:color w:val="000000"/>
                <w:sz w:val="20"/>
                <w:szCs w:val="20"/>
              </w:rPr>
            </w:pPr>
          </w:p>
        </w:tc>
        <w:tc>
          <w:tcPr>
            <w:tcW w:w="1391" w:type="pct"/>
          </w:tcPr>
          <w:p w:rsidR="003555DB" w:rsidRPr="00326F5C" w:rsidRDefault="003555DB" w:rsidP="00AA39F8">
            <w:pPr>
              <w:rPr>
                <w:rFonts w:asciiTheme="majorHAnsi" w:eastAsia="Times New Roman" w:hAnsiTheme="majorHAnsi" w:cstheme="majorHAnsi"/>
                <w:sz w:val="20"/>
                <w:szCs w:val="20"/>
              </w:rPr>
            </w:pPr>
            <w:r w:rsidRPr="00AF5600">
              <w:rPr>
                <w:rFonts w:asciiTheme="majorHAnsi" w:hAnsiTheme="majorHAnsi" w:cstheme="majorHAnsi"/>
                <w:b/>
                <w:sz w:val="20"/>
                <w:szCs w:val="20"/>
              </w:rPr>
              <w:t>PH 1830</w:t>
            </w:r>
            <w:r w:rsidRPr="00326F5C">
              <w:rPr>
                <w:rFonts w:asciiTheme="majorHAnsi" w:hAnsiTheme="majorHAnsi" w:cstheme="majorHAnsi"/>
                <w:sz w:val="20"/>
                <w:szCs w:val="20"/>
              </w:rPr>
              <w:t xml:space="preserve"> Categorical Data Analysis</w:t>
            </w:r>
            <w:r w:rsidR="002C0642" w:rsidRPr="00326F5C">
              <w:rPr>
                <w:rFonts w:asciiTheme="majorHAnsi" w:eastAsia="Times New Roman" w:hAnsiTheme="majorHAnsi" w:cstheme="majorHAnsi"/>
                <w:sz w:val="20"/>
                <w:szCs w:val="20"/>
              </w:rPr>
              <w:t xml:space="preserve"> </w:t>
            </w:r>
          </w:p>
        </w:tc>
        <w:tc>
          <w:tcPr>
            <w:tcW w:w="2424" w:type="pct"/>
            <w:shd w:val="clear" w:color="auto" w:fill="auto"/>
          </w:tcPr>
          <w:p w:rsidR="00266096" w:rsidRPr="00326F5C" w:rsidRDefault="00266096" w:rsidP="006C308E">
            <w:pPr>
              <w:rPr>
                <w:rFonts w:asciiTheme="majorHAnsi" w:eastAsia="Times New Roman" w:hAnsiTheme="majorHAnsi" w:cstheme="majorHAnsi"/>
                <w:sz w:val="20"/>
                <w:szCs w:val="20"/>
              </w:rPr>
            </w:pPr>
            <w:r w:rsidRPr="00326F5C">
              <w:rPr>
                <w:rFonts w:asciiTheme="majorHAnsi" w:hAnsiTheme="majorHAnsi" w:cstheme="majorHAnsi"/>
                <w:sz w:val="20"/>
                <w:szCs w:val="20"/>
              </w:rPr>
              <w:t>Midterm Exam, Question 1</w:t>
            </w:r>
            <w:r w:rsidRPr="00326F5C">
              <w:rPr>
                <w:rFonts w:asciiTheme="majorHAnsi" w:eastAsia="Times New Roman" w:hAnsiTheme="majorHAnsi" w:cstheme="majorHAnsi"/>
                <w:sz w:val="20"/>
                <w:szCs w:val="20"/>
              </w:rPr>
              <w:t>: Develop and describe a</w:t>
            </w:r>
            <w:r w:rsidR="0009446B" w:rsidRPr="00326F5C">
              <w:rPr>
                <w:rFonts w:asciiTheme="majorHAnsi" w:eastAsia="Times New Roman" w:hAnsiTheme="majorHAnsi" w:cstheme="majorHAnsi"/>
                <w:sz w:val="20"/>
                <w:szCs w:val="20"/>
              </w:rPr>
              <w:t>n appropriate statistical test/</w:t>
            </w:r>
            <w:r w:rsidRPr="00326F5C">
              <w:rPr>
                <w:rFonts w:asciiTheme="majorHAnsi" w:eastAsia="Times New Roman" w:hAnsiTheme="majorHAnsi" w:cstheme="majorHAnsi"/>
                <w:sz w:val="20"/>
                <w:szCs w:val="20"/>
              </w:rPr>
              <w:t xml:space="preserve">modeling strategy for the independence of row/column cell counts in this contingency table. The row represents ordinal drinking (number of drinks in a day) and column represents ordinal perceived stress score (0-4). </w:t>
            </w:r>
          </w:p>
          <w:p w:rsidR="00266096" w:rsidRPr="00326F5C" w:rsidRDefault="00266096" w:rsidP="006C308E">
            <w:pPr>
              <w:ind w:left="347"/>
              <w:rPr>
                <w:rFonts w:asciiTheme="majorHAnsi" w:eastAsia="Times New Roman" w:hAnsiTheme="majorHAnsi" w:cstheme="majorHAnsi"/>
                <w:sz w:val="20"/>
                <w:szCs w:val="20"/>
              </w:rPr>
            </w:pPr>
            <w:r w:rsidRPr="00326F5C">
              <w:rPr>
                <w:rFonts w:asciiTheme="majorHAnsi" w:eastAsia="Times New Roman" w:hAnsiTheme="majorHAnsi" w:cstheme="majorHAnsi"/>
                <w:sz w:val="20"/>
                <w:szCs w:val="20"/>
              </w:rPr>
              <w:t>1. Write out the hypothesis test for independence</w:t>
            </w:r>
          </w:p>
          <w:p w:rsidR="00266096" w:rsidRPr="00326F5C" w:rsidRDefault="00266096" w:rsidP="006C308E">
            <w:pPr>
              <w:ind w:left="347"/>
              <w:rPr>
                <w:rFonts w:asciiTheme="majorHAnsi" w:eastAsia="Times New Roman" w:hAnsiTheme="majorHAnsi" w:cstheme="majorHAnsi"/>
                <w:sz w:val="20"/>
                <w:szCs w:val="20"/>
              </w:rPr>
            </w:pPr>
            <w:r w:rsidRPr="00326F5C">
              <w:rPr>
                <w:rFonts w:asciiTheme="majorHAnsi" w:eastAsia="Times New Roman" w:hAnsiTheme="majorHAnsi" w:cstheme="majorHAnsi"/>
                <w:sz w:val="20"/>
                <w:szCs w:val="20"/>
              </w:rPr>
              <w:t>2. Choose and justify the appropriate test to use</w:t>
            </w:r>
          </w:p>
          <w:p w:rsidR="003555DB" w:rsidRPr="00326F5C" w:rsidRDefault="00266096" w:rsidP="006E28EE">
            <w:pPr>
              <w:ind w:left="347"/>
              <w:rPr>
                <w:rFonts w:asciiTheme="majorHAnsi" w:eastAsia="Times New Roman" w:hAnsiTheme="majorHAnsi" w:cstheme="majorHAnsi"/>
                <w:sz w:val="20"/>
                <w:szCs w:val="20"/>
              </w:rPr>
            </w:pPr>
            <w:r w:rsidRPr="00326F5C">
              <w:rPr>
                <w:rFonts w:asciiTheme="majorHAnsi" w:eastAsia="Times New Roman" w:hAnsiTheme="majorHAnsi" w:cstheme="majorHAnsi"/>
                <w:sz w:val="20"/>
                <w:szCs w:val="20"/>
              </w:rPr>
              <w:t>3. Carry out the full test, including test statistic, p-value, and a written conclusion.</w:t>
            </w:r>
          </w:p>
        </w:tc>
      </w:tr>
      <w:tr w:rsidR="003555DB" w:rsidRPr="00326F5C" w:rsidTr="00DE072A">
        <w:trPr>
          <w:cantSplit/>
          <w:trHeight w:val="191"/>
        </w:trPr>
        <w:tc>
          <w:tcPr>
            <w:tcW w:w="1185" w:type="pct"/>
            <w:vMerge w:val="restart"/>
            <w:shd w:val="clear" w:color="auto" w:fill="auto"/>
            <w:hideMark/>
          </w:tcPr>
          <w:p w:rsidR="003555DB" w:rsidRPr="00326F5C" w:rsidRDefault="003555DB" w:rsidP="006C308E">
            <w:pPr>
              <w:rPr>
                <w:rFonts w:asciiTheme="majorHAnsi" w:hAnsiTheme="majorHAnsi" w:cstheme="majorHAnsi"/>
                <w:color w:val="000000"/>
                <w:sz w:val="20"/>
                <w:szCs w:val="20"/>
              </w:rPr>
            </w:pPr>
            <w:r w:rsidRPr="00326F5C">
              <w:rPr>
                <w:rFonts w:asciiTheme="majorHAnsi" w:hAnsiTheme="majorHAnsi" w:cstheme="majorHAnsi"/>
                <w:color w:val="000000"/>
                <w:sz w:val="20"/>
                <w:szCs w:val="20"/>
              </w:rPr>
              <w:t>MS-B2. Demonstrate the correct use of probability distributions and theory of statistical inference within biostatistics and public health.</w:t>
            </w:r>
          </w:p>
        </w:tc>
        <w:tc>
          <w:tcPr>
            <w:tcW w:w="1391" w:type="pct"/>
          </w:tcPr>
          <w:p w:rsidR="003555DB" w:rsidRPr="00326F5C" w:rsidRDefault="003555DB" w:rsidP="00AA39F8">
            <w:pPr>
              <w:rPr>
                <w:rFonts w:asciiTheme="majorHAnsi" w:eastAsia="Times New Roman" w:hAnsiTheme="majorHAnsi" w:cstheme="majorHAnsi"/>
                <w:sz w:val="20"/>
                <w:szCs w:val="20"/>
              </w:rPr>
            </w:pPr>
            <w:r w:rsidRPr="00AF5600">
              <w:rPr>
                <w:rFonts w:asciiTheme="majorHAnsi" w:hAnsiTheme="majorHAnsi" w:cstheme="majorHAnsi"/>
                <w:b/>
                <w:sz w:val="20"/>
                <w:szCs w:val="20"/>
              </w:rPr>
              <w:t>PH 1910</w:t>
            </w:r>
            <w:r w:rsidRPr="00326F5C">
              <w:rPr>
                <w:rFonts w:asciiTheme="majorHAnsi" w:hAnsiTheme="majorHAnsi" w:cstheme="majorHAnsi"/>
                <w:sz w:val="20"/>
                <w:szCs w:val="20"/>
              </w:rPr>
              <w:t xml:space="preserve"> Probability and Distribution Theory</w:t>
            </w:r>
          </w:p>
        </w:tc>
        <w:tc>
          <w:tcPr>
            <w:tcW w:w="2424" w:type="pct"/>
            <w:shd w:val="clear" w:color="auto" w:fill="auto"/>
          </w:tcPr>
          <w:p w:rsidR="007B15B8" w:rsidRPr="00AF5600" w:rsidRDefault="003C13C0" w:rsidP="006C308E">
            <w:pPr>
              <w:rPr>
                <w:rFonts w:asciiTheme="majorHAnsi" w:eastAsia="Times New Roman" w:hAnsiTheme="majorHAnsi" w:cstheme="majorHAnsi"/>
                <w:sz w:val="20"/>
                <w:szCs w:val="20"/>
              </w:rPr>
            </w:pPr>
            <w:r w:rsidRPr="00AF5600">
              <w:rPr>
                <w:rFonts w:asciiTheme="majorHAnsi" w:hAnsiTheme="majorHAnsi" w:cstheme="majorHAnsi"/>
                <w:sz w:val="20"/>
                <w:szCs w:val="20"/>
              </w:rPr>
              <w:t>Assignments 3</w:t>
            </w:r>
            <w:r w:rsidR="00EE31F5" w:rsidRPr="00AF5600">
              <w:rPr>
                <w:rFonts w:asciiTheme="majorHAnsi" w:eastAsia="Times New Roman" w:hAnsiTheme="majorHAnsi" w:cstheme="majorHAnsi"/>
                <w:sz w:val="20"/>
                <w:szCs w:val="20"/>
              </w:rPr>
              <w:t xml:space="preserve">, </w:t>
            </w:r>
            <w:r w:rsidR="0028304A" w:rsidRPr="00AF5600">
              <w:rPr>
                <w:rFonts w:asciiTheme="majorHAnsi" w:hAnsiTheme="majorHAnsi" w:cstheme="majorHAnsi"/>
                <w:sz w:val="20"/>
                <w:szCs w:val="20"/>
              </w:rPr>
              <w:t>Assignment 4</w:t>
            </w:r>
            <w:r w:rsidR="0028304A" w:rsidRPr="00AF5600">
              <w:rPr>
                <w:rFonts w:asciiTheme="majorHAnsi" w:eastAsia="Times New Roman" w:hAnsiTheme="majorHAnsi" w:cstheme="majorHAnsi"/>
                <w:sz w:val="20"/>
                <w:szCs w:val="20"/>
              </w:rPr>
              <w:t xml:space="preserve">, </w:t>
            </w:r>
            <w:r w:rsidR="00EE31F5" w:rsidRPr="00AF5600">
              <w:rPr>
                <w:rFonts w:asciiTheme="majorHAnsi" w:hAnsiTheme="majorHAnsi" w:cstheme="majorHAnsi"/>
                <w:sz w:val="20"/>
                <w:szCs w:val="20"/>
              </w:rPr>
              <w:t xml:space="preserve">Assignment </w:t>
            </w:r>
            <w:r w:rsidRPr="00AF5600">
              <w:rPr>
                <w:rFonts w:asciiTheme="majorHAnsi" w:hAnsiTheme="majorHAnsi" w:cstheme="majorHAnsi"/>
                <w:sz w:val="20"/>
                <w:szCs w:val="20"/>
              </w:rPr>
              <w:t>5</w:t>
            </w:r>
            <w:r w:rsidRPr="00AF5600">
              <w:rPr>
                <w:rFonts w:asciiTheme="majorHAnsi" w:eastAsia="Times New Roman" w:hAnsiTheme="majorHAnsi" w:cstheme="majorHAnsi"/>
                <w:sz w:val="20"/>
                <w:szCs w:val="20"/>
              </w:rPr>
              <w:t xml:space="preserve"> and </w:t>
            </w:r>
            <w:r w:rsidRPr="00AF5600">
              <w:rPr>
                <w:rFonts w:asciiTheme="majorHAnsi" w:hAnsiTheme="majorHAnsi" w:cstheme="majorHAnsi"/>
                <w:sz w:val="20"/>
                <w:szCs w:val="20"/>
              </w:rPr>
              <w:t>Test 2</w:t>
            </w:r>
            <w:r w:rsidR="00EE31F5" w:rsidRPr="00AF5600">
              <w:rPr>
                <w:rFonts w:asciiTheme="majorHAnsi" w:eastAsia="Times New Roman" w:hAnsiTheme="majorHAnsi" w:cstheme="majorHAnsi"/>
                <w:sz w:val="20"/>
                <w:szCs w:val="20"/>
              </w:rPr>
              <w:t>: These assignments</w:t>
            </w:r>
            <w:r w:rsidRPr="00AF5600">
              <w:rPr>
                <w:rFonts w:asciiTheme="majorHAnsi" w:eastAsia="Times New Roman" w:hAnsiTheme="majorHAnsi" w:cstheme="majorHAnsi"/>
                <w:sz w:val="20"/>
                <w:szCs w:val="20"/>
              </w:rPr>
              <w:t xml:space="preserve"> require</w:t>
            </w:r>
            <w:r w:rsidR="0028304A" w:rsidRPr="00AF5600">
              <w:rPr>
                <w:rFonts w:asciiTheme="majorHAnsi" w:eastAsia="Times New Roman" w:hAnsiTheme="majorHAnsi" w:cstheme="majorHAnsi"/>
                <w:sz w:val="20"/>
                <w:szCs w:val="20"/>
              </w:rPr>
              <w:t xml:space="preserve"> students</w:t>
            </w:r>
            <w:r w:rsidRPr="00AF5600">
              <w:rPr>
                <w:rFonts w:asciiTheme="majorHAnsi" w:eastAsia="Times New Roman" w:hAnsiTheme="majorHAnsi" w:cstheme="majorHAnsi"/>
                <w:sz w:val="20"/>
                <w:szCs w:val="20"/>
              </w:rPr>
              <w:t xml:space="preserve"> </w:t>
            </w:r>
            <w:r w:rsidR="007B15B8" w:rsidRPr="00AF5600">
              <w:rPr>
                <w:rFonts w:asciiTheme="majorHAnsi" w:eastAsia="Times New Roman" w:hAnsiTheme="majorHAnsi" w:cstheme="majorHAnsi"/>
                <w:sz w:val="20"/>
                <w:szCs w:val="20"/>
              </w:rPr>
              <w:t xml:space="preserve">to demonstrate basic </w:t>
            </w:r>
            <w:r w:rsidR="00EE31F5" w:rsidRPr="00AF5600">
              <w:rPr>
                <w:rFonts w:asciiTheme="majorHAnsi" w:eastAsia="Times New Roman" w:hAnsiTheme="majorHAnsi" w:cstheme="majorHAnsi"/>
                <w:sz w:val="20"/>
                <w:szCs w:val="20"/>
              </w:rPr>
              <w:t>understanding</w:t>
            </w:r>
            <w:r w:rsidRPr="00AF5600">
              <w:rPr>
                <w:rFonts w:asciiTheme="majorHAnsi" w:eastAsia="Times New Roman" w:hAnsiTheme="majorHAnsi" w:cstheme="majorHAnsi"/>
                <w:sz w:val="20"/>
                <w:szCs w:val="20"/>
              </w:rPr>
              <w:t xml:space="preserve"> of correct probability distributions and their public health applications. </w:t>
            </w:r>
          </w:p>
          <w:p w:rsidR="007B15B8" w:rsidRPr="00AF5600" w:rsidRDefault="007B15B8" w:rsidP="006C308E">
            <w:pPr>
              <w:rPr>
                <w:rFonts w:asciiTheme="majorHAnsi" w:eastAsia="Times New Roman" w:hAnsiTheme="majorHAnsi" w:cstheme="majorHAnsi"/>
                <w:sz w:val="20"/>
                <w:szCs w:val="20"/>
              </w:rPr>
            </w:pPr>
          </w:p>
          <w:p w:rsidR="003555DB" w:rsidRPr="00AF5600" w:rsidRDefault="0028304A" w:rsidP="00950D9F">
            <w:pPr>
              <w:rPr>
                <w:rFonts w:asciiTheme="majorHAnsi" w:eastAsia="Times New Roman" w:hAnsiTheme="majorHAnsi" w:cstheme="majorHAnsi"/>
                <w:sz w:val="20"/>
                <w:szCs w:val="20"/>
              </w:rPr>
            </w:pPr>
            <w:r w:rsidRPr="00AF5600">
              <w:rPr>
                <w:rFonts w:asciiTheme="majorHAnsi" w:hAnsiTheme="majorHAnsi" w:cstheme="majorHAnsi"/>
                <w:sz w:val="20"/>
                <w:szCs w:val="20"/>
              </w:rPr>
              <w:t>Assignment 6</w:t>
            </w:r>
            <w:r w:rsidRPr="00AF5600">
              <w:rPr>
                <w:rFonts w:asciiTheme="majorHAnsi" w:eastAsia="Times New Roman" w:hAnsiTheme="majorHAnsi" w:cstheme="majorHAnsi"/>
                <w:sz w:val="20"/>
                <w:szCs w:val="20"/>
              </w:rPr>
              <w:t xml:space="preserve">, </w:t>
            </w:r>
            <w:r w:rsidRPr="00AF5600">
              <w:rPr>
                <w:rFonts w:asciiTheme="majorHAnsi" w:hAnsiTheme="majorHAnsi" w:cstheme="majorHAnsi"/>
                <w:sz w:val="20"/>
                <w:szCs w:val="20"/>
              </w:rPr>
              <w:t>Assignment 7</w:t>
            </w:r>
            <w:r w:rsidRPr="00AF5600">
              <w:rPr>
                <w:rFonts w:asciiTheme="majorHAnsi" w:eastAsia="Times New Roman" w:hAnsiTheme="majorHAnsi" w:cstheme="majorHAnsi"/>
                <w:sz w:val="20"/>
                <w:szCs w:val="20"/>
              </w:rPr>
              <w:t xml:space="preserve">, </w:t>
            </w:r>
            <w:r w:rsidRPr="00AF5600">
              <w:rPr>
                <w:rFonts w:asciiTheme="majorHAnsi" w:hAnsiTheme="majorHAnsi" w:cstheme="majorHAnsi"/>
                <w:sz w:val="20"/>
                <w:szCs w:val="20"/>
              </w:rPr>
              <w:t>Assignment 8</w:t>
            </w:r>
            <w:r w:rsidRPr="00AF5600">
              <w:rPr>
                <w:rFonts w:asciiTheme="majorHAnsi" w:eastAsia="Times New Roman" w:hAnsiTheme="majorHAnsi" w:cstheme="majorHAnsi"/>
                <w:sz w:val="20"/>
                <w:szCs w:val="20"/>
              </w:rPr>
              <w:t xml:space="preserve">, </w:t>
            </w:r>
            <w:r w:rsidRPr="00AF5600">
              <w:rPr>
                <w:rFonts w:asciiTheme="majorHAnsi" w:hAnsiTheme="majorHAnsi" w:cstheme="majorHAnsi"/>
                <w:sz w:val="20"/>
                <w:szCs w:val="20"/>
              </w:rPr>
              <w:t>Assignment 9</w:t>
            </w:r>
            <w:r w:rsidRPr="00AF5600">
              <w:rPr>
                <w:rFonts w:asciiTheme="majorHAnsi" w:eastAsia="Times New Roman" w:hAnsiTheme="majorHAnsi" w:cstheme="majorHAnsi"/>
                <w:sz w:val="20"/>
                <w:szCs w:val="20"/>
              </w:rPr>
              <w:t xml:space="preserve">, and </w:t>
            </w:r>
            <w:r w:rsidRPr="00AF5600">
              <w:rPr>
                <w:rFonts w:asciiTheme="majorHAnsi" w:hAnsiTheme="majorHAnsi" w:cstheme="majorHAnsi"/>
                <w:sz w:val="20"/>
                <w:szCs w:val="20"/>
              </w:rPr>
              <w:t>Test 3</w:t>
            </w:r>
            <w:r w:rsidRPr="00AF5600">
              <w:rPr>
                <w:rFonts w:asciiTheme="majorHAnsi" w:eastAsia="Times New Roman" w:hAnsiTheme="majorHAnsi" w:cstheme="majorHAnsi"/>
                <w:sz w:val="20"/>
                <w:szCs w:val="20"/>
              </w:rPr>
              <w:t>: These assignments</w:t>
            </w:r>
            <w:r w:rsidR="003C13C0" w:rsidRPr="00AF5600">
              <w:rPr>
                <w:rFonts w:asciiTheme="majorHAnsi" w:eastAsia="Times New Roman" w:hAnsiTheme="majorHAnsi" w:cstheme="majorHAnsi"/>
                <w:sz w:val="20"/>
                <w:szCs w:val="20"/>
              </w:rPr>
              <w:t xml:space="preserve"> require </w:t>
            </w:r>
            <w:r w:rsidRPr="00AF5600">
              <w:rPr>
                <w:rFonts w:asciiTheme="majorHAnsi" w:eastAsia="Times New Roman" w:hAnsiTheme="majorHAnsi" w:cstheme="majorHAnsi"/>
                <w:sz w:val="20"/>
                <w:szCs w:val="20"/>
              </w:rPr>
              <w:t>studen</w:t>
            </w:r>
            <w:r w:rsidR="002E7628" w:rsidRPr="00AF5600">
              <w:rPr>
                <w:rFonts w:asciiTheme="majorHAnsi" w:eastAsia="Times New Roman" w:hAnsiTheme="majorHAnsi" w:cstheme="majorHAnsi"/>
                <w:sz w:val="20"/>
                <w:szCs w:val="20"/>
              </w:rPr>
              <w:t xml:space="preserve">ts to demonstrate </w:t>
            </w:r>
            <w:r w:rsidR="003C13C0" w:rsidRPr="00AF5600">
              <w:rPr>
                <w:rFonts w:asciiTheme="majorHAnsi" w:eastAsia="Times New Roman" w:hAnsiTheme="majorHAnsi" w:cstheme="majorHAnsi"/>
                <w:sz w:val="20"/>
                <w:szCs w:val="20"/>
              </w:rPr>
              <w:t>understanding of correct specific probability distributions and their statistical inferences.</w:t>
            </w:r>
          </w:p>
        </w:tc>
      </w:tr>
      <w:tr w:rsidR="00DE072A" w:rsidRPr="00326F5C" w:rsidDel="00A33608" w:rsidTr="00DE072A">
        <w:trPr>
          <w:cantSplit/>
          <w:trHeight w:val="191"/>
        </w:trPr>
        <w:tc>
          <w:tcPr>
            <w:tcW w:w="1185" w:type="pct"/>
            <w:vMerge/>
            <w:shd w:val="clear" w:color="auto" w:fill="auto"/>
          </w:tcPr>
          <w:p w:rsidR="00DE072A" w:rsidRPr="00326F5C" w:rsidRDefault="00DE072A" w:rsidP="006C308E">
            <w:pPr>
              <w:rPr>
                <w:rFonts w:asciiTheme="majorHAnsi" w:hAnsiTheme="majorHAnsi" w:cstheme="majorHAnsi"/>
                <w:color w:val="000000"/>
                <w:sz w:val="20"/>
                <w:szCs w:val="20"/>
              </w:rPr>
            </w:pPr>
          </w:p>
        </w:tc>
        <w:tc>
          <w:tcPr>
            <w:tcW w:w="1391" w:type="pct"/>
          </w:tcPr>
          <w:p w:rsidR="00DE072A" w:rsidRPr="00326F5C" w:rsidRDefault="00DE072A" w:rsidP="00AA39F8">
            <w:pPr>
              <w:rPr>
                <w:rFonts w:asciiTheme="majorHAnsi" w:hAnsiTheme="majorHAnsi" w:cstheme="majorHAnsi"/>
                <w:b/>
                <w:sz w:val="20"/>
                <w:szCs w:val="20"/>
              </w:rPr>
            </w:pPr>
            <w:r w:rsidRPr="00AF5600">
              <w:rPr>
                <w:rFonts w:asciiTheme="majorHAnsi" w:hAnsiTheme="majorHAnsi" w:cstheme="majorHAnsi"/>
                <w:b/>
                <w:sz w:val="20"/>
                <w:szCs w:val="20"/>
              </w:rPr>
              <w:t>PH 1911</w:t>
            </w:r>
            <w:r w:rsidRPr="00326F5C">
              <w:rPr>
                <w:rFonts w:asciiTheme="majorHAnsi" w:hAnsiTheme="majorHAnsi" w:cstheme="majorHAnsi"/>
                <w:sz w:val="20"/>
                <w:szCs w:val="20"/>
              </w:rPr>
              <w:t xml:space="preserve"> Statistical Inference</w:t>
            </w:r>
          </w:p>
        </w:tc>
        <w:tc>
          <w:tcPr>
            <w:tcW w:w="2424" w:type="pct"/>
            <w:shd w:val="clear" w:color="auto" w:fill="auto"/>
          </w:tcPr>
          <w:p w:rsidR="009B10AF" w:rsidRPr="00AF5600" w:rsidRDefault="009B10AF" w:rsidP="006C308E">
            <w:pPr>
              <w:rPr>
                <w:rFonts w:asciiTheme="majorHAnsi" w:eastAsia="Times New Roman" w:hAnsiTheme="majorHAnsi" w:cstheme="majorHAnsi"/>
                <w:sz w:val="20"/>
                <w:szCs w:val="20"/>
              </w:rPr>
            </w:pPr>
            <w:r w:rsidRPr="00AF5600">
              <w:rPr>
                <w:rFonts w:asciiTheme="majorHAnsi" w:hAnsiTheme="majorHAnsi" w:cstheme="majorHAnsi"/>
                <w:sz w:val="20"/>
                <w:szCs w:val="20"/>
              </w:rPr>
              <w:t>Midterm Exam 1</w:t>
            </w:r>
            <w:r w:rsidRPr="00AF5600">
              <w:rPr>
                <w:rFonts w:asciiTheme="majorHAnsi" w:eastAsia="Times New Roman" w:hAnsiTheme="majorHAnsi" w:cstheme="majorHAnsi"/>
                <w:sz w:val="20"/>
                <w:szCs w:val="20"/>
              </w:rPr>
              <w:t xml:space="preserve">, </w:t>
            </w:r>
            <w:r w:rsidRPr="00AF5600">
              <w:rPr>
                <w:rFonts w:asciiTheme="majorHAnsi" w:hAnsiTheme="majorHAnsi" w:cstheme="majorHAnsi"/>
                <w:sz w:val="20"/>
                <w:szCs w:val="20"/>
              </w:rPr>
              <w:t>Midterm Exam 2</w:t>
            </w:r>
            <w:r w:rsidRPr="00AF5600">
              <w:rPr>
                <w:rFonts w:asciiTheme="majorHAnsi" w:eastAsia="Times New Roman" w:hAnsiTheme="majorHAnsi" w:cstheme="majorHAnsi"/>
                <w:sz w:val="20"/>
                <w:szCs w:val="20"/>
              </w:rPr>
              <w:t xml:space="preserve">, and </w:t>
            </w:r>
            <w:r w:rsidRPr="00AF5600">
              <w:rPr>
                <w:rFonts w:asciiTheme="majorHAnsi" w:hAnsiTheme="majorHAnsi" w:cstheme="majorHAnsi"/>
                <w:sz w:val="20"/>
                <w:szCs w:val="20"/>
              </w:rPr>
              <w:t>Final Exam</w:t>
            </w:r>
            <w:r w:rsidRPr="00AF5600">
              <w:rPr>
                <w:rFonts w:asciiTheme="majorHAnsi" w:eastAsia="Times New Roman" w:hAnsiTheme="majorHAnsi" w:cstheme="majorHAnsi"/>
                <w:sz w:val="20"/>
                <w:szCs w:val="20"/>
              </w:rPr>
              <w:t>: Students complete three exams throughout the course through</w:t>
            </w:r>
            <w:r w:rsidR="00DE072A" w:rsidRPr="00AF5600">
              <w:rPr>
                <w:rFonts w:asciiTheme="majorHAnsi" w:eastAsia="Times New Roman" w:hAnsiTheme="majorHAnsi" w:cstheme="majorHAnsi"/>
                <w:sz w:val="20"/>
                <w:szCs w:val="20"/>
              </w:rPr>
              <w:t xml:space="preserve"> which they must prove the theoretical properties of statistics, including theories of statistical inference (i.e. convergence, estimation, hypothesis testing). </w:t>
            </w:r>
          </w:p>
          <w:p w:rsidR="009B10AF" w:rsidRPr="00AF5600" w:rsidRDefault="009B10AF" w:rsidP="006C308E">
            <w:pPr>
              <w:rPr>
                <w:rFonts w:asciiTheme="majorHAnsi" w:eastAsia="Times New Roman" w:hAnsiTheme="majorHAnsi" w:cstheme="majorHAnsi"/>
                <w:sz w:val="20"/>
                <w:szCs w:val="20"/>
              </w:rPr>
            </w:pPr>
          </w:p>
          <w:p w:rsidR="00DE072A" w:rsidRPr="00AF5600" w:rsidDel="00A33608" w:rsidRDefault="009B10AF" w:rsidP="006C308E">
            <w:pPr>
              <w:rPr>
                <w:rFonts w:asciiTheme="majorHAnsi" w:eastAsia="Times New Roman" w:hAnsiTheme="majorHAnsi" w:cstheme="majorHAnsi"/>
                <w:sz w:val="20"/>
                <w:szCs w:val="20"/>
              </w:rPr>
            </w:pPr>
            <w:r w:rsidRPr="00AF5600">
              <w:rPr>
                <w:rFonts w:asciiTheme="majorHAnsi" w:hAnsiTheme="majorHAnsi" w:cstheme="majorHAnsi"/>
                <w:sz w:val="20"/>
                <w:szCs w:val="20"/>
              </w:rPr>
              <w:t>Homework Assignments</w:t>
            </w:r>
            <w:r w:rsidRPr="00AF5600">
              <w:rPr>
                <w:rFonts w:asciiTheme="majorHAnsi" w:eastAsia="Times New Roman" w:hAnsiTheme="majorHAnsi" w:cstheme="majorHAnsi"/>
                <w:sz w:val="20"/>
                <w:szCs w:val="20"/>
              </w:rPr>
              <w:t xml:space="preserve">: </w:t>
            </w:r>
            <w:r w:rsidR="00DE072A" w:rsidRPr="00AF5600">
              <w:rPr>
                <w:rFonts w:asciiTheme="majorHAnsi" w:eastAsia="Times New Roman" w:hAnsiTheme="majorHAnsi" w:cstheme="majorHAnsi"/>
                <w:sz w:val="20"/>
                <w:szCs w:val="20"/>
              </w:rPr>
              <w:t xml:space="preserve">Students apply theories and concepts of statistical inference to complete various homework assignments throughout the course. </w:t>
            </w:r>
          </w:p>
        </w:tc>
      </w:tr>
      <w:tr w:rsidR="003555DB" w:rsidRPr="00326F5C" w:rsidTr="00DE072A">
        <w:trPr>
          <w:cantSplit/>
          <w:trHeight w:val="191"/>
        </w:trPr>
        <w:tc>
          <w:tcPr>
            <w:tcW w:w="1185" w:type="pct"/>
            <w:vMerge w:val="restart"/>
            <w:shd w:val="clear" w:color="auto" w:fill="auto"/>
          </w:tcPr>
          <w:p w:rsidR="003555DB" w:rsidRPr="00326F5C" w:rsidRDefault="003555DB" w:rsidP="006C308E">
            <w:pPr>
              <w:rPr>
                <w:rFonts w:asciiTheme="majorHAnsi" w:hAnsiTheme="majorHAnsi" w:cstheme="majorHAnsi"/>
                <w:color w:val="000000"/>
                <w:sz w:val="20"/>
                <w:szCs w:val="20"/>
              </w:rPr>
            </w:pPr>
            <w:r w:rsidRPr="00326F5C">
              <w:rPr>
                <w:rFonts w:asciiTheme="majorHAnsi" w:hAnsiTheme="majorHAnsi" w:cstheme="majorHAnsi"/>
                <w:color w:val="000000"/>
                <w:sz w:val="20"/>
                <w:szCs w:val="20"/>
              </w:rPr>
              <w:t>MS-B3. Outline a statistical analysis strategy to appropriately answer a research question.</w:t>
            </w:r>
          </w:p>
        </w:tc>
        <w:tc>
          <w:tcPr>
            <w:tcW w:w="1391" w:type="pct"/>
          </w:tcPr>
          <w:p w:rsidR="003555DB" w:rsidRPr="00326F5C" w:rsidRDefault="007B53B7" w:rsidP="00AA39F8">
            <w:pPr>
              <w:rPr>
                <w:rFonts w:asciiTheme="majorHAnsi" w:eastAsia="Times New Roman" w:hAnsiTheme="majorHAnsi" w:cstheme="majorHAnsi"/>
                <w:b/>
                <w:sz w:val="20"/>
                <w:szCs w:val="20"/>
              </w:rPr>
            </w:pPr>
            <w:r w:rsidRPr="00AF5600">
              <w:rPr>
                <w:rFonts w:asciiTheme="majorHAnsi" w:hAnsiTheme="majorHAnsi" w:cstheme="majorHAnsi"/>
                <w:b/>
                <w:sz w:val="20"/>
                <w:szCs w:val="20"/>
              </w:rPr>
              <w:t>PH 1700</w:t>
            </w:r>
            <w:r w:rsidRPr="00326F5C">
              <w:rPr>
                <w:rFonts w:asciiTheme="majorHAnsi" w:hAnsiTheme="majorHAnsi" w:cstheme="majorHAnsi"/>
                <w:sz w:val="20"/>
                <w:szCs w:val="20"/>
              </w:rPr>
              <w:t xml:space="preserve"> Intermediate Biostatistics</w:t>
            </w:r>
          </w:p>
        </w:tc>
        <w:tc>
          <w:tcPr>
            <w:tcW w:w="2424" w:type="pct"/>
            <w:shd w:val="clear" w:color="auto" w:fill="auto"/>
          </w:tcPr>
          <w:p w:rsidR="003555DB" w:rsidRPr="00AF5600" w:rsidRDefault="007C0334" w:rsidP="006C308E">
            <w:pPr>
              <w:rPr>
                <w:rFonts w:asciiTheme="majorHAnsi" w:eastAsia="Times New Roman" w:hAnsiTheme="majorHAnsi" w:cstheme="majorHAnsi"/>
                <w:sz w:val="20"/>
                <w:szCs w:val="20"/>
              </w:rPr>
            </w:pPr>
            <w:r w:rsidRPr="00AF5600">
              <w:rPr>
                <w:rFonts w:asciiTheme="majorHAnsi" w:hAnsiTheme="majorHAnsi" w:cstheme="majorHAnsi"/>
                <w:sz w:val="20"/>
                <w:szCs w:val="20"/>
              </w:rPr>
              <w:t>Assignment 5</w:t>
            </w:r>
            <w:r w:rsidRPr="00AF5600">
              <w:rPr>
                <w:rFonts w:asciiTheme="majorHAnsi" w:eastAsia="Times New Roman" w:hAnsiTheme="majorHAnsi" w:cstheme="majorHAnsi"/>
                <w:sz w:val="20"/>
                <w:szCs w:val="20"/>
              </w:rPr>
              <w:t xml:space="preserve"> (using STATA): Students are asked to outline and describe an analysis strategy for dealing with any detected outliers. </w:t>
            </w:r>
            <w:r w:rsidRPr="00AF5600" w:rsidDel="00A33608">
              <w:rPr>
                <w:rFonts w:asciiTheme="majorHAnsi" w:eastAsia="Times New Roman" w:hAnsiTheme="majorHAnsi" w:cstheme="majorHAnsi"/>
                <w:sz w:val="20"/>
                <w:szCs w:val="20"/>
              </w:rPr>
              <w:t xml:space="preserve"> </w:t>
            </w:r>
          </w:p>
        </w:tc>
      </w:tr>
      <w:tr w:rsidR="003555DB" w:rsidRPr="00326F5C" w:rsidTr="00DE072A">
        <w:trPr>
          <w:cantSplit/>
          <w:trHeight w:val="191"/>
        </w:trPr>
        <w:tc>
          <w:tcPr>
            <w:tcW w:w="1185" w:type="pct"/>
            <w:vMerge/>
            <w:shd w:val="clear" w:color="auto" w:fill="auto"/>
            <w:hideMark/>
          </w:tcPr>
          <w:p w:rsidR="003555DB" w:rsidRPr="00326F5C" w:rsidRDefault="003555DB" w:rsidP="006C308E">
            <w:pPr>
              <w:rPr>
                <w:rFonts w:asciiTheme="majorHAnsi" w:hAnsiTheme="majorHAnsi" w:cstheme="majorHAnsi"/>
                <w:color w:val="000000"/>
                <w:sz w:val="20"/>
                <w:szCs w:val="20"/>
              </w:rPr>
            </w:pPr>
          </w:p>
        </w:tc>
        <w:tc>
          <w:tcPr>
            <w:tcW w:w="1391" w:type="pct"/>
          </w:tcPr>
          <w:p w:rsidR="002B2035" w:rsidRPr="00326F5C" w:rsidRDefault="002B2035" w:rsidP="006C308E">
            <w:pPr>
              <w:rPr>
                <w:rFonts w:asciiTheme="majorHAnsi" w:eastAsia="Times New Roman" w:hAnsiTheme="majorHAnsi" w:cstheme="majorHAnsi"/>
                <w:sz w:val="20"/>
                <w:szCs w:val="20"/>
              </w:rPr>
            </w:pPr>
            <w:r w:rsidRPr="00AF5600">
              <w:rPr>
                <w:rFonts w:asciiTheme="majorHAnsi" w:hAnsiTheme="majorHAnsi" w:cstheme="majorHAnsi"/>
                <w:b/>
                <w:sz w:val="20"/>
                <w:szCs w:val="20"/>
              </w:rPr>
              <w:t>PH 1820</w:t>
            </w:r>
            <w:r w:rsidRPr="00326F5C">
              <w:rPr>
                <w:rFonts w:asciiTheme="majorHAnsi" w:hAnsiTheme="majorHAnsi" w:cstheme="majorHAnsi"/>
                <w:sz w:val="20"/>
                <w:szCs w:val="20"/>
              </w:rPr>
              <w:t xml:space="preserve"> Applied Linear Regression</w:t>
            </w:r>
          </w:p>
          <w:p w:rsidR="003555DB" w:rsidRPr="00326F5C" w:rsidRDefault="003555DB" w:rsidP="006C308E">
            <w:pPr>
              <w:rPr>
                <w:rFonts w:asciiTheme="majorHAnsi" w:eastAsia="Times New Roman" w:hAnsiTheme="majorHAnsi" w:cstheme="majorHAnsi"/>
                <w:sz w:val="20"/>
                <w:szCs w:val="20"/>
              </w:rPr>
            </w:pPr>
          </w:p>
        </w:tc>
        <w:tc>
          <w:tcPr>
            <w:tcW w:w="2424" w:type="pct"/>
            <w:shd w:val="clear" w:color="auto" w:fill="auto"/>
          </w:tcPr>
          <w:p w:rsidR="00641ACD" w:rsidRPr="00AF5600" w:rsidRDefault="00641ACD" w:rsidP="006C308E">
            <w:pPr>
              <w:rPr>
                <w:rFonts w:asciiTheme="majorHAnsi" w:eastAsia="Times New Roman" w:hAnsiTheme="majorHAnsi" w:cstheme="majorHAnsi"/>
                <w:sz w:val="20"/>
                <w:szCs w:val="20"/>
              </w:rPr>
            </w:pPr>
            <w:r w:rsidRPr="00AF5600">
              <w:rPr>
                <w:rFonts w:asciiTheme="majorHAnsi" w:hAnsiTheme="majorHAnsi" w:cstheme="majorHAnsi"/>
                <w:sz w:val="20"/>
                <w:szCs w:val="20"/>
              </w:rPr>
              <w:t>Final Project</w:t>
            </w:r>
            <w:r w:rsidRPr="00AF5600">
              <w:rPr>
                <w:rFonts w:asciiTheme="majorHAnsi" w:eastAsia="Times New Roman" w:hAnsiTheme="majorHAnsi" w:cstheme="majorHAnsi"/>
                <w:sz w:val="20"/>
                <w:szCs w:val="20"/>
              </w:rPr>
              <w:t xml:space="preserve">: The final project requires each student </w:t>
            </w:r>
            <w:r w:rsidR="00AE0A85" w:rsidRPr="00AF5600">
              <w:rPr>
                <w:rFonts w:asciiTheme="majorHAnsi" w:eastAsia="Times New Roman" w:hAnsiTheme="majorHAnsi" w:cstheme="majorHAnsi"/>
                <w:sz w:val="20"/>
                <w:szCs w:val="20"/>
              </w:rPr>
              <w:t xml:space="preserve">to individually </w:t>
            </w:r>
            <w:r w:rsidRPr="00AF5600">
              <w:rPr>
                <w:rFonts w:asciiTheme="majorHAnsi" w:eastAsia="Times New Roman" w:hAnsiTheme="majorHAnsi" w:cstheme="majorHAnsi"/>
                <w:sz w:val="20"/>
                <w:szCs w:val="20"/>
              </w:rPr>
              <w:t xml:space="preserve">outline </w:t>
            </w:r>
            <w:r w:rsidR="007266DF" w:rsidRPr="00AF5600">
              <w:rPr>
                <w:rFonts w:asciiTheme="majorHAnsi" w:eastAsia="Times New Roman" w:hAnsiTheme="majorHAnsi" w:cstheme="majorHAnsi"/>
                <w:sz w:val="20"/>
                <w:szCs w:val="20"/>
              </w:rPr>
              <w:t xml:space="preserve">an </w:t>
            </w:r>
            <w:r w:rsidRPr="00AF5600">
              <w:rPr>
                <w:rFonts w:asciiTheme="majorHAnsi" w:eastAsia="Times New Roman" w:hAnsiTheme="majorHAnsi" w:cstheme="majorHAnsi"/>
                <w:sz w:val="20"/>
                <w:szCs w:val="20"/>
              </w:rPr>
              <w:t xml:space="preserve">analysis strategy and turn it in before working as a group to perform the selected strategy. </w:t>
            </w:r>
          </w:p>
          <w:p w:rsidR="003555DB" w:rsidRPr="00AF5600" w:rsidRDefault="003555DB" w:rsidP="006C308E">
            <w:pPr>
              <w:rPr>
                <w:rFonts w:asciiTheme="majorHAnsi" w:eastAsia="Times New Roman" w:hAnsiTheme="majorHAnsi" w:cstheme="majorHAnsi"/>
                <w:sz w:val="20"/>
                <w:szCs w:val="20"/>
              </w:rPr>
            </w:pPr>
            <w:r w:rsidRPr="00AF5600" w:rsidDel="00A33608">
              <w:rPr>
                <w:rFonts w:asciiTheme="majorHAnsi" w:eastAsia="Times New Roman" w:hAnsiTheme="majorHAnsi" w:cstheme="majorHAnsi"/>
                <w:sz w:val="20"/>
                <w:szCs w:val="20"/>
              </w:rPr>
              <w:t xml:space="preserve"> </w:t>
            </w:r>
          </w:p>
        </w:tc>
      </w:tr>
      <w:tr w:rsidR="003555DB" w:rsidRPr="00326F5C" w:rsidDel="00A33608" w:rsidTr="00DE072A">
        <w:trPr>
          <w:cantSplit/>
          <w:trHeight w:val="191"/>
        </w:trPr>
        <w:tc>
          <w:tcPr>
            <w:tcW w:w="1185" w:type="pct"/>
            <w:vMerge/>
            <w:shd w:val="clear" w:color="auto" w:fill="auto"/>
          </w:tcPr>
          <w:p w:rsidR="003555DB" w:rsidRPr="00326F5C" w:rsidRDefault="003555DB" w:rsidP="006C308E">
            <w:pPr>
              <w:rPr>
                <w:rFonts w:asciiTheme="majorHAnsi" w:hAnsiTheme="majorHAnsi" w:cstheme="majorHAnsi"/>
                <w:color w:val="000000"/>
                <w:sz w:val="20"/>
                <w:szCs w:val="20"/>
              </w:rPr>
            </w:pPr>
          </w:p>
        </w:tc>
        <w:tc>
          <w:tcPr>
            <w:tcW w:w="1391" w:type="pct"/>
          </w:tcPr>
          <w:p w:rsidR="003555DB" w:rsidRPr="00326F5C" w:rsidRDefault="00114C08" w:rsidP="00AA39F8">
            <w:pPr>
              <w:rPr>
                <w:rFonts w:asciiTheme="majorHAnsi" w:eastAsia="Times New Roman" w:hAnsiTheme="majorHAnsi" w:cstheme="majorHAnsi"/>
                <w:sz w:val="20"/>
                <w:szCs w:val="20"/>
              </w:rPr>
            </w:pPr>
            <w:r w:rsidRPr="00AF5600">
              <w:rPr>
                <w:rFonts w:asciiTheme="majorHAnsi" w:hAnsiTheme="majorHAnsi" w:cstheme="majorHAnsi"/>
                <w:b/>
                <w:sz w:val="20"/>
                <w:szCs w:val="20"/>
              </w:rPr>
              <w:t>PH 1821</w:t>
            </w:r>
            <w:r w:rsidRPr="00326F5C">
              <w:rPr>
                <w:rFonts w:asciiTheme="majorHAnsi" w:hAnsiTheme="majorHAnsi" w:cstheme="majorHAnsi"/>
                <w:sz w:val="20"/>
                <w:szCs w:val="20"/>
              </w:rPr>
              <w:t xml:space="preserve"> Applied Multivariate Analysis</w:t>
            </w:r>
          </w:p>
        </w:tc>
        <w:tc>
          <w:tcPr>
            <w:tcW w:w="2424" w:type="pct"/>
            <w:shd w:val="clear" w:color="auto" w:fill="auto"/>
          </w:tcPr>
          <w:p w:rsidR="003555DB" w:rsidRPr="00AF5600" w:rsidDel="00A33608" w:rsidRDefault="00114C08" w:rsidP="006C308E">
            <w:pPr>
              <w:rPr>
                <w:rFonts w:asciiTheme="majorHAnsi" w:eastAsia="Times New Roman" w:hAnsiTheme="majorHAnsi" w:cstheme="majorHAnsi"/>
                <w:sz w:val="20"/>
                <w:szCs w:val="20"/>
              </w:rPr>
            </w:pPr>
            <w:r w:rsidRPr="00AF5600">
              <w:rPr>
                <w:rFonts w:asciiTheme="majorHAnsi" w:hAnsiTheme="majorHAnsi" w:cstheme="majorHAnsi"/>
                <w:sz w:val="20"/>
                <w:szCs w:val="20"/>
              </w:rPr>
              <w:t>Homework 3</w:t>
            </w:r>
            <w:r w:rsidRPr="00AF5600">
              <w:rPr>
                <w:rFonts w:asciiTheme="majorHAnsi" w:eastAsia="Times New Roman" w:hAnsiTheme="majorHAnsi" w:cstheme="majorHAnsi"/>
                <w:sz w:val="20"/>
                <w:szCs w:val="20"/>
              </w:rPr>
              <w:t xml:space="preserve">: </w:t>
            </w:r>
            <w:r w:rsidR="00B2640B" w:rsidRPr="00AF5600">
              <w:rPr>
                <w:rFonts w:asciiTheme="majorHAnsi" w:eastAsia="Times New Roman" w:hAnsiTheme="majorHAnsi" w:cstheme="majorHAnsi"/>
                <w:sz w:val="20"/>
                <w:szCs w:val="20"/>
              </w:rPr>
              <w:t>Students are asked to use SAS and R to perform MANOVA analysis for public health data. Students are asked to perform an alternative analysis and compare the results.</w:t>
            </w:r>
          </w:p>
        </w:tc>
      </w:tr>
      <w:tr w:rsidR="003555DB" w:rsidRPr="00326F5C" w:rsidDel="00A33608" w:rsidTr="00DE072A">
        <w:trPr>
          <w:cantSplit/>
          <w:trHeight w:val="191"/>
        </w:trPr>
        <w:tc>
          <w:tcPr>
            <w:tcW w:w="1185" w:type="pct"/>
            <w:vMerge/>
            <w:shd w:val="clear" w:color="auto" w:fill="auto"/>
          </w:tcPr>
          <w:p w:rsidR="003555DB" w:rsidRPr="00326F5C" w:rsidRDefault="003555DB" w:rsidP="006C308E">
            <w:pPr>
              <w:rPr>
                <w:rFonts w:asciiTheme="majorHAnsi" w:hAnsiTheme="majorHAnsi" w:cstheme="majorHAnsi"/>
                <w:color w:val="000000"/>
                <w:sz w:val="20"/>
                <w:szCs w:val="20"/>
              </w:rPr>
            </w:pPr>
          </w:p>
        </w:tc>
        <w:tc>
          <w:tcPr>
            <w:tcW w:w="1391" w:type="pct"/>
          </w:tcPr>
          <w:p w:rsidR="003555DB" w:rsidRPr="00326F5C" w:rsidRDefault="002C0642" w:rsidP="00AA39F8">
            <w:pPr>
              <w:rPr>
                <w:rFonts w:asciiTheme="majorHAnsi" w:eastAsia="Times New Roman" w:hAnsiTheme="majorHAnsi" w:cstheme="majorHAnsi"/>
                <w:sz w:val="20"/>
                <w:szCs w:val="20"/>
              </w:rPr>
            </w:pPr>
            <w:r w:rsidRPr="00AF5600">
              <w:rPr>
                <w:rFonts w:asciiTheme="majorHAnsi" w:hAnsiTheme="majorHAnsi" w:cstheme="majorHAnsi"/>
                <w:b/>
                <w:sz w:val="20"/>
                <w:szCs w:val="20"/>
              </w:rPr>
              <w:t>PH 1830</w:t>
            </w:r>
            <w:r w:rsidRPr="00326F5C">
              <w:rPr>
                <w:rFonts w:asciiTheme="majorHAnsi" w:hAnsiTheme="majorHAnsi" w:cstheme="majorHAnsi"/>
                <w:sz w:val="20"/>
                <w:szCs w:val="20"/>
              </w:rPr>
              <w:t xml:space="preserve"> Categorical Data Analysis</w:t>
            </w:r>
          </w:p>
        </w:tc>
        <w:tc>
          <w:tcPr>
            <w:tcW w:w="2424" w:type="pct"/>
            <w:shd w:val="clear" w:color="auto" w:fill="auto"/>
          </w:tcPr>
          <w:p w:rsidR="005E0DAD" w:rsidRPr="00AF5600" w:rsidRDefault="005E0DAD" w:rsidP="006C308E">
            <w:pPr>
              <w:rPr>
                <w:rFonts w:asciiTheme="majorHAnsi" w:eastAsia="Times New Roman" w:hAnsiTheme="majorHAnsi" w:cstheme="majorHAnsi"/>
                <w:sz w:val="20"/>
                <w:szCs w:val="20"/>
              </w:rPr>
            </w:pPr>
            <w:r w:rsidRPr="00AF5600">
              <w:rPr>
                <w:rFonts w:asciiTheme="majorHAnsi" w:hAnsiTheme="majorHAnsi" w:cstheme="majorHAnsi"/>
                <w:sz w:val="20"/>
                <w:szCs w:val="20"/>
              </w:rPr>
              <w:t>Final Project</w:t>
            </w:r>
            <w:r w:rsidRPr="00AF5600">
              <w:rPr>
                <w:rFonts w:asciiTheme="majorHAnsi" w:eastAsia="Times New Roman" w:hAnsiTheme="majorHAnsi" w:cstheme="majorHAnsi"/>
                <w:sz w:val="20"/>
                <w:szCs w:val="20"/>
              </w:rPr>
              <w:t>: Students will individually develop analysis plans to address questions of interest for a discrete data set. Once complete, students will then collaborate with peers to determine the best approach to implement the analysis plan</w:t>
            </w:r>
            <w:r w:rsidR="00747306" w:rsidRPr="00AF5600">
              <w:rPr>
                <w:rFonts w:asciiTheme="majorHAnsi" w:eastAsia="Times New Roman" w:hAnsiTheme="majorHAnsi" w:cstheme="majorHAnsi"/>
                <w:sz w:val="20"/>
                <w:szCs w:val="20"/>
              </w:rPr>
              <w:t>, conduct the analysis,</w:t>
            </w:r>
            <w:r w:rsidRPr="00AF5600">
              <w:rPr>
                <w:rFonts w:asciiTheme="majorHAnsi" w:eastAsia="Times New Roman" w:hAnsiTheme="majorHAnsi" w:cstheme="majorHAnsi"/>
                <w:sz w:val="20"/>
                <w:szCs w:val="20"/>
              </w:rPr>
              <w:t xml:space="preserve"> and will provide a written report and oral presentation of their findings. </w:t>
            </w:r>
          </w:p>
          <w:p w:rsidR="003555DB" w:rsidRPr="00AF5600" w:rsidDel="00A33608" w:rsidRDefault="003555DB" w:rsidP="006C308E">
            <w:pPr>
              <w:rPr>
                <w:rFonts w:asciiTheme="majorHAnsi" w:eastAsia="Times New Roman" w:hAnsiTheme="majorHAnsi" w:cstheme="majorHAnsi"/>
                <w:sz w:val="20"/>
                <w:szCs w:val="20"/>
              </w:rPr>
            </w:pPr>
          </w:p>
        </w:tc>
      </w:tr>
      <w:tr w:rsidR="003555DB" w:rsidRPr="00326F5C" w:rsidTr="00DE072A">
        <w:trPr>
          <w:cantSplit/>
          <w:trHeight w:val="191"/>
        </w:trPr>
        <w:tc>
          <w:tcPr>
            <w:tcW w:w="1185" w:type="pct"/>
            <w:vMerge w:val="restart"/>
            <w:shd w:val="clear" w:color="auto" w:fill="auto"/>
          </w:tcPr>
          <w:p w:rsidR="003555DB" w:rsidRPr="00326F5C" w:rsidRDefault="003555DB" w:rsidP="006C308E">
            <w:pPr>
              <w:rPr>
                <w:rFonts w:asciiTheme="majorHAnsi" w:hAnsiTheme="majorHAnsi" w:cstheme="majorHAnsi"/>
                <w:color w:val="000000"/>
                <w:sz w:val="20"/>
                <w:szCs w:val="20"/>
              </w:rPr>
            </w:pPr>
            <w:r w:rsidRPr="00326F5C">
              <w:rPr>
                <w:rFonts w:asciiTheme="majorHAnsi" w:hAnsiTheme="majorHAnsi" w:cstheme="majorHAnsi"/>
                <w:color w:val="000000"/>
                <w:sz w:val="20"/>
                <w:szCs w:val="20"/>
              </w:rPr>
              <w:t>MS-B4. Use multiple statistical software packages to analyze data to answer public health research questions.</w:t>
            </w:r>
          </w:p>
        </w:tc>
        <w:tc>
          <w:tcPr>
            <w:tcW w:w="1391" w:type="pct"/>
          </w:tcPr>
          <w:p w:rsidR="003555DB" w:rsidRPr="00326F5C" w:rsidRDefault="007B53B7" w:rsidP="00AA39F8">
            <w:pPr>
              <w:rPr>
                <w:rFonts w:asciiTheme="majorHAnsi" w:eastAsia="Times New Roman" w:hAnsiTheme="majorHAnsi" w:cstheme="majorHAnsi"/>
                <w:b/>
                <w:sz w:val="20"/>
                <w:szCs w:val="20"/>
              </w:rPr>
            </w:pPr>
            <w:r w:rsidRPr="00AF5600">
              <w:rPr>
                <w:rFonts w:asciiTheme="majorHAnsi" w:hAnsiTheme="majorHAnsi" w:cstheme="majorHAnsi"/>
                <w:b/>
                <w:sz w:val="20"/>
                <w:szCs w:val="20"/>
              </w:rPr>
              <w:t>PH 1700</w:t>
            </w:r>
            <w:r w:rsidRPr="00326F5C">
              <w:rPr>
                <w:rFonts w:asciiTheme="majorHAnsi" w:hAnsiTheme="majorHAnsi" w:cstheme="majorHAnsi"/>
                <w:sz w:val="20"/>
                <w:szCs w:val="20"/>
              </w:rPr>
              <w:t xml:space="preserve"> Intermediate Biostatistics</w:t>
            </w:r>
          </w:p>
        </w:tc>
        <w:tc>
          <w:tcPr>
            <w:tcW w:w="2424" w:type="pct"/>
            <w:shd w:val="clear" w:color="auto" w:fill="auto"/>
          </w:tcPr>
          <w:p w:rsidR="003555DB" w:rsidRPr="00AF5600" w:rsidRDefault="007C0334" w:rsidP="006C308E">
            <w:pPr>
              <w:rPr>
                <w:rFonts w:asciiTheme="majorHAnsi" w:eastAsia="Times New Roman" w:hAnsiTheme="majorHAnsi" w:cstheme="majorHAnsi"/>
                <w:sz w:val="20"/>
                <w:szCs w:val="20"/>
              </w:rPr>
            </w:pPr>
            <w:r w:rsidRPr="00AF5600">
              <w:rPr>
                <w:rFonts w:asciiTheme="majorHAnsi" w:hAnsiTheme="majorHAnsi" w:cstheme="majorHAnsi"/>
                <w:sz w:val="20"/>
                <w:szCs w:val="20"/>
              </w:rPr>
              <w:t>Assignment 1</w:t>
            </w:r>
            <w:r w:rsidRPr="00AF5600">
              <w:rPr>
                <w:rFonts w:asciiTheme="majorHAnsi" w:eastAsia="Times New Roman" w:hAnsiTheme="majorHAnsi" w:cstheme="majorHAnsi"/>
                <w:sz w:val="20"/>
                <w:szCs w:val="20"/>
              </w:rPr>
              <w:t xml:space="preserve"> and </w:t>
            </w:r>
            <w:r w:rsidRPr="00AF5600">
              <w:rPr>
                <w:rFonts w:asciiTheme="majorHAnsi" w:hAnsiTheme="majorHAnsi" w:cstheme="majorHAnsi"/>
                <w:sz w:val="20"/>
                <w:szCs w:val="20"/>
              </w:rPr>
              <w:t>Assignment 2</w:t>
            </w:r>
            <w:r w:rsidRPr="00AF5600">
              <w:rPr>
                <w:rFonts w:asciiTheme="majorHAnsi" w:eastAsia="Times New Roman" w:hAnsiTheme="majorHAnsi" w:cstheme="majorHAnsi"/>
                <w:sz w:val="20"/>
                <w:szCs w:val="20"/>
              </w:rPr>
              <w:t xml:space="preserve"> (using STATA): Assignment 1 requires students to use software to </w:t>
            </w:r>
            <w:r w:rsidR="00641ACD" w:rsidRPr="00AF5600">
              <w:rPr>
                <w:rFonts w:asciiTheme="majorHAnsi" w:eastAsia="Times New Roman" w:hAnsiTheme="majorHAnsi" w:cstheme="majorHAnsi"/>
                <w:sz w:val="20"/>
                <w:szCs w:val="20"/>
              </w:rPr>
              <w:t>generate</w:t>
            </w:r>
            <w:r w:rsidRPr="00AF5600">
              <w:rPr>
                <w:rFonts w:asciiTheme="majorHAnsi" w:eastAsia="Times New Roman" w:hAnsiTheme="majorHAnsi" w:cstheme="majorHAnsi"/>
                <w:sz w:val="20"/>
                <w:szCs w:val="20"/>
              </w:rPr>
              <w:t xml:space="preserve"> appropriate graphics and perform statistical computations. Assignment 2 requires them to report statistical computations using Markdown in Stata.</w:t>
            </w:r>
          </w:p>
        </w:tc>
      </w:tr>
      <w:tr w:rsidR="003555DB" w:rsidRPr="00326F5C" w:rsidTr="00DE072A">
        <w:trPr>
          <w:cantSplit/>
          <w:trHeight w:val="191"/>
        </w:trPr>
        <w:tc>
          <w:tcPr>
            <w:tcW w:w="1185" w:type="pct"/>
            <w:vMerge/>
            <w:shd w:val="clear" w:color="auto" w:fill="auto"/>
            <w:hideMark/>
          </w:tcPr>
          <w:p w:rsidR="003555DB" w:rsidRPr="00326F5C" w:rsidRDefault="003555DB" w:rsidP="006C308E">
            <w:pPr>
              <w:rPr>
                <w:rFonts w:asciiTheme="majorHAnsi" w:hAnsiTheme="majorHAnsi" w:cstheme="majorHAnsi"/>
                <w:color w:val="000000"/>
                <w:sz w:val="20"/>
                <w:szCs w:val="20"/>
              </w:rPr>
            </w:pPr>
          </w:p>
        </w:tc>
        <w:tc>
          <w:tcPr>
            <w:tcW w:w="1391" w:type="pct"/>
          </w:tcPr>
          <w:p w:rsidR="002B2035" w:rsidRPr="00326F5C" w:rsidRDefault="002B2035" w:rsidP="006C308E">
            <w:pPr>
              <w:rPr>
                <w:rFonts w:asciiTheme="majorHAnsi" w:eastAsia="Times New Roman" w:hAnsiTheme="majorHAnsi" w:cstheme="majorHAnsi"/>
                <w:sz w:val="20"/>
                <w:szCs w:val="20"/>
              </w:rPr>
            </w:pPr>
            <w:r w:rsidRPr="00AF5600">
              <w:rPr>
                <w:rFonts w:asciiTheme="majorHAnsi" w:hAnsiTheme="majorHAnsi" w:cstheme="majorHAnsi"/>
                <w:b/>
                <w:sz w:val="20"/>
                <w:szCs w:val="20"/>
              </w:rPr>
              <w:t>PH 1820</w:t>
            </w:r>
            <w:r w:rsidRPr="00326F5C">
              <w:rPr>
                <w:rFonts w:asciiTheme="majorHAnsi" w:hAnsiTheme="majorHAnsi" w:cstheme="majorHAnsi"/>
                <w:sz w:val="20"/>
                <w:szCs w:val="20"/>
              </w:rPr>
              <w:t xml:space="preserve"> Applied Linear Regression</w:t>
            </w:r>
          </w:p>
          <w:p w:rsidR="003555DB" w:rsidRPr="00326F5C" w:rsidRDefault="003555DB" w:rsidP="006C308E">
            <w:pPr>
              <w:rPr>
                <w:rFonts w:asciiTheme="majorHAnsi" w:eastAsia="Times New Roman" w:hAnsiTheme="majorHAnsi" w:cstheme="majorHAnsi"/>
                <w:sz w:val="20"/>
                <w:szCs w:val="20"/>
              </w:rPr>
            </w:pPr>
          </w:p>
        </w:tc>
        <w:tc>
          <w:tcPr>
            <w:tcW w:w="2424" w:type="pct"/>
            <w:shd w:val="clear" w:color="auto" w:fill="auto"/>
          </w:tcPr>
          <w:p w:rsidR="00641ACD" w:rsidRPr="00AF5600" w:rsidRDefault="00641ACD" w:rsidP="006C308E">
            <w:pPr>
              <w:rPr>
                <w:rFonts w:asciiTheme="majorHAnsi" w:eastAsia="Times New Roman" w:hAnsiTheme="majorHAnsi" w:cstheme="majorHAnsi"/>
                <w:sz w:val="20"/>
                <w:szCs w:val="20"/>
              </w:rPr>
            </w:pPr>
            <w:r w:rsidRPr="00AF5600">
              <w:rPr>
                <w:rFonts w:asciiTheme="majorHAnsi" w:hAnsiTheme="majorHAnsi" w:cstheme="majorHAnsi"/>
                <w:sz w:val="20"/>
                <w:szCs w:val="20"/>
              </w:rPr>
              <w:t>Homework 1b</w:t>
            </w:r>
            <w:r w:rsidR="002B2035" w:rsidRPr="00AF5600">
              <w:rPr>
                <w:rFonts w:asciiTheme="majorHAnsi" w:eastAsia="Times New Roman" w:hAnsiTheme="majorHAnsi" w:cstheme="majorHAnsi"/>
                <w:sz w:val="20"/>
                <w:szCs w:val="20"/>
              </w:rPr>
              <w:t>: This assignment</w:t>
            </w:r>
            <w:r w:rsidRPr="00AF5600">
              <w:rPr>
                <w:rFonts w:asciiTheme="majorHAnsi" w:eastAsia="Times New Roman" w:hAnsiTheme="majorHAnsi" w:cstheme="majorHAnsi"/>
                <w:sz w:val="20"/>
                <w:szCs w:val="20"/>
              </w:rPr>
              <w:t xml:space="preserve"> requires students to use SAS for data manipulation, statistical computation, and graphics. Also, for all homework that require statistical computations, students are required to turn in the code for the statistical software they used (SAS is encouraged).</w:t>
            </w:r>
          </w:p>
          <w:p w:rsidR="003555DB" w:rsidRPr="00AF5600" w:rsidRDefault="003555DB" w:rsidP="006C308E">
            <w:pPr>
              <w:rPr>
                <w:rFonts w:asciiTheme="majorHAnsi" w:eastAsia="Times New Roman" w:hAnsiTheme="majorHAnsi" w:cstheme="majorHAnsi"/>
                <w:sz w:val="20"/>
                <w:szCs w:val="20"/>
              </w:rPr>
            </w:pPr>
          </w:p>
        </w:tc>
      </w:tr>
      <w:tr w:rsidR="00B2640B" w:rsidRPr="00326F5C" w:rsidTr="00DE072A">
        <w:trPr>
          <w:cantSplit/>
          <w:trHeight w:val="191"/>
        </w:trPr>
        <w:tc>
          <w:tcPr>
            <w:tcW w:w="1185" w:type="pct"/>
            <w:vMerge/>
            <w:shd w:val="clear" w:color="auto" w:fill="auto"/>
          </w:tcPr>
          <w:p w:rsidR="00B2640B" w:rsidRPr="00326F5C" w:rsidRDefault="00B2640B" w:rsidP="006C308E">
            <w:pPr>
              <w:rPr>
                <w:rFonts w:asciiTheme="majorHAnsi" w:hAnsiTheme="majorHAnsi" w:cstheme="majorHAnsi"/>
                <w:color w:val="000000"/>
                <w:sz w:val="20"/>
                <w:szCs w:val="20"/>
              </w:rPr>
            </w:pPr>
          </w:p>
        </w:tc>
        <w:tc>
          <w:tcPr>
            <w:tcW w:w="1391" w:type="pct"/>
          </w:tcPr>
          <w:p w:rsidR="00B2640B" w:rsidRPr="00326F5C" w:rsidRDefault="00114C08" w:rsidP="00AA39F8">
            <w:pPr>
              <w:rPr>
                <w:rFonts w:asciiTheme="majorHAnsi" w:eastAsia="Times New Roman" w:hAnsiTheme="majorHAnsi" w:cstheme="majorHAnsi"/>
                <w:b/>
                <w:sz w:val="20"/>
                <w:szCs w:val="20"/>
              </w:rPr>
            </w:pPr>
            <w:r w:rsidRPr="00AF5600">
              <w:rPr>
                <w:rFonts w:asciiTheme="majorHAnsi" w:hAnsiTheme="majorHAnsi" w:cstheme="majorHAnsi"/>
                <w:b/>
                <w:sz w:val="20"/>
                <w:szCs w:val="20"/>
              </w:rPr>
              <w:t>PH 1821</w:t>
            </w:r>
            <w:r w:rsidRPr="00326F5C">
              <w:rPr>
                <w:rFonts w:asciiTheme="majorHAnsi" w:hAnsiTheme="majorHAnsi" w:cstheme="majorHAnsi"/>
                <w:sz w:val="20"/>
                <w:szCs w:val="20"/>
              </w:rPr>
              <w:t xml:space="preserve"> Applied Multivariate Analysis</w:t>
            </w:r>
          </w:p>
        </w:tc>
        <w:tc>
          <w:tcPr>
            <w:tcW w:w="2424" w:type="pct"/>
            <w:shd w:val="clear" w:color="auto" w:fill="auto"/>
          </w:tcPr>
          <w:p w:rsidR="00B2640B" w:rsidRPr="00AF5600" w:rsidRDefault="000A2E9F" w:rsidP="006C308E">
            <w:pPr>
              <w:rPr>
                <w:rFonts w:asciiTheme="majorHAnsi" w:eastAsia="Times New Roman" w:hAnsiTheme="majorHAnsi" w:cstheme="majorHAnsi"/>
                <w:sz w:val="20"/>
                <w:szCs w:val="20"/>
              </w:rPr>
            </w:pPr>
            <w:r w:rsidRPr="00AF5600">
              <w:rPr>
                <w:rFonts w:asciiTheme="majorHAnsi" w:hAnsiTheme="majorHAnsi" w:cstheme="majorHAnsi"/>
                <w:sz w:val="20"/>
                <w:szCs w:val="20"/>
              </w:rPr>
              <w:t>Homework 3</w:t>
            </w:r>
            <w:r w:rsidRPr="00AF5600">
              <w:rPr>
                <w:rFonts w:asciiTheme="majorHAnsi" w:eastAsia="Times New Roman" w:hAnsiTheme="majorHAnsi" w:cstheme="majorHAnsi"/>
                <w:sz w:val="20"/>
                <w:szCs w:val="20"/>
              </w:rPr>
              <w:t>: Students are asked to use SAS and R to perform MANOVA analysis for public health data. Students are asked to perform an alternative analysis and compare the results.</w:t>
            </w:r>
          </w:p>
        </w:tc>
      </w:tr>
      <w:tr w:rsidR="003555DB" w:rsidRPr="00326F5C" w:rsidDel="00A33608" w:rsidTr="00DE072A">
        <w:trPr>
          <w:cantSplit/>
          <w:trHeight w:val="191"/>
        </w:trPr>
        <w:tc>
          <w:tcPr>
            <w:tcW w:w="1185" w:type="pct"/>
            <w:vMerge/>
            <w:shd w:val="clear" w:color="auto" w:fill="auto"/>
          </w:tcPr>
          <w:p w:rsidR="003555DB" w:rsidRPr="00326F5C" w:rsidRDefault="003555DB" w:rsidP="006C308E">
            <w:pPr>
              <w:rPr>
                <w:rFonts w:asciiTheme="majorHAnsi" w:hAnsiTheme="majorHAnsi" w:cstheme="majorHAnsi"/>
                <w:color w:val="000000"/>
                <w:sz w:val="20"/>
                <w:szCs w:val="20"/>
              </w:rPr>
            </w:pPr>
          </w:p>
        </w:tc>
        <w:tc>
          <w:tcPr>
            <w:tcW w:w="1391" w:type="pct"/>
          </w:tcPr>
          <w:p w:rsidR="003555DB" w:rsidRPr="00326F5C" w:rsidRDefault="002C0642" w:rsidP="006C308E">
            <w:pPr>
              <w:rPr>
                <w:rFonts w:asciiTheme="majorHAnsi" w:eastAsia="Times New Roman" w:hAnsiTheme="majorHAnsi" w:cstheme="majorHAnsi"/>
                <w:sz w:val="20"/>
                <w:szCs w:val="20"/>
              </w:rPr>
            </w:pPr>
            <w:r w:rsidRPr="00AF5600">
              <w:rPr>
                <w:rFonts w:asciiTheme="majorHAnsi" w:hAnsiTheme="majorHAnsi" w:cstheme="majorHAnsi"/>
                <w:b/>
                <w:sz w:val="20"/>
                <w:szCs w:val="20"/>
              </w:rPr>
              <w:t>PH 1830</w:t>
            </w:r>
            <w:r w:rsidRPr="00326F5C">
              <w:rPr>
                <w:rFonts w:asciiTheme="majorHAnsi" w:hAnsiTheme="majorHAnsi" w:cstheme="majorHAnsi"/>
                <w:sz w:val="20"/>
                <w:szCs w:val="20"/>
              </w:rPr>
              <w:t xml:space="preserve"> Categorical Data Analysis</w:t>
            </w:r>
          </w:p>
        </w:tc>
        <w:tc>
          <w:tcPr>
            <w:tcW w:w="2424" w:type="pct"/>
            <w:shd w:val="clear" w:color="auto" w:fill="auto"/>
          </w:tcPr>
          <w:p w:rsidR="002201C4" w:rsidRPr="00AF5600" w:rsidRDefault="0009446B" w:rsidP="006C308E">
            <w:pPr>
              <w:rPr>
                <w:rFonts w:asciiTheme="majorHAnsi" w:eastAsia="Times New Roman" w:hAnsiTheme="majorHAnsi" w:cstheme="majorHAnsi"/>
                <w:sz w:val="20"/>
                <w:szCs w:val="20"/>
              </w:rPr>
            </w:pPr>
            <w:r w:rsidRPr="00AF5600">
              <w:rPr>
                <w:rFonts w:asciiTheme="majorHAnsi" w:hAnsiTheme="majorHAnsi" w:cstheme="majorHAnsi"/>
                <w:sz w:val="20"/>
                <w:szCs w:val="20"/>
              </w:rPr>
              <w:t>H</w:t>
            </w:r>
            <w:r w:rsidR="007D6018" w:rsidRPr="00AF5600">
              <w:rPr>
                <w:rFonts w:asciiTheme="majorHAnsi" w:hAnsiTheme="majorHAnsi" w:cstheme="majorHAnsi"/>
                <w:sz w:val="20"/>
                <w:szCs w:val="20"/>
              </w:rPr>
              <w:t xml:space="preserve">omework </w:t>
            </w:r>
            <w:r w:rsidRPr="00AF5600">
              <w:rPr>
                <w:rFonts w:asciiTheme="majorHAnsi" w:hAnsiTheme="majorHAnsi" w:cstheme="majorHAnsi"/>
                <w:sz w:val="20"/>
                <w:szCs w:val="20"/>
              </w:rPr>
              <w:t>4</w:t>
            </w:r>
            <w:r w:rsidR="007D6018" w:rsidRPr="00AF5600">
              <w:rPr>
                <w:rFonts w:asciiTheme="majorHAnsi" w:hAnsiTheme="majorHAnsi" w:cstheme="majorHAnsi"/>
                <w:sz w:val="20"/>
                <w:szCs w:val="20"/>
              </w:rPr>
              <w:t>,</w:t>
            </w:r>
            <w:r w:rsidRPr="00AF5600">
              <w:rPr>
                <w:rFonts w:asciiTheme="majorHAnsi" w:hAnsiTheme="majorHAnsi" w:cstheme="majorHAnsi"/>
                <w:sz w:val="20"/>
                <w:szCs w:val="20"/>
              </w:rPr>
              <w:t xml:space="preserve"> Question</w:t>
            </w:r>
            <w:r w:rsidR="009279C6" w:rsidRPr="00AF5600">
              <w:rPr>
                <w:rFonts w:asciiTheme="majorHAnsi" w:hAnsiTheme="majorHAnsi" w:cstheme="majorHAnsi"/>
                <w:sz w:val="20"/>
                <w:szCs w:val="20"/>
              </w:rPr>
              <w:t xml:space="preserve"> 1:</w:t>
            </w:r>
          </w:p>
          <w:p w:rsidR="002201C4" w:rsidRPr="00AF5600" w:rsidRDefault="002201C4" w:rsidP="006C308E">
            <w:pPr>
              <w:rPr>
                <w:rFonts w:asciiTheme="majorHAnsi" w:eastAsia="Times New Roman" w:hAnsiTheme="majorHAnsi" w:cstheme="majorHAnsi"/>
                <w:sz w:val="20"/>
                <w:szCs w:val="20"/>
              </w:rPr>
            </w:pPr>
          </w:p>
          <w:p w:rsidR="0009446B" w:rsidRPr="00AF5600" w:rsidRDefault="0009446B" w:rsidP="006C308E">
            <w:pPr>
              <w:rPr>
                <w:rFonts w:asciiTheme="majorHAnsi" w:eastAsia="Times New Roman" w:hAnsiTheme="majorHAnsi" w:cstheme="majorHAnsi"/>
                <w:sz w:val="20"/>
                <w:szCs w:val="20"/>
              </w:rPr>
            </w:pPr>
            <w:r w:rsidRPr="00AF5600">
              <w:rPr>
                <w:rFonts w:asciiTheme="majorHAnsi" w:eastAsia="Times New Roman" w:hAnsiTheme="majorHAnsi" w:cstheme="majorHAnsi"/>
                <w:sz w:val="20"/>
                <w:szCs w:val="20"/>
              </w:rPr>
              <w:t xml:space="preserve">1: Using the COMBINE data, </w:t>
            </w:r>
          </w:p>
          <w:p w:rsidR="0009446B" w:rsidRPr="00AF5600" w:rsidRDefault="0009446B" w:rsidP="006C308E">
            <w:pPr>
              <w:rPr>
                <w:rFonts w:asciiTheme="majorHAnsi" w:eastAsia="Times New Roman" w:hAnsiTheme="majorHAnsi" w:cstheme="majorHAnsi"/>
                <w:sz w:val="20"/>
                <w:szCs w:val="20"/>
              </w:rPr>
            </w:pPr>
          </w:p>
          <w:p w:rsidR="0009446B" w:rsidRPr="00AF5600" w:rsidRDefault="0009446B" w:rsidP="006C308E">
            <w:pPr>
              <w:rPr>
                <w:rFonts w:asciiTheme="majorHAnsi" w:eastAsia="Times New Roman" w:hAnsiTheme="majorHAnsi" w:cstheme="majorHAnsi"/>
                <w:sz w:val="20"/>
                <w:szCs w:val="20"/>
              </w:rPr>
            </w:pPr>
            <w:r w:rsidRPr="00AF5600">
              <w:rPr>
                <w:rFonts w:asciiTheme="majorHAnsi" w:eastAsia="Times New Roman" w:hAnsiTheme="majorHAnsi" w:cstheme="majorHAnsi"/>
                <w:sz w:val="20"/>
                <w:szCs w:val="20"/>
              </w:rPr>
              <w:t>a.) Construct a multiple logistic regression model of drinking (yes/no outcome) versus baseline predictors (sex, age, employment status, marital status, education level, treatment assignment (naltrexone vs placebo), and baseline %days drinking) using STATA. Build a table of regression coefficients, 95% confidence intervals, and p-values. Interpret in paragraph form, each of the regression coefficients resulting from this model.</w:t>
            </w:r>
          </w:p>
          <w:p w:rsidR="0009446B" w:rsidRPr="00AF5600" w:rsidRDefault="0009446B" w:rsidP="006C308E">
            <w:pPr>
              <w:rPr>
                <w:rFonts w:asciiTheme="majorHAnsi" w:eastAsia="Times New Roman" w:hAnsiTheme="majorHAnsi" w:cstheme="majorHAnsi"/>
                <w:sz w:val="20"/>
                <w:szCs w:val="20"/>
              </w:rPr>
            </w:pPr>
            <w:r w:rsidRPr="00AF5600">
              <w:rPr>
                <w:rFonts w:asciiTheme="majorHAnsi" w:eastAsia="Times New Roman" w:hAnsiTheme="majorHAnsi" w:cstheme="majorHAnsi"/>
                <w:sz w:val="20"/>
                <w:szCs w:val="20"/>
              </w:rPr>
              <w:t xml:space="preserve">b.) Fit the same model using R computing environment. </w:t>
            </w:r>
          </w:p>
          <w:p w:rsidR="003555DB" w:rsidRPr="00AF5600" w:rsidDel="00A33608" w:rsidRDefault="0009446B" w:rsidP="006C308E">
            <w:pPr>
              <w:rPr>
                <w:rFonts w:asciiTheme="majorHAnsi" w:eastAsia="Times New Roman" w:hAnsiTheme="majorHAnsi" w:cstheme="majorHAnsi"/>
                <w:sz w:val="20"/>
                <w:szCs w:val="20"/>
              </w:rPr>
            </w:pPr>
            <w:r w:rsidRPr="00AF5600">
              <w:rPr>
                <w:rFonts w:asciiTheme="majorHAnsi" w:eastAsia="Times New Roman" w:hAnsiTheme="majorHAnsi" w:cstheme="majorHAnsi"/>
                <w:sz w:val="20"/>
                <w:szCs w:val="20"/>
              </w:rPr>
              <w:t>c.) Are the coefficients, SEs, Wald tests, and likelihood ratio tests from STATA and R the same? Please comment on differences or similarities in output.</w:t>
            </w:r>
          </w:p>
        </w:tc>
      </w:tr>
    </w:tbl>
    <w:p w:rsidR="003555DB" w:rsidRPr="00326F5C" w:rsidRDefault="003555DB" w:rsidP="006C308E">
      <w:pPr>
        <w:ind w:left="720"/>
        <w:jc w:val="both"/>
        <w:rPr>
          <w:rFonts w:asciiTheme="majorHAnsi" w:hAnsiTheme="majorHAnsi" w:cstheme="majorHAnsi"/>
          <w:sz w:val="20"/>
          <w:szCs w:val="20"/>
        </w:rPr>
      </w:pPr>
    </w:p>
    <w:p w:rsidR="00261273" w:rsidRPr="00326F5C" w:rsidRDefault="00261273" w:rsidP="006C308E">
      <w:pPr>
        <w:shd w:val="clear" w:color="auto" w:fill="FFFFFF"/>
        <w:ind w:left="720"/>
        <w:jc w:val="both"/>
        <w:rPr>
          <w:rFonts w:asciiTheme="majorHAnsi" w:eastAsia="Arial Unicode MS" w:hAnsiTheme="majorHAnsi" w:cstheme="majorHAnsi"/>
          <w:sz w:val="20"/>
          <w:szCs w:val="20"/>
        </w:rPr>
      </w:pPr>
    </w:p>
    <w:p w:rsidR="00933038" w:rsidRPr="00C34E1B" w:rsidRDefault="00933038" w:rsidP="006C308E">
      <w:pPr>
        <w:numPr>
          <w:ilvl w:val="0"/>
          <w:numId w:val="28"/>
        </w:numPr>
        <w:shd w:val="clear" w:color="auto" w:fill="FFFFFF"/>
        <w:jc w:val="both"/>
        <w:rPr>
          <w:rFonts w:asciiTheme="majorHAnsi" w:eastAsia="Arial Unicode MS" w:hAnsiTheme="majorHAnsi" w:cstheme="majorHAnsi"/>
          <w:sz w:val="20"/>
          <w:szCs w:val="20"/>
        </w:rPr>
      </w:pPr>
      <w:r w:rsidRPr="00C34E1B">
        <w:rPr>
          <w:rFonts w:asciiTheme="majorHAnsi" w:eastAsia="Arial Unicode MS" w:hAnsiTheme="majorHAnsi" w:cstheme="majorHAnsi"/>
          <w:sz w:val="20"/>
          <w:szCs w:val="20"/>
        </w:rPr>
        <w:t>Identify required coursework and other experiences that address the variety of public health research methods employed in the context of a population health framework to foster discovery and translation of public health knowledge and a brief narrative that explains how the instruction and assessment is equivalent to that typically associated with a three-semester-credit course.</w:t>
      </w:r>
    </w:p>
    <w:p w:rsidR="00933038" w:rsidRPr="00C34E1B" w:rsidRDefault="00933038" w:rsidP="006C308E">
      <w:pPr>
        <w:shd w:val="clear" w:color="auto" w:fill="FFFFFF"/>
        <w:ind w:left="720"/>
        <w:jc w:val="both"/>
        <w:rPr>
          <w:rFonts w:asciiTheme="majorHAnsi" w:eastAsia="Arial Unicode MS" w:hAnsiTheme="majorHAnsi" w:cstheme="majorHAnsi"/>
          <w:sz w:val="20"/>
          <w:szCs w:val="20"/>
        </w:rPr>
      </w:pPr>
    </w:p>
    <w:p w:rsidR="00933038" w:rsidRPr="00C34E1B" w:rsidRDefault="001F4704" w:rsidP="006E28EE">
      <w:pPr>
        <w:shd w:val="clear" w:color="auto" w:fill="FFFFFF"/>
        <w:ind w:left="720"/>
        <w:rPr>
          <w:rFonts w:asciiTheme="majorHAnsi" w:hAnsiTheme="majorHAnsi" w:cstheme="majorHAnsi"/>
          <w:sz w:val="20"/>
          <w:szCs w:val="20"/>
        </w:rPr>
      </w:pPr>
      <w:r w:rsidRPr="00C34E1B">
        <w:rPr>
          <w:rFonts w:asciiTheme="majorHAnsi" w:eastAsia="Arial" w:hAnsiTheme="majorHAnsi" w:cstheme="majorHAnsi"/>
          <w:sz w:val="20"/>
          <w:szCs w:val="20"/>
        </w:rPr>
        <w:t xml:space="preserve">The curricular requirements for the MS in biostatistics degree program can be found in </w:t>
      </w:r>
      <w:r w:rsidRPr="00C34E1B">
        <w:rPr>
          <w:rFonts w:asciiTheme="majorHAnsi" w:eastAsia="Arial" w:hAnsiTheme="majorHAnsi" w:cstheme="majorHAnsi"/>
          <w:color w:val="000000"/>
          <w:sz w:val="20"/>
          <w:szCs w:val="20"/>
        </w:rPr>
        <w:t xml:space="preserve">the </w:t>
      </w:r>
      <w:r w:rsidRPr="00C34E1B">
        <w:rPr>
          <w:rFonts w:asciiTheme="majorHAnsi" w:eastAsia="Arial" w:hAnsiTheme="majorHAnsi" w:cstheme="majorHAnsi"/>
          <w:sz w:val="20"/>
          <w:szCs w:val="20"/>
        </w:rPr>
        <w:t>2018–2020 Academic Catalog</w:t>
      </w:r>
      <w:r w:rsidRPr="00C34E1B">
        <w:rPr>
          <w:rFonts w:asciiTheme="majorHAnsi" w:eastAsia="Arial" w:hAnsiTheme="majorHAnsi" w:cstheme="majorHAnsi"/>
          <w:color w:val="000000"/>
          <w:sz w:val="20"/>
          <w:szCs w:val="20"/>
        </w:rPr>
        <w:t xml:space="preserve"> and </w:t>
      </w:r>
      <w:r w:rsidRPr="00C34E1B">
        <w:rPr>
          <w:rFonts w:asciiTheme="majorHAnsi" w:hAnsiTheme="majorHAnsi" w:cstheme="majorHAnsi"/>
          <w:sz w:val="20"/>
          <w:szCs w:val="20"/>
        </w:rPr>
        <w:t xml:space="preserve">2019–2020 </w:t>
      </w:r>
      <w:r w:rsidRPr="00C34E1B">
        <w:rPr>
          <w:rFonts w:asciiTheme="majorHAnsi" w:eastAsia="Arial" w:hAnsiTheme="majorHAnsi" w:cstheme="majorHAnsi"/>
          <w:sz w:val="20"/>
          <w:szCs w:val="20"/>
        </w:rPr>
        <w:t xml:space="preserve">Academic </w:t>
      </w:r>
      <w:r w:rsidRPr="00C34E1B">
        <w:rPr>
          <w:rFonts w:asciiTheme="majorHAnsi" w:hAnsiTheme="majorHAnsi" w:cstheme="majorHAnsi"/>
          <w:sz w:val="20"/>
          <w:szCs w:val="20"/>
        </w:rPr>
        <w:t>Catalog Addendum</w:t>
      </w:r>
      <w:r w:rsidRPr="00C34E1B">
        <w:rPr>
          <w:rFonts w:asciiTheme="majorHAnsi" w:eastAsia="Arial" w:hAnsiTheme="majorHAnsi" w:cstheme="majorHAnsi"/>
          <w:color w:val="000000"/>
          <w:sz w:val="20"/>
          <w:szCs w:val="20"/>
        </w:rPr>
        <w:t xml:space="preserve"> </w:t>
      </w:r>
      <w:r w:rsidRPr="00C34E1B">
        <w:rPr>
          <w:rFonts w:asciiTheme="majorHAnsi" w:hAnsiTheme="majorHAnsi" w:cstheme="majorHAnsi"/>
          <w:sz w:val="20"/>
          <w:szCs w:val="20"/>
        </w:rPr>
        <w:t>(</w:t>
      </w:r>
      <w:r w:rsidRPr="00C34E1B">
        <w:rPr>
          <w:rFonts w:asciiTheme="majorHAnsi" w:hAnsiTheme="majorHAnsi" w:cstheme="majorHAnsi"/>
          <w:i/>
          <w:sz w:val="20"/>
          <w:szCs w:val="20"/>
        </w:rPr>
        <w:t>ERF, A5. Degree Offerings in Schools of Public Health</w:t>
      </w:r>
      <w:r w:rsidRPr="00C34E1B">
        <w:rPr>
          <w:rFonts w:asciiTheme="majorHAnsi" w:hAnsiTheme="majorHAnsi" w:cstheme="majorHAnsi"/>
          <w:sz w:val="20"/>
          <w:szCs w:val="20"/>
        </w:rPr>
        <w:t>)</w:t>
      </w:r>
      <w:r w:rsidRPr="00C34E1B">
        <w:rPr>
          <w:rFonts w:asciiTheme="majorHAnsi" w:eastAsia="Arial" w:hAnsiTheme="majorHAnsi" w:cstheme="majorHAnsi"/>
          <w:color w:val="000000"/>
          <w:sz w:val="20"/>
          <w:szCs w:val="20"/>
        </w:rPr>
        <w:t xml:space="preserve">, </w:t>
      </w:r>
      <w:r w:rsidRPr="00C34E1B">
        <w:rPr>
          <w:rFonts w:asciiTheme="majorHAnsi" w:eastAsia="Arial" w:hAnsiTheme="majorHAnsi" w:cstheme="majorHAnsi"/>
          <w:sz w:val="20"/>
          <w:szCs w:val="20"/>
        </w:rPr>
        <w:t>and the MS Biostatistics degree planner (</w:t>
      </w:r>
      <w:r w:rsidRPr="00C34E1B">
        <w:rPr>
          <w:rFonts w:asciiTheme="majorHAnsi" w:eastAsia="Arial" w:hAnsiTheme="majorHAnsi" w:cstheme="majorHAnsi"/>
          <w:i/>
          <w:sz w:val="20"/>
          <w:szCs w:val="20"/>
        </w:rPr>
        <w:t>ERF, D17. MS Biostatistics, Degree Planner</w:t>
      </w:r>
      <w:r w:rsidRPr="00C34E1B">
        <w:rPr>
          <w:rFonts w:asciiTheme="majorHAnsi" w:eastAsia="Arial" w:hAnsiTheme="majorHAnsi" w:cstheme="majorHAnsi"/>
          <w:sz w:val="20"/>
          <w:szCs w:val="20"/>
        </w:rPr>
        <w:t xml:space="preserve">), </w:t>
      </w:r>
      <w:r w:rsidR="00261273" w:rsidRPr="00C34E1B">
        <w:rPr>
          <w:rFonts w:asciiTheme="majorHAnsi" w:hAnsiTheme="majorHAnsi" w:cstheme="majorHAnsi"/>
          <w:sz w:val="20"/>
          <w:szCs w:val="20"/>
        </w:rPr>
        <w:t>and emphasize coursework that address the public health research methods that are employed in the context of a population health framework to foster discovery and translation of public health knowledge.</w:t>
      </w:r>
    </w:p>
    <w:p w:rsidR="007D13E2" w:rsidRPr="00C34E1B" w:rsidRDefault="007D13E2" w:rsidP="006C308E">
      <w:pPr>
        <w:shd w:val="clear" w:color="auto" w:fill="FFFFFF"/>
        <w:ind w:left="720"/>
        <w:jc w:val="both"/>
        <w:rPr>
          <w:rFonts w:asciiTheme="majorHAnsi" w:hAnsiTheme="majorHAnsi" w:cstheme="majorHAnsi"/>
          <w:sz w:val="20"/>
          <w:szCs w:val="20"/>
        </w:rPr>
      </w:pPr>
    </w:p>
    <w:p w:rsidR="00D738C4" w:rsidRPr="00C34E1B" w:rsidRDefault="00D738C4" w:rsidP="006C308E">
      <w:pPr>
        <w:shd w:val="clear" w:color="auto" w:fill="FFFFFF"/>
        <w:ind w:left="720"/>
        <w:rPr>
          <w:rFonts w:asciiTheme="majorHAnsi" w:hAnsiTheme="majorHAnsi" w:cstheme="majorHAnsi"/>
          <w:sz w:val="20"/>
          <w:szCs w:val="20"/>
        </w:rPr>
      </w:pPr>
      <w:r w:rsidRPr="00C34E1B">
        <w:rPr>
          <w:rFonts w:asciiTheme="majorHAnsi" w:hAnsiTheme="majorHAnsi" w:cstheme="majorHAnsi"/>
          <w:sz w:val="20"/>
          <w:szCs w:val="20"/>
        </w:rPr>
        <w:t>Specifically, the Master of Science Degree in Biostatistics major courses (Intermediate Biostatistics, Applied Linear Regression, Applied Multivariate Analysis, Categorical Analysis, and Survival Analysis</w:t>
      </w:r>
      <w:r w:rsidR="00E6004B" w:rsidRPr="00C34E1B">
        <w:rPr>
          <w:rFonts w:asciiTheme="majorHAnsi" w:hAnsiTheme="majorHAnsi" w:cstheme="majorHAnsi"/>
          <w:sz w:val="20"/>
          <w:szCs w:val="20"/>
        </w:rPr>
        <w:t xml:space="preserve">, as defined in the </w:t>
      </w:r>
      <w:r w:rsidR="00964855" w:rsidRPr="00C34E1B">
        <w:rPr>
          <w:rFonts w:asciiTheme="majorHAnsi" w:eastAsia="Arial" w:hAnsiTheme="majorHAnsi" w:cstheme="majorHAnsi"/>
          <w:sz w:val="20"/>
          <w:szCs w:val="20"/>
        </w:rPr>
        <w:t>MS Biostatistics degree planner (</w:t>
      </w:r>
      <w:r w:rsidR="00964855" w:rsidRPr="00C34E1B">
        <w:rPr>
          <w:rFonts w:asciiTheme="majorHAnsi" w:eastAsia="Arial" w:hAnsiTheme="majorHAnsi" w:cstheme="majorHAnsi"/>
          <w:i/>
          <w:sz w:val="20"/>
          <w:szCs w:val="20"/>
        </w:rPr>
        <w:t>ERF, D17. MS Biostatistics, Degree Planner</w:t>
      </w:r>
      <w:r w:rsidRPr="00C34E1B">
        <w:rPr>
          <w:rFonts w:asciiTheme="majorHAnsi" w:hAnsiTheme="majorHAnsi" w:cstheme="majorHAnsi"/>
          <w:sz w:val="20"/>
          <w:szCs w:val="20"/>
        </w:rPr>
        <w:t xml:space="preserve">) </w:t>
      </w:r>
      <w:r w:rsidR="000D2BC4" w:rsidRPr="00C34E1B">
        <w:rPr>
          <w:rFonts w:asciiTheme="majorHAnsi" w:hAnsiTheme="majorHAnsi" w:cstheme="majorHAnsi"/>
          <w:sz w:val="20"/>
          <w:szCs w:val="20"/>
        </w:rPr>
        <w:t>use applied statistical methods to describe research methods and analyze data to impact population health</w:t>
      </w:r>
      <w:r w:rsidRPr="00C34E1B">
        <w:rPr>
          <w:rFonts w:asciiTheme="majorHAnsi" w:hAnsiTheme="majorHAnsi" w:cstheme="majorHAnsi"/>
          <w:sz w:val="20"/>
          <w:szCs w:val="20"/>
        </w:rPr>
        <w:t>. For example, in</w:t>
      </w:r>
      <w:r w:rsidR="00A459B6" w:rsidRPr="00C34E1B">
        <w:rPr>
          <w:rFonts w:asciiTheme="majorHAnsi" w:hAnsiTheme="majorHAnsi" w:cstheme="majorHAnsi"/>
          <w:sz w:val="20"/>
          <w:szCs w:val="20"/>
        </w:rPr>
        <w:t xml:space="preserve"> the</w:t>
      </w:r>
      <w:r w:rsidRPr="00C34E1B">
        <w:rPr>
          <w:rFonts w:asciiTheme="majorHAnsi" w:hAnsiTheme="majorHAnsi" w:cstheme="majorHAnsi"/>
          <w:sz w:val="20"/>
          <w:szCs w:val="20"/>
        </w:rPr>
        <w:t xml:space="preserve"> Intermediate Biostatistics final project, students develop research questions, describe methods, and conduct analyses to examine risk factors for low birth rate in a hospital population. In Applied Linear Regression</w:t>
      </w:r>
      <w:r w:rsidR="00906614" w:rsidRPr="00C34E1B">
        <w:rPr>
          <w:rFonts w:asciiTheme="majorHAnsi" w:hAnsiTheme="majorHAnsi" w:cstheme="majorHAnsi"/>
          <w:sz w:val="20"/>
          <w:szCs w:val="20"/>
        </w:rPr>
        <w:t>,</w:t>
      </w:r>
      <w:r w:rsidRPr="00C34E1B">
        <w:rPr>
          <w:rFonts w:asciiTheme="majorHAnsi" w:hAnsiTheme="majorHAnsi" w:cstheme="majorHAnsi"/>
          <w:sz w:val="20"/>
          <w:szCs w:val="20"/>
        </w:rPr>
        <w:t xml:space="preserve"> students analyze population health data and present the research methods through a presentation. In Survival Analysis, students examine population health peer-reviewed studies and analyze population health data. In addition, students take 12 hours of electives that include at least three hours of epidemiology</w:t>
      </w:r>
      <w:r w:rsidR="003A6D10" w:rsidRPr="00C34E1B">
        <w:rPr>
          <w:rFonts w:asciiTheme="majorHAnsi" w:hAnsiTheme="majorHAnsi" w:cstheme="majorHAnsi"/>
          <w:sz w:val="20"/>
          <w:szCs w:val="20"/>
        </w:rPr>
        <w:t xml:space="preserve"> coursework</w:t>
      </w:r>
      <w:r w:rsidRPr="00C34E1B">
        <w:rPr>
          <w:rFonts w:asciiTheme="majorHAnsi" w:hAnsiTheme="majorHAnsi" w:cstheme="majorHAnsi"/>
          <w:sz w:val="20"/>
          <w:szCs w:val="20"/>
        </w:rPr>
        <w:t xml:space="preserve"> and the </w:t>
      </w:r>
      <w:r w:rsidR="00C71720" w:rsidRPr="00C34E1B">
        <w:rPr>
          <w:rFonts w:asciiTheme="majorHAnsi" w:hAnsiTheme="majorHAnsi" w:cstheme="majorHAnsi"/>
          <w:sz w:val="20"/>
          <w:szCs w:val="20"/>
        </w:rPr>
        <w:t xml:space="preserve">PH101 </w:t>
      </w:r>
      <w:r w:rsidRPr="00C34E1B">
        <w:rPr>
          <w:rFonts w:asciiTheme="majorHAnsi" w:hAnsiTheme="majorHAnsi" w:cstheme="majorHAnsi"/>
          <w:sz w:val="20"/>
          <w:szCs w:val="20"/>
        </w:rPr>
        <w:t>Foundations in Public Health course</w:t>
      </w:r>
      <w:r w:rsidR="00555BF5" w:rsidRPr="00C34E1B">
        <w:rPr>
          <w:rFonts w:asciiTheme="majorHAnsi" w:hAnsiTheme="majorHAnsi" w:cstheme="majorHAnsi"/>
          <w:sz w:val="20"/>
          <w:szCs w:val="20"/>
        </w:rPr>
        <w:t xml:space="preserve"> (outlined in </w:t>
      </w:r>
      <w:hyperlink w:anchor="_D1._MPH_&amp;" w:history="1">
        <w:r w:rsidR="000A7BAD" w:rsidRPr="006E28EE">
          <w:rPr>
            <w:rStyle w:val="Hyperlink"/>
            <w:rFonts w:asciiTheme="majorHAnsi" w:hAnsiTheme="majorHAnsi" w:cstheme="majorHAnsi"/>
            <w:i/>
            <w:sz w:val="20"/>
            <w:szCs w:val="20"/>
          </w:rPr>
          <w:t>Criterion D1 Foundational Public Health Knowledge</w:t>
        </w:r>
      </w:hyperlink>
      <w:r w:rsidR="00555BF5" w:rsidRPr="00C34E1B">
        <w:rPr>
          <w:rFonts w:asciiTheme="majorHAnsi" w:hAnsiTheme="majorHAnsi" w:cstheme="majorHAnsi"/>
          <w:sz w:val="20"/>
          <w:szCs w:val="20"/>
        </w:rPr>
        <w:t>)</w:t>
      </w:r>
      <w:r w:rsidRPr="00C34E1B">
        <w:rPr>
          <w:rFonts w:asciiTheme="majorHAnsi" w:hAnsiTheme="majorHAnsi" w:cstheme="majorHAnsi"/>
          <w:sz w:val="20"/>
          <w:szCs w:val="20"/>
        </w:rPr>
        <w:t xml:space="preserve">. Most students elect to do a minor in epidemiology, </w:t>
      </w:r>
      <w:r w:rsidR="008464B6" w:rsidRPr="00C34E1B">
        <w:rPr>
          <w:rFonts w:asciiTheme="majorHAnsi" w:hAnsiTheme="majorHAnsi" w:cstheme="majorHAnsi"/>
          <w:sz w:val="20"/>
          <w:szCs w:val="20"/>
        </w:rPr>
        <w:t>though optional,</w:t>
      </w:r>
      <w:r w:rsidR="00187F6B" w:rsidRPr="00C34E1B">
        <w:rPr>
          <w:rFonts w:asciiTheme="majorHAnsi" w:hAnsiTheme="majorHAnsi" w:cstheme="majorHAnsi"/>
          <w:sz w:val="20"/>
          <w:szCs w:val="20"/>
        </w:rPr>
        <w:t xml:space="preserve"> </w:t>
      </w:r>
      <w:r w:rsidRPr="00C34E1B">
        <w:rPr>
          <w:rFonts w:asciiTheme="majorHAnsi" w:hAnsiTheme="majorHAnsi" w:cstheme="majorHAnsi"/>
          <w:sz w:val="20"/>
          <w:szCs w:val="20"/>
        </w:rPr>
        <w:t>providing students with a variety of public health research methods.  </w:t>
      </w:r>
    </w:p>
    <w:p w:rsidR="00D738C4" w:rsidRPr="00C34E1B" w:rsidRDefault="00D738C4" w:rsidP="006C308E">
      <w:pPr>
        <w:shd w:val="clear" w:color="auto" w:fill="FFFFFF"/>
        <w:ind w:left="720"/>
        <w:jc w:val="both"/>
        <w:rPr>
          <w:rFonts w:asciiTheme="majorHAnsi" w:hAnsiTheme="majorHAnsi" w:cstheme="majorHAnsi"/>
          <w:sz w:val="20"/>
          <w:szCs w:val="20"/>
        </w:rPr>
      </w:pPr>
    </w:p>
    <w:p w:rsidR="007D13E2" w:rsidRPr="001247EE" w:rsidRDefault="007D13E2" w:rsidP="006C308E">
      <w:pPr>
        <w:shd w:val="clear" w:color="auto" w:fill="FFFFFF"/>
        <w:ind w:left="720"/>
        <w:jc w:val="both"/>
        <w:rPr>
          <w:rFonts w:asciiTheme="majorHAnsi" w:hAnsiTheme="majorHAnsi" w:cstheme="majorHAnsi"/>
          <w:sz w:val="20"/>
          <w:szCs w:val="20"/>
        </w:rPr>
      </w:pPr>
      <w:r w:rsidRPr="001247EE">
        <w:rPr>
          <w:rFonts w:asciiTheme="majorHAnsi" w:hAnsiTheme="majorHAnsi" w:cstheme="majorHAnsi"/>
          <w:sz w:val="20"/>
          <w:szCs w:val="20"/>
        </w:rPr>
        <w:t>Associated documents in the electronic resource file:</w:t>
      </w:r>
    </w:p>
    <w:p w:rsidR="007D13E2" w:rsidRPr="001247EE" w:rsidRDefault="000A7BAD" w:rsidP="006C308E">
      <w:pPr>
        <w:pStyle w:val="ListParagraph"/>
        <w:numPr>
          <w:ilvl w:val="0"/>
          <w:numId w:val="138"/>
        </w:numPr>
        <w:shd w:val="clear" w:color="auto" w:fill="FFFFFF"/>
        <w:jc w:val="both"/>
        <w:rPr>
          <w:rFonts w:asciiTheme="majorHAnsi" w:hAnsiTheme="majorHAnsi" w:cstheme="majorHAnsi"/>
          <w:i/>
          <w:szCs w:val="20"/>
        </w:rPr>
      </w:pPr>
      <w:r w:rsidRPr="001247EE">
        <w:rPr>
          <w:rFonts w:asciiTheme="majorHAnsi" w:hAnsiTheme="majorHAnsi" w:cstheme="majorHAnsi"/>
          <w:i/>
        </w:rPr>
        <w:t>D17. Academic Public Health Master’s Degrees</w:t>
      </w:r>
    </w:p>
    <w:p w:rsidR="007D13E2" w:rsidRPr="001247EE" w:rsidRDefault="000A7BAD" w:rsidP="006C308E">
      <w:pPr>
        <w:pStyle w:val="ListParagraph"/>
        <w:numPr>
          <w:ilvl w:val="1"/>
          <w:numId w:val="138"/>
        </w:numPr>
        <w:shd w:val="clear" w:color="auto" w:fill="FFFFFF"/>
        <w:jc w:val="both"/>
        <w:rPr>
          <w:rFonts w:asciiTheme="majorHAnsi" w:hAnsiTheme="majorHAnsi" w:cstheme="majorHAnsi"/>
          <w:i/>
          <w:szCs w:val="20"/>
        </w:rPr>
      </w:pPr>
      <w:r w:rsidRPr="001247EE">
        <w:rPr>
          <w:rFonts w:asciiTheme="majorHAnsi" w:hAnsiTheme="majorHAnsi" w:cstheme="majorHAnsi"/>
          <w:i/>
        </w:rPr>
        <w:t>D17.4. MS Degree Planners</w:t>
      </w:r>
    </w:p>
    <w:p w:rsidR="00933038" w:rsidRPr="001247EE" w:rsidRDefault="00933038" w:rsidP="006C308E">
      <w:pPr>
        <w:shd w:val="clear" w:color="auto" w:fill="FFFFFF"/>
        <w:jc w:val="both"/>
        <w:rPr>
          <w:rFonts w:asciiTheme="majorHAnsi" w:eastAsia="Arial Unicode MS" w:hAnsiTheme="majorHAnsi" w:cstheme="majorHAnsi"/>
          <w:sz w:val="20"/>
          <w:szCs w:val="20"/>
        </w:rPr>
      </w:pPr>
    </w:p>
    <w:p w:rsidR="00933038" w:rsidRPr="00C34E1B" w:rsidRDefault="00933038" w:rsidP="006C308E">
      <w:pPr>
        <w:numPr>
          <w:ilvl w:val="0"/>
          <w:numId w:val="28"/>
        </w:numPr>
        <w:shd w:val="clear" w:color="auto" w:fill="FFFFFF"/>
        <w:jc w:val="both"/>
        <w:rPr>
          <w:rFonts w:asciiTheme="majorHAnsi" w:eastAsia="Arial Unicode MS" w:hAnsiTheme="majorHAnsi" w:cstheme="majorHAnsi"/>
          <w:sz w:val="20"/>
          <w:szCs w:val="20"/>
        </w:rPr>
      </w:pPr>
      <w:r w:rsidRPr="00C34E1B">
        <w:rPr>
          <w:rFonts w:asciiTheme="majorHAnsi" w:eastAsia="Arial Unicode MS" w:hAnsiTheme="majorHAnsi" w:cstheme="majorHAnsi"/>
          <w:sz w:val="20"/>
          <w:szCs w:val="20"/>
        </w:rPr>
        <w:t>Briefly summarize policies and procedures relating to production and assessment of the final research project or paper</w:t>
      </w:r>
      <w:r w:rsidR="006413E9" w:rsidRPr="00C34E1B">
        <w:rPr>
          <w:rFonts w:asciiTheme="majorHAnsi" w:eastAsia="Arial Unicode MS" w:hAnsiTheme="majorHAnsi" w:cstheme="majorHAnsi"/>
          <w:sz w:val="20"/>
          <w:szCs w:val="20"/>
        </w:rPr>
        <w:t>s</w:t>
      </w:r>
      <w:r w:rsidRPr="00C34E1B">
        <w:rPr>
          <w:rFonts w:asciiTheme="majorHAnsi" w:eastAsia="Arial Unicode MS" w:hAnsiTheme="majorHAnsi" w:cstheme="majorHAnsi"/>
          <w:sz w:val="20"/>
          <w:szCs w:val="20"/>
        </w:rPr>
        <w:t xml:space="preserve">. </w:t>
      </w:r>
    </w:p>
    <w:p w:rsidR="00933038" w:rsidRPr="00C34E1B" w:rsidRDefault="00933038" w:rsidP="006C308E">
      <w:pPr>
        <w:shd w:val="clear" w:color="auto" w:fill="FFFFFF"/>
        <w:jc w:val="both"/>
        <w:rPr>
          <w:rFonts w:asciiTheme="majorHAnsi" w:eastAsia="Arial Unicode MS" w:hAnsiTheme="majorHAnsi" w:cstheme="majorHAnsi"/>
          <w:sz w:val="20"/>
          <w:szCs w:val="20"/>
        </w:rPr>
      </w:pPr>
    </w:p>
    <w:p w:rsidR="00261273" w:rsidRPr="00C34E1B" w:rsidRDefault="00261273" w:rsidP="006C308E">
      <w:pPr>
        <w:shd w:val="clear" w:color="auto" w:fill="FFFFFF"/>
        <w:ind w:left="720"/>
        <w:rPr>
          <w:rFonts w:asciiTheme="majorHAnsi" w:hAnsiTheme="majorHAnsi" w:cstheme="majorHAnsi"/>
          <w:sz w:val="20"/>
          <w:szCs w:val="20"/>
        </w:rPr>
      </w:pPr>
      <w:r w:rsidRPr="00C34E1B">
        <w:rPr>
          <w:rFonts w:asciiTheme="majorHAnsi" w:hAnsiTheme="majorHAnsi" w:cstheme="majorHAnsi"/>
          <w:sz w:val="20"/>
          <w:szCs w:val="20"/>
        </w:rPr>
        <w:t>Students in the Master of Science program are required to complete a written research thesis that demonstrates appropriate depth of knowledge in the field of study</w:t>
      </w:r>
      <w:r w:rsidR="007F5D9E" w:rsidRPr="00C34E1B">
        <w:rPr>
          <w:rFonts w:asciiTheme="majorHAnsi" w:hAnsiTheme="majorHAnsi" w:cstheme="majorHAnsi"/>
          <w:sz w:val="20"/>
          <w:szCs w:val="20"/>
        </w:rPr>
        <w:t xml:space="preserve"> and has public health significance</w:t>
      </w:r>
      <w:r w:rsidRPr="00C34E1B">
        <w:rPr>
          <w:rFonts w:asciiTheme="majorHAnsi" w:hAnsiTheme="majorHAnsi" w:cstheme="majorHAnsi"/>
          <w:sz w:val="20"/>
          <w:szCs w:val="20"/>
        </w:rPr>
        <w:t xml:space="preserve">.  Students work with their committee to develop a thesis proposal that goes through extensive vetting and approval by their committee members. Students continue to work with their committee through the research process until completion of the final product. All MS students must defend their thesis in a public forum prior to approval. </w:t>
      </w:r>
    </w:p>
    <w:p w:rsidR="00506B30" w:rsidRPr="00C34E1B" w:rsidRDefault="00506B30" w:rsidP="006C308E">
      <w:pPr>
        <w:shd w:val="clear" w:color="auto" w:fill="FFFFFF"/>
        <w:ind w:left="720"/>
        <w:rPr>
          <w:rFonts w:asciiTheme="majorHAnsi" w:hAnsiTheme="majorHAnsi" w:cstheme="majorHAnsi"/>
          <w:sz w:val="20"/>
          <w:szCs w:val="20"/>
        </w:rPr>
      </w:pPr>
    </w:p>
    <w:p w:rsidR="00506B30" w:rsidRPr="00C34E1B" w:rsidRDefault="00506B30" w:rsidP="006C308E">
      <w:pPr>
        <w:shd w:val="clear" w:color="auto" w:fill="FFFFFF"/>
        <w:ind w:left="720"/>
        <w:jc w:val="both"/>
        <w:rPr>
          <w:rFonts w:asciiTheme="majorHAnsi" w:hAnsiTheme="majorHAnsi" w:cstheme="majorHAnsi"/>
          <w:sz w:val="20"/>
          <w:szCs w:val="20"/>
        </w:rPr>
      </w:pPr>
      <w:r w:rsidRPr="00C34E1B">
        <w:rPr>
          <w:rFonts w:asciiTheme="majorHAnsi" w:hAnsiTheme="majorHAnsi" w:cstheme="majorHAnsi"/>
          <w:sz w:val="20"/>
          <w:szCs w:val="20"/>
        </w:rPr>
        <w:t>Associated documents in the electronic resource file:</w:t>
      </w:r>
    </w:p>
    <w:p w:rsidR="001B5238" w:rsidRPr="001247EE" w:rsidRDefault="00EA16BF" w:rsidP="006C308E">
      <w:pPr>
        <w:pStyle w:val="ListParagraph"/>
        <w:numPr>
          <w:ilvl w:val="0"/>
          <w:numId w:val="138"/>
        </w:numPr>
        <w:shd w:val="clear" w:color="auto" w:fill="FFFFFF"/>
        <w:jc w:val="both"/>
        <w:rPr>
          <w:rFonts w:asciiTheme="majorHAnsi" w:eastAsia="Arial Unicode MS" w:hAnsiTheme="majorHAnsi" w:cstheme="majorHAnsi"/>
          <w:i/>
          <w:szCs w:val="20"/>
        </w:rPr>
      </w:pPr>
      <w:r w:rsidRPr="001247EE">
        <w:rPr>
          <w:rFonts w:asciiTheme="majorHAnsi" w:eastAsia="Arial Unicode MS" w:hAnsiTheme="majorHAnsi" w:cstheme="majorHAnsi"/>
          <w:i/>
        </w:rPr>
        <w:t>D17.6. Policies and Procedures for Production and Assessment of Final Research Thesis</w:t>
      </w:r>
    </w:p>
    <w:p w:rsidR="00EA16BF" w:rsidRPr="001247EE" w:rsidRDefault="00EA16BF" w:rsidP="00D91D9D">
      <w:pPr>
        <w:pStyle w:val="ListParagraph"/>
        <w:numPr>
          <w:ilvl w:val="1"/>
          <w:numId w:val="138"/>
        </w:numPr>
        <w:shd w:val="clear" w:color="auto" w:fill="FFFFFF"/>
        <w:jc w:val="both"/>
        <w:rPr>
          <w:rFonts w:asciiTheme="majorHAnsi" w:eastAsia="Arial Unicode MS" w:hAnsiTheme="majorHAnsi" w:cstheme="majorHAnsi"/>
          <w:i/>
        </w:rPr>
      </w:pPr>
      <w:r w:rsidRPr="001247EE">
        <w:rPr>
          <w:rFonts w:asciiTheme="majorHAnsi" w:hAnsiTheme="majorHAnsi" w:cstheme="majorHAnsi"/>
          <w:i/>
        </w:rPr>
        <w:t>MS Thesis Research Guide</w:t>
      </w:r>
    </w:p>
    <w:p w:rsidR="00EA16BF" w:rsidRPr="001247EE" w:rsidRDefault="00EA16BF" w:rsidP="00D91D9D">
      <w:pPr>
        <w:pStyle w:val="ListParagraph"/>
        <w:numPr>
          <w:ilvl w:val="1"/>
          <w:numId w:val="138"/>
        </w:numPr>
        <w:shd w:val="clear" w:color="auto" w:fill="FFFFFF"/>
        <w:jc w:val="both"/>
        <w:rPr>
          <w:rFonts w:asciiTheme="majorHAnsi" w:eastAsia="Arial Unicode MS" w:hAnsiTheme="majorHAnsi" w:cstheme="majorHAnsi"/>
          <w:i/>
        </w:rPr>
      </w:pPr>
      <w:r w:rsidRPr="001247EE">
        <w:rPr>
          <w:rFonts w:asciiTheme="majorHAnsi" w:hAnsiTheme="majorHAnsi" w:cstheme="majorHAnsi"/>
          <w:i/>
        </w:rPr>
        <w:t>Policy 104, MPH and MS Committee Structures</w:t>
      </w:r>
    </w:p>
    <w:p w:rsidR="00506B30" w:rsidRPr="001247EE" w:rsidRDefault="00EA16BF" w:rsidP="006C308E">
      <w:pPr>
        <w:pStyle w:val="ListParagraph"/>
        <w:numPr>
          <w:ilvl w:val="1"/>
          <w:numId w:val="138"/>
        </w:numPr>
        <w:shd w:val="clear" w:color="auto" w:fill="FFFFFF"/>
        <w:jc w:val="both"/>
        <w:rPr>
          <w:rStyle w:val="Hyperlink"/>
          <w:rFonts w:asciiTheme="majorHAnsi" w:eastAsia="Arial Unicode MS" w:hAnsiTheme="majorHAnsi" w:cstheme="majorHAnsi"/>
          <w:i/>
          <w:color w:val="auto"/>
          <w:szCs w:val="20"/>
          <w:u w:val="none"/>
        </w:rPr>
      </w:pPr>
      <w:r w:rsidRPr="001247EE">
        <w:rPr>
          <w:rFonts w:asciiTheme="majorHAnsi" w:hAnsiTheme="majorHAnsi" w:cstheme="majorHAnsi"/>
          <w:i/>
        </w:rPr>
        <w:t>Policy 106, Thesis and Dissertation Data &amp; Publication Authorship</w:t>
      </w:r>
    </w:p>
    <w:p w:rsidR="00506B30" w:rsidRPr="001247EE" w:rsidRDefault="00EA16BF" w:rsidP="006C308E">
      <w:pPr>
        <w:pStyle w:val="ListParagraph"/>
        <w:numPr>
          <w:ilvl w:val="1"/>
          <w:numId w:val="138"/>
        </w:numPr>
        <w:shd w:val="clear" w:color="auto" w:fill="FFFFFF"/>
        <w:jc w:val="both"/>
        <w:rPr>
          <w:rFonts w:asciiTheme="majorHAnsi" w:eastAsia="Arial Unicode MS" w:hAnsiTheme="majorHAnsi" w:cstheme="majorHAnsi"/>
          <w:i/>
          <w:szCs w:val="20"/>
        </w:rPr>
      </w:pPr>
      <w:r w:rsidRPr="001247EE">
        <w:rPr>
          <w:rFonts w:asciiTheme="majorHAnsi" w:hAnsiTheme="majorHAnsi" w:cstheme="majorHAnsi"/>
          <w:i/>
        </w:rPr>
        <w:t>Policy 109 Student Research Thesis and Dissertation Proposal</w:t>
      </w:r>
    </w:p>
    <w:p w:rsidR="00506B30" w:rsidRPr="001247EE" w:rsidRDefault="00506B30" w:rsidP="006C308E">
      <w:pPr>
        <w:shd w:val="clear" w:color="auto" w:fill="FFFFFF"/>
        <w:ind w:left="720"/>
        <w:rPr>
          <w:rFonts w:asciiTheme="majorHAnsi" w:hAnsiTheme="majorHAnsi" w:cstheme="majorHAnsi"/>
          <w:sz w:val="20"/>
          <w:szCs w:val="20"/>
        </w:rPr>
      </w:pPr>
    </w:p>
    <w:p w:rsidR="00933038" w:rsidRPr="00C34E1B" w:rsidRDefault="00933038" w:rsidP="006C308E">
      <w:pPr>
        <w:numPr>
          <w:ilvl w:val="0"/>
          <w:numId w:val="28"/>
        </w:numPr>
        <w:shd w:val="clear" w:color="auto" w:fill="FFFFFF"/>
        <w:jc w:val="both"/>
        <w:rPr>
          <w:rFonts w:asciiTheme="majorHAnsi" w:eastAsia="Arial Unicode MS" w:hAnsiTheme="majorHAnsi" w:cstheme="majorHAnsi"/>
          <w:sz w:val="20"/>
          <w:szCs w:val="20"/>
        </w:rPr>
      </w:pPr>
      <w:r w:rsidRPr="00C34E1B">
        <w:rPr>
          <w:rFonts w:asciiTheme="majorHAnsi" w:eastAsia="Arial Unicode MS" w:hAnsiTheme="majorHAnsi" w:cstheme="majorHAnsi"/>
          <w:sz w:val="20"/>
          <w:szCs w:val="20"/>
        </w:rPr>
        <w:t xml:space="preserve">Provide links to handbooks or webpages that contain the full list of policies and procedures governing production and assessment of the final research project or paper for each degree school. </w:t>
      </w:r>
    </w:p>
    <w:p w:rsidR="00933038" w:rsidRPr="00C34E1B" w:rsidRDefault="00933038" w:rsidP="006C308E">
      <w:pPr>
        <w:shd w:val="clear" w:color="auto" w:fill="FFFFFF"/>
        <w:jc w:val="both"/>
        <w:rPr>
          <w:rFonts w:asciiTheme="majorHAnsi" w:eastAsia="Arial Unicode MS" w:hAnsiTheme="majorHAnsi" w:cstheme="majorHAnsi"/>
          <w:sz w:val="20"/>
          <w:szCs w:val="20"/>
        </w:rPr>
      </w:pPr>
    </w:p>
    <w:p w:rsidR="00261273" w:rsidRPr="00C34E1B" w:rsidRDefault="00261273" w:rsidP="006C308E">
      <w:pPr>
        <w:shd w:val="clear" w:color="auto" w:fill="FFFFFF"/>
        <w:ind w:left="720"/>
        <w:rPr>
          <w:rFonts w:asciiTheme="majorHAnsi" w:hAnsiTheme="majorHAnsi" w:cstheme="majorHAnsi"/>
          <w:sz w:val="20"/>
          <w:szCs w:val="20"/>
        </w:rPr>
      </w:pPr>
      <w:r w:rsidRPr="00C34E1B">
        <w:rPr>
          <w:rFonts w:asciiTheme="majorHAnsi" w:hAnsiTheme="majorHAnsi" w:cstheme="majorHAnsi"/>
          <w:sz w:val="20"/>
          <w:szCs w:val="20"/>
        </w:rPr>
        <w:t xml:space="preserve">Students in the Master of Science program are required to complete a written research thesis that demonstrates appropriate depth of knowledge in the field of study.  Students work with their committee to develop a thesis proposal that goes through extensive vetting and approval by their committee members. Students continue to work with their committee through the research process until completion of the final product. All MS students must defend their thesis in a public forum prior to approval. </w:t>
      </w:r>
    </w:p>
    <w:p w:rsidR="00261273" w:rsidRPr="00C34E1B" w:rsidRDefault="00261273" w:rsidP="006C308E">
      <w:pPr>
        <w:shd w:val="clear" w:color="auto" w:fill="FFFFFF"/>
        <w:ind w:left="720"/>
        <w:jc w:val="both"/>
        <w:rPr>
          <w:rFonts w:asciiTheme="majorHAnsi" w:eastAsia="Arial Unicode MS" w:hAnsiTheme="majorHAnsi" w:cstheme="majorHAnsi"/>
          <w:i/>
          <w:sz w:val="20"/>
          <w:szCs w:val="20"/>
        </w:rPr>
      </w:pPr>
    </w:p>
    <w:p w:rsidR="006413E9" w:rsidRPr="00C34E1B" w:rsidRDefault="006413E9" w:rsidP="006C308E">
      <w:pPr>
        <w:shd w:val="clear" w:color="auto" w:fill="FFFFFF"/>
        <w:ind w:left="720"/>
        <w:jc w:val="both"/>
        <w:rPr>
          <w:rFonts w:asciiTheme="majorHAnsi" w:hAnsiTheme="majorHAnsi" w:cstheme="majorHAnsi"/>
          <w:sz w:val="20"/>
          <w:szCs w:val="20"/>
        </w:rPr>
      </w:pPr>
      <w:r w:rsidRPr="00C34E1B">
        <w:rPr>
          <w:rFonts w:asciiTheme="majorHAnsi" w:hAnsiTheme="majorHAnsi" w:cstheme="majorHAnsi"/>
          <w:sz w:val="20"/>
          <w:szCs w:val="20"/>
        </w:rPr>
        <w:t>Associated documents in the electronic resource file:</w:t>
      </w:r>
    </w:p>
    <w:p w:rsidR="00D91D9D" w:rsidRPr="00C34E1B" w:rsidRDefault="00D91D9D" w:rsidP="00D91D9D">
      <w:pPr>
        <w:pStyle w:val="ListParagraph"/>
        <w:numPr>
          <w:ilvl w:val="0"/>
          <w:numId w:val="138"/>
        </w:numPr>
        <w:shd w:val="clear" w:color="auto" w:fill="FFFFFF"/>
        <w:jc w:val="both"/>
        <w:rPr>
          <w:rFonts w:asciiTheme="majorHAnsi" w:eastAsia="Arial Unicode MS" w:hAnsiTheme="majorHAnsi" w:cstheme="majorHAnsi"/>
          <w:i/>
          <w:szCs w:val="20"/>
        </w:rPr>
      </w:pPr>
      <w:r w:rsidRPr="00C34E1B">
        <w:rPr>
          <w:rFonts w:asciiTheme="majorHAnsi" w:eastAsia="Arial Unicode MS" w:hAnsiTheme="majorHAnsi" w:cstheme="majorHAnsi"/>
          <w:i/>
          <w:szCs w:val="20"/>
        </w:rPr>
        <w:t>D17.6. Policies and Procedures for Production and Assessment of Final Research Thesis</w:t>
      </w:r>
    </w:p>
    <w:p w:rsidR="00D91D9D" w:rsidRPr="00C34E1B" w:rsidRDefault="00D91D9D" w:rsidP="00D91D9D">
      <w:pPr>
        <w:pStyle w:val="ListParagraph"/>
        <w:numPr>
          <w:ilvl w:val="1"/>
          <w:numId w:val="138"/>
        </w:numPr>
        <w:shd w:val="clear" w:color="auto" w:fill="FFFFFF"/>
        <w:jc w:val="both"/>
        <w:rPr>
          <w:rFonts w:asciiTheme="majorHAnsi" w:eastAsia="Arial Unicode MS" w:hAnsiTheme="majorHAnsi" w:cstheme="majorHAnsi"/>
          <w:i/>
          <w:szCs w:val="20"/>
        </w:rPr>
      </w:pPr>
      <w:r w:rsidRPr="00C34E1B">
        <w:rPr>
          <w:rFonts w:asciiTheme="majorHAnsi" w:hAnsiTheme="majorHAnsi" w:cstheme="majorHAnsi"/>
          <w:bCs/>
          <w:i/>
          <w:szCs w:val="20"/>
        </w:rPr>
        <w:t>MS Thesis Research Guide</w:t>
      </w:r>
    </w:p>
    <w:p w:rsidR="00D91D9D" w:rsidRPr="00C34E1B" w:rsidRDefault="00D91D9D" w:rsidP="00D91D9D">
      <w:pPr>
        <w:pStyle w:val="ListParagraph"/>
        <w:numPr>
          <w:ilvl w:val="1"/>
          <w:numId w:val="138"/>
        </w:numPr>
        <w:shd w:val="clear" w:color="auto" w:fill="FFFFFF"/>
        <w:jc w:val="both"/>
        <w:rPr>
          <w:rFonts w:asciiTheme="majorHAnsi" w:eastAsia="Arial Unicode MS" w:hAnsiTheme="majorHAnsi" w:cstheme="majorHAnsi"/>
          <w:i/>
          <w:szCs w:val="20"/>
        </w:rPr>
      </w:pPr>
      <w:r w:rsidRPr="00C34E1B">
        <w:rPr>
          <w:rFonts w:asciiTheme="majorHAnsi" w:hAnsiTheme="majorHAnsi" w:cstheme="majorHAnsi"/>
          <w:bCs/>
          <w:i/>
          <w:szCs w:val="20"/>
        </w:rPr>
        <w:t>Policy 104, MPH and MS Committee Structures</w:t>
      </w:r>
    </w:p>
    <w:p w:rsidR="00D91D9D" w:rsidRPr="00C34E1B" w:rsidRDefault="00D91D9D" w:rsidP="00D91D9D">
      <w:pPr>
        <w:pStyle w:val="ListParagraph"/>
        <w:numPr>
          <w:ilvl w:val="1"/>
          <w:numId w:val="138"/>
        </w:numPr>
        <w:shd w:val="clear" w:color="auto" w:fill="FFFFFF"/>
        <w:jc w:val="both"/>
        <w:rPr>
          <w:rStyle w:val="Hyperlink"/>
          <w:rFonts w:asciiTheme="majorHAnsi" w:eastAsia="Arial Unicode MS" w:hAnsiTheme="majorHAnsi" w:cstheme="majorHAnsi"/>
          <w:i/>
          <w:color w:val="auto"/>
          <w:szCs w:val="20"/>
          <w:u w:val="none"/>
        </w:rPr>
      </w:pPr>
      <w:r w:rsidRPr="00C34E1B">
        <w:rPr>
          <w:rFonts w:asciiTheme="majorHAnsi" w:hAnsiTheme="majorHAnsi" w:cstheme="majorHAnsi"/>
          <w:bCs/>
          <w:i/>
          <w:szCs w:val="20"/>
        </w:rPr>
        <w:t>Policy 106, Thesis and Dissertation Data &amp; Publication Authorship</w:t>
      </w:r>
    </w:p>
    <w:p w:rsidR="00D91D9D" w:rsidRPr="00C34E1B" w:rsidRDefault="00D91D9D" w:rsidP="00D91D9D">
      <w:pPr>
        <w:pStyle w:val="ListParagraph"/>
        <w:numPr>
          <w:ilvl w:val="1"/>
          <w:numId w:val="138"/>
        </w:numPr>
        <w:shd w:val="clear" w:color="auto" w:fill="FFFFFF"/>
        <w:jc w:val="both"/>
        <w:rPr>
          <w:rFonts w:asciiTheme="majorHAnsi" w:eastAsia="Arial Unicode MS" w:hAnsiTheme="majorHAnsi" w:cstheme="majorHAnsi"/>
          <w:i/>
          <w:szCs w:val="20"/>
        </w:rPr>
      </w:pPr>
      <w:r w:rsidRPr="00C34E1B">
        <w:rPr>
          <w:rFonts w:asciiTheme="majorHAnsi" w:hAnsiTheme="majorHAnsi" w:cstheme="majorHAnsi"/>
          <w:bCs/>
          <w:i/>
          <w:szCs w:val="20"/>
        </w:rPr>
        <w:t>Policy 109 Student Research Thesis and Dissertation Proposal</w:t>
      </w:r>
    </w:p>
    <w:p w:rsidR="00933038" w:rsidRPr="00C34E1B" w:rsidRDefault="00933038" w:rsidP="006C308E">
      <w:pPr>
        <w:shd w:val="clear" w:color="auto" w:fill="FFFFFF"/>
        <w:ind w:left="720"/>
        <w:jc w:val="both"/>
        <w:rPr>
          <w:rFonts w:asciiTheme="majorHAnsi" w:eastAsia="Arial Unicode MS" w:hAnsiTheme="majorHAnsi" w:cstheme="majorHAnsi"/>
          <w:sz w:val="20"/>
          <w:szCs w:val="20"/>
        </w:rPr>
      </w:pPr>
    </w:p>
    <w:p w:rsidR="00933038" w:rsidRPr="00C34E1B" w:rsidRDefault="00933038" w:rsidP="006C308E">
      <w:pPr>
        <w:numPr>
          <w:ilvl w:val="0"/>
          <w:numId w:val="28"/>
        </w:numPr>
        <w:shd w:val="clear" w:color="auto" w:fill="FFFFFF"/>
        <w:jc w:val="both"/>
        <w:rPr>
          <w:rFonts w:asciiTheme="majorHAnsi" w:eastAsia="Arial Unicode MS" w:hAnsiTheme="majorHAnsi" w:cstheme="majorHAnsi"/>
          <w:sz w:val="20"/>
          <w:szCs w:val="20"/>
        </w:rPr>
      </w:pPr>
      <w:r w:rsidRPr="00C34E1B">
        <w:rPr>
          <w:rFonts w:asciiTheme="majorHAnsi" w:eastAsia="Arial Unicode MS" w:hAnsiTheme="majorHAnsi" w:cstheme="majorHAnsi"/>
          <w:sz w:val="20"/>
          <w:szCs w:val="20"/>
        </w:rPr>
        <w:t xml:space="preserve">Include completed, graded samples of deliverables associated with the major paper or project. The school must provide at least 10% of the number produced in the last three years or five examples, whichever is greater. </w:t>
      </w:r>
    </w:p>
    <w:p w:rsidR="00933038" w:rsidRPr="00C34E1B" w:rsidRDefault="00933038" w:rsidP="006C308E">
      <w:pPr>
        <w:shd w:val="clear" w:color="auto" w:fill="FFFFFF"/>
        <w:jc w:val="both"/>
        <w:rPr>
          <w:rFonts w:asciiTheme="majorHAnsi" w:eastAsia="Arial Unicode MS" w:hAnsiTheme="majorHAnsi" w:cstheme="majorHAnsi"/>
          <w:sz w:val="20"/>
          <w:szCs w:val="20"/>
        </w:rPr>
      </w:pPr>
    </w:p>
    <w:p w:rsidR="0036057C" w:rsidRPr="00C34E1B" w:rsidRDefault="0036057C" w:rsidP="006E28EE">
      <w:pPr>
        <w:ind w:left="720"/>
        <w:rPr>
          <w:rFonts w:asciiTheme="majorHAnsi" w:eastAsia="Arial Unicode MS" w:hAnsiTheme="majorHAnsi" w:cstheme="majorHAnsi"/>
          <w:sz w:val="20"/>
          <w:szCs w:val="20"/>
        </w:rPr>
      </w:pPr>
      <w:r w:rsidRPr="00C34E1B">
        <w:rPr>
          <w:rFonts w:asciiTheme="majorHAnsi" w:eastAsia="Arial Unicode MS" w:hAnsiTheme="majorHAnsi" w:cstheme="majorHAnsi"/>
          <w:sz w:val="20"/>
          <w:szCs w:val="20"/>
        </w:rPr>
        <w:t xml:space="preserve">Samples of MS Biostatistics theses </w:t>
      </w:r>
      <w:r w:rsidR="008C31AD">
        <w:rPr>
          <w:rFonts w:asciiTheme="majorHAnsi" w:eastAsia="Arial Unicode MS" w:hAnsiTheme="majorHAnsi" w:cstheme="majorHAnsi"/>
          <w:sz w:val="20"/>
          <w:szCs w:val="20"/>
        </w:rPr>
        <w:t>are available in the electronic resource file</w:t>
      </w:r>
      <w:r w:rsidRPr="00C34E1B">
        <w:rPr>
          <w:rFonts w:asciiTheme="majorHAnsi" w:eastAsia="Arial Unicode MS" w:hAnsiTheme="majorHAnsi" w:cstheme="majorHAnsi"/>
          <w:sz w:val="20"/>
          <w:szCs w:val="20"/>
        </w:rPr>
        <w:t xml:space="preserve"> (</w:t>
      </w:r>
      <w:r w:rsidRPr="00C34E1B">
        <w:rPr>
          <w:rFonts w:asciiTheme="majorHAnsi" w:eastAsia="Arial Unicode MS" w:hAnsiTheme="majorHAnsi" w:cstheme="majorHAnsi"/>
          <w:i/>
          <w:sz w:val="20"/>
          <w:szCs w:val="20"/>
        </w:rPr>
        <w:t>ERF, D17.7. MS Thesis Examples</w:t>
      </w:r>
      <w:r w:rsidRPr="00C34E1B">
        <w:rPr>
          <w:rFonts w:asciiTheme="majorHAnsi" w:eastAsia="Arial Unicode MS" w:hAnsiTheme="majorHAnsi" w:cstheme="majorHAnsi"/>
          <w:sz w:val="20"/>
          <w:szCs w:val="20"/>
        </w:rPr>
        <w:t xml:space="preserve">). </w:t>
      </w:r>
    </w:p>
    <w:p w:rsidR="0036057C" w:rsidRPr="00C34E1B" w:rsidRDefault="0036057C" w:rsidP="006E28EE">
      <w:pPr>
        <w:ind w:left="720"/>
        <w:rPr>
          <w:rFonts w:asciiTheme="majorHAnsi" w:eastAsia="Arial Unicode MS" w:hAnsiTheme="majorHAnsi" w:cstheme="majorHAnsi"/>
          <w:sz w:val="20"/>
          <w:szCs w:val="20"/>
        </w:rPr>
      </w:pPr>
    </w:p>
    <w:p w:rsidR="00933038" w:rsidRPr="001247EE" w:rsidRDefault="00261273" w:rsidP="006C308E">
      <w:pPr>
        <w:shd w:val="clear" w:color="auto" w:fill="FFFFFF"/>
        <w:ind w:left="720"/>
        <w:jc w:val="both"/>
        <w:rPr>
          <w:rFonts w:asciiTheme="majorHAnsi" w:eastAsia="Arial Unicode MS" w:hAnsiTheme="majorHAnsi" w:cstheme="majorHAnsi"/>
          <w:sz w:val="20"/>
          <w:szCs w:val="20"/>
        </w:rPr>
      </w:pPr>
      <w:r w:rsidRPr="001247EE">
        <w:rPr>
          <w:rFonts w:asciiTheme="majorHAnsi" w:eastAsia="Arial Unicode MS" w:hAnsiTheme="majorHAnsi" w:cstheme="majorHAnsi"/>
          <w:sz w:val="20"/>
          <w:szCs w:val="20"/>
        </w:rPr>
        <w:t>Associated documents in the electronic resource file:</w:t>
      </w:r>
    </w:p>
    <w:p w:rsidR="00261273" w:rsidRPr="001247EE" w:rsidRDefault="00251120" w:rsidP="006C308E">
      <w:pPr>
        <w:pStyle w:val="ListParagraph"/>
        <w:numPr>
          <w:ilvl w:val="0"/>
          <w:numId w:val="130"/>
        </w:numPr>
        <w:shd w:val="clear" w:color="auto" w:fill="FFFFFF"/>
        <w:jc w:val="both"/>
        <w:rPr>
          <w:rFonts w:asciiTheme="majorHAnsi" w:eastAsia="Arial Unicode MS" w:hAnsiTheme="majorHAnsi" w:cstheme="majorHAnsi"/>
          <w:i/>
          <w:szCs w:val="20"/>
        </w:rPr>
      </w:pPr>
      <w:r w:rsidRPr="001247EE">
        <w:rPr>
          <w:rFonts w:asciiTheme="majorHAnsi" w:eastAsia="Arial Unicode MS" w:hAnsiTheme="majorHAnsi" w:cstheme="majorHAnsi"/>
          <w:i/>
        </w:rPr>
        <w:t xml:space="preserve">D17.7 MS Thesis </w:t>
      </w:r>
      <w:r w:rsidRPr="001247EE">
        <w:rPr>
          <w:rFonts w:asciiTheme="majorHAnsi" w:eastAsia="Arial Unicode MS" w:hAnsiTheme="majorHAnsi" w:cstheme="majorHAnsi"/>
        </w:rPr>
        <w:t>Examples</w:t>
      </w:r>
    </w:p>
    <w:p w:rsidR="00933038" w:rsidRPr="001247EE" w:rsidRDefault="00933038" w:rsidP="006C308E">
      <w:pPr>
        <w:shd w:val="clear" w:color="auto" w:fill="FFFFFF"/>
        <w:ind w:left="720"/>
        <w:jc w:val="both"/>
        <w:rPr>
          <w:rFonts w:asciiTheme="majorHAnsi" w:eastAsia="Arial Unicode MS" w:hAnsiTheme="majorHAnsi" w:cstheme="majorHAnsi"/>
          <w:i/>
          <w:sz w:val="20"/>
          <w:szCs w:val="20"/>
        </w:rPr>
      </w:pPr>
    </w:p>
    <w:p w:rsidR="00933038" w:rsidRPr="00C34E1B" w:rsidRDefault="00933038" w:rsidP="006C308E">
      <w:pPr>
        <w:numPr>
          <w:ilvl w:val="0"/>
          <w:numId w:val="28"/>
        </w:numPr>
        <w:shd w:val="clear" w:color="auto" w:fill="FFFFFF"/>
        <w:jc w:val="both"/>
        <w:rPr>
          <w:rFonts w:asciiTheme="majorHAnsi" w:eastAsia="Arial Unicode MS" w:hAnsiTheme="majorHAnsi" w:cstheme="majorHAnsi"/>
          <w:sz w:val="20"/>
          <w:szCs w:val="20"/>
        </w:rPr>
      </w:pPr>
      <w:r w:rsidRPr="00C34E1B">
        <w:rPr>
          <w:rFonts w:asciiTheme="majorHAnsi" w:eastAsia="Arial Unicode MS" w:hAnsiTheme="majorHAnsi" w:cstheme="majorHAnsi"/>
          <w:sz w:val="20"/>
          <w:szCs w:val="20"/>
        </w:rPr>
        <w:t xml:space="preserve">Briefly explain how the school ensures that the instruction and assessment in basic public health knowledge is generally equivalent to the instruction and assessment typically associated with a three-semester-credit course. </w:t>
      </w:r>
    </w:p>
    <w:p w:rsidR="00933038" w:rsidRPr="00C34E1B" w:rsidRDefault="00933038" w:rsidP="006C308E">
      <w:pPr>
        <w:shd w:val="clear" w:color="auto" w:fill="FFFFFF"/>
        <w:jc w:val="both"/>
        <w:rPr>
          <w:rFonts w:asciiTheme="majorHAnsi" w:eastAsia="Arial Unicode MS" w:hAnsiTheme="majorHAnsi" w:cstheme="majorHAnsi"/>
          <w:i/>
          <w:sz w:val="20"/>
          <w:szCs w:val="20"/>
        </w:rPr>
      </w:pPr>
    </w:p>
    <w:p w:rsidR="00261273" w:rsidRPr="001247EE" w:rsidRDefault="00261273" w:rsidP="006C308E">
      <w:pPr>
        <w:shd w:val="clear" w:color="auto" w:fill="FFFFFF"/>
        <w:ind w:left="720"/>
        <w:rPr>
          <w:rFonts w:asciiTheme="majorHAnsi" w:hAnsiTheme="majorHAnsi" w:cstheme="majorHAnsi"/>
          <w:sz w:val="20"/>
          <w:szCs w:val="20"/>
        </w:rPr>
      </w:pPr>
      <w:r w:rsidRPr="00C34E1B">
        <w:rPr>
          <w:rFonts w:asciiTheme="majorHAnsi" w:hAnsiTheme="majorHAnsi" w:cstheme="majorHAnsi"/>
          <w:sz w:val="20"/>
          <w:szCs w:val="20"/>
        </w:rPr>
        <w:t>All MS students are required to demonstrate mastery of public health foundational knowledge objectives through completion of PH101 Foundations in Public Health, a</w:t>
      </w:r>
      <w:r w:rsidR="003555DB" w:rsidRPr="00C34E1B">
        <w:rPr>
          <w:rFonts w:asciiTheme="majorHAnsi" w:hAnsiTheme="majorHAnsi" w:cstheme="majorHAnsi"/>
          <w:sz w:val="20"/>
          <w:szCs w:val="20"/>
        </w:rPr>
        <w:t xml:space="preserve">n online, </w:t>
      </w:r>
      <w:r w:rsidRPr="00C34E1B">
        <w:rPr>
          <w:rFonts w:asciiTheme="majorHAnsi" w:hAnsiTheme="majorHAnsi" w:cstheme="majorHAnsi"/>
          <w:sz w:val="20"/>
          <w:szCs w:val="20"/>
        </w:rPr>
        <w:t>no</w:t>
      </w:r>
      <w:r w:rsidR="003555DB" w:rsidRPr="00C34E1B">
        <w:rPr>
          <w:rFonts w:asciiTheme="majorHAnsi" w:hAnsiTheme="majorHAnsi" w:cstheme="majorHAnsi"/>
          <w:sz w:val="20"/>
          <w:szCs w:val="20"/>
        </w:rPr>
        <w:t>t-for-</w:t>
      </w:r>
      <w:r w:rsidRPr="00C34E1B">
        <w:rPr>
          <w:rFonts w:asciiTheme="majorHAnsi" w:hAnsiTheme="majorHAnsi" w:cstheme="majorHAnsi"/>
          <w:sz w:val="20"/>
          <w:szCs w:val="20"/>
        </w:rPr>
        <w:t>credit course (equivalent to three credit hours) that consists of nine online modules</w:t>
      </w:r>
      <w:r w:rsidR="003555DB" w:rsidRPr="00C34E1B">
        <w:rPr>
          <w:rFonts w:asciiTheme="majorHAnsi" w:hAnsiTheme="majorHAnsi" w:cstheme="majorHAnsi"/>
          <w:sz w:val="20"/>
          <w:szCs w:val="20"/>
        </w:rPr>
        <w:t xml:space="preserve">. </w:t>
      </w:r>
      <w:r w:rsidR="003555DB" w:rsidRPr="00C34E1B">
        <w:rPr>
          <w:rFonts w:asciiTheme="majorHAnsi" w:hAnsiTheme="majorHAnsi" w:cstheme="majorHAnsi"/>
          <w:i/>
          <w:sz w:val="20"/>
          <w:szCs w:val="20"/>
        </w:rPr>
        <w:t xml:space="preserve">See </w:t>
      </w:r>
      <w:hyperlink w:anchor="_D1._MPH_&amp;" w:history="1">
        <w:r w:rsidR="000B7083" w:rsidRPr="001247EE">
          <w:rPr>
            <w:rStyle w:val="Hyperlink"/>
            <w:rFonts w:asciiTheme="majorHAnsi" w:hAnsiTheme="majorHAnsi" w:cstheme="majorHAnsi"/>
            <w:i/>
            <w:sz w:val="20"/>
            <w:szCs w:val="20"/>
          </w:rPr>
          <w:t>Criterion D1 Foundational Public Health Knowledge</w:t>
        </w:r>
      </w:hyperlink>
      <w:r w:rsidR="003555DB" w:rsidRPr="001247EE">
        <w:rPr>
          <w:rFonts w:asciiTheme="majorHAnsi" w:hAnsiTheme="majorHAnsi" w:cstheme="majorHAnsi"/>
          <w:i/>
          <w:sz w:val="20"/>
          <w:szCs w:val="20"/>
        </w:rPr>
        <w:t xml:space="preserve"> </w:t>
      </w:r>
      <w:r w:rsidR="00B51047" w:rsidRPr="001247EE">
        <w:rPr>
          <w:rFonts w:asciiTheme="majorHAnsi" w:hAnsiTheme="majorHAnsi" w:cstheme="majorHAnsi"/>
          <w:i/>
          <w:sz w:val="20"/>
          <w:szCs w:val="20"/>
        </w:rPr>
        <w:t>and the electronic resource file (</w:t>
      </w:r>
      <w:r w:rsidR="00CE4797" w:rsidRPr="001247EE">
        <w:rPr>
          <w:rFonts w:asciiTheme="majorHAnsi" w:hAnsiTheme="majorHAnsi" w:cstheme="majorHAnsi"/>
          <w:i/>
          <w:sz w:val="20"/>
          <w:szCs w:val="20"/>
        </w:rPr>
        <w:t xml:space="preserve">ERF, </w:t>
      </w:r>
      <w:r w:rsidR="00CE4797" w:rsidRPr="001247EE">
        <w:rPr>
          <w:rFonts w:asciiTheme="majorHAnsi" w:hAnsiTheme="majorHAnsi" w:cstheme="majorHAnsi"/>
          <w:sz w:val="20"/>
          <w:szCs w:val="20"/>
        </w:rPr>
        <w:t>D17.2. Content Coverage for Academic Public Health Masters Degrees</w:t>
      </w:r>
      <w:r w:rsidR="00B51047" w:rsidRPr="001247EE">
        <w:rPr>
          <w:rFonts w:asciiTheme="majorHAnsi" w:hAnsiTheme="majorHAnsi" w:cstheme="majorHAnsi"/>
          <w:i/>
          <w:sz w:val="20"/>
          <w:szCs w:val="20"/>
        </w:rPr>
        <w:t xml:space="preserve">) </w:t>
      </w:r>
      <w:r w:rsidR="003555DB" w:rsidRPr="001247EE">
        <w:rPr>
          <w:rFonts w:asciiTheme="majorHAnsi" w:hAnsiTheme="majorHAnsi" w:cstheme="majorHAnsi"/>
          <w:i/>
          <w:sz w:val="20"/>
          <w:szCs w:val="20"/>
        </w:rPr>
        <w:t>for more information.</w:t>
      </w:r>
      <w:r w:rsidR="003555DB" w:rsidRPr="001247EE">
        <w:rPr>
          <w:rFonts w:asciiTheme="majorHAnsi" w:hAnsiTheme="majorHAnsi" w:cstheme="majorHAnsi"/>
          <w:sz w:val="20"/>
          <w:szCs w:val="20"/>
        </w:rPr>
        <w:t xml:space="preserve"> </w:t>
      </w:r>
    </w:p>
    <w:p w:rsidR="00933038" w:rsidRPr="001247EE" w:rsidRDefault="00933038" w:rsidP="006C308E">
      <w:pPr>
        <w:shd w:val="clear" w:color="auto" w:fill="FFFFFF"/>
        <w:jc w:val="both"/>
        <w:rPr>
          <w:rFonts w:asciiTheme="majorHAnsi" w:eastAsia="Arial Unicode MS" w:hAnsiTheme="majorHAnsi" w:cstheme="majorHAnsi"/>
          <w:sz w:val="20"/>
          <w:szCs w:val="20"/>
        </w:rPr>
      </w:pPr>
    </w:p>
    <w:p w:rsidR="00933038" w:rsidRPr="001247EE" w:rsidRDefault="00933038" w:rsidP="006C308E">
      <w:pPr>
        <w:numPr>
          <w:ilvl w:val="0"/>
          <w:numId w:val="28"/>
        </w:numPr>
        <w:shd w:val="clear" w:color="auto" w:fill="FFFFFF"/>
        <w:jc w:val="both"/>
        <w:rPr>
          <w:rFonts w:asciiTheme="majorHAnsi" w:eastAsia="Arial Unicode MS" w:hAnsiTheme="majorHAnsi" w:cstheme="majorHAnsi"/>
          <w:sz w:val="20"/>
          <w:szCs w:val="20"/>
        </w:rPr>
      </w:pPr>
      <w:r w:rsidRPr="001247EE">
        <w:rPr>
          <w:rFonts w:asciiTheme="majorHAnsi" w:eastAsia="Arial Unicode MS" w:hAnsiTheme="majorHAnsi" w:cstheme="majorHAnsi"/>
          <w:sz w:val="20"/>
          <w:szCs w:val="20"/>
        </w:rPr>
        <w:t>Include the most recent syllabus for any course listed in the documentation requests above, or written guidelines for any required elements that do not have a syllabus.</w:t>
      </w:r>
    </w:p>
    <w:p w:rsidR="00933038" w:rsidRPr="001247EE" w:rsidRDefault="00933038" w:rsidP="006C308E">
      <w:pPr>
        <w:shd w:val="clear" w:color="auto" w:fill="FFFFFF"/>
        <w:jc w:val="both"/>
        <w:rPr>
          <w:rFonts w:asciiTheme="majorHAnsi" w:eastAsia="Arial Unicode MS" w:hAnsiTheme="majorHAnsi" w:cstheme="majorHAnsi"/>
          <w:sz w:val="20"/>
          <w:szCs w:val="20"/>
        </w:rPr>
      </w:pPr>
    </w:p>
    <w:p w:rsidR="009D0017" w:rsidRPr="001247EE" w:rsidRDefault="009D0017" w:rsidP="006C308E">
      <w:pPr>
        <w:shd w:val="clear" w:color="auto" w:fill="FFFFFF"/>
        <w:ind w:left="720"/>
        <w:jc w:val="both"/>
        <w:rPr>
          <w:rFonts w:asciiTheme="majorHAnsi" w:eastAsia="Arial Unicode MS" w:hAnsiTheme="majorHAnsi" w:cstheme="majorHAnsi"/>
          <w:sz w:val="20"/>
          <w:szCs w:val="20"/>
        </w:rPr>
      </w:pPr>
      <w:r w:rsidRPr="001247EE">
        <w:rPr>
          <w:rFonts w:asciiTheme="majorHAnsi" w:eastAsia="Arial Unicode MS" w:hAnsiTheme="majorHAnsi" w:cstheme="majorHAnsi"/>
          <w:sz w:val="20"/>
          <w:szCs w:val="20"/>
        </w:rPr>
        <w:t>Associated documents in the electronic resource file:</w:t>
      </w:r>
    </w:p>
    <w:p w:rsidR="009D0017" w:rsidRPr="001247EE" w:rsidRDefault="00B32833" w:rsidP="006C308E">
      <w:pPr>
        <w:pStyle w:val="ListParagraph"/>
        <w:numPr>
          <w:ilvl w:val="0"/>
          <w:numId w:val="130"/>
        </w:numPr>
        <w:shd w:val="clear" w:color="auto" w:fill="FFFFFF"/>
        <w:jc w:val="both"/>
        <w:rPr>
          <w:rFonts w:asciiTheme="majorHAnsi" w:eastAsia="Arial Unicode MS" w:hAnsiTheme="majorHAnsi" w:cstheme="majorHAnsi"/>
          <w:i/>
          <w:szCs w:val="20"/>
        </w:rPr>
      </w:pPr>
      <w:r w:rsidRPr="001247EE">
        <w:rPr>
          <w:rFonts w:asciiTheme="majorHAnsi" w:eastAsia="Arial Unicode MS" w:hAnsiTheme="majorHAnsi" w:cstheme="majorHAnsi"/>
          <w:i/>
          <w:szCs w:val="20"/>
        </w:rPr>
        <w:t>D17.2. Content Coverage for Academic Public Health Masters Degrees, Syllabi and Assessments</w:t>
      </w:r>
    </w:p>
    <w:p w:rsidR="009D0017" w:rsidRPr="001247EE" w:rsidRDefault="00B32833" w:rsidP="006C308E">
      <w:pPr>
        <w:pStyle w:val="ListParagraph"/>
        <w:numPr>
          <w:ilvl w:val="0"/>
          <w:numId w:val="130"/>
        </w:numPr>
        <w:shd w:val="clear" w:color="auto" w:fill="FFFFFF"/>
        <w:jc w:val="both"/>
        <w:rPr>
          <w:rStyle w:val="Hyperlink"/>
          <w:rFonts w:asciiTheme="majorHAnsi" w:eastAsia="Arial Unicode MS" w:hAnsiTheme="majorHAnsi" w:cstheme="majorHAnsi"/>
          <w:i/>
          <w:color w:val="auto"/>
          <w:szCs w:val="20"/>
          <w:u w:val="none"/>
        </w:rPr>
      </w:pPr>
      <w:r w:rsidRPr="001247EE">
        <w:rPr>
          <w:rFonts w:asciiTheme="majorHAnsi" w:eastAsia="Arial Unicode MS" w:hAnsiTheme="majorHAnsi" w:cstheme="majorHAnsi"/>
          <w:i/>
          <w:szCs w:val="20"/>
        </w:rPr>
        <w:t>D17.3. MS in Biostatistics, Syllabi and Assessments</w:t>
      </w:r>
    </w:p>
    <w:p w:rsidR="00B32833" w:rsidRPr="00C34E1B" w:rsidRDefault="00B32833" w:rsidP="00B32833">
      <w:pPr>
        <w:pStyle w:val="ListParagraph"/>
        <w:numPr>
          <w:ilvl w:val="0"/>
          <w:numId w:val="130"/>
        </w:numPr>
        <w:shd w:val="clear" w:color="auto" w:fill="FFFFFF"/>
        <w:jc w:val="both"/>
        <w:rPr>
          <w:rFonts w:asciiTheme="majorHAnsi" w:eastAsia="Arial Unicode MS" w:hAnsiTheme="majorHAnsi" w:cstheme="majorHAnsi"/>
          <w:i/>
          <w:szCs w:val="20"/>
        </w:rPr>
      </w:pPr>
      <w:r w:rsidRPr="001247EE">
        <w:rPr>
          <w:rFonts w:asciiTheme="majorHAnsi" w:eastAsia="Arial Unicode MS" w:hAnsiTheme="majorHAnsi" w:cstheme="majorHAnsi"/>
          <w:i/>
          <w:szCs w:val="20"/>
        </w:rPr>
        <w:t xml:space="preserve">D17.6. Policies and Procedures for Production and Assessment of </w:t>
      </w:r>
      <w:r w:rsidRPr="00C34E1B">
        <w:rPr>
          <w:rFonts w:asciiTheme="majorHAnsi" w:eastAsia="Arial Unicode MS" w:hAnsiTheme="majorHAnsi" w:cstheme="majorHAnsi"/>
          <w:i/>
          <w:szCs w:val="20"/>
        </w:rPr>
        <w:t>Final Research Thesis</w:t>
      </w:r>
    </w:p>
    <w:p w:rsidR="00B32833" w:rsidRPr="00C34E1B" w:rsidRDefault="00B32833" w:rsidP="00B32833">
      <w:pPr>
        <w:pStyle w:val="ListParagraph"/>
        <w:numPr>
          <w:ilvl w:val="1"/>
          <w:numId w:val="130"/>
        </w:numPr>
        <w:shd w:val="clear" w:color="auto" w:fill="FFFFFF"/>
        <w:jc w:val="both"/>
        <w:rPr>
          <w:rFonts w:asciiTheme="majorHAnsi" w:eastAsia="Arial Unicode MS" w:hAnsiTheme="majorHAnsi" w:cstheme="majorHAnsi"/>
          <w:i/>
          <w:szCs w:val="20"/>
        </w:rPr>
      </w:pPr>
      <w:r w:rsidRPr="00C34E1B">
        <w:rPr>
          <w:rFonts w:asciiTheme="majorHAnsi" w:hAnsiTheme="majorHAnsi" w:cstheme="majorHAnsi"/>
          <w:bCs/>
          <w:i/>
          <w:szCs w:val="20"/>
        </w:rPr>
        <w:t>MS Thesis Research Guide</w:t>
      </w:r>
    </w:p>
    <w:p w:rsidR="00B32833" w:rsidRPr="00C34E1B" w:rsidRDefault="00B32833" w:rsidP="00B32833">
      <w:pPr>
        <w:pStyle w:val="ListParagraph"/>
        <w:numPr>
          <w:ilvl w:val="1"/>
          <w:numId w:val="130"/>
        </w:numPr>
        <w:shd w:val="clear" w:color="auto" w:fill="FFFFFF"/>
        <w:jc w:val="both"/>
        <w:rPr>
          <w:rFonts w:asciiTheme="majorHAnsi" w:eastAsia="Arial Unicode MS" w:hAnsiTheme="majorHAnsi" w:cstheme="majorHAnsi"/>
          <w:i/>
          <w:szCs w:val="20"/>
        </w:rPr>
      </w:pPr>
      <w:r w:rsidRPr="00C34E1B">
        <w:rPr>
          <w:rFonts w:asciiTheme="majorHAnsi" w:hAnsiTheme="majorHAnsi" w:cstheme="majorHAnsi"/>
          <w:bCs/>
          <w:i/>
          <w:szCs w:val="20"/>
        </w:rPr>
        <w:t>Policy 104, MPH and MS Committee Structures</w:t>
      </w:r>
    </w:p>
    <w:p w:rsidR="00B32833" w:rsidRPr="00C34E1B" w:rsidRDefault="00B32833" w:rsidP="00B32833">
      <w:pPr>
        <w:pStyle w:val="ListParagraph"/>
        <w:numPr>
          <w:ilvl w:val="1"/>
          <w:numId w:val="130"/>
        </w:numPr>
        <w:shd w:val="clear" w:color="auto" w:fill="FFFFFF"/>
        <w:jc w:val="both"/>
        <w:rPr>
          <w:rStyle w:val="Hyperlink"/>
          <w:rFonts w:asciiTheme="majorHAnsi" w:eastAsia="Arial Unicode MS" w:hAnsiTheme="majorHAnsi" w:cstheme="majorHAnsi"/>
          <w:i/>
          <w:color w:val="auto"/>
          <w:szCs w:val="20"/>
          <w:u w:val="none"/>
        </w:rPr>
      </w:pPr>
      <w:r w:rsidRPr="00C34E1B">
        <w:rPr>
          <w:rFonts w:asciiTheme="majorHAnsi" w:hAnsiTheme="majorHAnsi" w:cstheme="majorHAnsi"/>
          <w:bCs/>
          <w:i/>
          <w:szCs w:val="20"/>
        </w:rPr>
        <w:t>Policy 106, Thesis and Dissertation Data &amp; Publication Authorship</w:t>
      </w:r>
    </w:p>
    <w:p w:rsidR="00B32833" w:rsidRPr="006E28EE" w:rsidRDefault="00B32833" w:rsidP="006E28EE">
      <w:pPr>
        <w:pStyle w:val="ListParagraph"/>
        <w:numPr>
          <w:ilvl w:val="1"/>
          <w:numId w:val="130"/>
        </w:numPr>
        <w:shd w:val="clear" w:color="auto" w:fill="FFFFFF"/>
        <w:jc w:val="both"/>
        <w:rPr>
          <w:rFonts w:asciiTheme="majorHAnsi" w:eastAsia="Arial Unicode MS" w:hAnsiTheme="majorHAnsi" w:cstheme="majorHAnsi"/>
          <w:i/>
          <w:szCs w:val="20"/>
        </w:rPr>
      </w:pPr>
      <w:r w:rsidRPr="00C34E1B">
        <w:rPr>
          <w:rFonts w:asciiTheme="majorHAnsi" w:hAnsiTheme="majorHAnsi" w:cstheme="majorHAnsi"/>
          <w:bCs/>
          <w:i/>
          <w:szCs w:val="20"/>
        </w:rPr>
        <w:t>Policy 109 Student Research Thesis and Dissertation Proposal</w:t>
      </w:r>
    </w:p>
    <w:p w:rsidR="00933038" w:rsidRPr="00C34E1B" w:rsidRDefault="00933038" w:rsidP="006C308E">
      <w:pPr>
        <w:pStyle w:val="ListParagraph"/>
        <w:rPr>
          <w:rFonts w:asciiTheme="majorHAnsi" w:eastAsia="Arial Unicode MS" w:hAnsiTheme="majorHAnsi" w:cstheme="majorHAnsi"/>
          <w:szCs w:val="20"/>
        </w:rPr>
      </w:pPr>
    </w:p>
    <w:p w:rsidR="00933038" w:rsidRPr="00C34E1B" w:rsidRDefault="00933038" w:rsidP="006C308E">
      <w:pPr>
        <w:numPr>
          <w:ilvl w:val="0"/>
          <w:numId w:val="28"/>
        </w:numPr>
        <w:shd w:val="clear" w:color="auto" w:fill="FFFFFF"/>
        <w:jc w:val="both"/>
        <w:rPr>
          <w:rFonts w:asciiTheme="majorHAnsi" w:hAnsiTheme="majorHAnsi" w:cstheme="majorHAnsi"/>
          <w:sz w:val="20"/>
          <w:szCs w:val="20"/>
        </w:rPr>
      </w:pPr>
      <w:r w:rsidRPr="00C34E1B">
        <w:rPr>
          <w:rFonts w:asciiTheme="majorHAnsi" w:eastAsia="Arial Unicode MS" w:hAnsiTheme="majorHAnsi" w:cstheme="majorHAnsi"/>
          <w:sz w:val="20"/>
          <w:szCs w:val="20"/>
        </w:rPr>
        <w:t xml:space="preserve">If applicable, assess strengths and weaknesses related to this criterion and plans for improvement in this area. </w:t>
      </w:r>
    </w:p>
    <w:p w:rsidR="00933038" w:rsidRPr="00C34E1B" w:rsidRDefault="00933038" w:rsidP="006C308E">
      <w:pPr>
        <w:shd w:val="clear" w:color="auto" w:fill="FFFFFF"/>
        <w:jc w:val="both"/>
        <w:rPr>
          <w:rFonts w:asciiTheme="majorHAnsi" w:eastAsia="Arial Unicode MS" w:hAnsiTheme="majorHAnsi" w:cstheme="majorHAnsi"/>
          <w:sz w:val="20"/>
          <w:szCs w:val="20"/>
        </w:rPr>
      </w:pPr>
    </w:p>
    <w:p w:rsidR="009D0017" w:rsidRPr="00C34E1B" w:rsidRDefault="00E21C7A" w:rsidP="006C308E">
      <w:pPr>
        <w:keepNext/>
        <w:ind w:left="720"/>
        <w:jc w:val="both"/>
        <w:rPr>
          <w:rFonts w:asciiTheme="majorHAnsi" w:eastAsia="Calibri" w:hAnsiTheme="majorHAnsi" w:cstheme="majorHAnsi"/>
          <w:i/>
          <w:sz w:val="20"/>
          <w:szCs w:val="20"/>
        </w:rPr>
      </w:pPr>
      <w:r w:rsidRPr="00C34E1B">
        <w:rPr>
          <w:rFonts w:asciiTheme="majorHAnsi" w:hAnsiTheme="majorHAnsi" w:cstheme="majorHAnsi"/>
          <w:i/>
          <w:sz w:val="20"/>
          <w:szCs w:val="20"/>
        </w:rPr>
        <w:t xml:space="preserve">Not applicable. </w:t>
      </w:r>
    </w:p>
    <w:p w:rsidR="00933038" w:rsidRPr="00C34E1B" w:rsidRDefault="00933038" w:rsidP="006C308E">
      <w:pPr>
        <w:shd w:val="clear" w:color="auto" w:fill="FFFFFF"/>
        <w:contextualSpacing/>
        <w:jc w:val="both"/>
        <w:rPr>
          <w:rFonts w:asciiTheme="majorHAnsi" w:hAnsiTheme="majorHAnsi" w:cstheme="majorHAnsi"/>
          <w:sz w:val="20"/>
          <w:szCs w:val="20"/>
        </w:rPr>
      </w:pPr>
    </w:p>
    <w:p w:rsidR="00933038" w:rsidRPr="00C34E1B" w:rsidRDefault="00933038" w:rsidP="006C308E">
      <w:pPr>
        <w:rPr>
          <w:rFonts w:asciiTheme="majorHAnsi" w:eastAsia="Arial Unicode MS" w:hAnsiTheme="majorHAnsi" w:cstheme="majorHAnsi"/>
          <w:b/>
          <w:bCs/>
          <w:kern w:val="32"/>
          <w:sz w:val="20"/>
          <w:szCs w:val="20"/>
          <w:lang w:eastAsia="x-none"/>
        </w:rPr>
      </w:pPr>
      <w:bookmarkStart w:id="111" w:name="_Toc464487884"/>
      <w:r w:rsidRPr="00C34E1B">
        <w:rPr>
          <w:rFonts w:asciiTheme="majorHAnsi" w:hAnsiTheme="majorHAnsi" w:cstheme="majorHAnsi"/>
          <w:sz w:val="20"/>
          <w:szCs w:val="20"/>
        </w:rPr>
        <w:br w:type="page"/>
      </w:r>
    </w:p>
    <w:p w:rsidR="00933038" w:rsidRPr="00C34E1B" w:rsidRDefault="00933038" w:rsidP="007A68BE">
      <w:pPr>
        <w:pStyle w:val="Heading1"/>
      </w:pPr>
      <w:bookmarkStart w:id="112" w:name="_D18._Academic_Public"/>
      <w:bookmarkStart w:id="113" w:name="_Toc7118217"/>
      <w:bookmarkEnd w:id="112"/>
      <w:r w:rsidRPr="00C34E1B">
        <w:t>D18. Academic Public Health Doctoral Degrees</w:t>
      </w:r>
      <w:bookmarkEnd w:id="111"/>
      <w:bookmarkEnd w:id="113"/>
    </w:p>
    <w:p w:rsidR="00933038" w:rsidRPr="00C34E1B" w:rsidRDefault="00933038" w:rsidP="006C308E">
      <w:pPr>
        <w:jc w:val="both"/>
        <w:rPr>
          <w:rFonts w:asciiTheme="majorHAnsi" w:hAnsiTheme="majorHAnsi" w:cstheme="majorHAnsi"/>
          <w:sz w:val="20"/>
          <w:szCs w:val="20"/>
          <w:highlight w:val="yellow"/>
        </w:rPr>
      </w:pPr>
    </w:p>
    <w:p w:rsidR="00933038" w:rsidRPr="00C34E1B" w:rsidRDefault="00933038" w:rsidP="006C308E">
      <w:pPr>
        <w:jc w:val="both"/>
        <w:rPr>
          <w:rFonts w:asciiTheme="majorHAnsi" w:eastAsia="Arial Unicode MS" w:hAnsiTheme="majorHAnsi" w:cstheme="majorHAnsi"/>
          <w:b/>
          <w:sz w:val="20"/>
          <w:szCs w:val="20"/>
        </w:rPr>
      </w:pPr>
      <w:r w:rsidRPr="00C34E1B">
        <w:rPr>
          <w:rFonts w:asciiTheme="majorHAnsi" w:eastAsia="Arial Unicode MS" w:hAnsiTheme="majorHAnsi" w:cstheme="majorHAnsi"/>
          <w:b/>
          <w:sz w:val="20"/>
          <w:szCs w:val="20"/>
        </w:rPr>
        <w:t xml:space="preserve">These students also complete coursework and other experiences, outside of the major paper or project, that substantively address scientific and analytic approaches to discovery and translation of public health knowledge in the context of a population health framework. </w:t>
      </w:r>
    </w:p>
    <w:p w:rsidR="00933038" w:rsidRPr="00C34E1B" w:rsidRDefault="00933038" w:rsidP="006C308E">
      <w:pPr>
        <w:jc w:val="both"/>
        <w:rPr>
          <w:rFonts w:asciiTheme="majorHAnsi" w:eastAsia="Arial Unicode MS" w:hAnsiTheme="majorHAnsi" w:cstheme="majorHAnsi"/>
          <w:b/>
          <w:sz w:val="20"/>
          <w:szCs w:val="20"/>
        </w:rPr>
      </w:pPr>
    </w:p>
    <w:p w:rsidR="00933038" w:rsidRPr="00C34E1B" w:rsidRDefault="00933038" w:rsidP="006C308E">
      <w:pPr>
        <w:jc w:val="both"/>
        <w:rPr>
          <w:rFonts w:asciiTheme="majorHAnsi" w:eastAsia="Arial Unicode MS" w:hAnsiTheme="majorHAnsi" w:cstheme="majorHAnsi"/>
          <w:b/>
          <w:sz w:val="20"/>
          <w:szCs w:val="20"/>
        </w:rPr>
      </w:pPr>
      <w:r w:rsidRPr="00C34E1B">
        <w:rPr>
          <w:rFonts w:asciiTheme="majorHAnsi" w:eastAsia="Arial Unicode MS" w:hAnsiTheme="majorHAnsi" w:cstheme="majorHAnsi"/>
          <w:b/>
          <w:sz w:val="20"/>
          <w:szCs w:val="20"/>
        </w:rPr>
        <w:t xml:space="preserve">These students complete doctoral-level, advanced coursework and other experiences that distinguish the school of study from a master’s degree in the same field. </w:t>
      </w:r>
    </w:p>
    <w:p w:rsidR="00933038" w:rsidRPr="00C34E1B" w:rsidRDefault="00933038" w:rsidP="006C308E">
      <w:pPr>
        <w:jc w:val="both"/>
        <w:rPr>
          <w:rFonts w:asciiTheme="majorHAnsi" w:eastAsia="Arial Unicode MS" w:hAnsiTheme="majorHAnsi" w:cstheme="majorHAnsi"/>
          <w:b/>
          <w:sz w:val="20"/>
          <w:szCs w:val="20"/>
        </w:rPr>
      </w:pPr>
    </w:p>
    <w:p w:rsidR="00933038" w:rsidRPr="00C34E1B" w:rsidRDefault="00933038" w:rsidP="006C308E">
      <w:pPr>
        <w:jc w:val="both"/>
        <w:rPr>
          <w:rFonts w:asciiTheme="majorHAnsi" w:eastAsia="Arial Unicode MS" w:hAnsiTheme="majorHAnsi" w:cstheme="majorHAnsi"/>
          <w:b/>
          <w:sz w:val="20"/>
          <w:szCs w:val="20"/>
        </w:rPr>
      </w:pPr>
      <w:r w:rsidRPr="00C34E1B">
        <w:rPr>
          <w:rFonts w:asciiTheme="majorHAnsi" w:eastAsia="Arial Unicode MS" w:hAnsiTheme="majorHAnsi" w:cstheme="majorHAnsi"/>
          <w:b/>
          <w:sz w:val="20"/>
          <w:szCs w:val="20"/>
        </w:rPr>
        <w:t>The school defines appropriate policies for advancement to candidacy, within the context of the institution.</w:t>
      </w:r>
    </w:p>
    <w:p w:rsidR="00933038" w:rsidRPr="00C34E1B" w:rsidRDefault="00933038" w:rsidP="006C308E">
      <w:pPr>
        <w:jc w:val="both"/>
        <w:rPr>
          <w:rFonts w:asciiTheme="majorHAnsi" w:eastAsia="Arial Unicode MS" w:hAnsiTheme="majorHAnsi" w:cstheme="majorHAnsi"/>
          <w:b/>
          <w:sz w:val="20"/>
          <w:szCs w:val="20"/>
        </w:rPr>
      </w:pPr>
    </w:p>
    <w:p w:rsidR="00933038" w:rsidRPr="00C34E1B" w:rsidRDefault="00933038" w:rsidP="006C308E">
      <w:pPr>
        <w:jc w:val="both"/>
        <w:rPr>
          <w:rFonts w:asciiTheme="majorHAnsi" w:eastAsia="Arial Unicode MS" w:hAnsiTheme="majorHAnsi" w:cstheme="majorHAnsi"/>
          <w:b/>
          <w:sz w:val="20"/>
          <w:szCs w:val="20"/>
        </w:rPr>
      </w:pPr>
      <w:r w:rsidRPr="00C34E1B">
        <w:rPr>
          <w:rFonts w:asciiTheme="majorHAnsi" w:eastAsia="Arial Unicode MS" w:hAnsiTheme="majorHAnsi" w:cstheme="majorHAnsi"/>
          <w:b/>
          <w:sz w:val="20"/>
          <w:szCs w:val="20"/>
        </w:rPr>
        <w:t>Finally, students complete coursework that provides instruction in the foundational public health knowledge at an appropriate level of complexity. This instruction may be delivered through online, in-person or blended methodologies, but it must meet the following requirements while covering the defined content areas.</w:t>
      </w:r>
    </w:p>
    <w:p w:rsidR="00933038" w:rsidRPr="00C34E1B" w:rsidRDefault="00933038" w:rsidP="006C308E">
      <w:pPr>
        <w:jc w:val="both"/>
        <w:rPr>
          <w:rFonts w:asciiTheme="majorHAnsi" w:eastAsia="Arial Unicode MS" w:hAnsiTheme="majorHAnsi" w:cstheme="majorHAnsi"/>
          <w:b/>
          <w:sz w:val="20"/>
          <w:szCs w:val="20"/>
        </w:rPr>
      </w:pPr>
    </w:p>
    <w:p w:rsidR="00933038" w:rsidRPr="00C34E1B" w:rsidRDefault="00933038" w:rsidP="006C308E">
      <w:pPr>
        <w:jc w:val="both"/>
        <w:rPr>
          <w:rFonts w:asciiTheme="majorHAnsi" w:eastAsia="Arial Unicode MS" w:hAnsiTheme="majorHAnsi" w:cstheme="majorHAnsi"/>
          <w:b/>
          <w:sz w:val="20"/>
          <w:szCs w:val="20"/>
        </w:rPr>
      </w:pPr>
      <w:r w:rsidRPr="00C34E1B">
        <w:rPr>
          <w:rFonts w:asciiTheme="majorHAnsi" w:eastAsia="Arial Unicode MS" w:hAnsiTheme="majorHAnsi" w:cstheme="majorHAnsi"/>
          <w:b/>
          <w:sz w:val="20"/>
          <w:szCs w:val="20"/>
        </w:rPr>
        <w:t>The school identifies at least one required asse</w:t>
      </w:r>
      <w:r w:rsidR="00714194" w:rsidRPr="00C34E1B">
        <w:rPr>
          <w:rFonts w:asciiTheme="majorHAnsi" w:eastAsia="Arial Unicode MS" w:hAnsiTheme="majorHAnsi" w:cstheme="majorHAnsi"/>
          <w:b/>
          <w:sz w:val="20"/>
          <w:szCs w:val="20"/>
        </w:rPr>
        <w:t xml:space="preserve">ssment activity for each of the </w:t>
      </w:r>
      <w:r w:rsidRPr="00C34E1B">
        <w:rPr>
          <w:rFonts w:asciiTheme="majorHAnsi" w:eastAsia="Arial Unicode MS" w:hAnsiTheme="majorHAnsi" w:cstheme="majorHAnsi"/>
          <w:b/>
          <w:sz w:val="20"/>
          <w:szCs w:val="20"/>
        </w:rPr>
        <w:t xml:space="preserve">foundational public health learning objectives. </w:t>
      </w:r>
    </w:p>
    <w:p w:rsidR="00933038" w:rsidRPr="00C34E1B" w:rsidRDefault="00933038" w:rsidP="006C308E">
      <w:pPr>
        <w:shd w:val="clear" w:color="auto" w:fill="FFFFFF"/>
        <w:jc w:val="both"/>
        <w:rPr>
          <w:rFonts w:asciiTheme="majorHAnsi" w:eastAsia="Arial Unicode MS" w:hAnsiTheme="majorHAnsi" w:cstheme="majorHAnsi"/>
          <w:b/>
          <w:sz w:val="20"/>
          <w:szCs w:val="20"/>
        </w:rPr>
      </w:pPr>
    </w:p>
    <w:p w:rsidR="00933038" w:rsidRPr="00C34E1B" w:rsidRDefault="00933038" w:rsidP="006C308E">
      <w:pPr>
        <w:jc w:val="both"/>
        <w:rPr>
          <w:rFonts w:asciiTheme="majorHAnsi" w:eastAsia="Arial Unicode MS" w:hAnsiTheme="majorHAnsi" w:cstheme="majorHAnsi"/>
          <w:b/>
          <w:sz w:val="20"/>
          <w:szCs w:val="20"/>
        </w:rPr>
      </w:pPr>
      <w:r w:rsidRPr="00C34E1B">
        <w:rPr>
          <w:rFonts w:asciiTheme="majorHAnsi" w:eastAsia="Arial Unicode MS" w:hAnsiTheme="majorHAnsi" w:cstheme="majorHAnsi"/>
          <w:b/>
          <w:sz w:val="20"/>
          <w:szCs w:val="20"/>
        </w:rPr>
        <w:t>The school validates academic doctoral students’ foundational public health knowledge through appropriate methods.</w:t>
      </w:r>
    </w:p>
    <w:p w:rsidR="00933038" w:rsidRPr="00C34E1B" w:rsidRDefault="00933038" w:rsidP="006C308E">
      <w:pPr>
        <w:shd w:val="clear" w:color="auto" w:fill="FFFFFF"/>
        <w:jc w:val="both"/>
        <w:rPr>
          <w:rFonts w:asciiTheme="majorHAnsi" w:eastAsia="Arial Unicode MS" w:hAnsiTheme="majorHAnsi" w:cstheme="majorHAnsi"/>
          <w:sz w:val="20"/>
          <w:szCs w:val="20"/>
        </w:rPr>
      </w:pPr>
    </w:p>
    <w:p w:rsidR="00933038" w:rsidRPr="00C34E1B" w:rsidRDefault="00933038" w:rsidP="006C308E">
      <w:pPr>
        <w:numPr>
          <w:ilvl w:val="0"/>
          <w:numId w:val="29"/>
        </w:numPr>
        <w:shd w:val="clear" w:color="auto" w:fill="FFFFFF"/>
        <w:jc w:val="both"/>
        <w:rPr>
          <w:rFonts w:asciiTheme="majorHAnsi" w:eastAsia="Arial Unicode MS" w:hAnsiTheme="majorHAnsi" w:cstheme="majorHAnsi"/>
          <w:sz w:val="20"/>
          <w:szCs w:val="20"/>
        </w:rPr>
      </w:pPr>
      <w:r w:rsidRPr="00C34E1B">
        <w:rPr>
          <w:rFonts w:asciiTheme="majorHAnsi" w:eastAsia="Arial Unicode MS" w:hAnsiTheme="majorHAnsi" w:cstheme="majorHAnsi"/>
          <w:sz w:val="20"/>
          <w:szCs w:val="20"/>
        </w:rPr>
        <w:t xml:space="preserve">List the curricular requirements for each non-DrPH doctoral degree in the unit of accreditation, </w:t>
      </w:r>
      <w:r w:rsidR="00FE2FE3">
        <w:rPr>
          <w:rFonts w:asciiTheme="majorHAnsi" w:eastAsia="Arial Unicode MS" w:hAnsiTheme="majorHAnsi" w:cstheme="majorHAnsi"/>
          <w:sz w:val="20"/>
          <w:szCs w:val="20"/>
        </w:rPr>
        <w:t>excluding</w:t>
      </w:r>
      <w:r w:rsidRPr="00C34E1B">
        <w:rPr>
          <w:rFonts w:asciiTheme="majorHAnsi" w:eastAsia="Arial Unicode MS" w:hAnsiTheme="majorHAnsi" w:cstheme="majorHAnsi"/>
          <w:sz w:val="20"/>
          <w:szCs w:val="20"/>
        </w:rPr>
        <w:t xml:space="preserve"> requirements associated with the final research project. The list must indicate (using shading) each required curricular element that a) is designed expressly for doctoral, rather than master’s, students or b) would not typically be associated with completion of a master’s degree in the same area of study.</w:t>
      </w:r>
    </w:p>
    <w:p w:rsidR="00933038" w:rsidRPr="00C34E1B" w:rsidRDefault="00933038" w:rsidP="006C308E">
      <w:pPr>
        <w:shd w:val="clear" w:color="auto" w:fill="FFFFFF"/>
        <w:ind w:left="720"/>
        <w:jc w:val="both"/>
        <w:rPr>
          <w:rFonts w:asciiTheme="majorHAnsi" w:eastAsia="Arial Unicode MS" w:hAnsiTheme="majorHAnsi" w:cstheme="majorHAnsi"/>
          <w:sz w:val="20"/>
          <w:szCs w:val="20"/>
        </w:rPr>
      </w:pPr>
    </w:p>
    <w:p w:rsidR="00933038" w:rsidRPr="00C34E1B" w:rsidRDefault="00933038" w:rsidP="006C308E">
      <w:pPr>
        <w:shd w:val="clear" w:color="auto" w:fill="FFFFFF"/>
        <w:ind w:left="720"/>
        <w:jc w:val="both"/>
        <w:rPr>
          <w:rFonts w:asciiTheme="majorHAnsi" w:eastAsia="Arial Unicode MS" w:hAnsiTheme="majorHAnsi" w:cstheme="majorHAnsi"/>
          <w:sz w:val="20"/>
          <w:szCs w:val="20"/>
        </w:rPr>
      </w:pPr>
      <w:r w:rsidRPr="00C34E1B">
        <w:rPr>
          <w:rFonts w:asciiTheme="majorHAnsi" w:eastAsia="Arial Unicode MS" w:hAnsiTheme="majorHAnsi" w:cstheme="majorHAnsi"/>
          <w:sz w:val="20"/>
          <w:szCs w:val="20"/>
        </w:rPr>
        <w:t>The school may present accompanying narrative to provide context and information that aids reviewers’ understanding of the ways in which doctoral study is distinguished from master’s-level study. This narrative is especially important for institutions that do not formally distinguish master’s-level courses from doctoral-level courses.</w:t>
      </w:r>
    </w:p>
    <w:p w:rsidR="00377D10" w:rsidRPr="00C34E1B" w:rsidRDefault="00377D10" w:rsidP="006C308E">
      <w:pPr>
        <w:shd w:val="clear" w:color="auto" w:fill="FFFFFF"/>
        <w:ind w:left="720"/>
        <w:jc w:val="both"/>
        <w:rPr>
          <w:rFonts w:asciiTheme="majorHAnsi" w:eastAsia="Arial Unicode MS" w:hAnsiTheme="majorHAnsi" w:cstheme="majorHAnsi"/>
          <w:sz w:val="20"/>
          <w:szCs w:val="20"/>
        </w:rPr>
      </w:pPr>
    </w:p>
    <w:p w:rsidR="00377D10" w:rsidRPr="00C34E1B" w:rsidRDefault="00377D10" w:rsidP="006C308E">
      <w:pPr>
        <w:shd w:val="clear" w:color="auto" w:fill="FFFFFF"/>
        <w:ind w:left="720"/>
        <w:jc w:val="both"/>
        <w:rPr>
          <w:rFonts w:asciiTheme="majorHAnsi" w:eastAsia="Arial Unicode MS" w:hAnsiTheme="majorHAnsi" w:cstheme="majorHAnsi"/>
          <w:sz w:val="20"/>
          <w:szCs w:val="20"/>
        </w:rPr>
      </w:pPr>
      <w:r w:rsidRPr="00C34E1B">
        <w:rPr>
          <w:rFonts w:asciiTheme="majorHAnsi" w:eastAsia="Arial Unicode MS" w:hAnsiTheme="majorHAnsi" w:cstheme="majorHAnsi"/>
          <w:sz w:val="20"/>
          <w:szCs w:val="20"/>
        </w:rPr>
        <w:t>The school will present a separate list for each degree program and concentration as appropriate.</w:t>
      </w:r>
    </w:p>
    <w:p w:rsidR="00C663A6" w:rsidRPr="001247EE" w:rsidRDefault="00C663A6" w:rsidP="006C308E">
      <w:pPr>
        <w:ind w:left="720"/>
        <w:rPr>
          <w:rFonts w:asciiTheme="majorHAnsi" w:eastAsia="Arial" w:hAnsiTheme="majorHAnsi" w:cstheme="majorHAnsi"/>
          <w:sz w:val="20"/>
          <w:szCs w:val="20"/>
          <w:highlight w:val="yellow"/>
        </w:rPr>
      </w:pPr>
    </w:p>
    <w:p w:rsidR="005E41D2" w:rsidRPr="001247EE" w:rsidRDefault="00C663A6" w:rsidP="006C308E">
      <w:pPr>
        <w:shd w:val="clear" w:color="auto" w:fill="FFFFFF"/>
        <w:ind w:left="720"/>
        <w:rPr>
          <w:rFonts w:asciiTheme="majorHAnsi" w:eastAsia="Arial" w:hAnsiTheme="majorHAnsi" w:cstheme="majorHAnsi"/>
          <w:sz w:val="20"/>
          <w:szCs w:val="20"/>
        </w:rPr>
      </w:pPr>
      <w:r w:rsidRPr="001247EE">
        <w:rPr>
          <w:rFonts w:asciiTheme="majorHAnsi" w:eastAsia="Arial" w:hAnsiTheme="majorHAnsi" w:cstheme="majorHAnsi"/>
          <w:sz w:val="20"/>
          <w:szCs w:val="20"/>
        </w:rPr>
        <w:t xml:space="preserve">The UTHealth School of Public Health offers Doctor of Philosophy (PhD) degree in seven areas of study, as indicated in </w:t>
      </w:r>
      <w:hyperlink w:anchor="tablea52" w:history="1">
        <w:r w:rsidRPr="001247EE">
          <w:rPr>
            <w:rStyle w:val="Hyperlink"/>
            <w:rFonts w:asciiTheme="majorHAnsi" w:eastAsia="Arial" w:hAnsiTheme="majorHAnsi" w:cstheme="majorHAnsi"/>
            <w:sz w:val="20"/>
            <w:szCs w:val="20"/>
          </w:rPr>
          <w:t>Table A.5.2 Matrix of Degrees</w:t>
        </w:r>
      </w:hyperlink>
      <w:r w:rsidRPr="001247EE">
        <w:rPr>
          <w:rFonts w:asciiTheme="majorHAnsi" w:eastAsia="Arial" w:hAnsiTheme="majorHAnsi" w:cstheme="majorHAnsi"/>
          <w:sz w:val="20"/>
          <w:szCs w:val="20"/>
        </w:rPr>
        <w:t xml:space="preserve">. The curricular requirements for all PhD programs can be found in the </w:t>
      </w:r>
      <w:r w:rsidR="007E0E4F" w:rsidRPr="001247EE">
        <w:rPr>
          <w:rFonts w:asciiTheme="majorHAnsi" w:eastAsia="Arial" w:hAnsiTheme="majorHAnsi" w:cstheme="majorHAnsi"/>
          <w:sz w:val="20"/>
          <w:szCs w:val="20"/>
        </w:rPr>
        <w:t>2018–2020 Academic Catalog</w:t>
      </w:r>
      <w:r w:rsidR="007E0E4F" w:rsidRPr="001247EE">
        <w:rPr>
          <w:rFonts w:asciiTheme="majorHAnsi" w:eastAsia="Arial" w:hAnsiTheme="majorHAnsi" w:cstheme="majorHAnsi"/>
          <w:color w:val="000000"/>
          <w:sz w:val="20"/>
          <w:szCs w:val="20"/>
        </w:rPr>
        <w:t xml:space="preserve"> and </w:t>
      </w:r>
      <w:r w:rsidR="007E0E4F" w:rsidRPr="001247EE">
        <w:rPr>
          <w:rFonts w:asciiTheme="majorHAnsi" w:hAnsiTheme="majorHAnsi" w:cstheme="majorHAnsi"/>
          <w:sz w:val="20"/>
          <w:szCs w:val="20"/>
        </w:rPr>
        <w:t xml:space="preserve">2019–2020 </w:t>
      </w:r>
      <w:r w:rsidR="007E0E4F" w:rsidRPr="001247EE">
        <w:rPr>
          <w:rFonts w:asciiTheme="majorHAnsi" w:eastAsia="Arial" w:hAnsiTheme="majorHAnsi" w:cstheme="majorHAnsi"/>
          <w:sz w:val="20"/>
          <w:szCs w:val="20"/>
        </w:rPr>
        <w:t xml:space="preserve">Academic </w:t>
      </w:r>
      <w:r w:rsidR="007E0E4F" w:rsidRPr="001247EE">
        <w:rPr>
          <w:rFonts w:asciiTheme="majorHAnsi" w:hAnsiTheme="majorHAnsi" w:cstheme="majorHAnsi"/>
          <w:sz w:val="20"/>
          <w:szCs w:val="20"/>
        </w:rPr>
        <w:t>Catalog Addendum</w:t>
      </w:r>
      <w:r w:rsidR="007E0E4F" w:rsidRPr="001247EE">
        <w:rPr>
          <w:rFonts w:asciiTheme="majorHAnsi" w:eastAsia="Arial" w:hAnsiTheme="majorHAnsi" w:cstheme="majorHAnsi"/>
          <w:color w:val="000000"/>
          <w:sz w:val="20"/>
          <w:szCs w:val="20"/>
        </w:rPr>
        <w:t xml:space="preserve"> </w:t>
      </w:r>
      <w:r w:rsidR="007E0E4F" w:rsidRPr="001247EE">
        <w:rPr>
          <w:rFonts w:asciiTheme="majorHAnsi" w:hAnsiTheme="majorHAnsi" w:cstheme="majorHAnsi"/>
          <w:sz w:val="20"/>
          <w:szCs w:val="20"/>
        </w:rPr>
        <w:t>(</w:t>
      </w:r>
      <w:r w:rsidR="007E0E4F" w:rsidRPr="001247EE">
        <w:rPr>
          <w:rFonts w:asciiTheme="majorHAnsi" w:hAnsiTheme="majorHAnsi" w:cstheme="majorHAnsi"/>
          <w:i/>
          <w:sz w:val="20"/>
          <w:szCs w:val="20"/>
        </w:rPr>
        <w:t>ERF, A5. Degree Offerings in Schools of Public Health</w:t>
      </w:r>
      <w:r w:rsidR="007E0E4F" w:rsidRPr="001247EE">
        <w:rPr>
          <w:rFonts w:asciiTheme="majorHAnsi" w:hAnsiTheme="majorHAnsi" w:cstheme="majorHAnsi"/>
          <w:sz w:val="20"/>
          <w:szCs w:val="20"/>
        </w:rPr>
        <w:t>)</w:t>
      </w:r>
      <w:r w:rsidR="007E0E4F" w:rsidRPr="001247EE">
        <w:rPr>
          <w:rFonts w:asciiTheme="majorHAnsi" w:eastAsia="Arial" w:hAnsiTheme="majorHAnsi" w:cstheme="majorHAnsi"/>
          <w:color w:val="000000"/>
          <w:sz w:val="20"/>
          <w:szCs w:val="20"/>
        </w:rPr>
        <w:t xml:space="preserve">, </w:t>
      </w:r>
      <w:r w:rsidRPr="001247EE">
        <w:rPr>
          <w:rFonts w:asciiTheme="majorHAnsi" w:eastAsia="Arial" w:hAnsiTheme="majorHAnsi" w:cstheme="majorHAnsi"/>
          <w:sz w:val="20"/>
          <w:szCs w:val="20"/>
        </w:rPr>
        <w:t xml:space="preserve">and the </w:t>
      </w:r>
      <w:r w:rsidR="00F049B4" w:rsidRPr="001247EE">
        <w:rPr>
          <w:rFonts w:asciiTheme="majorHAnsi" w:hAnsiTheme="majorHAnsi" w:cstheme="majorHAnsi"/>
          <w:sz w:val="20"/>
          <w:szCs w:val="20"/>
        </w:rPr>
        <w:t>PhD</w:t>
      </w:r>
      <w:r w:rsidR="00726198" w:rsidRPr="001247EE">
        <w:rPr>
          <w:rFonts w:asciiTheme="majorHAnsi" w:eastAsia="Arial" w:hAnsiTheme="majorHAnsi" w:cstheme="majorHAnsi"/>
          <w:sz w:val="20"/>
          <w:szCs w:val="20"/>
        </w:rPr>
        <w:t xml:space="preserve"> degree planners (</w:t>
      </w:r>
      <w:r w:rsidR="00726198" w:rsidRPr="001247EE">
        <w:rPr>
          <w:rFonts w:asciiTheme="majorHAnsi" w:eastAsia="Arial" w:hAnsiTheme="majorHAnsi" w:cstheme="majorHAnsi"/>
          <w:i/>
          <w:sz w:val="20"/>
          <w:szCs w:val="20"/>
        </w:rPr>
        <w:t xml:space="preserve">ERF, </w:t>
      </w:r>
      <w:r w:rsidR="00F049B4" w:rsidRPr="001247EE">
        <w:rPr>
          <w:rFonts w:asciiTheme="majorHAnsi" w:hAnsiTheme="majorHAnsi" w:cstheme="majorHAnsi"/>
          <w:i/>
          <w:sz w:val="20"/>
          <w:szCs w:val="20"/>
        </w:rPr>
        <w:t>D18.4. Degree Planners</w:t>
      </w:r>
      <w:r w:rsidR="00726198" w:rsidRPr="001247EE">
        <w:rPr>
          <w:rFonts w:asciiTheme="majorHAnsi" w:eastAsia="Arial" w:hAnsiTheme="majorHAnsi" w:cstheme="majorHAnsi"/>
          <w:sz w:val="20"/>
          <w:szCs w:val="20"/>
        </w:rPr>
        <w:t>)</w:t>
      </w:r>
      <w:r w:rsidRPr="001247EE">
        <w:rPr>
          <w:rFonts w:asciiTheme="majorHAnsi" w:eastAsia="Arial" w:hAnsiTheme="majorHAnsi" w:cstheme="majorHAnsi"/>
          <w:sz w:val="20"/>
          <w:szCs w:val="20"/>
        </w:rPr>
        <w:t xml:space="preserve">. </w:t>
      </w:r>
      <w:r w:rsidR="00DB533A" w:rsidRPr="001247EE">
        <w:rPr>
          <w:rFonts w:asciiTheme="majorHAnsi" w:eastAsia="Arial" w:hAnsiTheme="majorHAnsi" w:cstheme="majorHAnsi"/>
          <w:sz w:val="20"/>
          <w:szCs w:val="20"/>
        </w:rPr>
        <w:t>PhD programs require the completion of 48 credit hours above the master’s level</w:t>
      </w:r>
      <w:r w:rsidR="00726198" w:rsidRPr="001247EE">
        <w:rPr>
          <w:rFonts w:asciiTheme="majorHAnsi" w:eastAsia="Arial" w:hAnsiTheme="majorHAnsi" w:cstheme="majorHAnsi"/>
          <w:sz w:val="20"/>
          <w:szCs w:val="20"/>
        </w:rPr>
        <w:t>.</w:t>
      </w:r>
      <w:r w:rsidR="00DB533A" w:rsidRPr="001247EE">
        <w:rPr>
          <w:rFonts w:asciiTheme="majorHAnsi" w:eastAsia="Arial" w:hAnsiTheme="majorHAnsi" w:cstheme="majorHAnsi"/>
          <w:sz w:val="20"/>
          <w:szCs w:val="20"/>
        </w:rPr>
        <w:t xml:space="preserve"> </w:t>
      </w:r>
      <w:r w:rsidR="00726198" w:rsidRPr="001247EE">
        <w:rPr>
          <w:rFonts w:asciiTheme="majorHAnsi" w:eastAsia="Arial" w:hAnsiTheme="majorHAnsi" w:cstheme="majorHAnsi"/>
          <w:sz w:val="20"/>
          <w:szCs w:val="20"/>
        </w:rPr>
        <w:t>All</w:t>
      </w:r>
      <w:r w:rsidR="00DB533A" w:rsidRPr="001247EE">
        <w:rPr>
          <w:rFonts w:asciiTheme="majorHAnsi" w:eastAsia="Arial" w:hAnsiTheme="majorHAnsi" w:cstheme="majorHAnsi"/>
          <w:sz w:val="20"/>
          <w:szCs w:val="20"/>
        </w:rPr>
        <w:t xml:space="preserve"> PhD </w:t>
      </w:r>
      <w:r w:rsidR="00726198" w:rsidRPr="001247EE">
        <w:rPr>
          <w:rFonts w:asciiTheme="majorHAnsi" w:eastAsia="Arial" w:hAnsiTheme="majorHAnsi" w:cstheme="majorHAnsi"/>
          <w:sz w:val="20"/>
          <w:szCs w:val="20"/>
        </w:rPr>
        <w:t xml:space="preserve">students at the UTHealth School of Public Health </w:t>
      </w:r>
      <w:r w:rsidR="00DB533A" w:rsidRPr="001247EE">
        <w:rPr>
          <w:rFonts w:asciiTheme="majorHAnsi" w:eastAsia="Arial" w:hAnsiTheme="majorHAnsi" w:cstheme="majorHAnsi"/>
          <w:sz w:val="20"/>
          <w:szCs w:val="20"/>
        </w:rPr>
        <w:t xml:space="preserve">complete major, </w:t>
      </w:r>
      <w:r w:rsidR="00DB533A" w:rsidRPr="001247EE">
        <w:rPr>
          <w:rFonts w:asciiTheme="majorHAnsi" w:hAnsiTheme="majorHAnsi" w:cstheme="majorHAnsi"/>
          <w:sz w:val="20"/>
          <w:szCs w:val="20"/>
        </w:rPr>
        <w:t>minor, breadth</w:t>
      </w:r>
      <w:r w:rsidR="00C67E40" w:rsidRPr="001247EE">
        <w:rPr>
          <w:rFonts w:asciiTheme="majorHAnsi" w:eastAsia="Arial" w:hAnsiTheme="majorHAnsi" w:cstheme="majorHAnsi"/>
          <w:sz w:val="20"/>
          <w:szCs w:val="20"/>
        </w:rPr>
        <w:t xml:space="preserve"> (</w:t>
      </w:r>
      <w:r w:rsidR="00C67E40" w:rsidRPr="001247EE">
        <w:rPr>
          <w:rFonts w:asciiTheme="majorHAnsi" w:eastAsia="Arial" w:hAnsiTheme="majorHAnsi" w:cstheme="majorHAnsi"/>
          <w:i/>
          <w:sz w:val="20"/>
          <w:szCs w:val="20"/>
        </w:rPr>
        <w:t>ERF, D18. Public Health Academic Doctoral Degrees, Minors and Breadths</w:t>
      </w:r>
      <w:r w:rsidR="00C67E40" w:rsidRPr="001247EE">
        <w:rPr>
          <w:rFonts w:asciiTheme="majorHAnsi" w:eastAsia="Arial" w:hAnsiTheme="majorHAnsi" w:cstheme="majorHAnsi"/>
          <w:sz w:val="20"/>
          <w:szCs w:val="20"/>
        </w:rPr>
        <w:t>)</w:t>
      </w:r>
      <w:r w:rsidR="00DB533A" w:rsidRPr="001247EE">
        <w:rPr>
          <w:rFonts w:asciiTheme="majorHAnsi" w:eastAsia="Arial" w:hAnsiTheme="majorHAnsi" w:cstheme="majorHAnsi"/>
          <w:sz w:val="20"/>
          <w:szCs w:val="20"/>
        </w:rPr>
        <w:t xml:space="preserve">, and elective coursework along with a research dissertation </w:t>
      </w:r>
      <w:r w:rsidR="00726198" w:rsidRPr="001247EE">
        <w:rPr>
          <w:rFonts w:asciiTheme="majorHAnsi" w:eastAsia="Arial" w:hAnsiTheme="majorHAnsi" w:cstheme="majorHAnsi"/>
          <w:sz w:val="20"/>
          <w:szCs w:val="20"/>
        </w:rPr>
        <w:t>to fulfill</w:t>
      </w:r>
      <w:r w:rsidR="00DB533A" w:rsidRPr="001247EE">
        <w:rPr>
          <w:rFonts w:asciiTheme="majorHAnsi" w:eastAsia="Arial" w:hAnsiTheme="majorHAnsi" w:cstheme="majorHAnsi"/>
          <w:sz w:val="20"/>
          <w:szCs w:val="20"/>
        </w:rPr>
        <w:t xml:space="preserve"> the degree requirement</w:t>
      </w:r>
      <w:r w:rsidR="003A36CB" w:rsidRPr="001247EE">
        <w:rPr>
          <w:rFonts w:asciiTheme="majorHAnsi" w:eastAsia="Arial" w:hAnsiTheme="majorHAnsi" w:cstheme="majorHAnsi"/>
          <w:sz w:val="20"/>
          <w:szCs w:val="20"/>
        </w:rPr>
        <w:t>s</w:t>
      </w:r>
      <w:r w:rsidR="00DB533A" w:rsidRPr="001247EE">
        <w:rPr>
          <w:rFonts w:asciiTheme="majorHAnsi" w:eastAsia="Arial" w:hAnsiTheme="majorHAnsi" w:cstheme="majorHAnsi"/>
          <w:sz w:val="20"/>
          <w:szCs w:val="20"/>
        </w:rPr>
        <w:t xml:space="preserve">. </w:t>
      </w:r>
    </w:p>
    <w:p w:rsidR="005E41D2" w:rsidRPr="001247EE" w:rsidRDefault="005E41D2" w:rsidP="006C308E">
      <w:pPr>
        <w:shd w:val="clear" w:color="auto" w:fill="FFFFFF"/>
        <w:ind w:left="720"/>
        <w:rPr>
          <w:rFonts w:asciiTheme="majorHAnsi" w:eastAsia="Arial" w:hAnsiTheme="majorHAnsi" w:cstheme="majorHAnsi"/>
          <w:sz w:val="20"/>
          <w:szCs w:val="20"/>
        </w:rPr>
      </w:pPr>
    </w:p>
    <w:p w:rsidR="00933038" w:rsidRPr="00C34E1B" w:rsidRDefault="00DB533A" w:rsidP="006C308E">
      <w:pPr>
        <w:shd w:val="clear" w:color="auto" w:fill="FFFFFF"/>
        <w:ind w:left="720"/>
        <w:rPr>
          <w:rFonts w:asciiTheme="majorHAnsi" w:eastAsia="Arial" w:hAnsiTheme="majorHAnsi" w:cstheme="majorHAnsi"/>
          <w:sz w:val="20"/>
          <w:szCs w:val="20"/>
        </w:rPr>
      </w:pPr>
      <w:r w:rsidRPr="001247EE">
        <w:rPr>
          <w:rFonts w:asciiTheme="majorHAnsi" w:eastAsia="Arial" w:hAnsiTheme="majorHAnsi" w:cstheme="majorHAnsi"/>
          <w:sz w:val="20"/>
          <w:szCs w:val="20"/>
        </w:rPr>
        <w:t>Curricular requirements distinct from master’s</w:t>
      </w:r>
      <w:r w:rsidRPr="00C34E1B">
        <w:rPr>
          <w:rFonts w:asciiTheme="majorHAnsi" w:eastAsia="Arial" w:hAnsiTheme="majorHAnsi" w:cstheme="majorHAnsi"/>
          <w:sz w:val="20"/>
          <w:szCs w:val="20"/>
        </w:rPr>
        <w:t xml:space="preserve">-level study are indicated using the course prefixes PHD and PHWD, which indicate doctoral-level courses. Students that have not completed a master’s in a similar area of study at </w:t>
      </w:r>
      <w:r w:rsidR="001C7653" w:rsidRPr="00C34E1B">
        <w:rPr>
          <w:rFonts w:asciiTheme="majorHAnsi" w:eastAsia="Arial" w:hAnsiTheme="majorHAnsi" w:cstheme="majorHAnsi"/>
          <w:sz w:val="20"/>
          <w:szCs w:val="20"/>
        </w:rPr>
        <w:t xml:space="preserve">the </w:t>
      </w:r>
      <w:r w:rsidRPr="00C34E1B">
        <w:rPr>
          <w:rFonts w:asciiTheme="majorHAnsi" w:eastAsia="Arial" w:hAnsiTheme="majorHAnsi" w:cstheme="majorHAnsi"/>
          <w:sz w:val="20"/>
          <w:szCs w:val="20"/>
        </w:rPr>
        <w:t>UTHealth School of Public Health (or equivalent) prior to enrolling in a PhD program may be required to complete additional leveling courses to ensure academic preparedness and to aid in further distinguishing doctoral-level and master’s-level coursework</w:t>
      </w:r>
      <w:r w:rsidR="005E41D2" w:rsidRPr="00C34E1B">
        <w:rPr>
          <w:rFonts w:asciiTheme="majorHAnsi" w:eastAsia="Arial" w:hAnsiTheme="majorHAnsi" w:cstheme="majorHAnsi"/>
          <w:sz w:val="20"/>
          <w:szCs w:val="20"/>
        </w:rPr>
        <w:t xml:space="preserve"> (leveling coursework is defined in degree planners)</w:t>
      </w:r>
      <w:r w:rsidRPr="00C34E1B">
        <w:rPr>
          <w:rFonts w:asciiTheme="majorHAnsi" w:eastAsia="Arial" w:hAnsiTheme="majorHAnsi" w:cstheme="majorHAnsi"/>
          <w:sz w:val="20"/>
          <w:szCs w:val="20"/>
        </w:rPr>
        <w:t>.</w:t>
      </w:r>
    </w:p>
    <w:p w:rsidR="00DB533A" w:rsidRPr="00C34E1B" w:rsidRDefault="00DB533A" w:rsidP="006C308E">
      <w:pPr>
        <w:ind w:left="720"/>
        <w:rPr>
          <w:rFonts w:asciiTheme="majorHAnsi" w:eastAsia="Arial Unicode MS" w:hAnsiTheme="majorHAnsi" w:cstheme="majorHAnsi"/>
          <w:sz w:val="20"/>
          <w:szCs w:val="20"/>
        </w:rPr>
      </w:pPr>
    </w:p>
    <w:p w:rsidR="00933038" w:rsidRPr="00C34E1B" w:rsidRDefault="00933038" w:rsidP="006C308E">
      <w:pPr>
        <w:numPr>
          <w:ilvl w:val="0"/>
          <w:numId w:val="29"/>
        </w:numPr>
        <w:shd w:val="clear" w:color="auto" w:fill="FFFFFF"/>
        <w:jc w:val="both"/>
        <w:rPr>
          <w:rFonts w:asciiTheme="majorHAnsi" w:eastAsia="Arial Unicode MS" w:hAnsiTheme="majorHAnsi" w:cstheme="majorHAnsi"/>
          <w:sz w:val="20"/>
          <w:szCs w:val="20"/>
        </w:rPr>
      </w:pPr>
      <w:r w:rsidRPr="00C34E1B">
        <w:rPr>
          <w:rFonts w:asciiTheme="majorHAnsi" w:eastAsia="Arial Unicode MS" w:hAnsiTheme="majorHAnsi" w:cstheme="majorHAnsi"/>
          <w:sz w:val="20"/>
          <w:szCs w:val="20"/>
        </w:rPr>
        <w:t xml:space="preserve">Provide a matrix, in the format of Template D18-1, that indicates the required assessment opportunities for each of the defined foundational public health learning objectives (1-12). Typically, the school will present a separate matrix for each degree </w:t>
      </w:r>
      <w:r w:rsidR="00E2259B" w:rsidRPr="00C34E1B">
        <w:rPr>
          <w:rFonts w:asciiTheme="majorHAnsi" w:eastAsia="Arial Unicode MS" w:hAnsiTheme="majorHAnsi" w:cstheme="majorHAnsi"/>
          <w:sz w:val="20"/>
          <w:szCs w:val="20"/>
        </w:rPr>
        <w:t>program</w:t>
      </w:r>
      <w:r w:rsidRPr="00C34E1B">
        <w:rPr>
          <w:rFonts w:asciiTheme="majorHAnsi" w:eastAsia="Arial Unicode MS" w:hAnsiTheme="majorHAnsi" w:cstheme="majorHAnsi"/>
          <w:sz w:val="20"/>
          <w:szCs w:val="20"/>
        </w:rPr>
        <w:t xml:space="preserve">, but matrices may be combined if requirements are identical. </w:t>
      </w:r>
    </w:p>
    <w:p w:rsidR="00DB533A" w:rsidRPr="00C34E1B" w:rsidRDefault="00DB533A" w:rsidP="006C308E">
      <w:pPr>
        <w:rPr>
          <w:rFonts w:asciiTheme="majorHAnsi" w:hAnsiTheme="majorHAnsi" w:cstheme="majorHAnsi"/>
          <w:sz w:val="20"/>
          <w:szCs w:val="20"/>
        </w:rPr>
      </w:pPr>
    </w:p>
    <w:p w:rsidR="00446BCD" w:rsidRPr="00C34E1B" w:rsidRDefault="00446BCD" w:rsidP="006C308E">
      <w:pPr>
        <w:rPr>
          <w:rFonts w:asciiTheme="majorHAnsi" w:hAnsiTheme="majorHAnsi" w:cstheme="majorHAnsi"/>
          <w:sz w:val="20"/>
          <w:szCs w:val="20"/>
        </w:rPr>
      </w:pPr>
    </w:p>
    <w:p w:rsidR="00933038" w:rsidRPr="00C34E1B" w:rsidRDefault="0095486A" w:rsidP="006E28EE">
      <w:pPr>
        <w:shd w:val="clear" w:color="auto" w:fill="FFFFFF"/>
        <w:ind w:left="720"/>
        <w:rPr>
          <w:rStyle w:val="Hyperlink"/>
          <w:rFonts w:asciiTheme="majorHAnsi" w:hAnsiTheme="majorHAnsi" w:cstheme="majorHAnsi"/>
          <w:sz w:val="20"/>
          <w:szCs w:val="20"/>
        </w:rPr>
      </w:pPr>
      <w:r w:rsidRPr="001247EE">
        <w:rPr>
          <w:rFonts w:asciiTheme="majorHAnsi" w:hAnsiTheme="majorHAnsi" w:cstheme="majorHAnsi"/>
          <w:sz w:val="20"/>
          <w:szCs w:val="20"/>
        </w:rPr>
        <w:t>Table D</w:t>
      </w:r>
      <w:r w:rsidR="00322BE3" w:rsidRPr="001247EE">
        <w:rPr>
          <w:rFonts w:asciiTheme="majorHAnsi" w:hAnsiTheme="majorHAnsi" w:cstheme="majorHAnsi"/>
          <w:sz w:val="20"/>
          <w:szCs w:val="20"/>
        </w:rPr>
        <w:t>.</w:t>
      </w:r>
      <w:r w:rsidRPr="001247EE">
        <w:rPr>
          <w:rFonts w:asciiTheme="majorHAnsi" w:hAnsiTheme="majorHAnsi" w:cstheme="majorHAnsi"/>
          <w:sz w:val="20"/>
          <w:szCs w:val="20"/>
        </w:rPr>
        <w:t>18.2</w:t>
      </w:r>
      <w:r w:rsidR="00322BE3" w:rsidRPr="001247EE">
        <w:rPr>
          <w:rFonts w:asciiTheme="majorHAnsi" w:hAnsiTheme="majorHAnsi" w:cstheme="majorHAnsi"/>
          <w:sz w:val="20"/>
          <w:szCs w:val="20"/>
        </w:rPr>
        <w:t>.</w:t>
      </w:r>
      <w:r w:rsidRPr="001247EE">
        <w:rPr>
          <w:rFonts w:asciiTheme="majorHAnsi" w:hAnsiTheme="majorHAnsi" w:cstheme="majorHAnsi"/>
          <w:sz w:val="20"/>
          <w:szCs w:val="20"/>
        </w:rPr>
        <w:t>a.</w:t>
      </w:r>
      <w:r w:rsidR="00B54E0E" w:rsidRPr="001247EE">
        <w:rPr>
          <w:rFonts w:asciiTheme="majorHAnsi" w:hAnsiTheme="majorHAnsi" w:cstheme="majorHAnsi"/>
          <w:sz w:val="20"/>
          <w:szCs w:val="20"/>
        </w:rPr>
        <w:t xml:space="preserve"> Co</w:t>
      </w:r>
      <w:r w:rsidR="00B54E0E" w:rsidRPr="00C34E1B">
        <w:rPr>
          <w:rFonts w:asciiTheme="majorHAnsi" w:hAnsiTheme="majorHAnsi" w:cstheme="majorHAnsi"/>
          <w:sz w:val="20"/>
          <w:szCs w:val="20"/>
        </w:rPr>
        <w:t>ntent Coverage for Academic Public Health Doctoral Degrees (</w:t>
      </w:r>
      <w:r w:rsidR="00B54E0E" w:rsidRPr="00C34E1B">
        <w:rPr>
          <w:rFonts w:asciiTheme="majorHAnsi" w:hAnsiTheme="majorHAnsi" w:cstheme="majorHAnsi"/>
          <w:i/>
          <w:sz w:val="20"/>
          <w:szCs w:val="20"/>
        </w:rPr>
        <w:t xml:space="preserve">ERF, </w:t>
      </w:r>
      <w:r w:rsidR="0050467D" w:rsidRPr="00C34E1B">
        <w:rPr>
          <w:rFonts w:asciiTheme="majorHAnsi" w:hAnsiTheme="majorHAnsi" w:cstheme="majorHAnsi"/>
          <w:i/>
          <w:sz w:val="20"/>
          <w:szCs w:val="20"/>
        </w:rPr>
        <w:t>D18.2. Content Coverage for Academic Public Health Doctoral Degrees</w:t>
      </w:r>
      <w:r w:rsidR="00B54E0E" w:rsidRPr="00C34E1B">
        <w:rPr>
          <w:rFonts w:asciiTheme="majorHAnsi" w:hAnsiTheme="majorHAnsi" w:cstheme="majorHAnsi"/>
          <w:sz w:val="20"/>
          <w:szCs w:val="20"/>
        </w:rPr>
        <w:t>)</w:t>
      </w:r>
    </w:p>
    <w:tbl>
      <w:tblPr>
        <w:tblW w:w="4625" w:type="pct"/>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83"/>
        <w:gridCol w:w="2884"/>
        <w:gridCol w:w="2882"/>
      </w:tblGrid>
      <w:tr w:rsidR="005A41A6" w:rsidRPr="00743A41" w:rsidTr="006E28EE">
        <w:trPr>
          <w:cantSplit/>
          <w:trHeight w:val="395"/>
          <w:tblHeader/>
        </w:trPr>
        <w:tc>
          <w:tcPr>
            <w:tcW w:w="1667" w:type="pct"/>
            <w:shd w:val="clear" w:color="auto" w:fill="D9D9D9"/>
            <w:tcMar>
              <w:top w:w="0" w:type="dxa"/>
              <w:left w:w="108" w:type="dxa"/>
              <w:bottom w:w="0" w:type="dxa"/>
              <w:right w:w="108" w:type="dxa"/>
            </w:tcMar>
            <w:vAlign w:val="center"/>
            <w:hideMark/>
          </w:tcPr>
          <w:p w:rsidR="005A41A6" w:rsidRPr="00C34E1B" w:rsidRDefault="005A41A6" w:rsidP="005A41A6">
            <w:pPr>
              <w:jc w:val="center"/>
              <w:rPr>
                <w:rFonts w:asciiTheme="majorHAnsi" w:hAnsiTheme="majorHAnsi" w:cstheme="majorHAnsi"/>
                <w:b/>
                <w:bCs/>
                <w:color w:val="000000"/>
                <w:sz w:val="20"/>
                <w:szCs w:val="20"/>
              </w:rPr>
            </w:pPr>
            <w:r w:rsidRPr="00C34E1B">
              <w:rPr>
                <w:rFonts w:asciiTheme="majorHAnsi" w:hAnsiTheme="majorHAnsi" w:cstheme="majorHAnsi"/>
                <w:b/>
                <w:bCs/>
                <w:color w:val="000000"/>
                <w:sz w:val="20"/>
                <w:szCs w:val="20"/>
              </w:rPr>
              <w:t>Content</w:t>
            </w:r>
          </w:p>
        </w:tc>
        <w:tc>
          <w:tcPr>
            <w:tcW w:w="1667" w:type="pct"/>
            <w:shd w:val="clear" w:color="auto" w:fill="D9D9D9"/>
            <w:tcMar>
              <w:top w:w="0" w:type="dxa"/>
              <w:left w:w="108" w:type="dxa"/>
              <w:bottom w:w="0" w:type="dxa"/>
              <w:right w:w="108" w:type="dxa"/>
            </w:tcMar>
            <w:vAlign w:val="center"/>
            <w:hideMark/>
          </w:tcPr>
          <w:p w:rsidR="005A41A6" w:rsidRPr="00C34E1B" w:rsidRDefault="005A41A6" w:rsidP="005A41A6">
            <w:pPr>
              <w:jc w:val="center"/>
              <w:rPr>
                <w:rFonts w:asciiTheme="majorHAnsi" w:hAnsiTheme="majorHAnsi" w:cstheme="majorHAnsi"/>
                <w:b/>
                <w:bCs/>
                <w:color w:val="000000"/>
                <w:sz w:val="20"/>
                <w:szCs w:val="20"/>
              </w:rPr>
            </w:pPr>
            <w:r w:rsidRPr="00C34E1B">
              <w:rPr>
                <w:rFonts w:asciiTheme="majorHAnsi" w:hAnsiTheme="majorHAnsi" w:cstheme="majorHAnsi"/>
                <w:b/>
                <w:bCs/>
                <w:color w:val="000000"/>
                <w:sz w:val="20"/>
                <w:szCs w:val="20"/>
              </w:rPr>
              <w:t>Course number(s) and name(s)</w:t>
            </w:r>
          </w:p>
        </w:tc>
        <w:tc>
          <w:tcPr>
            <w:tcW w:w="1666" w:type="pct"/>
            <w:shd w:val="clear" w:color="auto" w:fill="D9D9D9"/>
            <w:tcMar>
              <w:top w:w="0" w:type="dxa"/>
              <w:left w:w="108" w:type="dxa"/>
              <w:bottom w:w="0" w:type="dxa"/>
              <w:right w:w="108" w:type="dxa"/>
            </w:tcMar>
            <w:vAlign w:val="center"/>
            <w:hideMark/>
          </w:tcPr>
          <w:p w:rsidR="005A41A6" w:rsidRPr="00C34E1B" w:rsidRDefault="005A41A6" w:rsidP="005A41A6">
            <w:pPr>
              <w:jc w:val="center"/>
              <w:rPr>
                <w:rFonts w:asciiTheme="majorHAnsi" w:hAnsiTheme="majorHAnsi" w:cstheme="majorHAnsi"/>
                <w:b/>
                <w:bCs/>
                <w:color w:val="000000"/>
                <w:sz w:val="20"/>
                <w:szCs w:val="20"/>
              </w:rPr>
            </w:pPr>
            <w:r w:rsidRPr="00C34E1B">
              <w:rPr>
                <w:rFonts w:asciiTheme="majorHAnsi" w:hAnsiTheme="majorHAnsi" w:cstheme="majorHAnsi"/>
                <w:b/>
                <w:bCs/>
                <w:color w:val="000000"/>
                <w:sz w:val="20"/>
                <w:szCs w:val="20"/>
              </w:rPr>
              <w:t>Specific assessment opportunity</w:t>
            </w:r>
          </w:p>
        </w:tc>
      </w:tr>
      <w:tr w:rsidR="00496383" w:rsidRPr="00743A41" w:rsidTr="00331B1A">
        <w:trPr>
          <w:cantSplit/>
          <w:trHeight w:val="525"/>
        </w:trPr>
        <w:tc>
          <w:tcPr>
            <w:tcW w:w="1667" w:type="pct"/>
            <w:tcMar>
              <w:top w:w="0" w:type="dxa"/>
              <w:left w:w="108" w:type="dxa"/>
              <w:bottom w:w="0" w:type="dxa"/>
              <w:right w:w="108" w:type="dxa"/>
            </w:tcMar>
            <w:hideMark/>
          </w:tcPr>
          <w:p w:rsidR="00496383" w:rsidRPr="00C34E1B" w:rsidRDefault="00496383" w:rsidP="006C308E">
            <w:pPr>
              <w:rPr>
                <w:rFonts w:asciiTheme="majorHAnsi" w:hAnsiTheme="majorHAnsi" w:cstheme="majorHAnsi"/>
                <w:color w:val="000000"/>
                <w:sz w:val="20"/>
                <w:szCs w:val="20"/>
              </w:rPr>
            </w:pPr>
            <w:r w:rsidRPr="00C34E1B">
              <w:rPr>
                <w:rFonts w:asciiTheme="majorHAnsi" w:hAnsiTheme="majorHAnsi" w:cstheme="majorHAnsi"/>
                <w:color w:val="000000"/>
                <w:sz w:val="20"/>
                <w:szCs w:val="20"/>
              </w:rPr>
              <w:t>1. Explain public health history, philosophy and values</w:t>
            </w:r>
          </w:p>
        </w:tc>
        <w:tc>
          <w:tcPr>
            <w:tcW w:w="1667" w:type="pct"/>
            <w:tcMar>
              <w:top w:w="0" w:type="dxa"/>
              <w:left w:w="108" w:type="dxa"/>
              <w:bottom w:w="0" w:type="dxa"/>
              <w:right w:w="108" w:type="dxa"/>
            </w:tcMar>
          </w:tcPr>
          <w:p w:rsidR="00496383" w:rsidRPr="00C34E1B" w:rsidRDefault="00496383" w:rsidP="006C308E">
            <w:pPr>
              <w:rPr>
                <w:rFonts w:asciiTheme="majorHAnsi" w:hAnsiTheme="majorHAnsi" w:cstheme="majorHAnsi"/>
                <w:bCs/>
                <w:iCs/>
                <w:color w:val="000000"/>
                <w:sz w:val="20"/>
                <w:szCs w:val="20"/>
              </w:rPr>
            </w:pPr>
            <w:r w:rsidRPr="00C34E1B">
              <w:rPr>
                <w:rFonts w:asciiTheme="majorHAnsi" w:hAnsiTheme="majorHAnsi" w:cstheme="majorHAnsi"/>
                <w:b/>
                <w:bCs/>
                <w:iCs/>
                <w:color w:val="000000"/>
                <w:sz w:val="20"/>
                <w:szCs w:val="20"/>
              </w:rPr>
              <w:t>PH 101</w:t>
            </w:r>
            <w:r w:rsidRPr="00C34E1B">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496383" w:rsidRPr="00C34E1B" w:rsidRDefault="00496383" w:rsidP="006C308E">
            <w:pPr>
              <w:rPr>
                <w:rFonts w:asciiTheme="majorHAnsi" w:hAnsiTheme="majorHAnsi" w:cstheme="majorHAnsi"/>
                <w:sz w:val="20"/>
                <w:szCs w:val="20"/>
              </w:rPr>
            </w:pPr>
            <w:r w:rsidRPr="00C34E1B">
              <w:rPr>
                <w:rFonts w:asciiTheme="majorHAnsi" w:hAnsiTheme="majorHAnsi" w:cstheme="majorHAnsi"/>
                <w:sz w:val="20"/>
                <w:szCs w:val="20"/>
              </w:rPr>
              <w:t>Online exam for Module: Introduction to Public Health</w:t>
            </w:r>
          </w:p>
        </w:tc>
      </w:tr>
      <w:tr w:rsidR="00496383" w:rsidRPr="00743A41" w:rsidTr="00331B1A">
        <w:trPr>
          <w:cantSplit/>
          <w:trHeight w:val="510"/>
        </w:trPr>
        <w:tc>
          <w:tcPr>
            <w:tcW w:w="1667" w:type="pct"/>
            <w:tcMar>
              <w:top w:w="0" w:type="dxa"/>
              <w:left w:w="108" w:type="dxa"/>
              <w:bottom w:w="0" w:type="dxa"/>
              <w:right w:w="108" w:type="dxa"/>
            </w:tcMar>
            <w:hideMark/>
          </w:tcPr>
          <w:p w:rsidR="00496383" w:rsidRPr="00C34E1B" w:rsidRDefault="00496383" w:rsidP="006C308E">
            <w:pPr>
              <w:rPr>
                <w:rFonts w:asciiTheme="majorHAnsi" w:hAnsiTheme="majorHAnsi" w:cstheme="majorHAnsi"/>
                <w:color w:val="000000"/>
                <w:sz w:val="20"/>
                <w:szCs w:val="20"/>
              </w:rPr>
            </w:pPr>
            <w:r w:rsidRPr="00C34E1B">
              <w:rPr>
                <w:rFonts w:asciiTheme="majorHAnsi" w:hAnsiTheme="majorHAnsi" w:cstheme="majorHAnsi"/>
                <w:color w:val="000000"/>
                <w:sz w:val="20"/>
                <w:szCs w:val="20"/>
              </w:rPr>
              <w:t>2. Identify the core functions of public health and the 10 Essential Services</w:t>
            </w:r>
          </w:p>
        </w:tc>
        <w:tc>
          <w:tcPr>
            <w:tcW w:w="1667" w:type="pct"/>
            <w:tcMar>
              <w:top w:w="0" w:type="dxa"/>
              <w:left w:w="108" w:type="dxa"/>
              <w:bottom w:w="0" w:type="dxa"/>
              <w:right w:w="108" w:type="dxa"/>
            </w:tcMar>
          </w:tcPr>
          <w:p w:rsidR="00496383" w:rsidRPr="00C34E1B" w:rsidRDefault="00496383" w:rsidP="006C308E">
            <w:pPr>
              <w:rPr>
                <w:rFonts w:asciiTheme="majorHAnsi" w:hAnsiTheme="majorHAnsi" w:cstheme="majorHAnsi"/>
                <w:b/>
                <w:sz w:val="20"/>
                <w:szCs w:val="20"/>
              </w:rPr>
            </w:pPr>
            <w:r w:rsidRPr="00C34E1B">
              <w:rPr>
                <w:rFonts w:asciiTheme="majorHAnsi" w:hAnsiTheme="majorHAnsi" w:cstheme="majorHAnsi"/>
                <w:b/>
                <w:bCs/>
                <w:iCs/>
                <w:color w:val="000000"/>
                <w:sz w:val="20"/>
                <w:szCs w:val="20"/>
              </w:rPr>
              <w:t>PH 101</w:t>
            </w:r>
            <w:r w:rsidRPr="00C34E1B">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496383" w:rsidRPr="00C34E1B" w:rsidRDefault="00496383" w:rsidP="006C308E">
            <w:pPr>
              <w:rPr>
                <w:rFonts w:asciiTheme="majorHAnsi" w:hAnsiTheme="majorHAnsi" w:cstheme="majorHAnsi"/>
                <w:sz w:val="20"/>
                <w:szCs w:val="20"/>
              </w:rPr>
            </w:pPr>
            <w:r w:rsidRPr="00C34E1B">
              <w:rPr>
                <w:rFonts w:asciiTheme="majorHAnsi" w:hAnsiTheme="majorHAnsi" w:cstheme="majorHAnsi"/>
                <w:sz w:val="20"/>
                <w:szCs w:val="20"/>
              </w:rPr>
              <w:t>Online exam for Module: Introduction to Public Health</w:t>
            </w:r>
          </w:p>
        </w:tc>
      </w:tr>
      <w:tr w:rsidR="00496383" w:rsidRPr="00743A41" w:rsidTr="00331B1A">
        <w:trPr>
          <w:cantSplit/>
          <w:trHeight w:val="765"/>
        </w:trPr>
        <w:tc>
          <w:tcPr>
            <w:tcW w:w="1667" w:type="pct"/>
            <w:tcMar>
              <w:top w:w="0" w:type="dxa"/>
              <w:left w:w="108" w:type="dxa"/>
              <w:bottom w:w="0" w:type="dxa"/>
              <w:right w:w="108" w:type="dxa"/>
            </w:tcMar>
            <w:hideMark/>
          </w:tcPr>
          <w:p w:rsidR="00496383" w:rsidRPr="00C34E1B" w:rsidRDefault="00496383" w:rsidP="006C308E">
            <w:pPr>
              <w:rPr>
                <w:rFonts w:asciiTheme="majorHAnsi" w:hAnsiTheme="majorHAnsi" w:cstheme="majorHAnsi"/>
                <w:color w:val="000000"/>
                <w:sz w:val="20"/>
                <w:szCs w:val="20"/>
              </w:rPr>
            </w:pPr>
            <w:r w:rsidRPr="00C34E1B">
              <w:rPr>
                <w:rFonts w:asciiTheme="majorHAnsi" w:hAnsiTheme="majorHAnsi" w:cstheme="majorHAnsi"/>
                <w:color w:val="000000"/>
                <w:sz w:val="20"/>
                <w:szCs w:val="20"/>
              </w:rPr>
              <w:t xml:space="preserve">3. Explain the role of quantitative and qualitative methods and sciences in describing and assessing a population’s health </w:t>
            </w:r>
          </w:p>
        </w:tc>
        <w:tc>
          <w:tcPr>
            <w:tcW w:w="1667" w:type="pct"/>
            <w:tcMar>
              <w:top w:w="0" w:type="dxa"/>
              <w:left w:w="108" w:type="dxa"/>
              <w:bottom w:w="0" w:type="dxa"/>
              <w:right w:w="108" w:type="dxa"/>
            </w:tcMar>
          </w:tcPr>
          <w:p w:rsidR="00496383" w:rsidRPr="00C34E1B" w:rsidRDefault="00496383" w:rsidP="006C308E">
            <w:pPr>
              <w:rPr>
                <w:rFonts w:asciiTheme="majorHAnsi" w:hAnsiTheme="majorHAnsi" w:cstheme="majorHAnsi"/>
                <w:b/>
                <w:sz w:val="20"/>
                <w:szCs w:val="20"/>
              </w:rPr>
            </w:pPr>
            <w:r w:rsidRPr="00C34E1B">
              <w:rPr>
                <w:rFonts w:asciiTheme="majorHAnsi" w:hAnsiTheme="majorHAnsi" w:cstheme="majorHAnsi"/>
                <w:b/>
                <w:bCs/>
                <w:iCs/>
                <w:color w:val="000000"/>
                <w:sz w:val="20"/>
                <w:szCs w:val="20"/>
              </w:rPr>
              <w:t>PH 101</w:t>
            </w:r>
            <w:r w:rsidRPr="00C34E1B">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496383" w:rsidRPr="00C34E1B" w:rsidRDefault="00496383" w:rsidP="006C308E">
            <w:pPr>
              <w:rPr>
                <w:rFonts w:asciiTheme="majorHAnsi" w:hAnsiTheme="majorHAnsi" w:cstheme="majorHAnsi"/>
                <w:sz w:val="20"/>
                <w:szCs w:val="20"/>
              </w:rPr>
            </w:pPr>
            <w:r w:rsidRPr="00C34E1B">
              <w:rPr>
                <w:rFonts w:asciiTheme="majorHAnsi" w:hAnsiTheme="majorHAnsi" w:cstheme="majorHAnsi"/>
                <w:sz w:val="20"/>
                <w:szCs w:val="20"/>
              </w:rPr>
              <w:t>Online exam for Module: Introduction to Epidemiology</w:t>
            </w:r>
          </w:p>
          <w:p w:rsidR="00496383" w:rsidRPr="00C34E1B" w:rsidRDefault="00496383" w:rsidP="006C308E">
            <w:pPr>
              <w:rPr>
                <w:rFonts w:asciiTheme="majorHAnsi" w:hAnsiTheme="majorHAnsi" w:cstheme="majorHAnsi"/>
                <w:sz w:val="20"/>
                <w:szCs w:val="20"/>
              </w:rPr>
            </w:pPr>
            <w:r w:rsidRPr="00C34E1B">
              <w:rPr>
                <w:rFonts w:asciiTheme="majorHAnsi" w:hAnsiTheme="majorHAnsi" w:cstheme="majorHAnsi"/>
                <w:sz w:val="20"/>
                <w:szCs w:val="20"/>
              </w:rPr>
              <w:t>Online exam for Module: Evidence-based Public Health</w:t>
            </w:r>
          </w:p>
          <w:p w:rsidR="00496383" w:rsidRPr="00C34E1B" w:rsidRDefault="00496383" w:rsidP="006C308E">
            <w:pPr>
              <w:rPr>
                <w:rFonts w:asciiTheme="majorHAnsi" w:hAnsiTheme="majorHAnsi" w:cstheme="majorHAnsi"/>
                <w:sz w:val="20"/>
                <w:szCs w:val="20"/>
              </w:rPr>
            </w:pPr>
          </w:p>
        </w:tc>
      </w:tr>
      <w:tr w:rsidR="00496383" w:rsidRPr="00743A41" w:rsidTr="00331B1A">
        <w:trPr>
          <w:cantSplit/>
          <w:trHeight w:val="765"/>
        </w:trPr>
        <w:tc>
          <w:tcPr>
            <w:tcW w:w="1667" w:type="pct"/>
            <w:tcMar>
              <w:top w:w="0" w:type="dxa"/>
              <w:left w:w="108" w:type="dxa"/>
              <w:bottom w:w="0" w:type="dxa"/>
              <w:right w:w="108" w:type="dxa"/>
            </w:tcMar>
            <w:hideMark/>
          </w:tcPr>
          <w:p w:rsidR="00496383" w:rsidRPr="00C34E1B" w:rsidRDefault="00496383" w:rsidP="006C308E">
            <w:pPr>
              <w:rPr>
                <w:rFonts w:asciiTheme="majorHAnsi" w:hAnsiTheme="majorHAnsi" w:cstheme="majorHAnsi"/>
                <w:color w:val="000000"/>
                <w:sz w:val="20"/>
                <w:szCs w:val="20"/>
              </w:rPr>
            </w:pPr>
            <w:r w:rsidRPr="00C34E1B">
              <w:rPr>
                <w:rFonts w:asciiTheme="majorHAnsi" w:hAnsiTheme="majorHAnsi" w:cstheme="majorHAnsi"/>
                <w:color w:val="000000"/>
                <w:sz w:val="20"/>
                <w:szCs w:val="20"/>
              </w:rPr>
              <w:t>4. List major causes and trends of morbidity and mortality in the US or other community relevant to the school or program</w:t>
            </w:r>
          </w:p>
        </w:tc>
        <w:tc>
          <w:tcPr>
            <w:tcW w:w="1667" w:type="pct"/>
            <w:tcMar>
              <w:top w:w="0" w:type="dxa"/>
              <w:left w:w="108" w:type="dxa"/>
              <w:bottom w:w="0" w:type="dxa"/>
              <w:right w:w="108" w:type="dxa"/>
            </w:tcMar>
          </w:tcPr>
          <w:p w:rsidR="00496383" w:rsidRPr="00C34E1B" w:rsidRDefault="00496383" w:rsidP="006C308E">
            <w:pPr>
              <w:rPr>
                <w:rFonts w:asciiTheme="majorHAnsi" w:hAnsiTheme="majorHAnsi" w:cstheme="majorHAnsi"/>
                <w:b/>
                <w:sz w:val="20"/>
                <w:szCs w:val="20"/>
              </w:rPr>
            </w:pPr>
            <w:r w:rsidRPr="00C34E1B">
              <w:rPr>
                <w:rFonts w:asciiTheme="majorHAnsi" w:hAnsiTheme="majorHAnsi" w:cstheme="majorHAnsi"/>
                <w:b/>
                <w:bCs/>
                <w:iCs/>
                <w:color w:val="000000"/>
                <w:sz w:val="20"/>
                <w:szCs w:val="20"/>
              </w:rPr>
              <w:t>PH 101</w:t>
            </w:r>
            <w:r w:rsidRPr="00C34E1B">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496383" w:rsidRPr="00C34E1B" w:rsidRDefault="00496383" w:rsidP="006C308E">
            <w:pPr>
              <w:rPr>
                <w:rFonts w:asciiTheme="majorHAnsi" w:hAnsiTheme="majorHAnsi" w:cstheme="majorHAnsi"/>
                <w:sz w:val="20"/>
                <w:szCs w:val="20"/>
              </w:rPr>
            </w:pPr>
            <w:r w:rsidRPr="00C34E1B">
              <w:rPr>
                <w:rFonts w:asciiTheme="majorHAnsi" w:hAnsiTheme="majorHAnsi" w:cstheme="majorHAnsi"/>
                <w:sz w:val="20"/>
                <w:szCs w:val="20"/>
              </w:rPr>
              <w:t>Online exam for Module: Burden of Disease</w:t>
            </w:r>
          </w:p>
          <w:p w:rsidR="00496383" w:rsidRPr="00C34E1B" w:rsidRDefault="00496383" w:rsidP="006C308E">
            <w:pPr>
              <w:rPr>
                <w:rFonts w:asciiTheme="majorHAnsi" w:hAnsiTheme="majorHAnsi" w:cstheme="majorHAnsi"/>
                <w:sz w:val="20"/>
                <w:szCs w:val="20"/>
              </w:rPr>
            </w:pPr>
          </w:p>
        </w:tc>
      </w:tr>
      <w:tr w:rsidR="00496383" w:rsidRPr="00743A41" w:rsidTr="00331B1A">
        <w:trPr>
          <w:cantSplit/>
          <w:trHeight w:val="765"/>
        </w:trPr>
        <w:tc>
          <w:tcPr>
            <w:tcW w:w="1667" w:type="pct"/>
            <w:tcMar>
              <w:top w:w="0" w:type="dxa"/>
              <w:left w:w="108" w:type="dxa"/>
              <w:bottom w:w="0" w:type="dxa"/>
              <w:right w:w="108" w:type="dxa"/>
            </w:tcMar>
            <w:hideMark/>
          </w:tcPr>
          <w:p w:rsidR="00496383" w:rsidRPr="00C34E1B" w:rsidRDefault="00496383" w:rsidP="006C308E">
            <w:pPr>
              <w:rPr>
                <w:rFonts w:asciiTheme="majorHAnsi" w:hAnsiTheme="majorHAnsi" w:cstheme="majorHAnsi"/>
                <w:color w:val="000000"/>
                <w:sz w:val="20"/>
                <w:szCs w:val="20"/>
              </w:rPr>
            </w:pPr>
            <w:r w:rsidRPr="00C34E1B">
              <w:rPr>
                <w:rFonts w:asciiTheme="majorHAnsi" w:hAnsiTheme="majorHAnsi" w:cstheme="majorHAnsi"/>
                <w:color w:val="000000"/>
                <w:sz w:val="20"/>
                <w:szCs w:val="20"/>
              </w:rPr>
              <w:t>5. Discuss the science of primary, secondary and tertiary prevention in population health, including health promotion, screening, etc.</w:t>
            </w:r>
          </w:p>
        </w:tc>
        <w:tc>
          <w:tcPr>
            <w:tcW w:w="1667" w:type="pct"/>
            <w:tcMar>
              <w:top w:w="0" w:type="dxa"/>
              <w:left w:w="108" w:type="dxa"/>
              <w:bottom w:w="0" w:type="dxa"/>
              <w:right w:w="108" w:type="dxa"/>
            </w:tcMar>
          </w:tcPr>
          <w:p w:rsidR="00496383" w:rsidRPr="00C34E1B" w:rsidRDefault="00496383" w:rsidP="006C308E">
            <w:pPr>
              <w:rPr>
                <w:rFonts w:asciiTheme="majorHAnsi" w:hAnsiTheme="majorHAnsi" w:cstheme="majorHAnsi"/>
                <w:b/>
                <w:sz w:val="20"/>
                <w:szCs w:val="20"/>
              </w:rPr>
            </w:pPr>
            <w:r w:rsidRPr="00C34E1B">
              <w:rPr>
                <w:rFonts w:asciiTheme="majorHAnsi" w:hAnsiTheme="majorHAnsi" w:cstheme="majorHAnsi"/>
                <w:b/>
                <w:bCs/>
                <w:iCs/>
                <w:color w:val="000000"/>
                <w:sz w:val="20"/>
                <w:szCs w:val="20"/>
              </w:rPr>
              <w:t>PH 101</w:t>
            </w:r>
            <w:r w:rsidRPr="00C34E1B">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496383" w:rsidRPr="00C34E1B" w:rsidRDefault="00496383" w:rsidP="006C308E">
            <w:pPr>
              <w:rPr>
                <w:rFonts w:asciiTheme="majorHAnsi" w:hAnsiTheme="majorHAnsi" w:cstheme="majorHAnsi"/>
                <w:sz w:val="20"/>
                <w:szCs w:val="20"/>
              </w:rPr>
            </w:pPr>
            <w:r w:rsidRPr="00C34E1B">
              <w:rPr>
                <w:rFonts w:asciiTheme="majorHAnsi" w:hAnsiTheme="majorHAnsi" w:cstheme="majorHAnsi"/>
                <w:sz w:val="20"/>
                <w:szCs w:val="20"/>
              </w:rPr>
              <w:t>Online exam for Module: Disease Prevention and Control</w:t>
            </w:r>
          </w:p>
          <w:p w:rsidR="00496383" w:rsidRPr="00C34E1B" w:rsidRDefault="00496383" w:rsidP="006C308E">
            <w:pPr>
              <w:rPr>
                <w:rFonts w:asciiTheme="majorHAnsi" w:hAnsiTheme="majorHAnsi" w:cstheme="majorHAnsi"/>
                <w:sz w:val="20"/>
                <w:szCs w:val="20"/>
              </w:rPr>
            </w:pPr>
          </w:p>
        </w:tc>
      </w:tr>
      <w:tr w:rsidR="00496383" w:rsidRPr="00743A41" w:rsidTr="00331B1A">
        <w:trPr>
          <w:cantSplit/>
          <w:trHeight w:val="510"/>
        </w:trPr>
        <w:tc>
          <w:tcPr>
            <w:tcW w:w="1667" w:type="pct"/>
            <w:tcMar>
              <w:top w:w="0" w:type="dxa"/>
              <w:left w:w="108" w:type="dxa"/>
              <w:bottom w:w="0" w:type="dxa"/>
              <w:right w:w="108" w:type="dxa"/>
            </w:tcMar>
            <w:hideMark/>
          </w:tcPr>
          <w:p w:rsidR="00496383" w:rsidRPr="00C34E1B" w:rsidRDefault="00496383" w:rsidP="006C308E">
            <w:pPr>
              <w:rPr>
                <w:rFonts w:asciiTheme="majorHAnsi" w:hAnsiTheme="majorHAnsi" w:cstheme="majorHAnsi"/>
                <w:color w:val="000000"/>
                <w:sz w:val="20"/>
                <w:szCs w:val="20"/>
              </w:rPr>
            </w:pPr>
            <w:r w:rsidRPr="00C34E1B">
              <w:rPr>
                <w:rFonts w:asciiTheme="majorHAnsi" w:hAnsiTheme="majorHAnsi" w:cstheme="majorHAnsi"/>
                <w:color w:val="000000"/>
                <w:sz w:val="20"/>
                <w:szCs w:val="20"/>
              </w:rPr>
              <w:t xml:space="preserve">6. Explain the critical importance of evidence in advancing public health knowledge </w:t>
            </w:r>
          </w:p>
        </w:tc>
        <w:tc>
          <w:tcPr>
            <w:tcW w:w="1667" w:type="pct"/>
            <w:tcMar>
              <w:top w:w="0" w:type="dxa"/>
              <w:left w:w="108" w:type="dxa"/>
              <w:bottom w:w="0" w:type="dxa"/>
              <w:right w:w="108" w:type="dxa"/>
            </w:tcMar>
          </w:tcPr>
          <w:p w:rsidR="00496383" w:rsidRPr="00C34E1B" w:rsidRDefault="00496383" w:rsidP="006C308E">
            <w:pPr>
              <w:rPr>
                <w:rFonts w:asciiTheme="majorHAnsi" w:hAnsiTheme="majorHAnsi" w:cstheme="majorHAnsi"/>
                <w:b/>
                <w:sz w:val="20"/>
                <w:szCs w:val="20"/>
              </w:rPr>
            </w:pPr>
            <w:r w:rsidRPr="00C34E1B">
              <w:rPr>
                <w:rFonts w:asciiTheme="majorHAnsi" w:hAnsiTheme="majorHAnsi" w:cstheme="majorHAnsi"/>
                <w:b/>
                <w:bCs/>
                <w:iCs/>
                <w:color w:val="000000"/>
                <w:sz w:val="20"/>
                <w:szCs w:val="20"/>
              </w:rPr>
              <w:t>PH 101</w:t>
            </w:r>
            <w:r w:rsidRPr="00C34E1B">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496383" w:rsidRPr="00C34E1B" w:rsidRDefault="00496383" w:rsidP="006C308E">
            <w:pPr>
              <w:rPr>
                <w:rFonts w:asciiTheme="majorHAnsi" w:hAnsiTheme="majorHAnsi" w:cstheme="majorHAnsi"/>
                <w:sz w:val="20"/>
                <w:szCs w:val="20"/>
              </w:rPr>
            </w:pPr>
            <w:r w:rsidRPr="00C34E1B">
              <w:rPr>
                <w:rFonts w:asciiTheme="majorHAnsi" w:hAnsiTheme="majorHAnsi" w:cstheme="majorHAnsi"/>
                <w:sz w:val="20"/>
                <w:szCs w:val="20"/>
              </w:rPr>
              <w:t xml:space="preserve">Online exam for Module: </w:t>
            </w:r>
          </w:p>
          <w:p w:rsidR="00496383" w:rsidRPr="00C34E1B" w:rsidRDefault="00496383" w:rsidP="006C308E">
            <w:pPr>
              <w:rPr>
                <w:rFonts w:asciiTheme="majorHAnsi" w:hAnsiTheme="majorHAnsi" w:cstheme="majorHAnsi"/>
                <w:sz w:val="20"/>
                <w:szCs w:val="20"/>
              </w:rPr>
            </w:pPr>
            <w:r w:rsidRPr="00C34E1B">
              <w:rPr>
                <w:rFonts w:asciiTheme="majorHAnsi" w:hAnsiTheme="majorHAnsi" w:cstheme="majorHAnsi"/>
                <w:sz w:val="20"/>
                <w:szCs w:val="20"/>
              </w:rPr>
              <w:t>Evidence-based Public Health</w:t>
            </w:r>
          </w:p>
        </w:tc>
      </w:tr>
      <w:tr w:rsidR="00496383" w:rsidRPr="00743A41" w:rsidTr="00331B1A">
        <w:trPr>
          <w:cantSplit/>
          <w:trHeight w:val="510"/>
        </w:trPr>
        <w:tc>
          <w:tcPr>
            <w:tcW w:w="1667" w:type="pct"/>
            <w:tcMar>
              <w:top w:w="0" w:type="dxa"/>
              <w:left w:w="108" w:type="dxa"/>
              <w:bottom w:w="0" w:type="dxa"/>
              <w:right w:w="108" w:type="dxa"/>
            </w:tcMar>
            <w:hideMark/>
          </w:tcPr>
          <w:p w:rsidR="00496383" w:rsidRPr="00C34E1B" w:rsidRDefault="00496383" w:rsidP="006C308E">
            <w:pPr>
              <w:rPr>
                <w:rFonts w:asciiTheme="majorHAnsi" w:hAnsiTheme="majorHAnsi" w:cstheme="majorHAnsi"/>
                <w:color w:val="000000"/>
                <w:sz w:val="20"/>
                <w:szCs w:val="20"/>
              </w:rPr>
            </w:pPr>
            <w:r w:rsidRPr="00C34E1B">
              <w:rPr>
                <w:rFonts w:asciiTheme="majorHAnsi" w:hAnsiTheme="majorHAnsi" w:cstheme="majorHAnsi"/>
                <w:color w:val="000000"/>
                <w:sz w:val="20"/>
                <w:szCs w:val="20"/>
              </w:rPr>
              <w:t>7. Explain effects of environmental factors on a population’s health</w:t>
            </w:r>
          </w:p>
        </w:tc>
        <w:tc>
          <w:tcPr>
            <w:tcW w:w="1667" w:type="pct"/>
            <w:tcMar>
              <w:top w:w="0" w:type="dxa"/>
              <w:left w:w="108" w:type="dxa"/>
              <w:bottom w:w="0" w:type="dxa"/>
              <w:right w:w="108" w:type="dxa"/>
            </w:tcMar>
          </w:tcPr>
          <w:p w:rsidR="00496383" w:rsidRPr="00C34E1B" w:rsidRDefault="00496383" w:rsidP="006C308E">
            <w:pPr>
              <w:rPr>
                <w:rFonts w:asciiTheme="majorHAnsi" w:hAnsiTheme="majorHAnsi" w:cstheme="majorHAnsi"/>
                <w:b/>
                <w:sz w:val="20"/>
                <w:szCs w:val="20"/>
              </w:rPr>
            </w:pPr>
            <w:r w:rsidRPr="00C34E1B">
              <w:rPr>
                <w:rFonts w:asciiTheme="majorHAnsi" w:hAnsiTheme="majorHAnsi" w:cstheme="majorHAnsi"/>
                <w:b/>
                <w:bCs/>
                <w:iCs/>
                <w:color w:val="000000"/>
                <w:sz w:val="20"/>
                <w:szCs w:val="20"/>
              </w:rPr>
              <w:t>PH 101</w:t>
            </w:r>
            <w:r w:rsidRPr="00C34E1B">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496383" w:rsidRPr="00C34E1B" w:rsidRDefault="00496383" w:rsidP="006C308E">
            <w:pPr>
              <w:rPr>
                <w:rFonts w:asciiTheme="majorHAnsi" w:hAnsiTheme="majorHAnsi" w:cstheme="majorHAnsi"/>
                <w:sz w:val="20"/>
                <w:szCs w:val="20"/>
              </w:rPr>
            </w:pPr>
            <w:r w:rsidRPr="00C34E1B">
              <w:rPr>
                <w:rFonts w:asciiTheme="majorHAnsi" w:hAnsiTheme="majorHAnsi" w:cstheme="majorHAnsi"/>
                <w:sz w:val="20"/>
                <w:szCs w:val="20"/>
              </w:rPr>
              <w:t>Online exam for Module: Environmental Health</w:t>
            </w:r>
          </w:p>
        </w:tc>
      </w:tr>
      <w:tr w:rsidR="00496383" w:rsidRPr="00743A41" w:rsidTr="00331B1A">
        <w:trPr>
          <w:cantSplit/>
          <w:trHeight w:val="510"/>
        </w:trPr>
        <w:tc>
          <w:tcPr>
            <w:tcW w:w="1667" w:type="pct"/>
            <w:tcMar>
              <w:top w:w="0" w:type="dxa"/>
              <w:left w:w="108" w:type="dxa"/>
              <w:bottom w:w="0" w:type="dxa"/>
              <w:right w:w="108" w:type="dxa"/>
            </w:tcMar>
            <w:hideMark/>
          </w:tcPr>
          <w:p w:rsidR="00496383" w:rsidRPr="00C34E1B" w:rsidRDefault="00496383" w:rsidP="006C308E">
            <w:pPr>
              <w:rPr>
                <w:rFonts w:asciiTheme="majorHAnsi" w:hAnsiTheme="majorHAnsi" w:cstheme="majorHAnsi"/>
                <w:color w:val="000000"/>
                <w:sz w:val="20"/>
                <w:szCs w:val="20"/>
              </w:rPr>
            </w:pPr>
            <w:r w:rsidRPr="00C34E1B">
              <w:rPr>
                <w:rFonts w:asciiTheme="majorHAnsi" w:hAnsiTheme="majorHAnsi" w:cstheme="majorHAnsi"/>
                <w:color w:val="000000"/>
                <w:sz w:val="20"/>
                <w:szCs w:val="20"/>
              </w:rPr>
              <w:t>8. Explain biological and genetic factors that affect a population’s health</w:t>
            </w:r>
          </w:p>
        </w:tc>
        <w:tc>
          <w:tcPr>
            <w:tcW w:w="1667" w:type="pct"/>
            <w:tcMar>
              <w:top w:w="0" w:type="dxa"/>
              <w:left w:w="108" w:type="dxa"/>
              <w:bottom w:w="0" w:type="dxa"/>
              <w:right w:w="108" w:type="dxa"/>
            </w:tcMar>
          </w:tcPr>
          <w:p w:rsidR="00496383" w:rsidRPr="00C34E1B" w:rsidRDefault="00496383" w:rsidP="006C308E">
            <w:pPr>
              <w:rPr>
                <w:rFonts w:asciiTheme="majorHAnsi" w:hAnsiTheme="majorHAnsi" w:cstheme="majorHAnsi"/>
                <w:b/>
                <w:sz w:val="20"/>
                <w:szCs w:val="20"/>
              </w:rPr>
            </w:pPr>
            <w:r w:rsidRPr="00C34E1B">
              <w:rPr>
                <w:rFonts w:asciiTheme="majorHAnsi" w:hAnsiTheme="majorHAnsi" w:cstheme="majorHAnsi"/>
                <w:b/>
                <w:bCs/>
                <w:iCs/>
                <w:color w:val="000000"/>
                <w:sz w:val="20"/>
                <w:szCs w:val="20"/>
              </w:rPr>
              <w:t>PH 101</w:t>
            </w:r>
            <w:r w:rsidRPr="00C34E1B">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496383" w:rsidRPr="00C34E1B" w:rsidRDefault="00496383" w:rsidP="006C308E">
            <w:pPr>
              <w:pStyle w:val="ListParagraph"/>
              <w:ind w:left="0"/>
              <w:rPr>
                <w:rFonts w:asciiTheme="majorHAnsi" w:hAnsiTheme="majorHAnsi" w:cstheme="majorHAnsi"/>
                <w:szCs w:val="20"/>
              </w:rPr>
            </w:pPr>
            <w:r w:rsidRPr="00C34E1B">
              <w:rPr>
                <w:rFonts w:asciiTheme="majorHAnsi" w:hAnsiTheme="majorHAnsi" w:cstheme="majorHAnsi"/>
                <w:szCs w:val="20"/>
              </w:rPr>
              <w:t>Online exam for Module: Public Health Biology and Human Disease</w:t>
            </w:r>
          </w:p>
          <w:p w:rsidR="00496383" w:rsidRPr="00C34E1B" w:rsidRDefault="00496383" w:rsidP="006C308E">
            <w:pPr>
              <w:rPr>
                <w:rFonts w:asciiTheme="majorHAnsi" w:hAnsiTheme="majorHAnsi" w:cstheme="majorHAnsi"/>
                <w:sz w:val="20"/>
                <w:szCs w:val="20"/>
              </w:rPr>
            </w:pPr>
          </w:p>
        </w:tc>
      </w:tr>
      <w:tr w:rsidR="00496383" w:rsidRPr="00743A41" w:rsidTr="00331B1A">
        <w:trPr>
          <w:cantSplit/>
          <w:trHeight w:val="510"/>
        </w:trPr>
        <w:tc>
          <w:tcPr>
            <w:tcW w:w="1667" w:type="pct"/>
            <w:tcMar>
              <w:top w:w="0" w:type="dxa"/>
              <w:left w:w="108" w:type="dxa"/>
              <w:bottom w:w="0" w:type="dxa"/>
              <w:right w:w="108" w:type="dxa"/>
            </w:tcMar>
            <w:hideMark/>
          </w:tcPr>
          <w:p w:rsidR="00496383" w:rsidRPr="00C34E1B" w:rsidRDefault="00496383" w:rsidP="006C308E">
            <w:pPr>
              <w:rPr>
                <w:rFonts w:asciiTheme="majorHAnsi" w:hAnsiTheme="majorHAnsi" w:cstheme="majorHAnsi"/>
                <w:color w:val="000000"/>
                <w:sz w:val="20"/>
                <w:szCs w:val="20"/>
              </w:rPr>
            </w:pPr>
            <w:r w:rsidRPr="00C34E1B">
              <w:rPr>
                <w:rFonts w:asciiTheme="majorHAnsi" w:hAnsiTheme="majorHAnsi" w:cstheme="majorHAnsi"/>
                <w:color w:val="000000"/>
                <w:sz w:val="20"/>
                <w:szCs w:val="20"/>
              </w:rPr>
              <w:t>9. Explain behavioral and psychological factors that affect a population’s health</w:t>
            </w:r>
          </w:p>
        </w:tc>
        <w:tc>
          <w:tcPr>
            <w:tcW w:w="1667" w:type="pct"/>
            <w:tcMar>
              <w:top w:w="0" w:type="dxa"/>
              <w:left w:w="108" w:type="dxa"/>
              <w:bottom w:w="0" w:type="dxa"/>
              <w:right w:w="108" w:type="dxa"/>
            </w:tcMar>
          </w:tcPr>
          <w:p w:rsidR="00496383" w:rsidRPr="00C34E1B" w:rsidRDefault="00496383" w:rsidP="006C308E">
            <w:pPr>
              <w:rPr>
                <w:rFonts w:asciiTheme="majorHAnsi" w:hAnsiTheme="majorHAnsi" w:cstheme="majorHAnsi"/>
                <w:b/>
                <w:sz w:val="20"/>
                <w:szCs w:val="20"/>
              </w:rPr>
            </w:pPr>
            <w:r w:rsidRPr="00C34E1B">
              <w:rPr>
                <w:rFonts w:asciiTheme="majorHAnsi" w:hAnsiTheme="majorHAnsi" w:cstheme="majorHAnsi"/>
                <w:b/>
                <w:bCs/>
                <w:iCs/>
                <w:color w:val="000000"/>
                <w:sz w:val="20"/>
                <w:szCs w:val="20"/>
              </w:rPr>
              <w:t>PH 101</w:t>
            </w:r>
            <w:r w:rsidRPr="00C34E1B">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496383" w:rsidRPr="00C34E1B" w:rsidRDefault="00496383" w:rsidP="006C308E">
            <w:pPr>
              <w:pStyle w:val="ListParagraph"/>
              <w:ind w:left="0"/>
              <w:rPr>
                <w:rFonts w:asciiTheme="majorHAnsi" w:hAnsiTheme="majorHAnsi" w:cstheme="majorHAnsi"/>
                <w:szCs w:val="20"/>
              </w:rPr>
            </w:pPr>
            <w:r w:rsidRPr="00C34E1B">
              <w:rPr>
                <w:rFonts w:asciiTheme="majorHAnsi" w:hAnsiTheme="majorHAnsi" w:cstheme="majorHAnsi"/>
                <w:szCs w:val="20"/>
              </w:rPr>
              <w:t>Online exam for Module: Health Determinants</w:t>
            </w:r>
          </w:p>
          <w:p w:rsidR="00496383" w:rsidRPr="00C34E1B" w:rsidRDefault="00496383" w:rsidP="006C308E">
            <w:pPr>
              <w:pStyle w:val="ListParagraph"/>
              <w:ind w:left="0"/>
              <w:rPr>
                <w:rFonts w:asciiTheme="majorHAnsi" w:hAnsiTheme="majorHAnsi" w:cstheme="majorHAnsi"/>
                <w:szCs w:val="20"/>
              </w:rPr>
            </w:pPr>
          </w:p>
          <w:p w:rsidR="00496383" w:rsidRPr="00C34E1B" w:rsidRDefault="00496383" w:rsidP="006C308E">
            <w:pPr>
              <w:rPr>
                <w:rFonts w:asciiTheme="majorHAnsi" w:hAnsiTheme="majorHAnsi" w:cstheme="majorHAnsi"/>
                <w:sz w:val="20"/>
                <w:szCs w:val="20"/>
              </w:rPr>
            </w:pPr>
          </w:p>
        </w:tc>
      </w:tr>
      <w:tr w:rsidR="00496383" w:rsidRPr="00743A41" w:rsidTr="00331B1A">
        <w:trPr>
          <w:cantSplit/>
          <w:trHeight w:val="765"/>
        </w:trPr>
        <w:tc>
          <w:tcPr>
            <w:tcW w:w="1667" w:type="pct"/>
            <w:tcMar>
              <w:top w:w="0" w:type="dxa"/>
              <w:left w:w="108" w:type="dxa"/>
              <w:bottom w:w="0" w:type="dxa"/>
              <w:right w:w="108" w:type="dxa"/>
            </w:tcMar>
            <w:hideMark/>
          </w:tcPr>
          <w:p w:rsidR="00496383" w:rsidRPr="00C34E1B" w:rsidRDefault="00496383" w:rsidP="006C308E">
            <w:pPr>
              <w:rPr>
                <w:rFonts w:asciiTheme="majorHAnsi" w:hAnsiTheme="majorHAnsi" w:cstheme="majorHAnsi"/>
                <w:color w:val="000000"/>
                <w:sz w:val="20"/>
                <w:szCs w:val="20"/>
              </w:rPr>
            </w:pPr>
            <w:r w:rsidRPr="00C34E1B">
              <w:rPr>
                <w:rFonts w:asciiTheme="majorHAnsi" w:hAnsiTheme="majorHAnsi" w:cstheme="majorHAnsi"/>
                <w:color w:val="000000"/>
                <w:sz w:val="20"/>
                <w:szCs w:val="20"/>
              </w:rPr>
              <w:t>10. Explain the social, political and economic determinants of health and how they contribute to population health and health inequities</w:t>
            </w:r>
          </w:p>
        </w:tc>
        <w:tc>
          <w:tcPr>
            <w:tcW w:w="1667" w:type="pct"/>
            <w:tcMar>
              <w:top w:w="0" w:type="dxa"/>
              <w:left w:w="108" w:type="dxa"/>
              <w:bottom w:w="0" w:type="dxa"/>
              <w:right w:w="108" w:type="dxa"/>
            </w:tcMar>
          </w:tcPr>
          <w:p w:rsidR="00496383" w:rsidRPr="00C34E1B" w:rsidRDefault="00496383" w:rsidP="006C308E">
            <w:pPr>
              <w:rPr>
                <w:rFonts w:asciiTheme="majorHAnsi" w:hAnsiTheme="majorHAnsi" w:cstheme="majorHAnsi"/>
                <w:b/>
                <w:sz w:val="20"/>
                <w:szCs w:val="20"/>
              </w:rPr>
            </w:pPr>
            <w:r w:rsidRPr="00C34E1B">
              <w:rPr>
                <w:rFonts w:asciiTheme="majorHAnsi" w:hAnsiTheme="majorHAnsi" w:cstheme="majorHAnsi"/>
                <w:b/>
                <w:bCs/>
                <w:iCs/>
                <w:color w:val="000000"/>
                <w:sz w:val="20"/>
                <w:szCs w:val="20"/>
              </w:rPr>
              <w:t>PH 101</w:t>
            </w:r>
            <w:r w:rsidRPr="00C34E1B">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496383" w:rsidRPr="00C34E1B" w:rsidRDefault="00496383" w:rsidP="006C308E">
            <w:pPr>
              <w:pStyle w:val="ListParagraph"/>
              <w:ind w:left="0"/>
              <w:rPr>
                <w:rFonts w:asciiTheme="majorHAnsi" w:hAnsiTheme="majorHAnsi" w:cstheme="majorHAnsi"/>
                <w:szCs w:val="20"/>
              </w:rPr>
            </w:pPr>
            <w:r w:rsidRPr="00C34E1B">
              <w:rPr>
                <w:rFonts w:asciiTheme="majorHAnsi" w:hAnsiTheme="majorHAnsi" w:cstheme="majorHAnsi"/>
                <w:szCs w:val="20"/>
              </w:rPr>
              <w:t>Online exam for Module: Health Determinants</w:t>
            </w:r>
          </w:p>
          <w:p w:rsidR="00496383" w:rsidRPr="00C34E1B" w:rsidRDefault="00496383" w:rsidP="006C308E">
            <w:pPr>
              <w:rPr>
                <w:rFonts w:asciiTheme="majorHAnsi" w:hAnsiTheme="majorHAnsi" w:cstheme="majorHAnsi"/>
                <w:sz w:val="20"/>
                <w:szCs w:val="20"/>
              </w:rPr>
            </w:pPr>
          </w:p>
        </w:tc>
      </w:tr>
      <w:tr w:rsidR="00496383" w:rsidRPr="00743A41" w:rsidTr="00331B1A">
        <w:trPr>
          <w:cantSplit/>
          <w:trHeight w:val="510"/>
        </w:trPr>
        <w:tc>
          <w:tcPr>
            <w:tcW w:w="1667" w:type="pct"/>
            <w:tcMar>
              <w:top w:w="0" w:type="dxa"/>
              <w:left w:w="108" w:type="dxa"/>
              <w:bottom w:w="0" w:type="dxa"/>
              <w:right w:w="108" w:type="dxa"/>
            </w:tcMar>
            <w:hideMark/>
          </w:tcPr>
          <w:p w:rsidR="00496383" w:rsidRPr="00C34E1B" w:rsidRDefault="00496383" w:rsidP="006C308E">
            <w:pPr>
              <w:rPr>
                <w:rFonts w:asciiTheme="majorHAnsi" w:hAnsiTheme="majorHAnsi" w:cstheme="majorHAnsi"/>
                <w:color w:val="000000"/>
                <w:sz w:val="20"/>
                <w:szCs w:val="20"/>
              </w:rPr>
            </w:pPr>
            <w:r w:rsidRPr="00C34E1B">
              <w:rPr>
                <w:rFonts w:asciiTheme="majorHAnsi" w:hAnsiTheme="majorHAnsi" w:cstheme="majorHAnsi"/>
                <w:color w:val="000000"/>
                <w:sz w:val="20"/>
                <w:szCs w:val="20"/>
              </w:rPr>
              <w:t>11. Explain how globalization affects global burdens of disease</w:t>
            </w:r>
          </w:p>
        </w:tc>
        <w:tc>
          <w:tcPr>
            <w:tcW w:w="1667" w:type="pct"/>
            <w:tcMar>
              <w:top w:w="0" w:type="dxa"/>
              <w:left w:w="108" w:type="dxa"/>
              <w:bottom w:w="0" w:type="dxa"/>
              <w:right w:w="108" w:type="dxa"/>
            </w:tcMar>
          </w:tcPr>
          <w:p w:rsidR="00496383" w:rsidRPr="00C34E1B" w:rsidRDefault="00496383" w:rsidP="006C308E">
            <w:pPr>
              <w:rPr>
                <w:rFonts w:asciiTheme="majorHAnsi" w:hAnsiTheme="majorHAnsi" w:cstheme="majorHAnsi"/>
                <w:b/>
                <w:sz w:val="20"/>
                <w:szCs w:val="20"/>
              </w:rPr>
            </w:pPr>
            <w:r w:rsidRPr="00C34E1B">
              <w:rPr>
                <w:rFonts w:asciiTheme="majorHAnsi" w:hAnsiTheme="majorHAnsi" w:cstheme="majorHAnsi"/>
                <w:b/>
                <w:bCs/>
                <w:iCs/>
                <w:color w:val="000000"/>
                <w:sz w:val="20"/>
                <w:szCs w:val="20"/>
              </w:rPr>
              <w:t>PH 101</w:t>
            </w:r>
            <w:r w:rsidRPr="00C34E1B">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496383" w:rsidRPr="00C34E1B" w:rsidRDefault="00496383" w:rsidP="006C308E">
            <w:pPr>
              <w:rPr>
                <w:rFonts w:asciiTheme="majorHAnsi" w:hAnsiTheme="majorHAnsi" w:cstheme="majorHAnsi"/>
                <w:sz w:val="20"/>
                <w:szCs w:val="20"/>
              </w:rPr>
            </w:pPr>
            <w:r w:rsidRPr="00C34E1B">
              <w:rPr>
                <w:rFonts w:asciiTheme="majorHAnsi" w:hAnsiTheme="majorHAnsi" w:cstheme="majorHAnsi"/>
                <w:sz w:val="20"/>
                <w:szCs w:val="20"/>
              </w:rPr>
              <w:t xml:space="preserve">Online exam for Module: Impact of Globalization on Health </w:t>
            </w:r>
          </w:p>
        </w:tc>
      </w:tr>
      <w:tr w:rsidR="00496383" w:rsidRPr="00743A41" w:rsidTr="00331B1A">
        <w:trPr>
          <w:cantSplit/>
          <w:trHeight w:val="780"/>
        </w:trPr>
        <w:tc>
          <w:tcPr>
            <w:tcW w:w="1667" w:type="pct"/>
            <w:tcMar>
              <w:top w:w="0" w:type="dxa"/>
              <w:left w:w="108" w:type="dxa"/>
              <w:bottom w:w="0" w:type="dxa"/>
              <w:right w:w="108" w:type="dxa"/>
            </w:tcMar>
            <w:hideMark/>
          </w:tcPr>
          <w:p w:rsidR="00496383" w:rsidRPr="00C34E1B" w:rsidRDefault="00496383" w:rsidP="006C308E">
            <w:pPr>
              <w:rPr>
                <w:rFonts w:asciiTheme="majorHAnsi" w:hAnsiTheme="majorHAnsi" w:cstheme="majorHAnsi"/>
                <w:color w:val="000000"/>
                <w:sz w:val="20"/>
                <w:szCs w:val="20"/>
              </w:rPr>
            </w:pPr>
            <w:r w:rsidRPr="00C34E1B">
              <w:rPr>
                <w:rFonts w:asciiTheme="majorHAnsi" w:hAnsiTheme="majorHAnsi" w:cstheme="majorHAnsi"/>
                <w:color w:val="000000"/>
                <w:sz w:val="20"/>
                <w:szCs w:val="20"/>
              </w:rPr>
              <w:t>12. Explain an ecological perspective on the connections among human health, animal health and ecosystem health (e.g., One Health)</w:t>
            </w:r>
          </w:p>
        </w:tc>
        <w:tc>
          <w:tcPr>
            <w:tcW w:w="1667" w:type="pct"/>
            <w:tcMar>
              <w:top w:w="0" w:type="dxa"/>
              <w:left w:w="108" w:type="dxa"/>
              <w:bottom w:w="0" w:type="dxa"/>
              <w:right w:w="108" w:type="dxa"/>
            </w:tcMar>
          </w:tcPr>
          <w:p w:rsidR="00496383" w:rsidRPr="00C34E1B" w:rsidRDefault="00496383" w:rsidP="006C308E">
            <w:pPr>
              <w:rPr>
                <w:rFonts w:asciiTheme="majorHAnsi" w:hAnsiTheme="majorHAnsi" w:cstheme="majorHAnsi"/>
                <w:b/>
                <w:sz w:val="20"/>
                <w:szCs w:val="20"/>
              </w:rPr>
            </w:pPr>
            <w:r w:rsidRPr="00C34E1B">
              <w:rPr>
                <w:rFonts w:asciiTheme="majorHAnsi" w:hAnsiTheme="majorHAnsi" w:cstheme="majorHAnsi"/>
                <w:b/>
                <w:bCs/>
                <w:iCs/>
                <w:color w:val="000000"/>
                <w:sz w:val="20"/>
                <w:szCs w:val="20"/>
              </w:rPr>
              <w:t>PH 101</w:t>
            </w:r>
            <w:r w:rsidRPr="00C34E1B">
              <w:rPr>
                <w:rFonts w:asciiTheme="majorHAnsi" w:hAnsiTheme="majorHAnsi" w:cstheme="majorHAnsi"/>
                <w:bCs/>
                <w:iCs/>
                <w:color w:val="000000"/>
                <w:sz w:val="20"/>
                <w:szCs w:val="20"/>
              </w:rPr>
              <w:t xml:space="preserve"> Foundations in Public Health </w:t>
            </w:r>
          </w:p>
        </w:tc>
        <w:tc>
          <w:tcPr>
            <w:tcW w:w="1666" w:type="pct"/>
            <w:tcMar>
              <w:top w:w="0" w:type="dxa"/>
              <w:left w:w="108" w:type="dxa"/>
              <w:bottom w:w="0" w:type="dxa"/>
              <w:right w:w="108" w:type="dxa"/>
            </w:tcMar>
          </w:tcPr>
          <w:p w:rsidR="00496383" w:rsidRPr="00C34E1B" w:rsidRDefault="00496383" w:rsidP="006C308E">
            <w:pPr>
              <w:rPr>
                <w:rFonts w:asciiTheme="majorHAnsi" w:hAnsiTheme="majorHAnsi" w:cstheme="majorHAnsi"/>
                <w:sz w:val="20"/>
                <w:szCs w:val="20"/>
              </w:rPr>
            </w:pPr>
            <w:r w:rsidRPr="00C34E1B">
              <w:rPr>
                <w:rFonts w:asciiTheme="majorHAnsi" w:hAnsiTheme="majorHAnsi" w:cstheme="majorHAnsi"/>
                <w:sz w:val="20"/>
                <w:szCs w:val="20"/>
              </w:rPr>
              <w:t>Online exam for Module One Health</w:t>
            </w:r>
          </w:p>
          <w:p w:rsidR="00496383" w:rsidRPr="00C34E1B" w:rsidRDefault="00496383" w:rsidP="006C308E">
            <w:pPr>
              <w:rPr>
                <w:rFonts w:asciiTheme="majorHAnsi" w:hAnsiTheme="majorHAnsi" w:cstheme="majorHAnsi"/>
                <w:sz w:val="20"/>
                <w:szCs w:val="20"/>
              </w:rPr>
            </w:pPr>
          </w:p>
        </w:tc>
      </w:tr>
    </w:tbl>
    <w:p w:rsidR="00496383" w:rsidRPr="00C34E1B" w:rsidRDefault="00496383" w:rsidP="006C308E">
      <w:pPr>
        <w:ind w:left="720"/>
        <w:jc w:val="both"/>
        <w:rPr>
          <w:rStyle w:val="Hyperlink"/>
          <w:rFonts w:asciiTheme="majorHAnsi" w:hAnsiTheme="majorHAnsi" w:cstheme="majorHAnsi"/>
          <w:sz w:val="20"/>
          <w:szCs w:val="20"/>
        </w:rPr>
      </w:pPr>
    </w:p>
    <w:p w:rsidR="00496383" w:rsidRPr="00C34E1B" w:rsidRDefault="00496383" w:rsidP="006C308E">
      <w:pPr>
        <w:ind w:left="720"/>
        <w:jc w:val="both"/>
        <w:rPr>
          <w:rFonts w:asciiTheme="majorHAnsi" w:hAnsiTheme="majorHAnsi" w:cstheme="majorHAnsi"/>
          <w:sz w:val="20"/>
          <w:szCs w:val="20"/>
        </w:rPr>
      </w:pPr>
    </w:p>
    <w:p w:rsidR="0095486A" w:rsidRPr="00C34E1B" w:rsidRDefault="0095486A" w:rsidP="006C308E">
      <w:pPr>
        <w:jc w:val="both"/>
        <w:rPr>
          <w:rFonts w:asciiTheme="majorHAnsi" w:eastAsia="Arial Unicode MS" w:hAnsiTheme="majorHAnsi" w:cstheme="majorHAnsi"/>
          <w:sz w:val="20"/>
          <w:szCs w:val="20"/>
        </w:rPr>
      </w:pPr>
    </w:p>
    <w:p w:rsidR="00F11238" w:rsidRPr="00C34E1B" w:rsidRDefault="00933038" w:rsidP="00F11238">
      <w:pPr>
        <w:numPr>
          <w:ilvl w:val="0"/>
          <w:numId w:val="29"/>
        </w:numPr>
        <w:jc w:val="both"/>
        <w:rPr>
          <w:rFonts w:asciiTheme="majorHAnsi" w:eastAsia="Arial Unicode MS" w:hAnsiTheme="majorHAnsi" w:cstheme="majorHAnsi"/>
          <w:sz w:val="20"/>
          <w:szCs w:val="20"/>
        </w:rPr>
      </w:pPr>
      <w:r w:rsidRPr="00C34E1B">
        <w:rPr>
          <w:rFonts w:asciiTheme="majorHAnsi" w:eastAsia="Arial Unicode MS" w:hAnsiTheme="majorHAnsi" w:cstheme="majorHAnsi"/>
          <w:sz w:val="20"/>
          <w:szCs w:val="20"/>
        </w:rPr>
        <w:t>Provide a matrix, in the format of Template D18-2, that lists competencies for each relevant degree and concentration. The matrix indicates at least one assessment activity for each of the listed competencies. Typically, the school will present a separate matrix for each concentration. Note: these competencies are defined by the school and are distinct from the introductory public health learning objectives defined in this criterion.</w:t>
      </w:r>
    </w:p>
    <w:p w:rsidR="00F11238" w:rsidRPr="00C34E1B" w:rsidRDefault="00F11238" w:rsidP="006E28EE">
      <w:pPr>
        <w:ind w:left="720"/>
        <w:jc w:val="both"/>
        <w:rPr>
          <w:rFonts w:asciiTheme="majorHAnsi" w:eastAsia="Arial Unicode MS" w:hAnsiTheme="majorHAnsi" w:cstheme="majorHAnsi"/>
          <w:sz w:val="20"/>
          <w:szCs w:val="20"/>
        </w:rPr>
      </w:pPr>
    </w:p>
    <w:p w:rsidR="00F11238" w:rsidRPr="00C34E1B" w:rsidRDefault="00F11238" w:rsidP="006E28EE">
      <w:pPr>
        <w:ind w:left="720"/>
        <w:rPr>
          <w:rFonts w:asciiTheme="majorHAnsi" w:eastAsia="Arial Unicode MS" w:hAnsiTheme="majorHAnsi" w:cstheme="majorHAnsi"/>
          <w:sz w:val="20"/>
          <w:szCs w:val="20"/>
        </w:rPr>
      </w:pPr>
      <w:r w:rsidRPr="00C34E1B">
        <w:rPr>
          <w:rFonts w:asciiTheme="majorHAnsi" w:eastAsia="Arial Unicode MS" w:hAnsiTheme="majorHAnsi" w:cstheme="majorHAnsi"/>
          <w:sz w:val="20"/>
          <w:szCs w:val="20"/>
        </w:rPr>
        <w:t xml:space="preserve">Documentation to </w:t>
      </w:r>
      <w:r w:rsidR="00BB170E" w:rsidRPr="00C34E1B">
        <w:rPr>
          <w:rFonts w:asciiTheme="majorHAnsi" w:eastAsia="Arial Unicode MS" w:hAnsiTheme="majorHAnsi" w:cstheme="majorHAnsi"/>
          <w:sz w:val="20"/>
          <w:szCs w:val="20"/>
        </w:rPr>
        <w:t>validate</w:t>
      </w:r>
      <w:r w:rsidRPr="00C34E1B">
        <w:rPr>
          <w:rFonts w:asciiTheme="majorHAnsi" w:eastAsia="Arial Unicode MS" w:hAnsiTheme="majorHAnsi" w:cstheme="majorHAnsi"/>
          <w:sz w:val="20"/>
          <w:szCs w:val="20"/>
        </w:rPr>
        <w:t xml:space="preserve"> didactic coverage and assessment of competencies for each </w:t>
      </w:r>
      <w:r w:rsidR="0037362D" w:rsidRPr="00C34E1B">
        <w:rPr>
          <w:rFonts w:asciiTheme="majorHAnsi" w:eastAsia="Arial Unicode MS" w:hAnsiTheme="majorHAnsi" w:cstheme="majorHAnsi"/>
          <w:sz w:val="20"/>
          <w:szCs w:val="20"/>
        </w:rPr>
        <w:t>PhD</w:t>
      </w:r>
      <w:r w:rsidRPr="00C34E1B">
        <w:rPr>
          <w:rFonts w:asciiTheme="majorHAnsi" w:eastAsia="Arial Unicode MS" w:hAnsiTheme="majorHAnsi" w:cstheme="majorHAnsi"/>
          <w:sz w:val="20"/>
          <w:szCs w:val="20"/>
        </w:rPr>
        <w:t xml:space="preserve"> program </w:t>
      </w:r>
      <w:r w:rsidR="008C31AD">
        <w:rPr>
          <w:rFonts w:asciiTheme="majorHAnsi" w:eastAsia="Arial Unicode MS" w:hAnsiTheme="majorHAnsi" w:cstheme="majorHAnsi"/>
          <w:sz w:val="20"/>
          <w:szCs w:val="20"/>
        </w:rPr>
        <w:t>is available in the electronic resource file</w:t>
      </w:r>
      <w:r w:rsidRPr="00C34E1B">
        <w:rPr>
          <w:rFonts w:asciiTheme="majorHAnsi" w:eastAsia="Arial Unicode MS" w:hAnsiTheme="majorHAnsi" w:cstheme="majorHAnsi"/>
          <w:sz w:val="20"/>
          <w:szCs w:val="20"/>
        </w:rPr>
        <w:t xml:space="preserve"> (</w:t>
      </w:r>
      <w:r w:rsidRPr="00C34E1B">
        <w:rPr>
          <w:rFonts w:asciiTheme="majorHAnsi" w:eastAsia="Arial Unicode MS" w:hAnsiTheme="majorHAnsi" w:cstheme="majorHAnsi"/>
          <w:i/>
          <w:sz w:val="20"/>
          <w:szCs w:val="20"/>
        </w:rPr>
        <w:t xml:space="preserve">ERF, </w:t>
      </w:r>
      <w:r w:rsidR="00961CF3" w:rsidRPr="00C34E1B">
        <w:rPr>
          <w:rFonts w:asciiTheme="majorHAnsi" w:eastAsia="Arial Unicode MS" w:hAnsiTheme="majorHAnsi" w:cstheme="majorHAnsi"/>
          <w:i/>
          <w:sz w:val="20"/>
          <w:szCs w:val="20"/>
        </w:rPr>
        <w:t>D18. Public Health Academic Doctoral Degrees</w:t>
      </w:r>
      <w:r w:rsidRPr="00C34E1B">
        <w:rPr>
          <w:rFonts w:asciiTheme="majorHAnsi" w:eastAsia="Arial Unicode MS" w:hAnsiTheme="majorHAnsi" w:cstheme="majorHAnsi"/>
          <w:sz w:val="20"/>
          <w:szCs w:val="20"/>
        </w:rPr>
        <w:t>).</w:t>
      </w:r>
    </w:p>
    <w:p w:rsidR="00933038" w:rsidRPr="00C34E1B" w:rsidRDefault="00933038" w:rsidP="006C308E">
      <w:pPr>
        <w:jc w:val="both"/>
        <w:rPr>
          <w:rFonts w:asciiTheme="majorHAnsi" w:eastAsia="Arial Unicode MS" w:hAnsiTheme="majorHAnsi" w:cstheme="majorHAnsi"/>
          <w:sz w:val="20"/>
          <w:szCs w:val="20"/>
        </w:rPr>
      </w:pPr>
    </w:p>
    <w:p w:rsidR="00984F82" w:rsidRPr="001247EE" w:rsidRDefault="00984F82" w:rsidP="00984F82">
      <w:pPr>
        <w:pStyle w:val="BodyText"/>
        <w:tabs>
          <w:tab w:val="left" w:pos="720"/>
        </w:tabs>
        <w:ind w:left="720" w:right="119" w:firstLine="0"/>
        <w:rPr>
          <w:rStyle w:val="Hyperlink"/>
          <w:rFonts w:asciiTheme="majorHAnsi" w:hAnsiTheme="majorHAnsi" w:cstheme="majorHAnsi"/>
        </w:rPr>
      </w:pPr>
      <w:r w:rsidRPr="001247EE">
        <w:rPr>
          <w:rFonts w:asciiTheme="majorHAnsi" w:hAnsiTheme="majorHAnsi" w:cstheme="majorHAnsi"/>
        </w:rPr>
        <w:t>Table D.18.3.a. Assessment of Competencies for PhD in Behavioral Science and Health Promotion (</w:t>
      </w:r>
      <w:r w:rsidRPr="001247EE">
        <w:rPr>
          <w:rFonts w:asciiTheme="majorHAnsi" w:hAnsiTheme="majorHAnsi" w:cstheme="majorHAnsi"/>
          <w:i/>
        </w:rPr>
        <w:t>ERF, D18.3. PhD in Behavioral Science and Health Promotion</w:t>
      </w:r>
      <w:r w:rsidRPr="001247EE">
        <w:rPr>
          <w:rFonts w:asciiTheme="majorHAnsi" w:hAnsiTheme="majorHAnsi" w:cstheme="majorHAnsi"/>
        </w:rPr>
        <w:t>)</w:t>
      </w: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429"/>
        <w:gridCol w:w="3869"/>
      </w:tblGrid>
      <w:tr w:rsidR="00984F82" w:rsidRPr="001247EE" w:rsidTr="007A026A">
        <w:trPr>
          <w:cantSplit/>
          <w:trHeight w:val="315"/>
          <w:tblHeader/>
        </w:trPr>
        <w:tc>
          <w:tcPr>
            <w:tcW w:w="1355" w:type="pct"/>
            <w:shd w:val="clear" w:color="000000" w:fill="D9D9D9"/>
            <w:hideMark/>
          </w:tcPr>
          <w:p w:rsidR="00984F82" w:rsidRPr="001247EE" w:rsidRDefault="00984F82" w:rsidP="00B861A8">
            <w:pPr>
              <w:jc w:val="center"/>
              <w:rPr>
                <w:rFonts w:asciiTheme="majorHAnsi" w:eastAsia="Times New Roman" w:hAnsiTheme="majorHAnsi" w:cstheme="majorHAnsi"/>
                <w:b/>
                <w:bCs/>
                <w:sz w:val="20"/>
                <w:szCs w:val="20"/>
              </w:rPr>
            </w:pPr>
            <w:r w:rsidRPr="001247EE">
              <w:rPr>
                <w:rFonts w:asciiTheme="majorHAnsi" w:eastAsia="Times New Roman" w:hAnsiTheme="majorHAnsi" w:cstheme="majorHAnsi"/>
                <w:b/>
                <w:bCs/>
                <w:sz w:val="20"/>
                <w:szCs w:val="20"/>
              </w:rPr>
              <w:t>Competency</w:t>
            </w:r>
          </w:p>
        </w:tc>
        <w:tc>
          <w:tcPr>
            <w:tcW w:w="1406" w:type="pct"/>
            <w:shd w:val="clear" w:color="000000" w:fill="D9D9D9"/>
            <w:hideMark/>
          </w:tcPr>
          <w:p w:rsidR="00984F82" w:rsidRPr="001247EE" w:rsidRDefault="00984F82" w:rsidP="00B861A8">
            <w:pPr>
              <w:jc w:val="center"/>
              <w:rPr>
                <w:rFonts w:asciiTheme="majorHAnsi" w:eastAsia="Times New Roman" w:hAnsiTheme="majorHAnsi" w:cstheme="majorHAnsi"/>
                <w:b/>
                <w:bCs/>
                <w:sz w:val="20"/>
                <w:szCs w:val="20"/>
              </w:rPr>
            </w:pPr>
            <w:r w:rsidRPr="001247EE">
              <w:rPr>
                <w:rFonts w:asciiTheme="majorHAnsi" w:eastAsia="Times New Roman" w:hAnsiTheme="majorHAnsi" w:cstheme="majorHAnsi"/>
                <w:b/>
                <w:bCs/>
                <w:sz w:val="20"/>
                <w:szCs w:val="20"/>
              </w:rPr>
              <w:t>Course number(s) and name(s)</w:t>
            </w:r>
          </w:p>
        </w:tc>
        <w:tc>
          <w:tcPr>
            <w:tcW w:w="2239" w:type="pct"/>
            <w:shd w:val="clear" w:color="000000" w:fill="D9D9D9"/>
            <w:hideMark/>
          </w:tcPr>
          <w:p w:rsidR="00984F82" w:rsidRPr="001247EE" w:rsidRDefault="00984F82" w:rsidP="00B861A8">
            <w:pPr>
              <w:jc w:val="center"/>
              <w:rPr>
                <w:rFonts w:asciiTheme="majorHAnsi" w:eastAsia="Times New Roman" w:hAnsiTheme="majorHAnsi" w:cstheme="majorHAnsi"/>
                <w:b/>
                <w:bCs/>
                <w:sz w:val="20"/>
                <w:szCs w:val="20"/>
              </w:rPr>
            </w:pPr>
            <w:r w:rsidRPr="001247EE">
              <w:rPr>
                <w:rFonts w:asciiTheme="majorHAnsi" w:eastAsia="Times New Roman" w:hAnsiTheme="majorHAnsi" w:cstheme="majorHAnsi"/>
                <w:b/>
                <w:bCs/>
                <w:sz w:val="20"/>
                <w:szCs w:val="20"/>
              </w:rPr>
              <w:t>Specific assessment opportunity</w:t>
            </w:r>
          </w:p>
        </w:tc>
      </w:tr>
      <w:tr w:rsidR="00984F82" w:rsidRPr="001247EE" w:rsidTr="00B861A8">
        <w:trPr>
          <w:cantSplit/>
          <w:trHeight w:val="2420"/>
        </w:trPr>
        <w:tc>
          <w:tcPr>
            <w:tcW w:w="1355" w:type="pct"/>
            <w:shd w:val="clear" w:color="auto" w:fill="auto"/>
            <w:hideMark/>
          </w:tcPr>
          <w:p w:rsidR="00984F82" w:rsidRPr="001247EE" w:rsidRDefault="00984F82" w:rsidP="00B861A8">
            <w:pPr>
              <w:rPr>
                <w:rFonts w:asciiTheme="majorHAnsi" w:hAnsiTheme="majorHAnsi" w:cstheme="majorHAnsi"/>
                <w:sz w:val="20"/>
                <w:szCs w:val="20"/>
              </w:rPr>
            </w:pPr>
            <w:r w:rsidRPr="001247EE">
              <w:rPr>
                <w:rFonts w:asciiTheme="majorHAnsi" w:eastAsia="Times New Roman" w:hAnsiTheme="majorHAnsi" w:cstheme="majorHAnsi"/>
                <w:sz w:val="20"/>
                <w:szCs w:val="20"/>
              </w:rPr>
              <w:t xml:space="preserve">PhD-H1. </w:t>
            </w:r>
            <w:r w:rsidRPr="001247EE">
              <w:rPr>
                <w:rFonts w:asciiTheme="majorHAnsi" w:hAnsiTheme="majorHAnsi" w:cstheme="majorHAnsi"/>
                <w:sz w:val="20"/>
                <w:szCs w:val="20"/>
              </w:rPr>
              <w:t>Critique and justify selection of a social or behavioral sciences theoretical framework to explain determinants of a health behavior.</w:t>
            </w:r>
          </w:p>
        </w:tc>
        <w:tc>
          <w:tcPr>
            <w:tcW w:w="1406" w:type="pct"/>
            <w:shd w:val="clear" w:color="auto" w:fill="auto"/>
            <w:hideMark/>
          </w:tcPr>
          <w:p w:rsidR="00984F82" w:rsidRPr="001247EE" w:rsidRDefault="00984F82" w:rsidP="00B861A8">
            <w:pPr>
              <w:rPr>
                <w:rFonts w:asciiTheme="majorHAnsi" w:eastAsia="Times New Roman" w:hAnsiTheme="majorHAnsi" w:cstheme="majorHAnsi"/>
                <w:sz w:val="20"/>
                <w:szCs w:val="20"/>
              </w:rPr>
            </w:pPr>
            <w:r w:rsidRPr="0012136D">
              <w:rPr>
                <w:rFonts w:asciiTheme="majorHAnsi" w:hAnsiTheme="majorHAnsi" w:cstheme="majorHAnsi"/>
                <w:b/>
                <w:sz w:val="20"/>
                <w:szCs w:val="20"/>
              </w:rPr>
              <w:t>PHD 1227</w:t>
            </w:r>
            <w:r w:rsidRPr="001247EE">
              <w:rPr>
                <w:rFonts w:asciiTheme="majorHAnsi" w:hAnsiTheme="majorHAnsi" w:cstheme="majorHAnsi"/>
                <w:sz w:val="20"/>
                <w:szCs w:val="20"/>
              </w:rPr>
              <w:t xml:space="preserve"> Health Promotion Theories for Individuals and Groups: Part II</w:t>
            </w:r>
            <w:r w:rsidRPr="001247EE">
              <w:rPr>
                <w:rFonts w:asciiTheme="majorHAnsi" w:eastAsia="Times New Roman" w:hAnsiTheme="majorHAnsi" w:cstheme="majorHAnsi"/>
                <w:sz w:val="20"/>
                <w:szCs w:val="20"/>
              </w:rPr>
              <w:t xml:space="preserve"> </w:t>
            </w:r>
          </w:p>
          <w:p w:rsidR="00984F82" w:rsidRPr="001247EE" w:rsidRDefault="00984F82" w:rsidP="00B861A8">
            <w:pPr>
              <w:rPr>
                <w:rFonts w:asciiTheme="majorHAnsi" w:eastAsia="Times New Roman" w:hAnsiTheme="majorHAnsi" w:cstheme="majorHAnsi"/>
                <w:sz w:val="20"/>
                <w:szCs w:val="20"/>
              </w:rPr>
            </w:pPr>
          </w:p>
        </w:tc>
        <w:tc>
          <w:tcPr>
            <w:tcW w:w="2239" w:type="pct"/>
            <w:shd w:val="clear" w:color="auto" w:fill="auto"/>
            <w:hideMark/>
          </w:tcPr>
          <w:p w:rsidR="00984F82" w:rsidRPr="001247EE" w:rsidRDefault="00984F82" w:rsidP="00B861A8">
            <w:pPr>
              <w:rPr>
                <w:rFonts w:asciiTheme="majorHAnsi" w:eastAsia="Times New Roman" w:hAnsiTheme="majorHAnsi" w:cstheme="majorHAnsi"/>
                <w:sz w:val="20"/>
                <w:szCs w:val="20"/>
              </w:rPr>
            </w:pPr>
            <w:r w:rsidRPr="001247EE">
              <w:rPr>
                <w:rFonts w:asciiTheme="majorHAnsi" w:hAnsiTheme="majorHAnsi" w:cstheme="majorHAnsi"/>
                <w:sz w:val="20"/>
                <w:szCs w:val="20"/>
              </w:rPr>
              <w:t>Lecture 3 Homework</w:t>
            </w:r>
            <w:r w:rsidRPr="001247EE">
              <w:rPr>
                <w:rFonts w:asciiTheme="majorHAnsi" w:eastAsia="Times New Roman" w:hAnsiTheme="majorHAnsi" w:cstheme="majorHAnsi"/>
                <w:sz w:val="20"/>
                <w:szCs w:val="20"/>
              </w:rPr>
              <w:t xml:space="preserve">: This homework assesses a student’s ability to understand, critique, and justify the selection of a theoretical framework to explain the determinants of health risk behaviors. </w:t>
            </w:r>
          </w:p>
          <w:p w:rsidR="00984F82" w:rsidRPr="001247EE" w:rsidRDefault="00984F82" w:rsidP="00B861A8">
            <w:pPr>
              <w:rPr>
                <w:rFonts w:asciiTheme="majorHAnsi" w:eastAsia="Times New Roman" w:hAnsiTheme="majorHAnsi" w:cstheme="majorHAnsi"/>
                <w:sz w:val="20"/>
                <w:szCs w:val="20"/>
              </w:rPr>
            </w:pPr>
          </w:p>
          <w:p w:rsidR="00984F82" w:rsidRPr="001247EE" w:rsidRDefault="00984F82" w:rsidP="00B861A8">
            <w:pPr>
              <w:rPr>
                <w:rFonts w:asciiTheme="majorHAnsi" w:eastAsia="Times New Roman" w:hAnsiTheme="majorHAnsi" w:cstheme="majorHAnsi"/>
                <w:color w:val="FF0000"/>
                <w:sz w:val="20"/>
                <w:szCs w:val="20"/>
              </w:rPr>
            </w:pPr>
            <w:r w:rsidRPr="001247EE">
              <w:rPr>
                <w:rFonts w:asciiTheme="majorHAnsi" w:hAnsiTheme="majorHAnsi" w:cstheme="majorHAnsi"/>
                <w:sz w:val="20"/>
                <w:szCs w:val="20"/>
              </w:rPr>
              <w:t>Midterm Exam</w:t>
            </w:r>
            <w:r w:rsidRPr="001247EE">
              <w:rPr>
                <w:rFonts w:asciiTheme="majorHAnsi" w:eastAsia="Times New Roman" w:hAnsiTheme="majorHAnsi" w:cstheme="majorHAnsi"/>
                <w:sz w:val="20"/>
                <w:szCs w:val="20"/>
              </w:rPr>
              <w:t xml:space="preserve">: The midterm exam assess a student’s ability to describe and critique basic theories and select a theoretical framework that is most appropriate to target behavioral determinants in a proposed health promotion program. </w:t>
            </w:r>
          </w:p>
        </w:tc>
      </w:tr>
      <w:tr w:rsidR="00984F82" w:rsidRPr="001247EE" w:rsidTr="00B861A8">
        <w:trPr>
          <w:cantSplit/>
          <w:trHeight w:val="890"/>
        </w:trPr>
        <w:tc>
          <w:tcPr>
            <w:tcW w:w="1355" w:type="pct"/>
            <w:shd w:val="clear" w:color="auto" w:fill="auto"/>
            <w:hideMark/>
          </w:tcPr>
          <w:p w:rsidR="00984F82" w:rsidRPr="001247EE" w:rsidRDefault="00984F82" w:rsidP="00B861A8">
            <w:pPr>
              <w:rPr>
                <w:rFonts w:asciiTheme="majorHAnsi" w:hAnsiTheme="majorHAnsi" w:cstheme="majorHAnsi"/>
                <w:sz w:val="20"/>
                <w:szCs w:val="20"/>
              </w:rPr>
            </w:pPr>
            <w:r w:rsidRPr="001247EE">
              <w:rPr>
                <w:rFonts w:asciiTheme="majorHAnsi" w:hAnsiTheme="majorHAnsi" w:cstheme="majorHAnsi"/>
                <w:sz w:val="20"/>
                <w:szCs w:val="20"/>
              </w:rPr>
              <w:t>PhD-H2. Design a methodologically rigorous theory-informed social or behavioral sciences research plan of relevance to public health.</w:t>
            </w:r>
          </w:p>
        </w:tc>
        <w:tc>
          <w:tcPr>
            <w:tcW w:w="1406" w:type="pct"/>
            <w:shd w:val="clear" w:color="auto" w:fill="auto"/>
            <w:hideMark/>
          </w:tcPr>
          <w:p w:rsidR="00984F82" w:rsidRPr="001247EE" w:rsidRDefault="00984F82" w:rsidP="00B861A8">
            <w:pPr>
              <w:rPr>
                <w:rFonts w:asciiTheme="majorHAnsi" w:eastAsia="Times New Roman" w:hAnsiTheme="majorHAnsi" w:cstheme="majorHAnsi"/>
                <w:sz w:val="20"/>
                <w:szCs w:val="20"/>
              </w:rPr>
            </w:pPr>
            <w:r w:rsidRPr="0012136D">
              <w:rPr>
                <w:rFonts w:asciiTheme="majorHAnsi" w:hAnsiTheme="majorHAnsi" w:cstheme="majorHAnsi"/>
                <w:b/>
                <w:sz w:val="20"/>
                <w:szCs w:val="20"/>
              </w:rPr>
              <w:t>PHD 1420</w:t>
            </w:r>
            <w:r w:rsidRPr="001247EE">
              <w:rPr>
                <w:rFonts w:asciiTheme="majorHAnsi" w:hAnsiTheme="majorHAnsi" w:cstheme="majorHAnsi"/>
                <w:sz w:val="20"/>
                <w:szCs w:val="20"/>
              </w:rPr>
              <w:t xml:space="preserve"> Research Design for Behavioral Sciences</w:t>
            </w:r>
            <w:r w:rsidRPr="001247EE">
              <w:rPr>
                <w:rFonts w:asciiTheme="majorHAnsi" w:eastAsia="Times New Roman" w:hAnsiTheme="majorHAnsi" w:cstheme="majorHAnsi"/>
                <w:sz w:val="20"/>
                <w:szCs w:val="20"/>
              </w:rPr>
              <w:t xml:space="preserve">                                            </w:t>
            </w:r>
          </w:p>
          <w:p w:rsidR="00984F82" w:rsidRPr="001247EE" w:rsidRDefault="00984F82" w:rsidP="00B861A8">
            <w:pPr>
              <w:rPr>
                <w:rFonts w:asciiTheme="majorHAnsi" w:eastAsia="Times New Roman" w:hAnsiTheme="majorHAnsi" w:cstheme="majorHAnsi"/>
                <w:sz w:val="20"/>
                <w:szCs w:val="20"/>
              </w:rPr>
            </w:pPr>
          </w:p>
        </w:tc>
        <w:tc>
          <w:tcPr>
            <w:tcW w:w="2239" w:type="pct"/>
            <w:shd w:val="clear" w:color="auto" w:fill="auto"/>
            <w:hideMark/>
          </w:tcPr>
          <w:p w:rsidR="00984F82" w:rsidRPr="001247EE" w:rsidRDefault="00984F82" w:rsidP="00B861A8">
            <w:pPr>
              <w:rPr>
                <w:rFonts w:asciiTheme="majorHAnsi" w:eastAsia="Times New Roman" w:hAnsiTheme="majorHAnsi" w:cstheme="majorHAnsi"/>
                <w:sz w:val="20"/>
                <w:szCs w:val="20"/>
              </w:rPr>
            </w:pPr>
            <w:r w:rsidRPr="001247EE">
              <w:rPr>
                <w:rFonts w:asciiTheme="majorHAnsi" w:hAnsiTheme="majorHAnsi" w:cstheme="majorHAnsi"/>
                <w:sz w:val="20"/>
                <w:szCs w:val="20"/>
              </w:rPr>
              <w:t>Midterm and Final Exam Papers</w:t>
            </w:r>
            <w:r w:rsidRPr="001247EE">
              <w:rPr>
                <w:rFonts w:asciiTheme="majorHAnsi" w:eastAsia="Times New Roman" w:hAnsiTheme="majorHAnsi" w:cstheme="majorHAnsi"/>
                <w:sz w:val="20"/>
                <w:szCs w:val="20"/>
              </w:rPr>
              <w:t xml:space="preserve">: The mid-term and final exam papers are designed to assess the student’s competency in designing a methodologically rigorous theory-informed social or behavioral sciences research plan of relevance to public health. This includes the application of various research design aspects and the ability to communicate a plan for asking a scientifically relevant question and applying systematic design components to provide a scientifically valid response and conclusion. These papers will require clearly articulated research questions embedded in a theory, a testable hypothesis(es), a critical review of the existing literature to delineate the significance of the research question, a fully developed research design to answer the question and test the hypothesis, and a critique of the advantages and limitations of the proposed designs as well as suggestions for alternative design components to address some of the potential pitfalls.  </w:t>
            </w:r>
          </w:p>
        </w:tc>
      </w:tr>
      <w:tr w:rsidR="00984F82" w:rsidRPr="001247EE" w:rsidTr="00B861A8">
        <w:trPr>
          <w:cantSplit/>
          <w:trHeight w:val="1592"/>
        </w:trPr>
        <w:tc>
          <w:tcPr>
            <w:tcW w:w="1355" w:type="pct"/>
            <w:shd w:val="clear" w:color="auto" w:fill="auto"/>
            <w:hideMark/>
          </w:tcPr>
          <w:p w:rsidR="00984F82" w:rsidRPr="001247EE" w:rsidRDefault="00984F82" w:rsidP="00B861A8">
            <w:pPr>
              <w:rPr>
                <w:rFonts w:asciiTheme="majorHAnsi" w:eastAsia="Times New Roman" w:hAnsiTheme="majorHAnsi" w:cstheme="majorHAnsi"/>
                <w:sz w:val="20"/>
                <w:szCs w:val="20"/>
              </w:rPr>
            </w:pPr>
            <w:r w:rsidRPr="001247EE">
              <w:rPr>
                <w:rFonts w:asciiTheme="majorHAnsi" w:eastAsia="Times New Roman" w:hAnsiTheme="majorHAnsi" w:cstheme="majorHAnsi"/>
                <w:sz w:val="20"/>
                <w:szCs w:val="20"/>
              </w:rPr>
              <w:t xml:space="preserve">PhD-H3. Conduct psychometric analysis to test the properties of a measurement instrument. </w:t>
            </w:r>
          </w:p>
        </w:tc>
        <w:tc>
          <w:tcPr>
            <w:tcW w:w="1406" w:type="pct"/>
            <w:shd w:val="clear" w:color="auto" w:fill="auto"/>
          </w:tcPr>
          <w:p w:rsidR="00984F82" w:rsidRPr="001247EE" w:rsidRDefault="00984F82" w:rsidP="0009724E">
            <w:pPr>
              <w:rPr>
                <w:rFonts w:asciiTheme="majorHAnsi" w:eastAsia="Times New Roman" w:hAnsiTheme="majorHAnsi" w:cstheme="majorHAnsi"/>
                <w:sz w:val="20"/>
                <w:szCs w:val="20"/>
              </w:rPr>
            </w:pPr>
            <w:r w:rsidRPr="0012136D">
              <w:rPr>
                <w:rFonts w:asciiTheme="majorHAnsi" w:hAnsiTheme="majorHAnsi" w:cstheme="majorHAnsi"/>
                <w:b/>
                <w:sz w:val="20"/>
                <w:szCs w:val="20"/>
              </w:rPr>
              <w:t>PHD 1130</w:t>
            </w:r>
            <w:r w:rsidRPr="001247EE">
              <w:rPr>
                <w:rFonts w:asciiTheme="majorHAnsi" w:hAnsiTheme="majorHAnsi" w:cstheme="majorHAnsi"/>
                <w:sz w:val="20"/>
                <w:szCs w:val="20"/>
              </w:rPr>
              <w:t xml:space="preserve"> Applied Measurement Theory</w:t>
            </w:r>
          </w:p>
        </w:tc>
        <w:tc>
          <w:tcPr>
            <w:tcW w:w="2239" w:type="pct"/>
            <w:shd w:val="clear" w:color="auto" w:fill="auto"/>
          </w:tcPr>
          <w:p w:rsidR="00984F82" w:rsidRPr="001247EE" w:rsidRDefault="00984F82" w:rsidP="0009724E">
            <w:pPr>
              <w:rPr>
                <w:rFonts w:asciiTheme="majorHAnsi" w:eastAsia="Times New Roman" w:hAnsiTheme="majorHAnsi" w:cstheme="majorHAnsi"/>
                <w:sz w:val="20"/>
                <w:szCs w:val="20"/>
              </w:rPr>
            </w:pPr>
            <w:r w:rsidRPr="001247EE">
              <w:rPr>
                <w:rFonts w:asciiTheme="majorHAnsi" w:hAnsiTheme="majorHAnsi" w:cstheme="majorHAnsi"/>
                <w:sz w:val="20"/>
                <w:szCs w:val="20"/>
              </w:rPr>
              <w:t>Project</w:t>
            </w:r>
            <w:r w:rsidR="0009724E" w:rsidRPr="001247EE">
              <w:rPr>
                <w:rFonts w:asciiTheme="majorHAnsi" w:hAnsiTheme="majorHAnsi" w:cstheme="majorHAnsi"/>
                <w:sz w:val="20"/>
                <w:szCs w:val="20"/>
              </w:rPr>
              <w:t>:</w:t>
            </w:r>
            <w:r w:rsidRPr="001247EE">
              <w:rPr>
                <w:rFonts w:asciiTheme="majorHAnsi" w:eastAsia="Times New Roman" w:hAnsiTheme="majorHAnsi" w:cstheme="majorHAnsi"/>
                <w:sz w:val="20"/>
                <w:szCs w:val="20"/>
              </w:rPr>
              <w:t xml:space="preserve"> The semester project culminates in a written product, taking the form of a journal manuscript, in which the student conducts psychometric testing to assess the validity of a measurement instrument of their choice, using either a real or simulated data set.</w:t>
            </w:r>
          </w:p>
        </w:tc>
      </w:tr>
      <w:tr w:rsidR="00984F82" w:rsidRPr="001247EE" w:rsidTr="00B861A8">
        <w:trPr>
          <w:cantSplit/>
          <w:trHeight w:val="750"/>
        </w:trPr>
        <w:tc>
          <w:tcPr>
            <w:tcW w:w="1355" w:type="pct"/>
            <w:shd w:val="clear" w:color="auto" w:fill="auto"/>
            <w:hideMark/>
          </w:tcPr>
          <w:p w:rsidR="00984F82" w:rsidRPr="001247EE" w:rsidRDefault="00984F82" w:rsidP="00B861A8">
            <w:pPr>
              <w:rPr>
                <w:rFonts w:asciiTheme="majorHAnsi" w:eastAsia="Times New Roman" w:hAnsiTheme="majorHAnsi" w:cstheme="majorHAnsi"/>
                <w:sz w:val="20"/>
                <w:szCs w:val="20"/>
              </w:rPr>
            </w:pPr>
            <w:r w:rsidRPr="001247EE">
              <w:rPr>
                <w:rFonts w:asciiTheme="majorHAnsi" w:eastAsia="Times New Roman" w:hAnsiTheme="majorHAnsi" w:cstheme="majorHAnsi"/>
                <w:sz w:val="20"/>
                <w:szCs w:val="20"/>
              </w:rPr>
              <w:t>PhD-H4. Conduct a peer review analysis of a proposed research publication, paper, or project</w:t>
            </w:r>
          </w:p>
        </w:tc>
        <w:tc>
          <w:tcPr>
            <w:tcW w:w="1406" w:type="pct"/>
            <w:shd w:val="clear" w:color="auto" w:fill="auto"/>
            <w:hideMark/>
          </w:tcPr>
          <w:p w:rsidR="00984F82" w:rsidRPr="001247EE" w:rsidRDefault="00984F82" w:rsidP="0009724E">
            <w:pPr>
              <w:rPr>
                <w:rFonts w:asciiTheme="majorHAnsi" w:eastAsia="Times New Roman" w:hAnsiTheme="majorHAnsi" w:cstheme="majorHAnsi"/>
                <w:sz w:val="20"/>
                <w:szCs w:val="20"/>
              </w:rPr>
            </w:pPr>
            <w:r w:rsidRPr="0012136D">
              <w:rPr>
                <w:rFonts w:asciiTheme="majorHAnsi" w:hAnsiTheme="majorHAnsi" w:cstheme="majorHAnsi"/>
                <w:b/>
                <w:sz w:val="20"/>
                <w:szCs w:val="20"/>
              </w:rPr>
              <w:t>PHD 1435</w:t>
            </w:r>
            <w:r w:rsidRPr="001247EE">
              <w:rPr>
                <w:rFonts w:asciiTheme="majorHAnsi" w:hAnsiTheme="majorHAnsi" w:cstheme="majorHAnsi"/>
                <w:sz w:val="20"/>
                <w:szCs w:val="20"/>
              </w:rPr>
              <w:t xml:space="preserve"> Health Promotion/Behavioral Sciences Doctoral/Post-Doctoral Research Seminar</w:t>
            </w:r>
            <w:r w:rsidRPr="001247EE">
              <w:rPr>
                <w:rFonts w:asciiTheme="majorHAnsi" w:eastAsia="Times New Roman" w:hAnsiTheme="majorHAnsi" w:cstheme="majorHAnsi"/>
                <w:sz w:val="20"/>
                <w:szCs w:val="20"/>
              </w:rPr>
              <w:t xml:space="preserve"> </w:t>
            </w:r>
          </w:p>
        </w:tc>
        <w:tc>
          <w:tcPr>
            <w:tcW w:w="2239" w:type="pct"/>
            <w:shd w:val="clear" w:color="auto" w:fill="auto"/>
            <w:hideMark/>
          </w:tcPr>
          <w:p w:rsidR="00984F82" w:rsidRPr="001247EE" w:rsidRDefault="00984F82" w:rsidP="00B861A8">
            <w:pPr>
              <w:rPr>
                <w:rFonts w:asciiTheme="majorHAnsi" w:eastAsia="Times New Roman" w:hAnsiTheme="majorHAnsi" w:cstheme="majorHAnsi"/>
                <w:sz w:val="20"/>
                <w:szCs w:val="20"/>
              </w:rPr>
            </w:pPr>
            <w:r w:rsidRPr="001247EE">
              <w:rPr>
                <w:rFonts w:asciiTheme="majorHAnsi" w:hAnsiTheme="majorHAnsi" w:cstheme="majorHAnsi"/>
                <w:sz w:val="20"/>
                <w:szCs w:val="20"/>
              </w:rPr>
              <w:t>Peer review analysis of a proposed research publication, paper, or project</w:t>
            </w:r>
            <w:r w:rsidRPr="001247EE">
              <w:rPr>
                <w:rFonts w:asciiTheme="majorHAnsi" w:eastAsia="Times New Roman" w:hAnsiTheme="majorHAnsi" w:cstheme="majorHAnsi"/>
                <w:sz w:val="20"/>
                <w:szCs w:val="20"/>
              </w:rPr>
              <w:t>:</w:t>
            </w:r>
            <w:r w:rsidRPr="001247EE">
              <w:rPr>
                <w:rFonts w:asciiTheme="majorHAnsi" w:eastAsia="Times New Roman" w:hAnsiTheme="majorHAnsi" w:cstheme="majorHAnsi"/>
                <w:b/>
                <w:sz w:val="20"/>
                <w:szCs w:val="20"/>
              </w:rPr>
              <w:t xml:space="preserve"> </w:t>
            </w:r>
            <w:r w:rsidRPr="001247EE">
              <w:rPr>
                <w:rFonts w:asciiTheme="majorHAnsi" w:eastAsia="Times New Roman" w:hAnsiTheme="majorHAnsi" w:cstheme="majorHAnsi"/>
                <w:sz w:val="20"/>
                <w:szCs w:val="20"/>
              </w:rPr>
              <w:t xml:space="preserve">Students will write a written peer review of a classmate’s proposed research publication, paper, or project. Students will also orally present their peer review during a class discussion.   </w:t>
            </w:r>
          </w:p>
        </w:tc>
      </w:tr>
    </w:tbl>
    <w:p w:rsidR="00984F82" w:rsidRPr="001247EE" w:rsidRDefault="00984F82" w:rsidP="006C308E">
      <w:pPr>
        <w:jc w:val="both"/>
        <w:rPr>
          <w:rFonts w:asciiTheme="majorHAnsi" w:eastAsia="Arial Unicode MS" w:hAnsiTheme="majorHAnsi" w:cstheme="majorHAnsi"/>
          <w:sz w:val="20"/>
          <w:szCs w:val="20"/>
        </w:rPr>
      </w:pPr>
    </w:p>
    <w:p w:rsidR="0095486A" w:rsidRPr="001247EE" w:rsidRDefault="0095486A" w:rsidP="006C308E">
      <w:pPr>
        <w:pStyle w:val="BodyText"/>
        <w:tabs>
          <w:tab w:val="left" w:pos="720"/>
        </w:tabs>
        <w:ind w:left="1350" w:right="119" w:hanging="630"/>
        <w:jc w:val="both"/>
        <w:rPr>
          <w:rFonts w:asciiTheme="majorHAnsi" w:hAnsiTheme="majorHAnsi" w:cstheme="majorHAnsi"/>
        </w:rPr>
      </w:pPr>
      <w:r w:rsidRPr="001247EE">
        <w:rPr>
          <w:rFonts w:asciiTheme="majorHAnsi" w:hAnsiTheme="majorHAnsi" w:cstheme="majorHAnsi"/>
        </w:rPr>
        <w:t>Table D</w:t>
      </w:r>
      <w:r w:rsidR="00322BE3" w:rsidRPr="001247EE">
        <w:rPr>
          <w:rFonts w:asciiTheme="majorHAnsi" w:hAnsiTheme="majorHAnsi" w:cstheme="majorHAnsi"/>
        </w:rPr>
        <w:t>.</w:t>
      </w:r>
      <w:r w:rsidRPr="001247EE">
        <w:rPr>
          <w:rFonts w:asciiTheme="majorHAnsi" w:hAnsiTheme="majorHAnsi" w:cstheme="majorHAnsi"/>
        </w:rPr>
        <w:t>18.3</w:t>
      </w:r>
      <w:r w:rsidR="00322BE3" w:rsidRPr="001247EE">
        <w:rPr>
          <w:rFonts w:asciiTheme="majorHAnsi" w:hAnsiTheme="majorHAnsi" w:cstheme="majorHAnsi"/>
        </w:rPr>
        <w:t>.</w:t>
      </w:r>
      <w:r w:rsidR="00836267" w:rsidRPr="001247EE">
        <w:rPr>
          <w:rFonts w:asciiTheme="majorHAnsi" w:hAnsiTheme="majorHAnsi" w:cstheme="majorHAnsi"/>
        </w:rPr>
        <w:t>b</w:t>
      </w:r>
      <w:r w:rsidRPr="001247EE">
        <w:rPr>
          <w:rFonts w:asciiTheme="majorHAnsi" w:hAnsiTheme="majorHAnsi" w:cstheme="majorHAnsi"/>
        </w:rPr>
        <w:t>. Assessment of Competencies for PhD in Biostatistics</w:t>
      </w:r>
      <w:r w:rsidR="00180818" w:rsidRPr="001247EE">
        <w:rPr>
          <w:rFonts w:asciiTheme="majorHAnsi" w:hAnsiTheme="majorHAnsi" w:cstheme="majorHAnsi"/>
        </w:rPr>
        <w:t xml:space="preserve"> (</w:t>
      </w:r>
      <w:r w:rsidR="00180818" w:rsidRPr="001247EE">
        <w:rPr>
          <w:rFonts w:asciiTheme="majorHAnsi" w:hAnsiTheme="majorHAnsi" w:cstheme="majorHAnsi"/>
          <w:i/>
        </w:rPr>
        <w:t>ERF, D18.3. PhD in Biostatistics</w:t>
      </w:r>
      <w:r w:rsidR="00180818" w:rsidRPr="001247EE">
        <w:rPr>
          <w:rFonts w:asciiTheme="majorHAnsi" w:hAnsiTheme="majorHAnsi" w:cstheme="majorHAnsi"/>
        </w:rPr>
        <w:t>)</w:t>
      </w: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533"/>
        <w:gridCol w:w="3831"/>
      </w:tblGrid>
      <w:tr w:rsidR="00893AFD" w:rsidRPr="001247EE" w:rsidTr="00DE072A">
        <w:trPr>
          <w:cantSplit/>
          <w:trHeight w:val="315"/>
          <w:tblHeader/>
        </w:trPr>
        <w:tc>
          <w:tcPr>
            <w:tcW w:w="1317" w:type="pct"/>
            <w:shd w:val="clear" w:color="000000" w:fill="D9D9D9"/>
            <w:hideMark/>
          </w:tcPr>
          <w:p w:rsidR="00942D0D" w:rsidRPr="001247EE" w:rsidRDefault="00942D0D" w:rsidP="006C308E">
            <w:pPr>
              <w:jc w:val="center"/>
              <w:rPr>
                <w:rFonts w:asciiTheme="majorHAnsi" w:eastAsia="Times New Roman" w:hAnsiTheme="majorHAnsi" w:cstheme="majorHAnsi"/>
                <w:b/>
                <w:bCs/>
                <w:sz w:val="20"/>
                <w:szCs w:val="20"/>
              </w:rPr>
            </w:pPr>
            <w:r w:rsidRPr="001247EE">
              <w:rPr>
                <w:rFonts w:asciiTheme="majorHAnsi" w:eastAsia="Times New Roman" w:hAnsiTheme="majorHAnsi" w:cstheme="majorHAnsi"/>
                <w:b/>
                <w:bCs/>
                <w:sz w:val="20"/>
                <w:szCs w:val="20"/>
              </w:rPr>
              <w:t>Competency</w:t>
            </w:r>
          </w:p>
        </w:tc>
        <w:tc>
          <w:tcPr>
            <w:tcW w:w="1466" w:type="pct"/>
            <w:shd w:val="clear" w:color="000000" w:fill="D9D9D9"/>
            <w:hideMark/>
          </w:tcPr>
          <w:p w:rsidR="00942D0D" w:rsidRPr="001247EE" w:rsidRDefault="00942D0D" w:rsidP="006C308E">
            <w:pPr>
              <w:jc w:val="center"/>
              <w:rPr>
                <w:rFonts w:asciiTheme="majorHAnsi" w:eastAsia="Times New Roman" w:hAnsiTheme="majorHAnsi" w:cstheme="majorHAnsi"/>
                <w:b/>
                <w:bCs/>
                <w:sz w:val="20"/>
                <w:szCs w:val="20"/>
              </w:rPr>
            </w:pPr>
            <w:r w:rsidRPr="001247EE">
              <w:rPr>
                <w:rFonts w:asciiTheme="majorHAnsi" w:eastAsia="Times New Roman" w:hAnsiTheme="majorHAnsi" w:cstheme="majorHAnsi"/>
                <w:b/>
                <w:bCs/>
                <w:sz w:val="20"/>
                <w:szCs w:val="20"/>
              </w:rPr>
              <w:t>Course</w:t>
            </w:r>
          </w:p>
        </w:tc>
        <w:tc>
          <w:tcPr>
            <w:tcW w:w="2217" w:type="pct"/>
            <w:shd w:val="clear" w:color="000000" w:fill="D9D9D9"/>
          </w:tcPr>
          <w:p w:rsidR="00942D0D" w:rsidRPr="001247EE" w:rsidRDefault="00942D0D" w:rsidP="006C308E">
            <w:pPr>
              <w:jc w:val="center"/>
              <w:rPr>
                <w:rFonts w:asciiTheme="majorHAnsi" w:eastAsia="Times New Roman" w:hAnsiTheme="majorHAnsi" w:cstheme="majorHAnsi"/>
                <w:b/>
                <w:bCs/>
                <w:sz w:val="20"/>
                <w:szCs w:val="20"/>
              </w:rPr>
            </w:pPr>
            <w:r w:rsidRPr="001247EE">
              <w:rPr>
                <w:rFonts w:asciiTheme="majorHAnsi" w:eastAsia="Times New Roman" w:hAnsiTheme="majorHAnsi" w:cstheme="majorHAnsi"/>
                <w:b/>
                <w:bCs/>
                <w:sz w:val="20"/>
                <w:szCs w:val="20"/>
              </w:rPr>
              <w:t>Specific assessment opportunity</w:t>
            </w:r>
          </w:p>
        </w:tc>
      </w:tr>
      <w:tr w:rsidR="00893AFD" w:rsidRPr="001247EE" w:rsidTr="00DE072A">
        <w:trPr>
          <w:cantSplit/>
          <w:trHeight w:val="975"/>
        </w:trPr>
        <w:tc>
          <w:tcPr>
            <w:tcW w:w="1317" w:type="pct"/>
            <w:vMerge w:val="restart"/>
            <w:shd w:val="clear" w:color="auto" w:fill="auto"/>
          </w:tcPr>
          <w:p w:rsidR="00942D0D" w:rsidRPr="001247EE" w:rsidRDefault="00942D0D" w:rsidP="006C308E">
            <w:pPr>
              <w:rPr>
                <w:rFonts w:asciiTheme="majorHAnsi" w:hAnsiTheme="majorHAnsi" w:cstheme="majorHAnsi"/>
                <w:sz w:val="20"/>
                <w:szCs w:val="20"/>
              </w:rPr>
            </w:pPr>
            <w:r w:rsidRPr="001247EE">
              <w:rPr>
                <w:rFonts w:asciiTheme="majorHAnsi" w:hAnsiTheme="majorHAnsi" w:cstheme="majorHAnsi"/>
                <w:sz w:val="20"/>
                <w:szCs w:val="20"/>
              </w:rPr>
              <w:t>PhD-B1. Prove or derive a statistical theory and apply the result to public health, biomedical, or bioinformatics data.</w:t>
            </w:r>
          </w:p>
        </w:tc>
        <w:tc>
          <w:tcPr>
            <w:tcW w:w="1466" w:type="pct"/>
            <w:shd w:val="clear" w:color="auto" w:fill="auto"/>
          </w:tcPr>
          <w:p w:rsidR="00942D0D" w:rsidRPr="001247EE" w:rsidDel="0032464D" w:rsidRDefault="00942D0D" w:rsidP="009D23E9">
            <w:pPr>
              <w:rPr>
                <w:rFonts w:asciiTheme="majorHAnsi" w:hAnsiTheme="majorHAnsi" w:cstheme="majorHAnsi"/>
                <w:sz w:val="20"/>
                <w:szCs w:val="20"/>
              </w:rPr>
            </w:pPr>
            <w:r w:rsidRPr="0012136D">
              <w:rPr>
                <w:rFonts w:asciiTheme="majorHAnsi" w:hAnsiTheme="majorHAnsi" w:cstheme="majorHAnsi"/>
                <w:b/>
                <w:sz w:val="20"/>
                <w:szCs w:val="20"/>
              </w:rPr>
              <w:t>PH 1915</w:t>
            </w:r>
            <w:r w:rsidRPr="001247EE">
              <w:rPr>
                <w:rFonts w:asciiTheme="majorHAnsi" w:hAnsiTheme="majorHAnsi" w:cstheme="majorHAnsi"/>
                <w:sz w:val="20"/>
                <w:szCs w:val="20"/>
              </w:rPr>
              <w:t xml:space="preserve"> Linear Models</w:t>
            </w:r>
          </w:p>
        </w:tc>
        <w:tc>
          <w:tcPr>
            <w:tcW w:w="2217" w:type="pct"/>
          </w:tcPr>
          <w:p w:rsidR="00942D0D" w:rsidRPr="001247EE" w:rsidDel="0032464D" w:rsidRDefault="009C212E" w:rsidP="006C308E">
            <w:pPr>
              <w:rPr>
                <w:rFonts w:asciiTheme="majorHAnsi" w:hAnsiTheme="majorHAnsi" w:cstheme="majorHAnsi"/>
                <w:bCs/>
                <w:sz w:val="20"/>
                <w:szCs w:val="20"/>
              </w:rPr>
            </w:pPr>
            <w:r w:rsidRPr="001247EE">
              <w:rPr>
                <w:rFonts w:asciiTheme="majorHAnsi" w:hAnsiTheme="majorHAnsi" w:cstheme="majorHAnsi"/>
                <w:sz w:val="20"/>
                <w:szCs w:val="20"/>
              </w:rPr>
              <w:t>H</w:t>
            </w:r>
            <w:r w:rsidR="007078AF" w:rsidRPr="001247EE">
              <w:rPr>
                <w:rFonts w:asciiTheme="majorHAnsi" w:hAnsiTheme="majorHAnsi" w:cstheme="majorHAnsi"/>
                <w:sz w:val="20"/>
                <w:szCs w:val="20"/>
              </w:rPr>
              <w:t>omework 4, Question 4</w:t>
            </w:r>
            <w:r w:rsidRPr="001247EE">
              <w:rPr>
                <w:rFonts w:asciiTheme="majorHAnsi" w:hAnsiTheme="majorHAnsi" w:cstheme="majorHAnsi"/>
                <w:bCs/>
                <w:sz w:val="20"/>
                <w:szCs w:val="20"/>
              </w:rPr>
              <w:t>: This question</w:t>
            </w:r>
            <w:r w:rsidR="00B2640B" w:rsidRPr="001247EE">
              <w:rPr>
                <w:rFonts w:asciiTheme="majorHAnsi" w:hAnsiTheme="majorHAnsi" w:cstheme="majorHAnsi"/>
                <w:bCs/>
                <w:sz w:val="20"/>
                <w:szCs w:val="20"/>
              </w:rPr>
              <w:t xml:space="preserve"> requires students to derive from first principles, a T-test for a given linear regression hypothesis, and to show which distribution it follows. Question 5 of HW 5 asks students to apply this derived T-test for a given linear hypothesis to a public health data set, i.e., to predict </w:t>
            </w:r>
            <w:r w:rsidR="00687286" w:rsidRPr="001247EE">
              <w:rPr>
                <w:rFonts w:asciiTheme="majorHAnsi" w:hAnsiTheme="majorHAnsi" w:cstheme="majorHAnsi"/>
                <w:bCs/>
                <w:sz w:val="20"/>
                <w:szCs w:val="20"/>
              </w:rPr>
              <w:t>children’s</w:t>
            </w:r>
            <w:r w:rsidR="00B2640B" w:rsidRPr="001247EE">
              <w:rPr>
                <w:rFonts w:asciiTheme="majorHAnsi" w:hAnsiTheme="majorHAnsi" w:cstheme="majorHAnsi"/>
                <w:bCs/>
                <w:sz w:val="20"/>
                <w:szCs w:val="20"/>
              </w:rPr>
              <w:t>' weights (Y) from a measure of environmental pollutant (X)</w:t>
            </w:r>
            <w:r w:rsidR="00280D18" w:rsidRPr="001247EE">
              <w:rPr>
                <w:rFonts w:asciiTheme="majorHAnsi" w:hAnsiTheme="majorHAnsi" w:cstheme="majorHAnsi"/>
                <w:bCs/>
                <w:sz w:val="20"/>
                <w:szCs w:val="20"/>
              </w:rPr>
              <w:t xml:space="preserve">. </w:t>
            </w:r>
          </w:p>
        </w:tc>
      </w:tr>
      <w:tr w:rsidR="00893AFD" w:rsidRPr="001247EE" w:rsidTr="00DE072A">
        <w:trPr>
          <w:cantSplit/>
          <w:trHeight w:val="975"/>
        </w:trPr>
        <w:tc>
          <w:tcPr>
            <w:tcW w:w="1317" w:type="pct"/>
            <w:vMerge/>
            <w:shd w:val="clear" w:color="auto" w:fill="auto"/>
          </w:tcPr>
          <w:p w:rsidR="00942D0D" w:rsidRPr="001247EE" w:rsidRDefault="00942D0D" w:rsidP="006C308E">
            <w:pPr>
              <w:rPr>
                <w:rFonts w:asciiTheme="majorHAnsi" w:hAnsiTheme="majorHAnsi" w:cstheme="majorHAnsi"/>
                <w:sz w:val="20"/>
                <w:szCs w:val="20"/>
              </w:rPr>
            </w:pPr>
          </w:p>
        </w:tc>
        <w:tc>
          <w:tcPr>
            <w:tcW w:w="1466" w:type="pct"/>
            <w:shd w:val="clear" w:color="auto" w:fill="auto"/>
          </w:tcPr>
          <w:p w:rsidR="00942D0D" w:rsidRPr="001247EE" w:rsidRDefault="00942D0D" w:rsidP="002D4B03">
            <w:pPr>
              <w:rPr>
                <w:rFonts w:asciiTheme="majorHAnsi" w:hAnsiTheme="majorHAnsi" w:cstheme="majorHAnsi"/>
                <w:b/>
                <w:sz w:val="20"/>
                <w:szCs w:val="20"/>
              </w:rPr>
            </w:pPr>
            <w:r w:rsidRPr="0012136D">
              <w:rPr>
                <w:rFonts w:asciiTheme="majorHAnsi" w:hAnsiTheme="majorHAnsi" w:cstheme="majorHAnsi"/>
                <w:b/>
                <w:sz w:val="20"/>
                <w:szCs w:val="20"/>
              </w:rPr>
              <w:t>PH 1916</w:t>
            </w:r>
            <w:r w:rsidRPr="001247EE">
              <w:rPr>
                <w:rFonts w:asciiTheme="majorHAnsi" w:hAnsiTheme="majorHAnsi" w:cstheme="majorHAnsi"/>
                <w:sz w:val="20"/>
                <w:szCs w:val="20"/>
              </w:rPr>
              <w:t xml:space="preserve"> Generalized Linear Models</w:t>
            </w:r>
          </w:p>
        </w:tc>
        <w:tc>
          <w:tcPr>
            <w:tcW w:w="2217" w:type="pct"/>
          </w:tcPr>
          <w:p w:rsidR="00450792" w:rsidRPr="001247EE" w:rsidRDefault="007E7162" w:rsidP="006C308E">
            <w:pPr>
              <w:rPr>
                <w:rFonts w:asciiTheme="majorHAnsi" w:hAnsiTheme="majorHAnsi" w:cstheme="majorHAnsi"/>
                <w:bCs/>
                <w:sz w:val="20"/>
                <w:szCs w:val="20"/>
              </w:rPr>
            </w:pPr>
            <w:r w:rsidRPr="001247EE">
              <w:rPr>
                <w:rFonts w:asciiTheme="majorHAnsi" w:hAnsiTheme="majorHAnsi" w:cstheme="majorHAnsi"/>
                <w:sz w:val="20"/>
                <w:szCs w:val="20"/>
              </w:rPr>
              <w:t>Homework Assignment</w:t>
            </w:r>
            <w:r w:rsidR="00F552BD" w:rsidRPr="001247EE">
              <w:rPr>
                <w:rFonts w:asciiTheme="majorHAnsi" w:hAnsiTheme="majorHAnsi" w:cstheme="majorHAnsi"/>
                <w:sz w:val="20"/>
                <w:szCs w:val="20"/>
              </w:rPr>
              <w:t>s</w:t>
            </w:r>
            <w:r w:rsidRPr="001247EE">
              <w:rPr>
                <w:rFonts w:asciiTheme="majorHAnsi" w:hAnsiTheme="majorHAnsi" w:cstheme="majorHAnsi"/>
                <w:sz w:val="20"/>
                <w:szCs w:val="20"/>
              </w:rPr>
              <w:t xml:space="preserve"> and Exams</w:t>
            </w:r>
            <w:r w:rsidRPr="001247EE">
              <w:rPr>
                <w:rFonts w:asciiTheme="majorHAnsi" w:hAnsiTheme="majorHAnsi" w:cstheme="majorHAnsi"/>
                <w:bCs/>
                <w:sz w:val="20"/>
                <w:szCs w:val="20"/>
              </w:rPr>
              <w:t>: Students</w:t>
            </w:r>
            <w:r w:rsidR="00786B50" w:rsidRPr="001247EE">
              <w:rPr>
                <w:rFonts w:asciiTheme="majorHAnsi" w:hAnsiTheme="majorHAnsi" w:cstheme="majorHAnsi"/>
                <w:bCs/>
                <w:sz w:val="20"/>
                <w:szCs w:val="20"/>
              </w:rPr>
              <w:t xml:space="preserve"> </w:t>
            </w:r>
            <w:r w:rsidR="00450792" w:rsidRPr="001247EE">
              <w:rPr>
                <w:rFonts w:asciiTheme="majorHAnsi" w:hAnsiTheme="majorHAnsi" w:cstheme="majorHAnsi"/>
                <w:bCs/>
                <w:sz w:val="20"/>
                <w:szCs w:val="20"/>
              </w:rPr>
              <w:t xml:space="preserve">will be assessed using three bi-weekly assignments, and two in-class exams. In each of the assignments and the exams students’ theoretical knowledge will be tested based on 3-4 theoretical questions. Some questions will focus on the distributional theory of full exponential family and its properties, as it is the general distributional framework for GLM. Also,  </w:t>
            </w:r>
          </w:p>
          <w:p w:rsidR="00942D0D" w:rsidRPr="001247EE" w:rsidRDefault="00450792" w:rsidP="006C308E">
            <w:pPr>
              <w:rPr>
                <w:rFonts w:asciiTheme="majorHAnsi" w:hAnsiTheme="majorHAnsi" w:cstheme="majorHAnsi"/>
                <w:b/>
                <w:bCs/>
                <w:sz w:val="20"/>
                <w:szCs w:val="20"/>
              </w:rPr>
            </w:pPr>
            <w:r w:rsidRPr="001247EE">
              <w:rPr>
                <w:rFonts w:asciiTheme="majorHAnsi" w:hAnsiTheme="majorHAnsi" w:cstheme="majorHAnsi"/>
                <w:bCs/>
                <w:sz w:val="20"/>
                <w:szCs w:val="20"/>
              </w:rPr>
              <w:t>They will be given questions with focus on derivation of the parameter estimates using maximum likelihood or least square methods. Students need to use the suitable link function as logit (for binary data) and log (count data) to set up the likelihood function and need to show their mathematical skills to obtain the parameter estimates. Also, they will be asked to derive the appropriate hypothesis testing such a Wald, score or likelihood ratio test for the parameters of interest. A comparison and discussion on pros and cons of each of the tests and assessing the power of each test will be also among the questions. In addition they will be asked to compare different estimators according to various criteria such as bias and variance of the estimator. For example, they need to be able to show if an estimator is unbiased, and if it is an estimator with minimum variance.</w:t>
            </w:r>
            <w:r w:rsidRPr="001247EE">
              <w:rPr>
                <w:rFonts w:asciiTheme="majorHAnsi" w:hAnsiTheme="majorHAnsi" w:cstheme="majorHAnsi"/>
                <w:b/>
                <w:bCs/>
                <w:sz w:val="20"/>
                <w:szCs w:val="20"/>
              </w:rPr>
              <w:t xml:space="preserve">        </w:t>
            </w:r>
          </w:p>
        </w:tc>
      </w:tr>
      <w:tr w:rsidR="00893AFD" w:rsidRPr="001247EE" w:rsidTr="00DE072A">
        <w:trPr>
          <w:cantSplit/>
          <w:trHeight w:val="975"/>
        </w:trPr>
        <w:tc>
          <w:tcPr>
            <w:tcW w:w="1317" w:type="pct"/>
            <w:vMerge/>
            <w:shd w:val="clear" w:color="auto" w:fill="auto"/>
          </w:tcPr>
          <w:p w:rsidR="00942D0D" w:rsidRPr="001247EE" w:rsidRDefault="00942D0D" w:rsidP="006C308E">
            <w:pPr>
              <w:rPr>
                <w:rFonts w:asciiTheme="majorHAnsi" w:hAnsiTheme="majorHAnsi" w:cstheme="majorHAnsi"/>
                <w:sz w:val="20"/>
                <w:szCs w:val="20"/>
              </w:rPr>
            </w:pPr>
          </w:p>
        </w:tc>
        <w:tc>
          <w:tcPr>
            <w:tcW w:w="1466" w:type="pct"/>
            <w:shd w:val="clear" w:color="auto" w:fill="auto"/>
          </w:tcPr>
          <w:p w:rsidR="00942D0D" w:rsidRPr="001247EE" w:rsidDel="0032464D" w:rsidRDefault="00942D0D" w:rsidP="00A6224C">
            <w:pPr>
              <w:rPr>
                <w:rFonts w:asciiTheme="majorHAnsi" w:hAnsiTheme="majorHAnsi" w:cstheme="majorHAnsi"/>
                <w:sz w:val="20"/>
                <w:szCs w:val="20"/>
              </w:rPr>
            </w:pPr>
            <w:r w:rsidRPr="0012136D">
              <w:rPr>
                <w:rFonts w:asciiTheme="majorHAnsi" w:hAnsiTheme="majorHAnsi" w:cstheme="majorHAnsi"/>
                <w:b/>
                <w:sz w:val="20"/>
                <w:szCs w:val="20"/>
              </w:rPr>
              <w:t>PHD 1950L</w:t>
            </w:r>
            <w:r w:rsidRPr="001247EE">
              <w:rPr>
                <w:rFonts w:asciiTheme="majorHAnsi" w:hAnsiTheme="majorHAnsi" w:cstheme="majorHAnsi"/>
                <w:sz w:val="20"/>
                <w:szCs w:val="20"/>
              </w:rPr>
              <w:t xml:space="preserve"> Stochastic Processes in Biostatistics I</w:t>
            </w:r>
          </w:p>
        </w:tc>
        <w:tc>
          <w:tcPr>
            <w:tcW w:w="2217" w:type="pct"/>
          </w:tcPr>
          <w:p w:rsidR="009254AC" w:rsidRPr="001247EE" w:rsidRDefault="009254AC" w:rsidP="006C308E">
            <w:pPr>
              <w:rPr>
                <w:rFonts w:asciiTheme="majorHAnsi" w:hAnsiTheme="majorHAnsi" w:cstheme="majorHAnsi"/>
                <w:bCs/>
                <w:sz w:val="20"/>
                <w:szCs w:val="20"/>
              </w:rPr>
            </w:pPr>
            <w:r w:rsidRPr="001247EE">
              <w:rPr>
                <w:rFonts w:asciiTheme="majorHAnsi" w:hAnsiTheme="majorHAnsi" w:cstheme="majorHAnsi"/>
                <w:sz w:val="20"/>
                <w:szCs w:val="20"/>
              </w:rPr>
              <w:t xml:space="preserve">Midterm </w:t>
            </w:r>
            <w:r w:rsidRPr="007A026A">
              <w:rPr>
                <w:rFonts w:asciiTheme="majorHAnsi" w:hAnsiTheme="majorHAnsi" w:cstheme="majorHAnsi"/>
                <w:sz w:val="20"/>
                <w:szCs w:val="20"/>
              </w:rPr>
              <w:t>Exam</w:t>
            </w:r>
            <w:r w:rsidRPr="007A026A">
              <w:rPr>
                <w:rFonts w:asciiTheme="majorHAnsi" w:hAnsiTheme="majorHAnsi" w:cstheme="majorHAnsi"/>
                <w:bCs/>
                <w:sz w:val="20"/>
                <w:szCs w:val="20"/>
              </w:rPr>
              <w:t xml:space="preserve"> and </w:t>
            </w:r>
            <w:r w:rsidRPr="007A026A">
              <w:rPr>
                <w:rFonts w:asciiTheme="majorHAnsi" w:hAnsiTheme="majorHAnsi" w:cstheme="majorHAnsi"/>
                <w:sz w:val="20"/>
                <w:szCs w:val="20"/>
              </w:rPr>
              <w:t>Final</w:t>
            </w:r>
            <w:r w:rsidRPr="001247EE">
              <w:rPr>
                <w:rFonts w:asciiTheme="majorHAnsi" w:hAnsiTheme="majorHAnsi" w:cstheme="majorHAnsi"/>
                <w:sz w:val="20"/>
                <w:szCs w:val="20"/>
              </w:rPr>
              <w:t xml:space="preserve"> Exam</w:t>
            </w:r>
            <w:r w:rsidRPr="001247EE">
              <w:rPr>
                <w:rFonts w:asciiTheme="majorHAnsi" w:hAnsiTheme="majorHAnsi" w:cstheme="majorHAnsi"/>
                <w:bCs/>
                <w:sz w:val="20"/>
                <w:szCs w:val="20"/>
              </w:rPr>
              <w:t>: The two exams</w:t>
            </w:r>
            <w:r w:rsidR="003C13C0" w:rsidRPr="001247EE">
              <w:rPr>
                <w:rFonts w:asciiTheme="majorHAnsi" w:hAnsiTheme="majorHAnsi" w:cstheme="majorHAnsi"/>
                <w:bCs/>
                <w:sz w:val="20"/>
                <w:szCs w:val="20"/>
              </w:rPr>
              <w:t xml:space="preserve"> require students to show method's effectiveness from theoretical pro</w:t>
            </w:r>
            <w:r w:rsidR="00893AFD" w:rsidRPr="001247EE">
              <w:rPr>
                <w:rFonts w:asciiTheme="majorHAnsi" w:hAnsiTheme="majorHAnsi" w:cstheme="majorHAnsi"/>
                <w:bCs/>
                <w:sz w:val="20"/>
                <w:szCs w:val="20"/>
              </w:rPr>
              <w:t>s</w:t>
            </w:r>
            <w:r w:rsidR="003C13C0" w:rsidRPr="001247EE">
              <w:rPr>
                <w:rFonts w:asciiTheme="majorHAnsi" w:hAnsiTheme="majorHAnsi" w:cstheme="majorHAnsi"/>
                <w:bCs/>
                <w:sz w:val="20"/>
                <w:szCs w:val="20"/>
              </w:rPr>
              <w:t xml:space="preserve">pective and from a </w:t>
            </w:r>
            <w:r w:rsidR="00893AFD" w:rsidRPr="001247EE">
              <w:rPr>
                <w:rFonts w:asciiTheme="majorHAnsi" w:hAnsiTheme="majorHAnsi" w:cstheme="majorHAnsi"/>
                <w:bCs/>
                <w:sz w:val="20"/>
                <w:szCs w:val="20"/>
              </w:rPr>
              <w:t xml:space="preserve">simplified </w:t>
            </w:r>
            <w:r w:rsidR="003C13C0" w:rsidRPr="001247EE">
              <w:rPr>
                <w:rFonts w:asciiTheme="majorHAnsi" w:hAnsiTheme="majorHAnsi" w:cstheme="majorHAnsi"/>
                <w:bCs/>
                <w:sz w:val="20"/>
                <w:szCs w:val="20"/>
              </w:rPr>
              <w:t xml:space="preserve">hypothetical dataset that is related to public health.  </w:t>
            </w:r>
          </w:p>
          <w:p w:rsidR="009254AC" w:rsidRPr="001247EE" w:rsidRDefault="009254AC" w:rsidP="006C308E">
            <w:pPr>
              <w:rPr>
                <w:rFonts w:asciiTheme="majorHAnsi" w:hAnsiTheme="majorHAnsi" w:cstheme="majorHAnsi"/>
                <w:bCs/>
                <w:sz w:val="20"/>
                <w:szCs w:val="20"/>
              </w:rPr>
            </w:pPr>
          </w:p>
          <w:p w:rsidR="00942D0D" w:rsidRPr="001247EE" w:rsidDel="0032464D" w:rsidRDefault="009254AC" w:rsidP="006C308E">
            <w:pPr>
              <w:rPr>
                <w:rFonts w:asciiTheme="majorHAnsi" w:hAnsiTheme="majorHAnsi" w:cstheme="majorHAnsi"/>
                <w:bCs/>
                <w:sz w:val="20"/>
                <w:szCs w:val="20"/>
              </w:rPr>
            </w:pPr>
            <w:r w:rsidRPr="001247EE">
              <w:rPr>
                <w:rFonts w:asciiTheme="majorHAnsi" w:hAnsiTheme="majorHAnsi" w:cstheme="majorHAnsi"/>
                <w:sz w:val="20"/>
                <w:szCs w:val="20"/>
              </w:rPr>
              <w:t>Final Paper</w:t>
            </w:r>
            <w:r w:rsidRPr="001247EE">
              <w:rPr>
                <w:rFonts w:asciiTheme="majorHAnsi" w:hAnsiTheme="majorHAnsi" w:cstheme="majorHAnsi"/>
                <w:bCs/>
                <w:sz w:val="20"/>
                <w:szCs w:val="20"/>
              </w:rPr>
              <w:t>: I</w:t>
            </w:r>
            <w:r w:rsidR="003C13C0" w:rsidRPr="001247EE">
              <w:rPr>
                <w:rFonts w:asciiTheme="majorHAnsi" w:hAnsiTheme="majorHAnsi" w:cstheme="majorHAnsi"/>
                <w:bCs/>
                <w:sz w:val="20"/>
                <w:szCs w:val="20"/>
              </w:rPr>
              <w:t>n the term paper, students use datasets from public health, biome</w:t>
            </w:r>
            <w:r w:rsidR="00893AFD" w:rsidRPr="001247EE">
              <w:rPr>
                <w:rFonts w:asciiTheme="majorHAnsi" w:hAnsiTheme="majorHAnsi" w:cstheme="majorHAnsi"/>
                <w:bCs/>
                <w:sz w:val="20"/>
                <w:szCs w:val="20"/>
              </w:rPr>
              <w:t>d</w:t>
            </w:r>
            <w:r w:rsidR="003C13C0" w:rsidRPr="001247EE">
              <w:rPr>
                <w:rFonts w:asciiTheme="majorHAnsi" w:hAnsiTheme="majorHAnsi" w:cstheme="majorHAnsi"/>
                <w:bCs/>
                <w:sz w:val="20"/>
                <w:szCs w:val="20"/>
              </w:rPr>
              <w:t>ical or bioinformatics area to compare method's effectiveness.</w:t>
            </w:r>
          </w:p>
        </w:tc>
      </w:tr>
      <w:tr w:rsidR="00893AFD" w:rsidRPr="001247EE" w:rsidTr="00DE072A">
        <w:trPr>
          <w:cantSplit/>
          <w:trHeight w:val="608"/>
        </w:trPr>
        <w:tc>
          <w:tcPr>
            <w:tcW w:w="1317" w:type="pct"/>
            <w:vMerge w:val="restart"/>
            <w:shd w:val="clear" w:color="auto" w:fill="auto"/>
            <w:hideMark/>
          </w:tcPr>
          <w:p w:rsidR="00942D0D" w:rsidRPr="001247EE" w:rsidRDefault="00942D0D" w:rsidP="006C308E">
            <w:pPr>
              <w:rPr>
                <w:rFonts w:asciiTheme="majorHAnsi" w:hAnsiTheme="majorHAnsi" w:cstheme="majorHAnsi"/>
                <w:sz w:val="20"/>
                <w:szCs w:val="20"/>
              </w:rPr>
            </w:pPr>
            <w:r w:rsidRPr="001247EE">
              <w:rPr>
                <w:rFonts w:asciiTheme="majorHAnsi" w:hAnsiTheme="majorHAnsi" w:cstheme="majorHAnsi"/>
                <w:sz w:val="20"/>
                <w:szCs w:val="20"/>
              </w:rPr>
              <w:t>PhD-B2. Design a simulation study to show or evaluate a method’s effectiveness.</w:t>
            </w:r>
          </w:p>
        </w:tc>
        <w:tc>
          <w:tcPr>
            <w:tcW w:w="1466" w:type="pct"/>
            <w:shd w:val="clear" w:color="auto" w:fill="auto"/>
          </w:tcPr>
          <w:p w:rsidR="00942D0D" w:rsidRPr="001247EE" w:rsidRDefault="00942D0D" w:rsidP="00A6224C">
            <w:pPr>
              <w:rPr>
                <w:rFonts w:asciiTheme="majorHAnsi" w:hAnsiTheme="majorHAnsi" w:cstheme="majorHAnsi"/>
                <w:sz w:val="20"/>
                <w:szCs w:val="20"/>
              </w:rPr>
            </w:pPr>
            <w:r w:rsidRPr="0012136D">
              <w:rPr>
                <w:rFonts w:asciiTheme="majorHAnsi" w:hAnsiTheme="majorHAnsi" w:cstheme="majorHAnsi"/>
                <w:b/>
                <w:sz w:val="20"/>
                <w:szCs w:val="20"/>
              </w:rPr>
              <w:t>PHD 1930L</w:t>
            </w:r>
            <w:r w:rsidRPr="001247EE">
              <w:rPr>
                <w:rFonts w:asciiTheme="majorHAnsi" w:hAnsiTheme="majorHAnsi" w:cstheme="majorHAnsi"/>
                <w:sz w:val="20"/>
                <w:szCs w:val="20"/>
              </w:rPr>
              <w:t xml:space="preserve"> Statistical Computing with R</w:t>
            </w:r>
          </w:p>
        </w:tc>
        <w:tc>
          <w:tcPr>
            <w:tcW w:w="2217" w:type="pct"/>
          </w:tcPr>
          <w:p w:rsidR="00942D0D" w:rsidRPr="001247EE" w:rsidRDefault="00104C9A" w:rsidP="006C308E">
            <w:pPr>
              <w:rPr>
                <w:rFonts w:asciiTheme="majorHAnsi" w:hAnsiTheme="majorHAnsi" w:cstheme="majorHAnsi"/>
                <w:sz w:val="20"/>
                <w:szCs w:val="20"/>
              </w:rPr>
            </w:pPr>
            <w:r w:rsidRPr="001247EE">
              <w:rPr>
                <w:rFonts w:asciiTheme="majorHAnsi" w:hAnsiTheme="majorHAnsi" w:cstheme="majorHAnsi"/>
                <w:sz w:val="20"/>
                <w:szCs w:val="20"/>
              </w:rPr>
              <w:t xml:space="preserve">Simulation Assignment: </w:t>
            </w:r>
            <w:r w:rsidR="003C13C0" w:rsidRPr="001247EE">
              <w:rPr>
                <w:rFonts w:asciiTheme="majorHAnsi" w:hAnsiTheme="majorHAnsi" w:cstheme="majorHAnsi"/>
                <w:sz w:val="20"/>
                <w:szCs w:val="20"/>
              </w:rPr>
              <w:t>Individual assignment for students to design and implement simulation models to evaluate if the false discovery rate approach is effective in retaining true positives and reducing false positives.</w:t>
            </w:r>
          </w:p>
        </w:tc>
      </w:tr>
      <w:tr w:rsidR="00893AFD" w:rsidRPr="001247EE" w:rsidTr="00DE072A">
        <w:trPr>
          <w:cantSplit/>
          <w:trHeight w:val="607"/>
        </w:trPr>
        <w:tc>
          <w:tcPr>
            <w:tcW w:w="1317" w:type="pct"/>
            <w:vMerge/>
            <w:shd w:val="clear" w:color="auto" w:fill="auto"/>
          </w:tcPr>
          <w:p w:rsidR="00942D0D" w:rsidRPr="001247EE" w:rsidRDefault="00942D0D" w:rsidP="006C308E">
            <w:pPr>
              <w:rPr>
                <w:rFonts w:asciiTheme="majorHAnsi" w:hAnsiTheme="majorHAnsi" w:cstheme="majorHAnsi"/>
                <w:sz w:val="20"/>
                <w:szCs w:val="20"/>
              </w:rPr>
            </w:pPr>
          </w:p>
        </w:tc>
        <w:tc>
          <w:tcPr>
            <w:tcW w:w="1466" w:type="pct"/>
            <w:shd w:val="clear" w:color="auto" w:fill="auto"/>
          </w:tcPr>
          <w:p w:rsidR="00942D0D" w:rsidRPr="001247EE" w:rsidRDefault="009B2999" w:rsidP="00075706">
            <w:pPr>
              <w:rPr>
                <w:rFonts w:asciiTheme="majorHAnsi" w:hAnsiTheme="majorHAnsi" w:cstheme="majorHAnsi"/>
                <w:sz w:val="20"/>
                <w:szCs w:val="20"/>
              </w:rPr>
            </w:pPr>
            <w:r w:rsidRPr="0012136D">
              <w:rPr>
                <w:rFonts w:asciiTheme="majorHAnsi" w:hAnsiTheme="majorHAnsi" w:cstheme="majorHAnsi"/>
                <w:b/>
                <w:sz w:val="20"/>
                <w:szCs w:val="20"/>
              </w:rPr>
              <w:t>PHD 1950L</w:t>
            </w:r>
            <w:r w:rsidRPr="001247EE">
              <w:rPr>
                <w:rFonts w:asciiTheme="majorHAnsi" w:hAnsiTheme="majorHAnsi" w:cstheme="majorHAnsi"/>
                <w:sz w:val="20"/>
                <w:szCs w:val="20"/>
              </w:rPr>
              <w:t xml:space="preserve"> Stochastic Processes in Biostatistics I</w:t>
            </w:r>
          </w:p>
        </w:tc>
        <w:tc>
          <w:tcPr>
            <w:tcW w:w="2217" w:type="pct"/>
          </w:tcPr>
          <w:p w:rsidR="00942D0D" w:rsidRPr="001247EE" w:rsidRDefault="00220E54" w:rsidP="006C308E">
            <w:pPr>
              <w:rPr>
                <w:rFonts w:asciiTheme="majorHAnsi" w:hAnsiTheme="majorHAnsi" w:cstheme="majorHAnsi"/>
                <w:bCs/>
                <w:sz w:val="20"/>
                <w:szCs w:val="20"/>
              </w:rPr>
            </w:pPr>
            <w:r w:rsidRPr="001247EE">
              <w:rPr>
                <w:rFonts w:asciiTheme="majorHAnsi" w:hAnsiTheme="majorHAnsi" w:cstheme="majorHAnsi"/>
                <w:sz w:val="20"/>
                <w:szCs w:val="20"/>
              </w:rPr>
              <w:t>Final Paper</w:t>
            </w:r>
            <w:r w:rsidR="009B2999" w:rsidRPr="001247EE">
              <w:rPr>
                <w:rFonts w:asciiTheme="majorHAnsi" w:hAnsiTheme="majorHAnsi" w:cstheme="majorHAnsi"/>
                <w:bCs/>
                <w:sz w:val="20"/>
                <w:szCs w:val="20"/>
              </w:rPr>
              <w:t xml:space="preserve">: </w:t>
            </w:r>
            <w:r w:rsidR="003C13C0" w:rsidRPr="001247EE">
              <w:rPr>
                <w:rFonts w:asciiTheme="majorHAnsi" w:hAnsiTheme="majorHAnsi" w:cstheme="majorHAnsi"/>
                <w:bCs/>
                <w:sz w:val="20"/>
                <w:szCs w:val="20"/>
              </w:rPr>
              <w:t>Simulation study is required in the term paper to evaluate a method's effectiveness. Particularly, they should demonstrate bias, average standard errors, standard deviation of estimates across the simulation runs and coverage probability.</w:t>
            </w:r>
          </w:p>
        </w:tc>
      </w:tr>
      <w:tr w:rsidR="00893AFD" w:rsidRPr="001247EE" w:rsidTr="00DE072A">
        <w:trPr>
          <w:cantSplit/>
          <w:trHeight w:val="300"/>
        </w:trPr>
        <w:tc>
          <w:tcPr>
            <w:tcW w:w="1317" w:type="pct"/>
            <w:shd w:val="clear" w:color="auto" w:fill="auto"/>
            <w:hideMark/>
          </w:tcPr>
          <w:p w:rsidR="00942D0D" w:rsidRPr="001247EE" w:rsidRDefault="00942D0D" w:rsidP="006C308E">
            <w:pPr>
              <w:rPr>
                <w:rFonts w:asciiTheme="majorHAnsi" w:hAnsiTheme="majorHAnsi" w:cstheme="majorHAnsi"/>
                <w:sz w:val="20"/>
                <w:szCs w:val="20"/>
              </w:rPr>
            </w:pPr>
            <w:r w:rsidRPr="001247EE">
              <w:rPr>
                <w:rFonts w:asciiTheme="majorHAnsi" w:hAnsiTheme="majorHAnsi" w:cstheme="majorHAnsi"/>
                <w:sz w:val="20"/>
                <w:szCs w:val="20"/>
              </w:rPr>
              <w:t>PhD-B3. Use a unified methodological and theoretical framework to analyze various types of data (such as binary, count or continuous data).</w:t>
            </w:r>
          </w:p>
        </w:tc>
        <w:tc>
          <w:tcPr>
            <w:tcW w:w="1466" w:type="pct"/>
            <w:shd w:val="clear" w:color="auto" w:fill="auto"/>
          </w:tcPr>
          <w:p w:rsidR="00942D0D" w:rsidRPr="001247EE" w:rsidRDefault="00F552BD" w:rsidP="00075706">
            <w:pPr>
              <w:rPr>
                <w:rFonts w:asciiTheme="majorHAnsi" w:hAnsiTheme="majorHAnsi" w:cstheme="majorHAnsi"/>
                <w:sz w:val="20"/>
                <w:szCs w:val="20"/>
              </w:rPr>
            </w:pPr>
            <w:r w:rsidRPr="0012136D">
              <w:rPr>
                <w:rFonts w:asciiTheme="majorHAnsi" w:hAnsiTheme="majorHAnsi" w:cstheme="majorHAnsi"/>
                <w:b/>
                <w:sz w:val="20"/>
                <w:szCs w:val="20"/>
              </w:rPr>
              <w:t>PH 1916</w:t>
            </w:r>
            <w:r w:rsidRPr="001247EE">
              <w:rPr>
                <w:rFonts w:asciiTheme="majorHAnsi" w:hAnsiTheme="majorHAnsi" w:cstheme="majorHAnsi"/>
                <w:sz w:val="20"/>
                <w:szCs w:val="20"/>
              </w:rPr>
              <w:t xml:space="preserve"> Generalized Linear Models</w:t>
            </w:r>
          </w:p>
        </w:tc>
        <w:tc>
          <w:tcPr>
            <w:tcW w:w="2217" w:type="pct"/>
          </w:tcPr>
          <w:p w:rsidR="00942D0D" w:rsidRPr="001247EE" w:rsidRDefault="00F552BD" w:rsidP="006C308E">
            <w:pPr>
              <w:rPr>
                <w:rFonts w:asciiTheme="majorHAnsi" w:hAnsiTheme="majorHAnsi" w:cstheme="majorHAnsi"/>
                <w:sz w:val="20"/>
                <w:szCs w:val="20"/>
              </w:rPr>
            </w:pPr>
            <w:r w:rsidRPr="001247EE">
              <w:rPr>
                <w:rFonts w:asciiTheme="majorHAnsi" w:hAnsiTheme="majorHAnsi" w:cstheme="majorHAnsi"/>
                <w:sz w:val="20"/>
                <w:szCs w:val="20"/>
              </w:rPr>
              <w:t>Homework Assignments: Students will be</w:t>
            </w:r>
            <w:r w:rsidR="00DF5B27" w:rsidRPr="001247EE">
              <w:rPr>
                <w:rFonts w:asciiTheme="majorHAnsi" w:hAnsiTheme="majorHAnsi" w:cstheme="majorHAnsi"/>
                <w:sz w:val="20"/>
                <w:szCs w:val="20"/>
              </w:rPr>
              <w:t xml:space="preserve"> assessed through a data analysis question in each of the 3 assignments, a question on the interpretation of an applied analysis in each pf the two in-class exams, and a full data analysis final group project with individual presentations.  </w:t>
            </w:r>
          </w:p>
        </w:tc>
      </w:tr>
      <w:tr w:rsidR="00893AFD" w:rsidRPr="001247EE" w:rsidTr="00DE072A">
        <w:trPr>
          <w:cantSplit/>
          <w:trHeight w:val="300"/>
        </w:trPr>
        <w:tc>
          <w:tcPr>
            <w:tcW w:w="1317" w:type="pct"/>
            <w:shd w:val="clear" w:color="auto" w:fill="auto"/>
            <w:hideMark/>
          </w:tcPr>
          <w:p w:rsidR="00942D0D" w:rsidRPr="001247EE" w:rsidRDefault="00942D0D" w:rsidP="006C308E">
            <w:pPr>
              <w:rPr>
                <w:rFonts w:asciiTheme="majorHAnsi" w:hAnsiTheme="majorHAnsi" w:cstheme="majorHAnsi"/>
                <w:sz w:val="20"/>
                <w:szCs w:val="20"/>
              </w:rPr>
            </w:pPr>
            <w:r w:rsidRPr="001247EE">
              <w:rPr>
                <w:rFonts w:asciiTheme="majorHAnsi" w:hAnsiTheme="majorHAnsi" w:cstheme="majorHAnsi"/>
                <w:sz w:val="20"/>
                <w:szCs w:val="20"/>
              </w:rPr>
              <w:t>PhD-B4. Use advanced computing techniques (for example, EM algorithm and Monte Carlo integration) to analyze complex data.</w:t>
            </w:r>
          </w:p>
        </w:tc>
        <w:tc>
          <w:tcPr>
            <w:tcW w:w="1466" w:type="pct"/>
            <w:shd w:val="clear" w:color="auto" w:fill="auto"/>
            <w:hideMark/>
          </w:tcPr>
          <w:p w:rsidR="00942D0D" w:rsidRPr="001247EE" w:rsidRDefault="00104C9A" w:rsidP="00075706">
            <w:pPr>
              <w:rPr>
                <w:rFonts w:asciiTheme="majorHAnsi" w:hAnsiTheme="majorHAnsi" w:cstheme="majorHAnsi"/>
                <w:sz w:val="20"/>
                <w:szCs w:val="20"/>
              </w:rPr>
            </w:pPr>
            <w:r w:rsidRPr="0012136D">
              <w:rPr>
                <w:rFonts w:asciiTheme="majorHAnsi" w:hAnsiTheme="majorHAnsi" w:cstheme="majorHAnsi"/>
                <w:b/>
                <w:sz w:val="20"/>
                <w:szCs w:val="20"/>
              </w:rPr>
              <w:t>PHD 1930L</w:t>
            </w:r>
            <w:r w:rsidRPr="001247EE">
              <w:rPr>
                <w:rFonts w:asciiTheme="majorHAnsi" w:hAnsiTheme="majorHAnsi" w:cstheme="majorHAnsi"/>
                <w:sz w:val="20"/>
                <w:szCs w:val="20"/>
              </w:rPr>
              <w:t xml:space="preserve"> Statistical Computing with R</w:t>
            </w:r>
          </w:p>
        </w:tc>
        <w:tc>
          <w:tcPr>
            <w:tcW w:w="2217" w:type="pct"/>
          </w:tcPr>
          <w:p w:rsidR="00942D0D" w:rsidRPr="001247EE" w:rsidRDefault="00104C9A" w:rsidP="006C308E">
            <w:pPr>
              <w:rPr>
                <w:rFonts w:asciiTheme="majorHAnsi" w:hAnsiTheme="majorHAnsi" w:cstheme="majorHAnsi"/>
                <w:sz w:val="20"/>
                <w:szCs w:val="20"/>
              </w:rPr>
            </w:pPr>
            <w:r w:rsidRPr="001247EE">
              <w:rPr>
                <w:rFonts w:asciiTheme="majorHAnsi" w:hAnsiTheme="majorHAnsi" w:cstheme="majorHAnsi"/>
                <w:sz w:val="20"/>
                <w:szCs w:val="20"/>
              </w:rPr>
              <w:t xml:space="preserve">EM Assignment: </w:t>
            </w:r>
            <w:r w:rsidR="00450792" w:rsidRPr="001247EE">
              <w:rPr>
                <w:rFonts w:asciiTheme="majorHAnsi" w:hAnsiTheme="majorHAnsi" w:cstheme="majorHAnsi"/>
                <w:sz w:val="20"/>
                <w:szCs w:val="20"/>
              </w:rPr>
              <w:t>I</w:t>
            </w:r>
            <w:r w:rsidR="003C13C0" w:rsidRPr="001247EE">
              <w:rPr>
                <w:rFonts w:asciiTheme="majorHAnsi" w:hAnsiTheme="majorHAnsi" w:cstheme="majorHAnsi"/>
                <w:sz w:val="20"/>
                <w:szCs w:val="20"/>
              </w:rPr>
              <w:t>ndividual assignment for students to develop and implement EM algorithms in R to analyze a birth dataset while considering missing data.</w:t>
            </w:r>
          </w:p>
        </w:tc>
      </w:tr>
    </w:tbl>
    <w:p w:rsidR="00942D0D" w:rsidRPr="001247EE" w:rsidRDefault="00942D0D" w:rsidP="006C308E">
      <w:pPr>
        <w:pStyle w:val="BodyText"/>
        <w:tabs>
          <w:tab w:val="left" w:pos="720"/>
        </w:tabs>
        <w:ind w:left="1350" w:right="119" w:hanging="630"/>
        <w:jc w:val="both"/>
        <w:rPr>
          <w:rFonts w:asciiTheme="majorHAnsi" w:hAnsiTheme="majorHAnsi" w:cstheme="majorHAnsi"/>
        </w:rPr>
      </w:pPr>
    </w:p>
    <w:p w:rsidR="00B3605F" w:rsidRPr="001247EE" w:rsidRDefault="00B3605F" w:rsidP="00B3605F">
      <w:pPr>
        <w:pStyle w:val="BodyText"/>
        <w:tabs>
          <w:tab w:val="left" w:pos="720"/>
        </w:tabs>
        <w:ind w:left="720" w:right="119" w:firstLine="0"/>
        <w:jc w:val="both"/>
        <w:rPr>
          <w:rFonts w:asciiTheme="majorHAnsi" w:hAnsiTheme="majorHAnsi" w:cstheme="majorHAnsi"/>
        </w:rPr>
      </w:pPr>
      <w:r w:rsidRPr="001247EE">
        <w:rPr>
          <w:rFonts w:asciiTheme="majorHAnsi" w:hAnsiTheme="majorHAnsi" w:cstheme="majorHAnsi"/>
        </w:rPr>
        <w:t>Table D.18.3.c. Assessment of Competencies for PhD in Environmental Science, Environmental Disease Prevention Track (</w:t>
      </w:r>
      <w:r w:rsidRPr="001247EE">
        <w:rPr>
          <w:rFonts w:asciiTheme="majorHAnsi" w:hAnsiTheme="majorHAnsi" w:cstheme="majorHAnsi"/>
          <w:i/>
        </w:rPr>
        <w:t xml:space="preserve">ERF, D18.3. PhD in Environmental </w:t>
      </w:r>
      <w:r w:rsidR="00F6789B" w:rsidRPr="001247EE">
        <w:rPr>
          <w:rFonts w:asciiTheme="majorHAnsi" w:hAnsiTheme="majorHAnsi" w:cstheme="majorHAnsi"/>
          <w:i/>
        </w:rPr>
        <w:t>Science</w:t>
      </w:r>
      <w:r w:rsidRPr="001247EE">
        <w:rPr>
          <w:rFonts w:asciiTheme="majorHAnsi" w:hAnsiTheme="majorHAnsi" w:cstheme="majorHAnsi"/>
          <w:i/>
        </w:rPr>
        <w:t>, Environmental Disease Prevention Track</w:t>
      </w:r>
      <w:r w:rsidRPr="001247EE">
        <w:rPr>
          <w:rFonts w:asciiTheme="majorHAnsi" w:hAnsiTheme="majorHAnsi" w:cstheme="majorHAnsi"/>
          <w:color w:val="000000"/>
        </w:rPr>
        <w:t>)</w:t>
      </w: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429"/>
        <w:gridCol w:w="3870"/>
      </w:tblGrid>
      <w:tr w:rsidR="00B3605F" w:rsidRPr="001247EE" w:rsidTr="00B861A8">
        <w:trPr>
          <w:cantSplit/>
          <w:trHeight w:val="315"/>
          <w:tblHeader/>
        </w:trPr>
        <w:tc>
          <w:tcPr>
            <w:tcW w:w="1354" w:type="pct"/>
            <w:shd w:val="clear" w:color="000000" w:fill="D9D9D9"/>
            <w:hideMark/>
          </w:tcPr>
          <w:p w:rsidR="00B3605F" w:rsidRPr="001247EE" w:rsidRDefault="00B3605F" w:rsidP="00B861A8">
            <w:pPr>
              <w:jc w:val="center"/>
              <w:rPr>
                <w:rFonts w:asciiTheme="majorHAnsi" w:eastAsia="Times New Roman" w:hAnsiTheme="majorHAnsi" w:cstheme="majorHAnsi"/>
                <w:b/>
                <w:bCs/>
                <w:color w:val="000000"/>
                <w:sz w:val="20"/>
                <w:szCs w:val="20"/>
              </w:rPr>
            </w:pPr>
            <w:r w:rsidRPr="001247EE">
              <w:rPr>
                <w:rFonts w:asciiTheme="majorHAnsi" w:eastAsia="Times New Roman" w:hAnsiTheme="majorHAnsi" w:cstheme="majorHAnsi"/>
                <w:b/>
                <w:bCs/>
                <w:color w:val="000000"/>
                <w:sz w:val="20"/>
                <w:szCs w:val="20"/>
              </w:rPr>
              <w:t>Competency</w:t>
            </w:r>
          </w:p>
        </w:tc>
        <w:tc>
          <w:tcPr>
            <w:tcW w:w="1406" w:type="pct"/>
            <w:shd w:val="clear" w:color="000000" w:fill="D9D9D9"/>
          </w:tcPr>
          <w:p w:rsidR="00B3605F" w:rsidRPr="001247EE" w:rsidRDefault="00B3605F" w:rsidP="00B861A8">
            <w:pPr>
              <w:jc w:val="center"/>
              <w:rPr>
                <w:rFonts w:asciiTheme="majorHAnsi" w:eastAsia="Times New Roman" w:hAnsiTheme="majorHAnsi" w:cstheme="majorHAnsi"/>
                <w:b/>
                <w:bCs/>
                <w:color w:val="000000"/>
                <w:sz w:val="20"/>
                <w:szCs w:val="20"/>
              </w:rPr>
            </w:pPr>
            <w:r w:rsidRPr="001247EE">
              <w:rPr>
                <w:rFonts w:asciiTheme="majorHAnsi" w:eastAsia="Times New Roman" w:hAnsiTheme="majorHAnsi" w:cstheme="majorHAnsi"/>
                <w:b/>
                <w:bCs/>
                <w:color w:val="000000"/>
                <w:sz w:val="20"/>
                <w:szCs w:val="20"/>
              </w:rPr>
              <w:t>Course Name and Number</w:t>
            </w:r>
          </w:p>
        </w:tc>
        <w:tc>
          <w:tcPr>
            <w:tcW w:w="2240" w:type="pct"/>
            <w:shd w:val="clear" w:color="000000" w:fill="D9D9D9"/>
            <w:hideMark/>
          </w:tcPr>
          <w:p w:rsidR="00B3605F" w:rsidRPr="001247EE" w:rsidRDefault="00B3605F" w:rsidP="00B861A8">
            <w:pPr>
              <w:jc w:val="center"/>
              <w:rPr>
                <w:rFonts w:asciiTheme="majorHAnsi" w:eastAsia="Times New Roman" w:hAnsiTheme="majorHAnsi" w:cstheme="majorHAnsi"/>
                <w:b/>
                <w:bCs/>
                <w:color w:val="000000"/>
                <w:sz w:val="20"/>
                <w:szCs w:val="20"/>
              </w:rPr>
            </w:pPr>
            <w:r w:rsidRPr="001247EE">
              <w:rPr>
                <w:rFonts w:asciiTheme="majorHAnsi" w:eastAsia="Times New Roman" w:hAnsiTheme="majorHAnsi" w:cstheme="majorHAnsi"/>
                <w:b/>
                <w:bCs/>
                <w:color w:val="000000"/>
                <w:sz w:val="20"/>
                <w:szCs w:val="20"/>
              </w:rPr>
              <w:t>Specific assessment opportunity</w:t>
            </w:r>
          </w:p>
        </w:tc>
      </w:tr>
      <w:tr w:rsidR="00B3605F" w:rsidRPr="001247EE" w:rsidTr="00B861A8">
        <w:trPr>
          <w:cantSplit/>
          <w:trHeight w:val="315"/>
        </w:trPr>
        <w:tc>
          <w:tcPr>
            <w:tcW w:w="1354" w:type="pct"/>
            <w:shd w:val="clear" w:color="auto" w:fill="auto"/>
            <w:hideMark/>
          </w:tcPr>
          <w:p w:rsidR="00B3605F" w:rsidRPr="001247EE" w:rsidRDefault="00B3605F" w:rsidP="00B861A8">
            <w:pPr>
              <w:rPr>
                <w:rFonts w:asciiTheme="majorHAnsi" w:hAnsiTheme="majorHAnsi" w:cstheme="majorHAnsi"/>
                <w:color w:val="000000"/>
                <w:sz w:val="20"/>
                <w:szCs w:val="20"/>
              </w:rPr>
            </w:pPr>
            <w:r w:rsidRPr="001247EE">
              <w:rPr>
                <w:rFonts w:asciiTheme="majorHAnsi" w:hAnsiTheme="majorHAnsi" w:cstheme="majorHAnsi"/>
                <w:color w:val="000000"/>
                <w:sz w:val="20"/>
                <w:szCs w:val="20"/>
              </w:rPr>
              <w:t>PhD-P1. Explain the utility of the exposome and how it provides a framework for relating exposures throughout the life course to health.</w:t>
            </w:r>
          </w:p>
          <w:p w:rsidR="00B3605F" w:rsidRPr="001247EE" w:rsidRDefault="00B3605F" w:rsidP="00B861A8">
            <w:pPr>
              <w:rPr>
                <w:rFonts w:asciiTheme="majorHAnsi" w:hAnsiTheme="majorHAnsi" w:cstheme="majorHAnsi"/>
                <w:sz w:val="20"/>
                <w:szCs w:val="20"/>
              </w:rPr>
            </w:pPr>
          </w:p>
          <w:p w:rsidR="00B3605F" w:rsidRPr="001247EE" w:rsidRDefault="00B3605F" w:rsidP="00B861A8">
            <w:pPr>
              <w:rPr>
                <w:rFonts w:asciiTheme="majorHAnsi" w:hAnsiTheme="majorHAnsi" w:cstheme="majorHAnsi"/>
                <w:sz w:val="20"/>
                <w:szCs w:val="20"/>
              </w:rPr>
            </w:pPr>
          </w:p>
        </w:tc>
        <w:tc>
          <w:tcPr>
            <w:tcW w:w="1406" w:type="pct"/>
          </w:tcPr>
          <w:p w:rsidR="00B3605F" w:rsidRPr="001247EE" w:rsidRDefault="00B3605F" w:rsidP="00CA46B8">
            <w:pPr>
              <w:rPr>
                <w:rFonts w:asciiTheme="majorHAnsi" w:hAnsiTheme="majorHAnsi" w:cstheme="majorHAnsi"/>
                <w:color w:val="000000"/>
                <w:sz w:val="20"/>
                <w:szCs w:val="20"/>
              </w:rPr>
            </w:pPr>
            <w:r w:rsidRPr="0012136D">
              <w:rPr>
                <w:rFonts w:asciiTheme="majorHAnsi" w:hAnsiTheme="majorHAnsi" w:cstheme="majorHAnsi"/>
                <w:b/>
                <w:sz w:val="20"/>
                <w:szCs w:val="20"/>
              </w:rPr>
              <w:t>PHD 2177</w:t>
            </w:r>
            <w:r w:rsidRPr="001247EE">
              <w:rPr>
                <w:rFonts w:asciiTheme="majorHAnsi" w:hAnsiTheme="majorHAnsi" w:cstheme="majorHAnsi"/>
                <w:sz w:val="20"/>
                <w:szCs w:val="20"/>
              </w:rPr>
              <w:t xml:space="preserve"> Toxicology II: Toxic Agents and the Environment</w:t>
            </w:r>
          </w:p>
        </w:tc>
        <w:tc>
          <w:tcPr>
            <w:tcW w:w="2240" w:type="pct"/>
            <w:shd w:val="clear" w:color="auto" w:fill="auto"/>
          </w:tcPr>
          <w:p w:rsidR="00B3605F" w:rsidRPr="001247EE" w:rsidRDefault="00B3605F" w:rsidP="00B861A8">
            <w:pPr>
              <w:rPr>
                <w:rFonts w:asciiTheme="majorHAnsi" w:hAnsiTheme="majorHAnsi" w:cstheme="majorHAnsi"/>
                <w:sz w:val="20"/>
                <w:szCs w:val="20"/>
              </w:rPr>
            </w:pPr>
            <w:r w:rsidRPr="001247EE">
              <w:rPr>
                <w:rFonts w:asciiTheme="majorHAnsi" w:hAnsiTheme="majorHAnsi" w:cstheme="majorHAnsi"/>
                <w:sz w:val="20"/>
                <w:szCs w:val="20"/>
              </w:rPr>
              <w:t>Presentation on Exposome Utility: Using the information provided in the didactic component of the course related to the epigenome and the exposome, students will be asked to make a 15-minute oral presentation on how the exposome can be used to track the effects of an exposure to an environmental chemical known to produce adverse health effects along various points in the life course.</w:t>
            </w:r>
          </w:p>
        </w:tc>
      </w:tr>
      <w:tr w:rsidR="00B3605F" w:rsidRPr="001247EE" w:rsidTr="00B861A8">
        <w:trPr>
          <w:cantSplit/>
          <w:trHeight w:val="714"/>
        </w:trPr>
        <w:tc>
          <w:tcPr>
            <w:tcW w:w="1354" w:type="pct"/>
            <w:vMerge w:val="restart"/>
            <w:shd w:val="clear" w:color="auto" w:fill="auto"/>
            <w:hideMark/>
          </w:tcPr>
          <w:p w:rsidR="00B3605F" w:rsidRPr="001247EE" w:rsidRDefault="00B3605F" w:rsidP="00B861A8">
            <w:pPr>
              <w:rPr>
                <w:rFonts w:asciiTheme="majorHAnsi" w:hAnsiTheme="majorHAnsi" w:cstheme="majorHAnsi"/>
                <w:color w:val="000000"/>
                <w:sz w:val="20"/>
                <w:szCs w:val="20"/>
              </w:rPr>
            </w:pPr>
            <w:r w:rsidRPr="001247EE">
              <w:rPr>
                <w:rFonts w:asciiTheme="majorHAnsi" w:hAnsiTheme="majorHAnsi" w:cstheme="majorHAnsi"/>
                <w:color w:val="000000"/>
                <w:sz w:val="20"/>
                <w:szCs w:val="20"/>
              </w:rPr>
              <w:t>PhD-P2. Appraise different types of hazards for priority-setting based on sources and routes of exposure in environmental or occupational settings.</w:t>
            </w:r>
          </w:p>
        </w:tc>
        <w:tc>
          <w:tcPr>
            <w:tcW w:w="1406" w:type="pct"/>
          </w:tcPr>
          <w:p w:rsidR="00B3605F" w:rsidRPr="001247EE" w:rsidRDefault="00B3605F" w:rsidP="00985FAF">
            <w:pPr>
              <w:rPr>
                <w:rFonts w:asciiTheme="majorHAnsi" w:hAnsiTheme="majorHAnsi" w:cstheme="majorHAnsi"/>
                <w:sz w:val="20"/>
                <w:szCs w:val="20"/>
              </w:rPr>
            </w:pPr>
            <w:r w:rsidRPr="0012136D">
              <w:rPr>
                <w:rFonts w:asciiTheme="majorHAnsi" w:hAnsiTheme="majorHAnsi" w:cstheme="majorHAnsi"/>
                <w:b/>
                <w:sz w:val="20"/>
                <w:szCs w:val="20"/>
              </w:rPr>
              <w:t>PHWD 2150</w:t>
            </w:r>
            <w:r w:rsidRPr="001247EE">
              <w:rPr>
                <w:rFonts w:asciiTheme="majorHAnsi" w:hAnsiTheme="majorHAnsi" w:cstheme="majorHAnsi"/>
                <w:sz w:val="20"/>
                <w:szCs w:val="20"/>
              </w:rPr>
              <w:t xml:space="preserve"> Air Environment</w:t>
            </w:r>
            <w:r w:rsidRPr="001247EE">
              <w:rPr>
                <w:rFonts w:asciiTheme="majorHAnsi" w:hAnsiTheme="majorHAnsi" w:cstheme="majorHAnsi"/>
                <w:color w:val="000000"/>
                <w:sz w:val="20"/>
                <w:szCs w:val="20"/>
              </w:rPr>
              <w:t xml:space="preserve"> </w:t>
            </w:r>
          </w:p>
        </w:tc>
        <w:tc>
          <w:tcPr>
            <w:tcW w:w="2240" w:type="pct"/>
            <w:shd w:val="clear" w:color="auto" w:fill="auto"/>
          </w:tcPr>
          <w:p w:rsidR="00B3605F" w:rsidRPr="001247EE" w:rsidRDefault="00B3605F" w:rsidP="00B861A8">
            <w:pPr>
              <w:rPr>
                <w:rFonts w:asciiTheme="majorHAnsi" w:hAnsiTheme="majorHAnsi" w:cstheme="majorHAnsi"/>
                <w:sz w:val="20"/>
                <w:szCs w:val="20"/>
              </w:rPr>
            </w:pPr>
            <w:r w:rsidRPr="001247EE">
              <w:rPr>
                <w:rFonts w:asciiTheme="majorHAnsi" w:hAnsiTheme="majorHAnsi" w:cstheme="majorHAnsi"/>
                <w:sz w:val="20"/>
                <w:szCs w:val="20"/>
              </w:rPr>
              <w:t>Term Paper: Students will complete a written paper in which they will characterize different environmental hazards based on transport and fate of pollution sources in environmental or occupational settings. They will apply tools covered in this course such as modeling, exposure assessment and risk assessment. They will also propose possible solutions to identified health hazards.</w:t>
            </w:r>
          </w:p>
        </w:tc>
      </w:tr>
      <w:tr w:rsidR="00B3605F" w:rsidRPr="001247EE" w:rsidTr="00B861A8">
        <w:trPr>
          <w:cantSplit/>
          <w:trHeight w:val="713"/>
        </w:trPr>
        <w:tc>
          <w:tcPr>
            <w:tcW w:w="1354" w:type="pct"/>
            <w:vMerge/>
            <w:shd w:val="clear" w:color="auto" w:fill="auto"/>
          </w:tcPr>
          <w:p w:rsidR="00B3605F" w:rsidRPr="001247EE" w:rsidRDefault="00B3605F" w:rsidP="00B861A8">
            <w:pPr>
              <w:rPr>
                <w:rFonts w:asciiTheme="majorHAnsi" w:hAnsiTheme="majorHAnsi" w:cstheme="majorHAnsi"/>
                <w:color w:val="000000"/>
                <w:sz w:val="20"/>
                <w:szCs w:val="20"/>
              </w:rPr>
            </w:pPr>
          </w:p>
        </w:tc>
        <w:tc>
          <w:tcPr>
            <w:tcW w:w="1406" w:type="pct"/>
          </w:tcPr>
          <w:p w:rsidR="00B3605F" w:rsidRPr="001247EE" w:rsidRDefault="00B3605F" w:rsidP="00985FAF">
            <w:pPr>
              <w:rPr>
                <w:rFonts w:asciiTheme="majorHAnsi" w:hAnsiTheme="majorHAnsi" w:cstheme="majorHAnsi"/>
                <w:b/>
                <w:color w:val="000000"/>
                <w:sz w:val="20"/>
                <w:szCs w:val="20"/>
              </w:rPr>
            </w:pPr>
            <w:r w:rsidRPr="0012136D">
              <w:rPr>
                <w:rFonts w:asciiTheme="majorHAnsi" w:hAnsiTheme="majorHAnsi" w:cstheme="majorHAnsi"/>
                <w:b/>
                <w:sz w:val="20"/>
                <w:szCs w:val="20"/>
              </w:rPr>
              <w:t>PHWD 2230</w:t>
            </w:r>
            <w:r w:rsidRPr="001247EE">
              <w:rPr>
                <w:rFonts w:asciiTheme="majorHAnsi" w:hAnsiTheme="majorHAnsi" w:cstheme="majorHAnsi"/>
                <w:sz w:val="20"/>
                <w:szCs w:val="20"/>
              </w:rPr>
              <w:t xml:space="preserve"> Water Environment </w:t>
            </w:r>
          </w:p>
        </w:tc>
        <w:tc>
          <w:tcPr>
            <w:tcW w:w="2240" w:type="pct"/>
            <w:shd w:val="clear" w:color="auto" w:fill="auto"/>
          </w:tcPr>
          <w:p w:rsidR="00B3605F" w:rsidRPr="001247EE" w:rsidRDefault="00B3605F" w:rsidP="00B861A8">
            <w:pPr>
              <w:rPr>
                <w:rFonts w:asciiTheme="majorHAnsi" w:hAnsiTheme="majorHAnsi" w:cstheme="majorHAnsi"/>
                <w:sz w:val="20"/>
                <w:szCs w:val="20"/>
              </w:rPr>
            </w:pPr>
            <w:r w:rsidRPr="001247EE">
              <w:rPr>
                <w:rFonts w:asciiTheme="majorHAnsi" w:hAnsiTheme="majorHAnsi" w:cstheme="majorHAnsi"/>
                <w:sz w:val="20"/>
                <w:szCs w:val="20"/>
              </w:rPr>
              <w:t xml:space="preserve">Policy Paper and Rubric: Prepare a written document that informs policy for either an environmental or an occupational setting. Critique peer-reviewed literature to appraise the hazards and ultimately select priority hazards based on sources and routes of exposure. </w:t>
            </w:r>
          </w:p>
        </w:tc>
      </w:tr>
      <w:tr w:rsidR="00B3605F" w:rsidRPr="001247EE" w:rsidTr="00B861A8">
        <w:trPr>
          <w:cantSplit/>
          <w:trHeight w:val="300"/>
        </w:trPr>
        <w:tc>
          <w:tcPr>
            <w:tcW w:w="1354" w:type="pct"/>
            <w:shd w:val="clear" w:color="auto" w:fill="auto"/>
            <w:hideMark/>
          </w:tcPr>
          <w:p w:rsidR="00B3605F" w:rsidRPr="001247EE" w:rsidRDefault="00B3605F" w:rsidP="00B861A8">
            <w:pPr>
              <w:rPr>
                <w:rFonts w:asciiTheme="majorHAnsi" w:hAnsiTheme="majorHAnsi" w:cstheme="majorHAnsi"/>
                <w:color w:val="000000"/>
                <w:sz w:val="20"/>
                <w:szCs w:val="20"/>
              </w:rPr>
            </w:pPr>
            <w:r w:rsidRPr="001247EE">
              <w:rPr>
                <w:rFonts w:asciiTheme="majorHAnsi" w:hAnsiTheme="majorHAnsi" w:cstheme="majorHAnsi"/>
                <w:color w:val="000000"/>
                <w:sz w:val="20"/>
                <w:szCs w:val="20"/>
              </w:rPr>
              <w:t>PhD-P3. Analyze, interpret and critique data related to environmental studies.</w:t>
            </w:r>
          </w:p>
        </w:tc>
        <w:tc>
          <w:tcPr>
            <w:tcW w:w="1406" w:type="pct"/>
          </w:tcPr>
          <w:p w:rsidR="00B3605F" w:rsidRPr="001247EE" w:rsidRDefault="00B3605F" w:rsidP="00985FAF">
            <w:pPr>
              <w:rPr>
                <w:rFonts w:asciiTheme="majorHAnsi" w:hAnsiTheme="majorHAnsi" w:cstheme="majorHAnsi"/>
                <w:color w:val="000000"/>
                <w:sz w:val="20"/>
                <w:szCs w:val="20"/>
              </w:rPr>
            </w:pPr>
            <w:r w:rsidRPr="0012136D">
              <w:rPr>
                <w:rFonts w:asciiTheme="majorHAnsi" w:hAnsiTheme="majorHAnsi" w:cstheme="majorHAnsi"/>
                <w:b/>
                <w:sz w:val="20"/>
                <w:szCs w:val="20"/>
              </w:rPr>
              <w:t>PHWD 2155</w:t>
            </w:r>
            <w:r w:rsidRPr="001247EE">
              <w:rPr>
                <w:rFonts w:asciiTheme="majorHAnsi" w:hAnsiTheme="majorHAnsi" w:cstheme="majorHAnsi"/>
                <w:sz w:val="20"/>
                <w:szCs w:val="20"/>
              </w:rPr>
              <w:t xml:space="preserve"> Environmental Sampling and Analysis</w:t>
            </w:r>
          </w:p>
        </w:tc>
        <w:tc>
          <w:tcPr>
            <w:tcW w:w="2240" w:type="pct"/>
            <w:shd w:val="clear" w:color="auto" w:fill="auto"/>
          </w:tcPr>
          <w:p w:rsidR="00B3605F" w:rsidRPr="001247EE" w:rsidRDefault="00B3605F" w:rsidP="00F638DD">
            <w:pPr>
              <w:rPr>
                <w:rFonts w:asciiTheme="majorHAnsi" w:hAnsiTheme="majorHAnsi" w:cstheme="majorHAnsi"/>
                <w:sz w:val="20"/>
                <w:szCs w:val="20"/>
              </w:rPr>
            </w:pPr>
            <w:r w:rsidRPr="0012136D">
              <w:rPr>
                <w:rFonts w:asciiTheme="majorHAnsi" w:hAnsiTheme="majorHAnsi" w:cstheme="majorHAnsi"/>
                <w:sz w:val="20"/>
                <w:szCs w:val="20"/>
              </w:rPr>
              <w:t>Exam 1, Exam 2, Series of Lab Reports</w:t>
            </w:r>
            <w:r w:rsidR="00985FAF" w:rsidRPr="0012136D">
              <w:rPr>
                <w:rFonts w:asciiTheme="majorHAnsi" w:hAnsiTheme="majorHAnsi" w:cstheme="majorHAnsi"/>
                <w:sz w:val="20"/>
                <w:szCs w:val="20"/>
              </w:rPr>
              <w:t xml:space="preserve"> </w:t>
            </w:r>
            <w:r w:rsidRPr="0012136D">
              <w:rPr>
                <w:rFonts w:asciiTheme="majorHAnsi" w:hAnsiTheme="majorHAnsi" w:cstheme="majorHAnsi"/>
                <w:sz w:val="20"/>
                <w:szCs w:val="20"/>
              </w:rPr>
              <w:t>(</w:t>
            </w:r>
            <w:r w:rsidR="00985FAF" w:rsidRPr="0012136D">
              <w:rPr>
                <w:rFonts w:asciiTheme="majorHAnsi" w:hAnsiTheme="majorHAnsi" w:cstheme="majorHAnsi"/>
                <w:sz w:val="20"/>
                <w:szCs w:val="20"/>
              </w:rPr>
              <w:t xml:space="preserve">Lab </w:t>
            </w:r>
            <w:r w:rsidRPr="0012136D">
              <w:rPr>
                <w:rFonts w:asciiTheme="majorHAnsi" w:hAnsiTheme="majorHAnsi" w:cstheme="majorHAnsi"/>
                <w:sz w:val="20"/>
                <w:szCs w:val="20"/>
              </w:rPr>
              <w:t>Guidelines): Students complete two exams and six lab reports (pump operations, gas &amp; vapor, particle</w:t>
            </w:r>
            <w:r w:rsidRPr="001247EE">
              <w:rPr>
                <w:rFonts w:asciiTheme="majorHAnsi" w:hAnsiTheme="majorHAnsi" w:cstheme="majorHAnsi"/>
                <w:sz w:val="20"/>
                <w:szCs w:val="20"/>
              </w:rPr>
              <w:t xml:space="preserve"> lab, gas chromatography mass spectrometer, inductively coupled plasma mass spectrometer, and ultraviolet (UV) visible spectrometer) through which they must analyze, interpret and critique environmental data. </w:t>
            </w:r>
          </w:p>
        </w:tc>
      </w:tr>
      <w:tr w:rsidR="00B3605F" w:rsidRPr="001247EE" w:rsidTr="00B861A8">
        <w:trPr>
          <w:cantSplit/>
          <w:trHeight w:val="315"/>
        </w:trPr>
        <w:tc>
          <w:tcPr>
            <w:tcW w:w="1354" w:type="pct"/>
            <w:shd w:val="clear" w:color="auto" w:fill="auto"/>
            <w:hideMark/>
          </w:tcPr>
          <w:p w:rsidR="00B3605F" w:rsidRPr="001247EE" w:rsidRDefault="00B3605F" w:rsidP="00B861A8">
            <w:pPr>
              <w:rPr>
                <w:rFonts w:asciiTheme="majorHAnsi" w:hAnsiTheme="majorHAnsi" w:cstheme="majorHAnsi"/>
                <w:color w:val="000000"/>
                <w:sz w:val="20"/>
                <w:szCs w:val="20"/>
              </w:rPr>
            </w:pPr>
            <w:r w:rsidRPr="001247EE">
              <w:rPr>
                <w:rFonts w:asciiTheme="majorHAnsi" w:hAnsiTheme="majorHAnsi" w:cstheme="majorHAnsi"/>
                <w:color w:val="000000"/>
                <w:sz w:val="20"/>
                <w:szCs w:val="20"/>
              </w:rPr>
              <w:t>PhD-P4. Compare and communicate different mitigation strategies for environmental hazards.</w:t>
            </w:r>
          </w:p>
        </w:tc>
        <w:tc>
          <w:tcPr>
            <w:tcW w:w="1406" w:type="pct"/>
          </w:tcPr>
          <w:p w:rsidR="00B3605F" w:rsidRPr="001247EE" w:rsidRDefault="00B3605F" w:rsidP="00F638DD">
            <w:pPr>
              <w:rPr>
                <w:rFonts w:asciiTheme="majorHAnsi" w:hAnsiTheme="majorHAnsi" w:cstheme="majorHAnsi"/>
                <w:sz w:val="20"/>
                <w:szCs w:val="20"/>
              </w:rPr>
            </w:pPr>
            <w:r w:rsidRPr="0012136D">
              <w:rPr>
                <w:rFonts w:asciiTheme="majorHAnsi" w:hAnsiTheme="majorHAnsi" w:cstheme="majorHAnsi"/>
                <w:b/>
                <w:sz w:val="20"/>
                <w:szCs w:val="20"/>
              </w:rPr>
              <w:t>PHD 2105</w:t>
            </w:r>
            <w:r w:rsidRPr="001247EE">
              <w:rPr>
                <w:rFonts w:asciiTheme="majorHAnsi" w:hAnsiTheme="majorHAnsi" w:cstheme="majorHAnsi"/>
                <w:sz w:val="20"/>
                <w:szCs w:val="20"/>
              </w:rPr>
              <w:t xml:space="preserve"> Environmental &amp; Occupational Health Sciences Doctoral Seminar</w:t>
            </w:r>
          </w:p>
        </w:tc>
        <w:tc>
          <w:tcPr>
            <w:tcW w:w="2240" w:type="pct"/>
            <w:shd w:val="clear" w:color="auto" w:fill="auto"/>
          </w:tcPr>
          <w:p w:rsidR="00B3605F" w:rsidRPr="001247EE" w:rsidRDefault="00B3605F" w:rsidP="00B861A8">
            <w:pPr>
              <w:rPr>
                <w:rFonts w:asciiTheme="majorHAnsi" w:hAnsiTheme="majorHAnsi" w:cstheme="majorHAnsi"/>
                <w:sz w:val="20"/>
                <w:szCs w:val="20"/>
              </w:rPr>
            </w:pPr>
            <w:r w:rsidRPr="001247EE">
              <w:rPr>
                <w:rFonts w:asciiTheme="majorHAnsi" w:hAnsiTheme="majorHAnsi" w:cstheme="majorHAnsi"/>
                <w:sz w:val="20"/>
                <w:szCs w:val="20"/>
              </w:rPr>
              <w:t>Mitigation Strategies: Students will prepare a narrated PowerPoint evaluating, comparing, and critiquing the mitigation strategies proposed in the article as well as discussing pros and cons, similarities and differences, limitations and advantages, challenges, etc., of each strategy.</w:t>
            </w:r>
          </w:p>
        </w:tc>
      </w:tr>
      <w:tr w:rsidR="00B3605F" w:rsidRPr="001247EE" w:rsidTr="00B861A8">
        <w:trPr>
          <w:cantSplit/>
          <w:trHeight w:val="315"/>
        </w:trPr>
        <w:tc>
          <w:tcPr>
            <w:tcW w:w="1354" w:type="pct"/>
            <w:shd w:val="clear" w:color="auto" w:fill="auto"/>
          </w:tcPr>
          <w:p w:rsidR="00B3605F" w:rsidRPr="001247EE" w:rsidRDefault="00B3605F" w:rsidP="00B861A8">
            <w:pPr>
              <w:rPr>
                <w:rFonts w:asciiTheme="majorHAnsi" w:hAnsiTheme="majorHAnsi" w:cstheme="majorHAnsi"/>
                <w:color w:val="000000"/>
                <w:sz w:val="20"/>
                <w:szCs w:val="20"/>
              </w:rPr>
            </w:pPr>
            <w:r w:rsidRPr="001247EE">
              <w:rPr>
                <w:rFonts w:asciiTheme="majorHAnsi" w:hAnsiTheme="majorHAnsi" w:cstheme="majorHAnsi"/>
                <w:color w:val="000000"/>
                <w:sz w:val="20"/>
                <w:szCs w:val="20"/>
              </w:rPr>
              <w:t>PhD-P5. Identify, analyze and interpret spatially distributed environmental data for their associations with health outcomes.</w:t>
            </w:r>
          </w:p>
        </w:tc>
        <w:tc>
          <w:tcPr>
            <w:tcW w:w="1406" w:type="pct"/>
          </w:tcPr>
          <w:p w:rsidR="00B3605F" w:rsidRPr="001247EE" w:rsidRDefault="00B3605F" w:rsidP="0023396C">
            <w:pPr>
              <w:rPr>
                <w:rFonts w:asciiTheme="majorHAnsi" w:hAnsiTheme="majorHAnsi" w:cstheme="majorHAnsi"/>
                <w:b/>
                <w:bCs/>
                <w:sz w:val="20"/>
                <w:szCs w:val="20"/>
              </w:rPr>
            </w:pPr>
            <w:r w:rsidRPr="0012136D">
              <w:rPr>
                <w:rFonts w:asciiTheme="majorHAnsi" w:hAnsiTheme="majorHAnsi" w:cstheme="majorHAnsi"/>
                <w:b/>
                <w:sz w:val="20"/>
                <w:szCs w:val="20"/>
              </w:rPr>
              <w:t>PHD 2126</w:t>
            </w:r>
            <w:r w:rsidRPr="001247EE">
              <w:rPr>
                <w:rFonts w:asciiTheme="majorHAnsi" w:hAnsiTheme="majorHAnsi" w:cstheme="majorHAnsi"/>
                <w:sz w:val="20"/>
                <w:szCs w:val="20"/>
              </w:rPr>
              <w:t xml:space="preserve"> Fundamentals and Applications of GIS</w:t>
            </w:r>
          </w:p>
        </w:tc>
        <w:tc>
          <w:tcPr>
            <w:tcW w:w="2240" w:type="pct"/>
            <w:shd w:val="clear" w:color="auto" w:fill="auto"/>
          </w:tcPr>
          <w:p w:rsidR="00B3605F" w:rsidRPr="001247EE" w:rsidRDefault="00B3605F" w:rsidP="00B861A8">
            <w:pPr>
              <w:rPr>
                <w:rFonts w:asciiTheme="majorHAnsi" w:hAnsiTheme="majorHAnsi" w:cstheme="majorHAnsi"/>
                <w:color w:val="000000"/>
                <w:sz w:val="20"/>
                <w:szCs w:val="20"/>
              </w:rPr>
            </w:pPr>
            <w:r w:rsidRPr="001247EE">
              <w:rPr>
                <w:rFonts w:asciiTheme="majorHAnsi" w:hAnsiTheme="majorHAnsi" w:cstheme="majorHAnsi"/>
                <w:sz w:val="20"/>
                <w:szCs w:val="20"/>
              </w:rPr>
              <w:t>Course Project</w:t>
            </w:r>
            <w:r w:rsidRPr="001247EE">
              <w:rPr>
                <w:rFonts w:asciiTheme="majorHAnsi" w:hAnsiTheme="majorHAnsi" w:cstheme="majorHAnsi"/>
                <w:color w:val="000000"/>
                <w:sz w:val="20"/>
                <w:szCs w:val="20"/>
              </w:rPr>
              <w:t>: Students will complete a GIS case study on a data set to demonstrate that they can identify, analyze and interpret spatially distributed environmental data for their associations with health outcomes. In particular, they will first identify and interpret spatial patterns of environmental data. Then they will analyze the associations between environmental factors and health outcome by accounting for place. Finally, they will interpret findings that likely vary with space.</w:t>
            </w:r>
          </w:p>
        </w:tc>
      </w:tr>
    </w:tbl>
    <w:p w:rsidR="00B3605F" w:rsidRPr="001247EE" w:rsidRDefault="00B3605F" w:rsidP="00B3605F">
      <w:pPr>
        <w:pStyle w:val="BodyText"/>
        <w:tabs>
          <w:tab w:val="left" w:pos="720"/>
        </w:tabs>
        <w:ind w:left="720" w:right="119" w:firstLine="0"/>
        <w:jc w:val="both"/>
        <w:rPr>
          <w:rFonts w:asciiTheme="majorHAnsi" w:hAnsiTheme="majorHAnsi" w:cstheme="majorHAnsi"/>
        </w:rPr>
      </w:pPr>
    </w:p>
    <w:p w:rsidR="0095486A" w:rsidRPr="001247EE" w:rsidRDefault="0095486A" w:rsidP="006E28EE">
      <w:pPr>
        <w:pStyle w:val="BodyText"/>
        <w:tabs>
          <w:tab w:val="left" w:pos="720"/>
        </w:tabs>
        <w:ind w:left="720" w:right="119" w:firstLine="0"/>
        <w:rPr>
          <w:rStyle w:val="Hyperlink"/>
          <w:rFonts w:asciiTheme="majorHAnsi" w:eastAsiaTheme="minorHAnsi" w:hAnsiTheme="majorHAnsi" w:cstheme="majorHAnsi"/>
        </w:rPr>
      </w:pPr>
      <w:r w:rsidRPr="001247EE">
        <w:rPr>
          <w:rFonts w:asciiTheme="majorHAnsi" w:hAnsiTheme="majorHAnsi" w:cstheme="majorHAnsi"/>
        </w:rPr>
        <w:t>Table D</w:t>
      </w:r>
      <w:r w:rsidR="00322BE3" w:rsidRPr="001247EE">
        <w:rPr>
          <w:rFonts w:asciiTheme="majorHAnsi" w:hAnsiTheme="majorHAnsi" w:cstheme="majorHAnsi"/>
        </w:rPr>
        <w:t>.</w:t>
      </w:r>
      <w:r w:rsidRPr="001247EE">
        <w:rPr>
          <w:rFonts w:asciiTheme="majorHAnsi" w:hAnsiTheme="majorHAnsi" w:cstheme="majorHAnsi"/>
        </w:rPr>
        <w:t>18.3</w:t>
      </w:r>
      <w:r w:rsidR="00322BE3" w:rsidRPr="001247EE">
        <w:rPr>
          <w:rFonts w:asciiTheme="majorHAnsi" w:hAnsiTheme="majorHAnsi" w:cstheme="majorHAnsi"/>
        </w:rPr>
        <w:t>.</w:t>
      </w:r>
      <w:r w:rsidR="00AE5E99" w:rsidRPr="001247EE">
        <w:rPr>
          <w:rFonts w:asciiTheme="majorHAnsi" w:hAnsiTheme="majorHAnsi" w:cstheme="majorHAnsi"/>
        </w:rPr>
        <w:t>d</w:t>
      </w:r>
      <w:r w:rsidRPr="001247EE">
        <w:rPr>
          <w:rFonts w:asciiTheme="majorHAnsi" w:hAnsiTheme="majorHAnsi" w:cstheme="majorHAnsi"/>
        </w:rPr>
        <w:t>. Assessment of Competencies for PhD in Environmental Science, Total Worker Health Track</w:t>
      </w:r>
      <w:r w:rsidR="00AE5E99" w:rsidRPr="001247EE">
        <w:rPr>
          <w:rFonts w:asciiTheme="majorHAnsi" w:hAnsiTheme="majorHAnsi" w:cstheme="majorHAnsi"/>
        </w:rPr>
        <w:t xml:space="preserve"> </w:t>
      </w:r>
      <w:r w:rsidR="00210F56" w:rsidRPr="001247EE">
        <w:rPr>
          <w:rFonts w:asciiTheme="majorHAnsi" w:hAnsiTheme="majorHAnsi" w:cstheme="majorHAnsi"/>
        </w:rPr>
        <w:t>(</w:t>
      </w:r>
      <w:r w:rsidR="00210F56" w:rsidRPr="001247EE">
        <w:rPr>
          <w:rFonts w:asciiTheme="majorHAnsi" w:hAnsiTheme="majorHAnsi" w:cstheme="majorHAnsi"/>
          <w:i/>
        </w:rPr>
        <w:t xml:space="preserve">ERF, </w:t>
      </w:r>
      <w:r w:rsidR="00AE5E99" w:rsidRPr="001247EE">
        <w:rPr>
          <w:rFonts w:asciiTheme="majorHAnsi" w:hAnsiTheme="majorHAnsi" w:cstheme="majorHAnsi"/>
          <w:i/>
        </w:rPr>
        <w:t>D18.3. PhD in Environmental Science</w:t>
      </w:r>
      <w:r w:rsidR="00210F56" w:rsidRPr="001247EE">
        <w:rPr>
          <w:rFonts w:asciiTheme="majorHAnsi" w:hAnsiTheme="majorHAnsi" w:cstheme="majorHAnsi"/>
          <w:i/>
        </w:rPr>
        <w:t>,</w:t>
      </w:r>
      <w:r w:rsidR="00AE5E99" w:rsidRPr="001247EE">
        <w:rPr>
          <w:rFonts w:asciiTheme="majorHAnsi" w:hAnsiTheme="majorHAnsi" w:cstheme="majorHAnsi"/>
          <w:i/>
        </w:rPr>
        <w:t xml:space="preserve"> </w:t>
      </w:r>
      <w:r w:rsidR="00210F56" w:rsidRPr="001247EE">
        <w:rPr>
          <w:rFonts w:asciiTheme="majorHAnsi" w:hAnsiTheme="majorHAnsi" w:cstheme="majorHAnsi"/>
          <w:i/>
        </w:rPr>
        <w:t>Total Worker Health Track</w:t>
      </w:r>
      <w:r w:rsidR="00210F56" w:rsidRPr="001247EE">
        <w:rPr>
          <w:rFonts w:asciiTheme="majorHAnsi" w:hAnsiTheme="majorHAnsi" w:cstheme="majorHAnsi"/>
        </w:rPr>
        <w:t xml:space="preserve">) </w:t>
      </w: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431"/>
        <w:gridCol w:w="3869"/>
      </w:tblGrid>
      <w:tr w:rsidR="00B8166D" w:rsidRPr="001247EE" w:rsidTr="00DE072A">
        <w:trPr>
          <w:trHeight w:val="315"/>
          <w:tblHeader/>
        </w:trPr>
        <w:tc>
          <w:tcPr>
            <w:tcW w:w="1354" w:type="pct"/>
            <w:shd w:val="clear" w:color="000000" w:fill="D9D9D9"/>
            <w:hideMark/>
          </w:tcPr>
          <w:p w:rsidR="00B8166D" w:rsidRPr="001247EE" w:rsidRDefault="00B8166D" w:rsidP="006C308E">
            <w:pPr>
              <w:jc w:val="center"/>
              <w:rPr>
                <w:rFonts w:asciiTheme="majorHAnsi" w:eastAsia="Times New Roman" w:hAnsiTheme="majorHAnsi" w:cstheme="majorHAnsi"/>
                <w:b/>
                <w:bCs/>
                <w:color w:val="000000"/>
                <w:sz w:val="20"/>
                <w:szCs w:val="20"/>
              </w:rPr>
            </w:pPr>
            <w:r w:rsidRPr="001247EE">
              <w:rPr>
                <w:rFonts w:asciiTheme="majorHAnsi" w:eastAsia="Times New Roman" w:hAnsiTheme="majorHAnsi" w:cstheme="majorHAnsi"/>
                <w:b/>
                <w:bCs/>
                <w:color w:val="000000"/>
                <w:sz w:val="20"/>
                <w:szCs w:val="20"/>
              </w:rPr>
              <w:t>Competency</w:t>
            </w:r>
          </w:p>
        </w:tc>
        <w:tc>
          <w:tcPr>
            <w:tcW w:w="1407" w:type="pct"/>
            <w:shd w:val="clear" w:color="000000" w:fill="D9D9D9"/>
          </w:tcPr>
          <w:p w:rsidR="00B8166D" w:rsidRPr="001247EE" w:rsidRDefault="00B8166D" w:rsidP="006C308E">
            <w:pPr>
              <w:jc w:val="center"/>
              <w:rPr>
                <w:rFonts w:asciiTheme="majorHAnsi" w:eastAsia="Times New Roman" w:hAnsiTheme="majorHAnsi" w:cstheme="majorHAnsi"/>
                <w:b/>
                <w:bCs/>
                <w:color w:val="000000"/>
                <w:sz w:val="20"/>
                <w:szCs w:val="20"/>
              </w:rPr>
            </w:pPr>
            <w:r w:rsidRPr="001247EE">
              <w:rPr>
                <w:rFonts w:asciiTheme="majorHAnsi" w:eastAsia="Times New Roman" w:hAnsiTheme="majorHAnsi" w:cstheme="majorHAnsi"/>
                <w:b/>
                <w:bCs/>
                <w:color w:val="000000"/>
                <w:sz w:val="20"/>
                <w:szCs w:val="20"/>
              </w:rPr>
              <w:t>Course Number and Name</w:t>
            </w:r>
          </w:p>
        </w:tc>
        <w:tc>
          <w:tcPr>
            <w:tcW w:w="2239" w:type="pct"/>
            <w:shd w:val="clear" w:color="000000" w:fill="D9D9D9"/>
            <w:hideMark/>
          </w:tcPr>
          <w:p w:rsidR="00B8166D" w:rsidRPr="001247EE" w:rsidRDefault="00B8166D" w:rsidP="006C308E">
            <w:pPr>
              <w:jc w:val="center"/>
              <w:rPr>
                <w:rFonts w:asciiTheme="majorHAnsi" w:eastAsia="Times New Roman" w:hAnsiTheme="majorHAnsi" w:cstheme="majorHAnsi"/>
                <w:b/>
                <w:bCs/>
                <w:color w:val="000000"/>
                <w:sz w:val="20"/>
                <w:szCs w:val="20"/>
              </w:rPr>
            </w:pPr>
            <w:r w:rsidRPr="001247EE">
              <w:rPr>
                <w:rFonts w:asciiTheme="majorHAnsi" w:eastAsia="Times New Roman" w:hAnsiTheme="majorHAnsi" w:cstheme="majorHAnsi"/>
                <w:b/>
                <w:bCs/>
                <w:color w:val="000000"/>
                <w:sz w:val="20"/>
                <w:szCs w:val="20"/>
              </w:rPr>
              <w:t>Specific assessment opportunity</w:t>
            </w:r>
          </w:p>
        </w:tc>
      </w:tr>
      <w:tr w:rsidR="00B8166D" w:rsidRPr="001247EE" w:rsidTr="00DE072A">
        <w:trPr>
          <w:trHeight w:val="315"/>
        </w:trPr>
        <w:tc>
          <w:tcPr>
            <w:tcW w:w="1354" w:type="pct"/>
            <w:shd w:val="clear" w:color="auto" w:fill="auto"/>
            <w:hideMark/>
          </w:tcPr>
          <w:p w:rsidR="00B8166D" w:rsidRPr="001247EE" w:rsidRDefault="00B8166D" w:rsidP="006C308E">
            <w:pPr>
              <w:rPr>
                <w:rFonts w:asciiTheme="majorHAnsi" w:hAnsiTheme="majorHAnsi" w:cstheme="majorHAnsi"/>
                <w:color w:val="000000"/>
                <w:sz w:val="20"/>
                <w:szCs w:val="20"/>
              </w:rPr>
            </w:pPr>
            <w:r w:rsidRPr="001247EE">
              <w:rPr>
                <w:rFonts w:asciiTheme="majorHAnsi" w:hAnsiTheme="majorHAnsi" w:cstheme="majorHAnsi"/>
                <w:color w:val="000000"/>
                <w:sz w:val="20"/>
                <w:szCs w:val="20"/>
              </w:rPr>
              <w:t>PhD-T1. Appraise the effectiveness of the Total Worker Health framework in workplace settings to improve worker well-being.</w:t>
            </w:r>
          </w:p>
        </w:tc>
        <w:tc>
          <w:tcPr>
            <w:tcW w:w="1407" w:type="pct"/>
          </w:tcPr>
          <w:p w:rsidR="00B8166D" w:rsidRPr="001247EE" w:rsidRDefault="00B8166D" w:rsidP="006C308E">
            <w:pPr>
              <w:rPr>
                <w:rFonts w:asciiTheme="majorHAnsi" w:hAnsiTheme="majorHAnsi" w:cstheme="majorHAnsi"/>
                <w:color w:val="000000"/>
                <w:sz w:val="20"/>
                <w:szCs w:val="20"/>
              </w:rPr>
            </w:pPr>
            <w:r w:rsidRPr="0012136D">
              <w:rPr>
                <w:rFonts w:asciiTheme="majorHAnsi" w:hAnsiTheme="majorHAnsi" w:cstheme="majorHAnsi"/>
                <w:b/>
                <w:sz w:val="20"/>
                <w:szCs w:val="20"/>
              </w:rPr>
              <w:t>PH 2270</w:t>
            </w:r>
            <w:r w:rsidRPr="001247EE">
              <w:rPr>
                <w:rFonts w:asciiTheme="majorHAnsi" w:hAnsiTheme="majorHAnsi" w:cstheme="majorHAnsi"/>
                <w:sz w:val="20"/>
                <w:szCs w:val="20"/>
              </w:rPr>
              <w:t xml:space="preserve"> Total Worker Health and Worker Well-being</w:t>
            </w:r>
          </w:p>
          <w:p w:rsidR="00B8166D" w:rsidRPr="001247EE" w:rsidRDefault="00B8166D" w:rsidP="006C308E">
            <w:pPr>
              <w:rPr>
                <w:rFonts w:asciiTheme="majorHAnsi" w:hAnsiTheme="majorHAnsi" w:cstheme="majorHAnsi"/>
                <w:color w:val="000000"/>
                <w:sz w:val="20"/>
                <w:szCs w:val="20"/>
              </w:rPr>
            </w:pPr>
          </w:p>
        </w:tc>
        <w:tc>
          <w:tcPr>
            <w:tcW w:w="2239" w:type="pct"/>
            <w:shd w:val="clear" w:color="auto" w:fill="auto"/>
          </w:tcPr>
          <w:p w:rsidR="00B8166D" w:rsidRPr="001247EE" w:rsidRDefault="00B8166D" w:rsidP="006C308E">
            <w:pPr>
              <w:rPr>
                <w:rFonts w:asciiTheme="majorHAnsi" w:hAnsiTheme="majorHAnsi" w:cstheme="majorHAnsi"/>
                <w:color w:val="000000"/>
                <w:sz w:val="20"/>
                <w:szCs w:val="20"/>
              </w:rPr>
            </w:pPr>
            <w:r w:rsidRPr="001247EE">
              <w:rPr>
                <w:rFonts w:asciiTheme="majorHAnsi" w:hAnsiTheme="majorHAnsi" w:cstheme="majorHAnsi"/>
                <w:sz w:val="20"/>
                <w:szCs w:val="20"/>
              </w:rPr>
              <w:t xml:space="preserve">Study </w:t>
            </w:r>
            <w:r w:rsidRPr="0012136D">
              <w:rPr>
                <w:rFonts w:asciiTheme="majorHAnsi" w:hAnsiTheme="majorHAnsi" w:cstheme="majorHAnsi"/>
                <w:sz w:val="20"/>
                <w:szCs w:val="20"/>
              </w:rPr>
              <w:t>Guide 1</w:t>
            </w:r>
            <w:r w:rsidRPr="0012136D">
              <w:rPr>
                <w:rFonts w:asciiTheme="majorHAnsi" w:hAnsiTheme="majorHAnsi" w:cstheme="majorHAnsi"/>
                <w:color w:val="000000"/>
                <w:sz w:val="20"/>
                <w:szCs w:val="20"/>
              </w:rPr>
              <w:t xml:space="preserve"> </w:t>
            </w:r>
            <w:r w:rsidR="000C50D1" w:rsidRPr="0012136D">
              <w:rPr>
                <w:rFonts w:asciiTheme="majorHAnsi" w:hAnsiTheme="majorHAnsi" w:cstheme="majorHAnsi"/>
                <w:color w:val="000000"/>
                <w:sz w:val="20"/>
                <w:szCs w:val="20"/>
              </w:rPr>
              <w:t xml:space="preserve">for </w:t>
            </w:r>
            <w:r w:rsidR="000C50D1" w:rsidRPr="0012136D">
              <w:rPr>
                <w:rFonts w:asciiTheme="majorHAnsi" w:hAnsiTheme="majorHAnsi" w:cstheme="majorHAnsi"/>
                <w:sz w:val="20"/>
                <w:szCs w:val="20"/>
              </w:rPr>
              <w:t>Seminar 1</w:t>
            </w:r>
            <w:r w:rsidR="000C50D1" w:rsidRPr="0012136D">
              <w:rPr>
                <w:rFonts w:asciiTheme="majorHAnsi" w:hAnsiTheme="majorHAnsi" w:cstheme="majorHAnsi"/>
                <w:color w:val="000000"/>
                <w:sz w:val="20"/>
                <w:szCs w:val="20"/>
              </w:rPr>
              <w:t>:</w:t>
            </w:r>
            <w:r w:rsidRPr="0012136D">
              <w:rPr>
                <w:rFonts w:asciiTheme="majorHAnsi" w:hAnsiTheme="majorHAnsi" w:cstheme="majorHAnsi"/>
                <w:color w:val="000000"/>
                <w:sz w:val="20"/>
                <w:szCs w:val="20"/>
              </w:rPr>
              <w:t xml:space="preserve"> </w:t>
            </w:r>
            <w:r w:rsidR="000C50D1" w:rsidRPr="0012136D">
              <w:rPr>
                <w:rFonts w:asciiTheme="majorHAnsi" w:hAnsiTheme="majorHAnsi" w:cstheme="majorHAnsi"/>
                <w:color w:val="000000"/>
                <w:sz w:val="20"/>
                <w:szCs w:val="20"/>
              </w:rPr>
              <w:t>W</w:t>
            </w:r>
            <w:r w:rsidRPr="0012136D">
              <w:rPr>
                <w:rFonts w:asciiTheme="majorHAnsi" w:hAnsiTheme="majorHAnsi" w:cstheme="majorHAnsi"/>
                <w:color w:val="000000"/>
                <w:sz w:val="20"/>
                <w:szCs w:val="20"/>
              </w:rPr>
              <w:t>ritten critique &amp; in-class discussion. Students describe the effectiveness of integrated health protection and health promotion</w:t>
            </w:r>
            <w:r w:rsidRPr="001247EE">
              <w:rPr>
                <w:rFonts w:asciiTheme="majorHAnsi" w:hAnsiTheme="majorHAnsi" w:cstheme="majorHAnsi"/>
                <w:color w:val="000000"/>
                <w:sz w:val="20"/>
                <w:szCs w:val="20"/>
              </w:rPr>
              <w:t xml:space="preserve"> interventions in worker populations.</w:t>
            </w:r>
          </w:p>
          <w:p w:rsidR="00B8166D" w:rsidRPr="001247EE" w:rsidRDefault="00B8166D" w:rsidP="006C308E">
            <w:pPr>
              <w:rPr>
                <w:rFonts w:asciiTheme="majorHAnsi" w:hAnsiTheme="majorHAnsi" w:cstheme="majorHAnsi"/>
                <w:color w:val="000000"/>
                <w:sz w:val="20"/>
                <w:szCs w:val="20"/>
              </w:rPr>
            </w:pPr>
          </w:p>
        </w:tc>
      </w:tr>
      <w:tr w:rsidR="00B8166D" w:rsidRPr="001247EE" w:rsidTr="00DE072A">
        <w:trPr>
          <w:trHeight w:val="300"/>
        </w:trPr>
        <w:tc>
          <w:tcPr>
            <w:tcW w:w="1354" w:type="pct"/>
            <w:vMerge w:val="restart"/>
            <w:shd w:val="clear" w:color="auto" w:fill="auto"/>
            <w:hideMark/>
          </w:tcPr>
          <w:p w:rsidR="00B8166D" w:rsidRPr="001247EE" w:rsidRDefault="00B8166D" w:rsidP="006C308E">
            <w:pPr>
              <w:rPr>
                <w:rFonts w:asciiTheme="majorHAnsi" w:hAnsiTheme="majorHAnsi" w:cstheme="majorHAnsi"/>
                <w:color w:val="000000"/>
                <w:sz w:val="20"/>
                <w:szCs w:val="20"/>
              </w:rPr>
            </w:pPr>
            <w:r w:rsidRPr="001247EE">
              <w:rPr>
                <w:rFonts w:asciiTheme="majorHAnsi" w:hAnsiTheme="majorHAnsi" w:cstheme="majorHAnsi"/>
                <w:color w:val="000000"/>
                <w:sz w:val="20"/>
                <w:szCs w:val="20"/>
              </w:rPr>
              <w:t>PhD-T2. Evaluate research methods relevant to Total Worker Health and worker well-being.</w:t>
            </w:r>
          </w:p>
        </w:tc>
        <w:tc>
          <w:tcPr>
            <w:tcW w:w="1407" w:type="pct"/>
          </w:tcPr>
          <w:p w:rsidR="00B8166D" w:rsidRPr="001247EE" w:rsidRDefault="00B8166D" w:rsidP="0034635B">
            <w:pPr>
              <w:rPr>
                <w:rFonts w:asciiTheme="majorHAnsi" w:hAnsiTheme="majorHAnsi" w:cstheme="majorHAnsi"/>
                <w:color w:val="000000"/>
                <w:sz w:val="20"/>
                <w:szCs w:val="20"/>
              </w:rPr>
            </w:pPr>
            <w:r w:rsidRPr="0012136D">
              <w:rPr>
                <w:rFonts w:asciiTheme="majorHAnsi" w:hAnsiTheme="majorHAnsi" w:cstheme="majorHAnsi"/>
                <w:b/>
                <w:sz w:val="20"/>
                <w:szCs w:val="20"/>
              </w:rPr>
              <w:t>PHD 2105</w:t>
            </w:r>
            <w:r w:rsidRPr="001247EE">
              <w:rPr>
                <w:rFonts w:asciiTheme="majorHAnsi" w:hAnsiTheme="majorHAnsi" w:cstheme="majorHAnsi"/>
                <w:sz w:val="20"/>
                <w:szCs w:val="20"/>
              </w:rPr>
              <w:t xml:space="preserve"> Environmental &amp; Occupational Health Sciences Doctoral Seminar</w:t>
            </w:r>
          </w:p>
        </w:tc>
        <w:tc>
          <w:tcPr>
            <w:tcW w:w="2239" w:type="pct"/>
            <w:shd w:val="clear" w:color="auto" w:fill="auto"/>
          </w:tcPr>
          <w:p w:rsidR="00B8166D" w:rsidRPr="001247EE" w:rsidRDefault="00FF744E" w:rsidP="006C308E">
            <w:pPr>
              <w:rPr>
                <w:rFonts w:asciiTheme="majorHAnsi" w:hAnsiTheme="majorHAnsi" w:cstheme="majorHAnsi"/>
                <w:color w:val="000000"/>
                <w:sz w:val="20"/>
                <w:szCs w:val="20"/>
              </w:rPr>
            </w:pPr>
            <w:r w:rsidRPr="001247EE">
              <w:rPr>
                <w:rFonts w:asciiTheme="majorHAnsi" w:hAnsiTheme="majorHAnsi" w:cstheme="majorHAnsi"/>
                <w:sz w:val="20"/>
                <w:szCs w:val="20"/>
              </w:rPr>
              <w:t>Methods Evaluation</w:t>
            </w:r>
            <w:r w:rsidRPr="001247EE">
              <w:rPr>
                <w:rFonts w:asciiTheme="majorHAnsi" w:hAnsiTheme="majorHAnsi" w:cstheme="majorHAnsi"/>
                <w:color w:val="000000"/>
                <w:sz w:val="20"/>
                <w:szCs w:val="20"/>
              </w:rPr>
              <w:t xml:space="preserve">: </w:t>
            </w:r>
            <w:r w:rsidR="00B8166D" w:rsidRPr="001247EE">
              <w:rPr>
                <w:rFonts w:asciiTheme="majorHAnsi" w:hAnsiTheme="majorHAnsi" w:cstheme="majorHAnsi"/>
                <w:color w:val="000000"/>
                <w:sz w:val="20"/>
                <w:szCs w:val="20"/>
              </w:rPr>
              <w:t>Students will prepare a written document or a narrated PowerPoint evaluating, comparing, and critiquing at least one of the main findings of the scientific product being reviewed (e.g., peer-review article) as well as discussing pros and cons, similarities and differences, limitations and advantages, challenges, etc., of the research strategy and methods used in the scientific product being reviewed. Students should demonstrate the relevance of the research approach the Total Worker Health framework and worker well-being.</w:t>
            </w:r>
          </w:p>
        </w:tc>
      </w:tr>
      <w:tr w:rsidR="00B8166D" w:rsidRPr="001247EE" w:rsidTr="00DE072A">
        <w:trPr>
          <w:trHeight w:val="300"/>
        </w:trPr>
        <w:tc>
          <w:tcPr>
            <w:tcW w:w="1354" w:type="pct"/>
            <w:vMerge/>
            <w:shd w:val="clear" w:color="auto" w:fill="auto"/>
          </w:tcPr>
          <w:p w:rsidR="00B8166D" w:rsidRPr="001247EE" w:rsidRDefault="00B8166D" w:rsidP="006C308E">
            <w:pPr>
              <w:rPr>
                <w:rFonts w:asciiTheme="majorHAnsi" w:hAnsiTheme="majorHAnsi" w:cstheme="majorHAnsi"/>
                <w:color w:val="000000"/>
                <w:sz w:val="20"/>
                <w:szCs w:val="20"/>
              </w:rPr>
            </w:pPr>
          </w:p>
        </w:tc>
        <w:tc>
          <w:tcPr>
            <w:tcW w:w="1407" w:type="pct"/>
          </w:tcPr>
          <w:p w:rsidR="00B8166D" w:rsidRPr="001247EE" w:rsidRDefault="00B8166D" w:rsidP="00AF5B05">
            <w:pPr>
              <w:rPr>
                <w:rFonts w:asciiTheme="majorHAnsi" w:hAnsiTheme="majorHAnsi" w:cstheme="majorHAnsi"/>
                <w:color w:val="000000"/>
                <w:sz w:val="20"/>
                <w:szCs w:val="20"/>
              </w:rPr>
            </w:pPr>
            <w:r w:rsidRPr="0012136D">
              <w:rPr>
                <w:rFonts w:asciiTheme="majorHAnsi" w:hAnsiTheme="majorHAnsi" w:cstheme="majorHAnsi"/>
                <w:b/>
                <w:sz w:val="20"/>
                <w:szCs w:val="20"/>
              </w:rPr>
              <w:t>PHWD 2106</w:t>
            </w:r>
            <w:r w:rsidRPr="001247EE">
              <w:rPr>
                <w:rFonts w:asciiTheme="majorHAnsi" w:hAnsiTheme="majorHAnsi" w:cstheme="majorHAnsi"/>
                <w:sz w:val="20"/>
                <w:szCs w:val="20"/>
              </w:rPr>
              <w:t xml:space="preserve"> Introduction to Doctoral Research Methods in Environmental and Occupational Health Sciences</w:t>
            </w:r>
          </w:p>
        </w:tc>
        <w:tc>
          <w:tcPr>
            <w:tcW w:w="2239" w:type="pct"/>
            <w:shd w:val="clear" w:color="auto" w:fill="auto"/>
          </w:tcPr>
          <w:p w:rsidR="00B8166D" w:rsidRPr="0012136D" w:rsidRDefault="00FF744E" w:rsidP="006C308E">
            <w:pPr>
              <w:rPr>
                <w:rFonts w:asciiTheme="majorHAnsi" w:hAnsiTheme="majorHAnsi" w:cstheme="majorHAnsi"/>
                <w:color w:val="000000"/>
                <w:sz w:val="20"/>
                <w:szCs w:val="20"/>
              </w:rPr>
            </w:pPr>
            <w:r w:rsidRPr="0012136D">
              <w:rPr>
                <w:rFonts w:asciiTheme="majorHAnsi" w:hAnsiTheme="majorHAnsi" w:cstheme="majorHAnsi"/>
                <w:sz w:val="20"/>
                <w:szCs w:val="20"/>
              </w:rPr>
              <w:t>Research Methods</w:t>
            </w:r>
            <w:r w:rsidRPr="0012136D">
              <w:rPr>
                <w:rFonts w:asciiTheme="majorHAnsi" w:hAnsiTheme="majorHAnsi" w:cstheme="majorHAnsi"/>
                <w:color w:val="000000"/>
                <w:sz w:val="20"/>
                <w:szCs w:val="20"/>
              </w:rPr>
              <w:t xml:space="preserve"> (and </w:t>
            </w:r>
            <w:r w:rsidRPr="0012136D">
              <w:rPr>
                <w:rFonts w:asciiTheme="majorHAnsi" w:hAnsiTheme="majorHAnsi" w:cstheme="majorHAnsi"/>
                <w:sz w:val="20"/>
                <w:szCs w:val="20"/>
              </w:rPr>
              <w:t>Rubric</w:t>
            </w:r>
            <w:r w:rsidRPr="0012136D">
              <w:rPr>
                <w:rFonts w:asciiTheme="majorHAnsi" w:hAnsiTheme="majorHAnsi" w:cstheme="majorHAnsi"/>
                <w:color w:val="000000"/>
                <w:sz w:val="20"/>
                <w:szCs w:val="20"/>
              </w:rPr>
              <w:t xml:space="preserve">): </w:t>
            </w:r>
            <w:r w:rsidR="00B8166D" w:rsidRPr="0012136D">
              <w:rPr>
                <w:rFonts w:asciiTheme="majorHAnsi" w:hAnsiTheme="majorHAnsi" w:cstheme="majorHAnsi"/>
                <w:color w:val="000000"/>
                <w:sz w:val="20"/>
                <w:szCs w:val="20"/>
              </w:rPr>
              <w:t xml:space="preserve">Written reviews of scientific documents and papers discussing key concepts present in the given piece. Students present orally and in written form 1) the key scientific content useful for supporting decisions and 2) key concepts underpinning an environmental health issue.  </w:t>
            </w:r>
          </w:p>
        </w:tc>
      </w:tr>
      <w:tr w:rsidR="00B8166D" w:rsidRPr="001247EE" w:rsidTr="00DE072A">
        <w:trPr>
          <w:trHeight w:val="300"/>
        </w:trPr>
        <w:tc>
          <w:tcPr>
            <w:tcW w:w="1354" w:type="pct"/>
            <w:vMerge/>
            <w:shd w:val="clear" w:color="auto" w:fill="auto"/>
          </w:tcPr>
          <w:p w:rsidR="00B8166D" w:rsidRPr="001247EE" w:rsidRDefault="00B8166D" w:rsidP="006C308E">
            <w:pPr>
              <w:rPr>
                <w:rFonts w:asciiTheme="majorHAnsi" w:hAnsiTheme="majorHAnsi" w:cstheme="majorHAnsi"/>
                <w:color w:val="000000"/>
                <w:sz w:val="20"/>
                <w:szCs w:val="20"/>
              </w:rPr>
            </w:pPr>
          </w:p>
        </w:tc>
        <w:tc>
          <w:tcPr>
            <w:tcW w:w="1407" w:type="pct"/>
          </w:tcPr>
          <w:p w:rsidR="00B342BD" w:rsidRPr="001247EE" w:rsidRDefault="00B342BD" w:rsidP="006C308E">
            <w:pPr>
              <w:rPr>
                <w:rFonts w:asciiTheme="majorHAnsi" w:hAnsiTheme="majorHAnsi" w:cstheme="majorHAnsi"/>
                <w:color w:val="000000"/>
                <w:sz w:val="20"/>
                <w:szCs w:val="20"/>
              </w:rPr>
            </w:pPr>
            <w:r w:rsidRPr="0012136D">
              <w:rPr>
                <w:rFonts w:asciiTheme="majorHAnsi" w:hAnsiTheme="majorHAnsi" w:cstheme="majorHAnsi"/>
                <w:b/>
                <w:sz w:val="20"/>
                <w:szCs w:val="20"/>
              </w:rPr>
              <w:t>PH 2270</w:t>
            </w:r>
            <w:r w:rsidRPr="001247EE">
              <w:rPr>
                <w:rFonts w:asciiTheme="majorHAnsi" w:hAnsiTheme="majorHAnsi" w:cstheme="majorHAnsi"/>
                <w:sz w:val="20"/>
                <w:szCs w:val="20"/>
              </w:rPr>
              <w:t xml:space="preserve"> Total Worker Health and Worker Well-being</w:t>
            </w:r>
            <w:r w:rsidRPr="001247EE">
              <w:rPr>
                <w:rFonts w:asciiTheme="majorHAnsi" w:hAnsiTheme="majorHAnsi" w:cstheme="majorHAnsi"/>
                <w:color w:val="000000"/>
                <w:sz w:val="20"/>
                <w:szCs w:val="20"/>
              </w:rPr>
              <w:t xml:space="preserve"> </w:t>
            </w:r>
          </w:p>
          <w:p w:rsidR="00B8166D" w:rsidRPr="001247EE" w:rsidRDefault="00B8166D" w:rsidP="006C308E">
            <w:pPr>
              <w:rPr>
                <w:rFonts w:asciiTheme="majorHAnsi" w:hAnsiTheme="majorHAnsi" w:cstheme="majorHAnsi"/>
                <w:color w:val="000000"/>
                <w:sz w:val="20"/>
                <w:szCs w:val="20"/>
              </w:rPr>
            </w:pPr>
          </w:p>
        </w:tc>
        <w:tc>
          <w:tcPr>
            <w:tcW w:w="2239" w:type="pct"/>
            <w:shd w:val="clear" w:color="auto" w:fill="auto"/>
          </w:tcPr>
          <w:p w:rsidR="00B8166D" w:rsidRPr="0012136D" w:rsidRDefault="00B8166D" w:rsidP="006C308E">
            <w:pPr>
              <w:rPr>
                <w:rFonts w:asciiTheme="majorHAnsi" w:hAnsiTheme="majorHAnsi" w:cstheme="majorHAnsi"/>
                <w:color w:val="000000"/>
                <w:sz w:val="20"/>
                <w:szCs w:val="20"/>
              </w:rPr>
            </w:pPr>
            <w:r w:rsidRPr="0012136D">
              <w:rPr>
                <w:rFonts w:asciiTheme="majorHAnsi" w:hAnsiTheme="majorHAnsi" w:cstheme="majorHAnsi"/>
                <w:sz w:val="20"/>
                <w:szCs w:val="20"/>
              </w:rPr>
              <w:t xml:space="preserve">Study Guide </w:t>
            </w:r>
            <w:r w:rsidR="00B342BD" w:rsidRPr="0012136D">
              <w:rPr>
                <w:rFonts w:asciiTheme="majorHAnsi" w:hAnsiTheme="majorHAnsi" w:cstheme="majorHAnsi"/>
                <w:sz w:val="20"/>
                <w:szCs w:val="20"/>
              </w:rPr>
              <w:t>4</w:t>
            </w:r>
            <w:r w:rsidR="00B342BD" w:rsidRPr="0012136D">
              <w:rPr>
                <w:rFonts w:asciiTheme="majorHAnsi" w:hAnsiTheme="majorHAnsi" w:cstheme="majorHAnsi"/>
                <w:color w:val="000000"/>
                <w:sz w:val="20"/>
                <w:szCs w:val="20"/>
              </w:rPr>
              <w:t xml:space="preserve"> for </w:t>
            </w:r>
            <w:r w:rsidR="00B342BD" w:rsidRPr="0012136D">
              <w:rPr>
                <w:rFonts w:asciiTheme="majorHAnsi" w:hAnsiTheme="majorHAnsi" w:cstheme="majorHAnsi"/>
                <w:sz w:val="20"/>
                <w:szCs w:val="20"/>
              </w:rPr>
              <w:t>Seminar 4</w:t>
            </w:r>
            <w:r w:rsidR="00B342BD" w:rsidRPr="0012136D">
              <w:rPr>
                <w:rFonts w:asciiTheme="majorHAnsi" w:hAnsiTheme="majorHAnsi" w:cstheme="majorHAnsi"/>
                <w:color w:val="000000"/>
                <w:sz w:val="20"/>
                <w:szCs w:val="20"/>
              </w:rPr>
              <w:t>: W</w:t>
            </w:r>
            <w:r w:rsidRPr="0012136D">
              <w:rPr>
                <w:rFonts w:asciiTheme="majorHAnsi" w:hAnsiTheme="majorHAnsi" w:cstheme="majorHAnsi"/>
                <w:color w:val="000000"/>
                <w:sz w:val="20"/>
                <w:szCs w:val="20"/>
              </w:rPr>
              <w:t>ritten critique &amp; in-class discussion. Students compare challenges to integrated health protection and health promotion interventions in small, medium and large businesses.</w:t>
            </w:r>
          </w:p>
        </w:tc>
      </w:tr>
      <w:tr w:rsidR="00B8166D" w:rsidRPr="001247EE" w:rsidTr="00DE072A">
        <w:trPr>
          <w:trHeight w:val="300"/>
        </w:trPr>
        <w:tc>
          <w:tcPr>
            <w:tcW w:w="1354" w:type="pct"/>
            <w:vMerge w:val="restart"/>
            <w:shd w:val="clear" w:color="auto" w:fill="auto"/>
            <w:hideMark/>
          </w:tcPr>
          <w:p w:rsidR="00B8166D" w:rsidRPr="001247EE" w:rsidRDefault="00B8166D" w:rsidP="006C308E">
            <w:pPr>
              <w:rPr>
                <w:rFonts w:asciiTheme="majorHAnsi" w:hAnsiTheme="majorHAnsi" w:cstheme="majorHAnsi"/>
                <w:color w:val="000000"/>
                <w:sz w:val="20"/>
                <w:szCs w:val="20"/>
              </w:rPr>
            </w:pPr>
            <w:r w:rsidRPr="001247EE">
              <w:rPr>
                <w:rFonts w:asciiTheme="majorHAnsi" w:hAnsiTheme="majorHAnsi" w:cstheme="majorHAnsi"/>
                <w:color w:val="000000"/>
                <w:sz w:val="20"/>
                <w:szCs w:val="20"/>
              </w:rPr>
              <w:t>PhD-T3. Recognize and evaluate sources and pathways of exposure to risk factors influencing worker well-being.</w:t>
            </w:r>
          </w:p>
        </w:tc>
        <w:tc>
          <w:tcPr>
            <w:tcW w:w="1407" w:type="pct"/>
          </w:tcPr>
          <w:p w:rsidR="00B8166D" w:rsidRPr="001247EE" w:rsidRDefault="00B8166D" w:rsidP="00E32BEF">
            <w:pPr>
              <w:rPr>
                <w:rFonts w:asciiTheme="majorHAnsi" w:hAnsiTheme="majorHAnsi" w:cstheme="majorHAnsi"/>
                <w:color w:val="000000"/>
                <w:sz w:val="20"/>
                <w:szCs w:val="20"/>
              </w:rPr>
            </w:pPr>
            <w:r w:rsidRPr="0012136D">
              <w:rPr>
                <w:rFonts w:asciiTheme="majorHAnsi" w:hAnsiTheme="majorHAnsi" w:cstheme="majorHAnsi"/>
                <w:b/>
                <w:sz w:val="20"/>
                <w:szCs w:val="20"/>
              </w:rPr>
              <w:t>PH 2241</w:t>
            </w:r>
            <w:r w:rsidRPr="001247EE">
              <w:rPr>
                <w:rFonts w:asciiTheme="majorHAnsi" w:hAnsiTheme="majorHAnsi" w:cstheme="majorHAnsi"/>
                <w:sz w:val="20"/>
                <w:szCs w:val="20"/>
              </w:rPr>
              <w:t xml:space="preserve"> Fundamentals of Occupational Safety</w:t>
            </w:r>
            <w:r w:rsidRPr="001247EE">
              <w:rPr>
                <w:rFonts w:asciiTheme="majorHAnsi" w:hAnsiTheme="majorHAnsi" w:cstheme="majorHAnsi"/>
                <w:color w:val="000000"/>
                <w:sz w:val="20"/>
                <w:szCs w:val="20"/>
              </w:rPr>
              <w:t xml:space="preserve"> </w:t>
            </w:r>
          </w:p>
        </w:tc>
        <w:tc>
          <w:tcPr>
            <w:tcW w:w="2239" w:type="pct"/>
            <w:shd w:val="clear" w:color="auto" w:fill="auto"/>
          </w:tcPr>
          <w:p w:rsidR="00B8166D" w:rsidRPr="001247EE" w:rsidRDefault="00BE1B2A" w:rsidP="006C308E">
            <w:pPr>
              <w:rPr>
                <w:rFonts w:asciiTheme="majorHAnsi" w:hAnsiTheme="majorHAnsi" w:cstheme="majorHAnsi"/>
                <w:color w:val="000000"/>
                <w:sz w:val="20"/>
                <w:szCs w:val="20"/>
              </w:rPr>
            </w:pPr>
            <w:r w:rsidRPr="001247EE">
              <w:rPr>
                <w:rFonts w:asciiTheme="majorHAnsi" w:hAnsiTheme="majorHAnsi" w:cstheme="majorHAnsi"/>
                <w:sz w:val="20"/>
                <w:szCs w:val="20"/>
              </w:rPr>
              <w:t>Hazard Assessment</w:t>
            </w:r>
            <w:r w:rsidRPr="001247EE">
              <w:rPr>
                <w:rFonts w:asciiTheme="majorHAnsi" w:hAnsiTheme="majorHAnsi" w:cstheme="majorHAnsi"/>
                <w:color w:val="000000"/>
                <w:sz w:val="20"/>
                <w:szCs w:val="20"/>
              </w:rPr>
              <w:t xml:space="preserve">: </w:t>
            </w:r>
            <w:r w:rsidR="00B8166D" w:rsidRPr="001247EE">
              <w:rPr>
                <w:rFonts w:asciiTheme="majorHAnsi" w:hAnsiTheme="majorHAnsi" w:cstheme="majorHAnsi"/>
                <w:color w:val="000000"/>
                <w:sz w:val="20"/>
                <w:szCs w:val="20"/>
              </w:rPr>
              <w:t xml:space="preserve">Field-based observations and written reports related to specific OSHA standards. </w:t>
            </w:r>
            <w:r w:rsidRPr="001247EE">
              <w:rPr>
                <w:rFonts w:asciiTheme="majorHAnsi" w:hAnsiTheme="majorHAnsi" w:cstheme="majorHAnsi"/>
                <w:color w:val="000000"/>
                <w:sz w:val="20"/>
                <w:szCs w:val="20"/>
              </w:rPr>
              <w:t xml:space="preserve">Students are required to survey different work areas around school, </w:t>
            </w:r>
            <w:r w:rsidR="00E75769" w:rsidRPr="001247EE">
              <w:rPr>
                <w:rFonts w:asciiTheme="majorHAnsi" w:hAnsiTheme="majorHAnsi" w:cstheme="majorHAnsi"/>
                <w:color w:val="000000"/>
                <w:sz w:val="20"/>
                <w:szCs w:val="20"/>
              </w:rPr>
              <w:t>their</w:t>
            </w:r>
            <w:r w:rsidRPr="001247EE">
              <w:rPr>
                <w:rFonts w:asciiTheme="majorHAnsi" w:hAnsiTheme="majorHAnsi" w:cstheme="majorHAnsi"/>
                <w:color w:val="000000"/>
                <w:sz w:val="20"/>
                <w:szCs w:val="20"/>
              </w:rPr>
              <w:t xml:space="preserve"> neighborhood, shop</w:t>
            </w:r>
            <w:r w:rsidR="0076640E" w:rsidRPr="001247EE">
              <w:rPr>
                <w:rFonts w:asciiTheme="majorHAnsi" w:hAnsiTheme="majorHAnsi" w:cstheme="majorHAnsi"/>
                <w:color w:val="000000"/>
                <w:sz w:val="20"/>
                <w:szCs w:val="20"/>
              </w:rPr>
              <w:t>ping areas, construction areas</w:t>
            </w:r>
            <w:r w:rsidRPr="001247EE">
              <w:rPr>
                <w:rFonts w:asciiTheme="majorHAnsi" w:hAnsiTheme="majorHAnsi" w:cstheme="majorHAnsi"/>
                <w:color w:val="000000"/>
                <w:sz w:val="20"/>
                <w:szCs w:val="20"/>
              </w:rPr>
              <w:t xml:space="preserve">, and evaluate potential safety hazards/situations which are or are not in compliance with OSHA standards. </w:t>
            </w:r>
            <w:r w:rsidR="0076640E" w:rsidRPr="001247EE">
              <w:rPr>
                <w:rFonts w:asciiTheme="majorHAnsi" w:hAnsiTheme="majorHAnsi" w:cstheme="majorHAnsi"/>
                <w:color w:val="000000"/>
                <w:sz w:val="20"/>
                <w:szCs w:val="20"/>
              </w:rPr>
              <w:t>Students may</w:t>
            </w:r>
            <w:r w:rsidRPr="001247EE">
              <w:rPr>
                <w:rFonts w:asciiTheme="majorHAnsi" w:hAnsiTheme="majorHAnsi" w:cstheme="majorHAnsi"/>
                <w:color w:val="000000"/>
                <w:sz w:val="20"/>
                <w:szCs w:val="20"/>
              </w:rPr>
              <w:t xml:space="preserve"> also evaluate obvious best practice examples which are in compliance with OSHA standards. </w:t>
            </w:r>
            <w:r w:rsidR="00F97449" w:rsidRPr="001247EE">
              <w:rPr>
                <w:rFonts w:asciiTheme="majorHAnsi" w:hAnsiTheme="majorHAnsi" w:cstheme="majorHAnsi"/>
                <w:color w:val="000000"/>
                <w:sz w:val="20"/>
                <w:szCs w:val="20"/>
              </w:rPr>
              <w:t>Students will</w:t>
            </w:r>
            <w:r w:rsidRPr="001247EE">
              <w:rPr>
                <w:rFonts w:asciiTheme="majorHAnsi" w:hAnsiTheme="majorHAnsi" w:cstheme="majorHAnsi"/>
                <w:color w:val="000000"/>
                <w:sz w:val="20"/>
                <w:szCs w:val="20"/>
              </w:rPr>
              <w:t xml:space="preserve"> evaluate four different hazards and/or compliance best practices from </w:t>
            </w:r>
            <w:r w:rsidR="00C91610" w:rsidRPr="001247EE">
              <w:rPr>
                <w:rFonts w:asciiTheme="majorHAnsi" w:hAnsiTheme="majorHAnsi" w:cstheme="majorHAnsi"/>
                <w:color w:val="000000"/>
                <w:sz w:val="20"/>
                <w:szCs w:val="20"/>
              </w:rPr>
              <w:t>a list provided</w:t>
            </w:r>
            <w:r w:rsidRPr="001247EE">
              <w:rPr>
                <w:rFonts w:asciiTheme="majorHAnsi" w:hAnsiTheme="majorHAnsi" w:cstheme="majorHAnsi"/>
                <w:color w:val="000000"/>
                <w:sz w:val="20"/>
                <w:szCs w:val="20"/>
              </w:rPr>
              <w:t xml:space="preserve">. </w:t>
            </w:r>
          </w:p>
        </w:tc>
      </w:tr>
      <w:tr w:rsidR="00B8166D" w:rsidRPr="001247EE" w:rsidTr="00DE072A">
        <w:trPr>
          <w:trHeight w:val="300"/>
        </w:trPr>
        <w:tc>
          <w:tcPr>
            <w:tcW w:w="1354" w:type="pct"/>
            <w:vMerge/>
            <w:shd w:val="clear" w:color="auto" w:fill="auto"/>
          </w:tcPr>
          <w:p w:rsidR="00B8166D" w:rsidRPr="001247EE" w:rsidRDefault="00B8166D" w:rsidP="006C308E">
            <w:pPr>
              <w:rPr>
                <w:rFonts w:asciiTheme="majorHAnsi" w:hAnsiTheme="majorHAnsi" w:cstheme="majorHAnsi"/>
                <w:color w:val="000000"/>
                <w:sz w:val="20"/>
                <w:szCs w:val="20"/>
              </w:rPr>
            </w:pPr>
          </w:p>
        </w:tc>
        <w:tc>
          <w:tcPr>
            <w:tcW w:w="1407" w:type="pct"/>
          </w:tcPr>
          <w:p w:rsidR="00B8166D" w:rsidRPr="001247EE" w:rsidRDefault="00B8166D" w:rsidP="0058779B">
            <w:pPr>
              <w:rPr>
                <w:rFonts w:asciiTheme="majorHAnsi" w:hAnsiTheme="majorHAnsi" w:cstheme="majorHAnsi"/>
                <w:color w:val="000000"/>
                <w:sz w:val="20"/>
                <w:szCs w:val="20"/>
              </w:rPr>
            </w:pPr>
            <w:r w:rsidRPr="0012136D">
              <w:rPr>
                <w:rFonts w:asciiTheme="majorHAnsi" w:hAnsiTheme="majorHAnsi" w:cstheme="majorHAnsi"/>
                <w:b/>
                <w:sz w:val="20"/>
                <w:szCs w:val="20"/>
              </w:rPr>
              <w:t>PH 2245</w:t>
            </w:r>
            <w:r w:rsidRPr="001247EE">
              <w:rPr>
                <w:rFonts w:asciiTheme="majorHAnsi" w:hAnsiTheme="majorHAnsi" w:cstheme="majorHAnsi"/>
                <w:sz w:val="20"/>
                <w:szCs w:val="20"/>
              </w:rPr>
              <w:t xml:space="preserve"> Fundamentals of Industrial Hygiene</w:t>
            </w:r>
          </w:p>
        </w:tc>
        <w:tc>
          <w:tcPr>
            <w:tcW w:w="2239" w:type="pct"/>
            <w:shd w:val="clear" w:color="auto" w:fill="auto"/>
          </w:tcPr>
          <w:p w:rsidR="00B8166D" w:rsidRPr="001247EE" w:rsidRDefault="00B8166D" w:rsidP="006C308E">
            <w:pPr>
              <w:rPr>
                <w:rFonts w:asciiTheme="majorHAnsi" w:hAnsiTheme="majorHAnsi" w:cstheme="majorHAnsi"/>
                <w:color w:val="000000"/>
                <w:sz w:val="20"/>
                <w:szCs w:val="20"/>
              </w:rPr>
            </w:pPr>
            <w:r w:rsidRPr="001247EE">
              <w:rPr>
                <w:rFonts w:asciiTheme="majorHAnsi" w:hAnsiTheme="majorHAnsi" w:cstheme="majorHAnsi"/>
                <w:sz w:val="20"/>
                <w:szCs w:val="20"/>
              </w:rPr>
              <w:t>Exams</w:t>
            </w:r>
            <w:r w:rsidRPr="001247EE">
              <w:rPr>
                <w:rFonts w:asciiTheme="majorHAnsi" w:hAnsiTheme="majorHAnsi" w:cstheme="majorHAnsi"/>
                <w:color w:val="000000"/>
                <w:sz w:val="20"/>
                <w:szCs w:val="20"/>
              </w:rPr>
              <w:t>: Students complete three exams through which they are tested on the didactic body of the course in which sources and exposures are addressed, by major areas of stressors. This includes content questions and calculations where appropriate.</w:t>
            </w:r>
          </w:p>
          <w:p w:rsidR="00B8166D" w:rsidRPr="001247EE" w:rsidRDefault="00B8166D" w:rsidP="006C308E">
            <w:pPr>
              <w:rPr>
                <w:rFonts w:asciiTheme="majorHAnsi" w:hAnsiTheme="majorHAnsi" w:cstheme="majorHAnsi"/>
                <w:color w:val="000000"/>
                <w:sz w:val="20"/>
                <w:szCs w:val="20"/>
              </w:rPr>
            </w:pPr>
          </w:p>
          <w:p w:rsidR="00B8166D" w:rsidRPr="001247EE" w:rsidRDefault="00B8166D" w:rsidP="006C308E">
            <w:pPr>
              <w:rPr>
                <w:rFonts w:asciiTheme="majorHAnsi" w:hAnsiTheme="majorHAnsi" w:cstheme="majorHAnsi"/>
                <w:color w:val="000000"/>
                <w:sz w:val="20"/>
                <w:szCs w:val="20"/>
              </w:rPr>
            </w:pPr>
            <w:r w:rsidRPr="001247EE">
              <w:rPr>
                <w:rFonts w:asciiTheme="majorHAnsi" w:hAnsiTheme="majorHAnsi" w:cstheme="majorHAnsi"/>
                <w:sz w:val="20"/>
                <w:szCs w:val="20"/>
              </w:rPr>
              <w:t>Written Project</w:t>
            </w:r>
            <w:r w:rsidRPr="001247EE">
              <w:rPr>
                <w:rFonts w:asciiTheme="majorHAnsi" w:hAnsiTheme="majorHAnsi" w:cstheme="majorHAnsi"/>
                <w:color w:val="000000"/>
                <w:sz w:val="20"/>
                <w:szCs w:val="20"/>
              </w:rPr>
              <w:t xml:space="preserve">: </w:t>
            </w:r>
            <w:r w:rsidR="00C7437C" w:rsidRPr="001247EE">
              <w:rPr>
                <w:rFonts w:asciiTheme="majorHAnsi" w:hAnsiTheme="majorHAnsi" w:cstheme="majorHAnsi"/>
                <w:color w:val="000000"/>
                <w:sz w:val="20"/>
                <w:szCs w:val="20"/>
              </w:rPr>
              <w:t>S</w:t>
            </w:r>
            <w:r w:rsidRPr="001247EE">
              <w:rPr>
                <w:rFonts w:asciiTheme="majorHAnsi" w:hAnsiTheme="majorHAnsi" w:cstheme="majorHAnsi"/>
                <w:color w:val="000000"/>
                <w:sz w:val="20"/>
                <w:szCs w:val="20"/>
              </w:rPr>
              <w:t>tudents will prepare a white paper summary of the issues of hazard agents and factors, of a given substantial occupational or environmental health problem. This will include literature review and selection of a focused number of major relevant publications. These will be summarized with implications for recognizing factors about the problem, which are the major risks, discussing mediating issues including pathways, and summarizing current outcomes that are observed.</w:t>
            </w:r>
          </w:p>
        </w:tc>
      </w:tr>
      <w:tr w:rsidR="00B8166D" w:rsidRPr="001247EE" w:rsidTr="00DE072A">
        <w:trPr>
          <w:trHeight w:val="300"/>
        </w:trPr>
        <w:tc>
          <w:tcPr>
            <w:tcW w:w="1354" w:type="pct"/>
            <w:vMerge w:val="restart"/>
            <w:shd w:val="clear" w:color="auto" w:fill="auto"/>
            <w:hideMark/>
          </w:tcPr>
          <w:p w:rsidR="00B8166D" w:rsidRPr="001247EE" w:rsidRDefault="00B8166D" w:rsidP="006C308E">
            <w:pPr>
              <w:rPr>
                <w:rFonts w:asciiTheme="majorHAnsi" w:hAnsiTheme="majorHAnsi" w:cstheme="majorHAnsi"/>
                <w:color w:val="000000"/>
                <w:sz w:val="20"/>
                <w:szCs w:val="20"/>
              </w:rPr>
            </w:pPr>
            <w:r w:rsidRPr="001247EE">
              <w:rPr>
                <w:rFonts w:asciiTheme="majorHAnsi" w:hAnsiTheme="majorHAnsi" w:cstheme="majorHAnsi"/>
                <w:color w:val="000000"/>
                <w:sz w:val="20"/>
                <w:szCs w:val="20"/>
              </w:rPr>
              <w:t xml:space="preserve">PhD-T4. Investigate potential modifiers (e.g., aging, addictions, outdoor air pollution, built environment, lifestyle behaviors, health policies and </w:t>
            </w:r>
            <w:r w:rsidR="00D06EEE" w:rsidRPr="001247EE">
              <w:rPr>
                <w:rFonts w:asciiTheme="majorHAnsi" w:hAnsiTheme="majorHAnsi" w:cstheme="majorHAnsi"/>
                <w:color w:val="000000"/>
                <w:sz w:val="20"/>
                <w:szCs w:val="20"/>
              </w:rPr>
              <w:t>healthcare</w:t>
            </w:r>
            <w:r w:rsidRPr="001247EE">
              <w:rPr>
                <w:rFonts w:asciiTheme="majorHAnsi" w:hAnsiTheme="majorHAnsi" w:cstheme="majorHAnsi"/>
                <w:color w:val="000000"/>
                <w:sz w:val="20"/>
                <w:szCs w:val="20"/>
              </w:rPr>
              <w:t>) of occupational factors influencing worker well-being.</w:t>
            </w:r>
          </w:p>
        </w:tc>
        <w:tc>
          <w:tcPr>
            <w:tcW w:w="1407" w:type="pct"/>
          </w:tcPr>
          <w:p w:rsidR="003A5852" w:rsidRPr="001247EE" w:rsidRDefault="003A5852" w:rsidP="006C308E">
            <w:pPr>
              <w:rPr>
                <w:rFonts w:asciiTheme="majorHAnsi" w:hAnsiTheme="majorHAnsi" w:cstheme="majorHAnsi"/>
                <w:color w:val="000000"/>
                <w:sz w:val="20"/>
                <w:szCs w:val="20"/>
              </w:rPr>
            </w:pPr>
            <w:r w:rsidRPr="0012136D">
              <w:rPr>
                <w:rFonts w:asciiTheme="majorHAnsi" w:hAnsiTheme="majorHAnsi" w:cstheme="majorHAnsi"/>
                <w:b/>
                <w:sz w:val="20"/>
                <w:szCs w:val="20"/>
              </w:rPr>
              <w:t>PH 2270</w:t>
            </w:r>
            <w:r w:rsidRPr="001247EE">
              <w:rPr>
                <w:rFonts w:asciiTheme="majorHAnsi" w:hAnsiTheme="majorHAnsi" w:cstheme="majorHAnsi"/>
                <w:sz w:val="20"/>
                <w:szCs w:val="20"/>
              </w:rPr>
              <w:t xml:space="preserve"> Total Worker Health and Worker Well-being</w:t>
            </w:r>
            <w:r w:rsidRPr="001247EE">
              <w:rPr>
                <w:rFonts w:asciiTheme="majorHAnsi" w:hAnsiTheme="majorHAnsi" w:cstheme="majorHAnsi"/>
                <w:color w:val="000000"/>
                <w:sz w:val="20"/>
                <w:szCs w:val="20"/>
              </w:rPr>
              <w:t xml:space="preserve"> </w:t>
            </w:r>
          </w:p>
          <w:p w:rsidR="00B8166D" w:rsidRPr="001247EE" w:rsidRDefault="00B8166D" w:rsidP="006C308E">
            <w:pPr>
              <w:rPr>
                <w:rFonts w:asciiTheme="majorHAnsi" w:hAnsiTheme="majorHAnsi" w:cstheme="majorHAnsi"/>
                <w:color w:val="000000"/>
                <w:sz w:val="20"/>
                <w:szCs w:val="20"/>
              </w:rPr>
            </w:pPr>
          </w:p>
        </w:tc>
        <w:tc>
          <w:tcPr>
            <w:tcW w:w="2239" w:type="pct"/>
            <w:shd w:val="clear" w:color="auto" w:fill="auto"/>
          </w:tcPr>
          <w:p w:rsidR="00B8166D" w:rsidRPr="001247EE" w:rsidRDefault="00B8166D" w:rsidP="006C308E">
            <w:pPr>
              <w:rPr>
                <w:rFonts w:asciiTheme="majorHAnsi" w:hAnsiTheme="majorHAnsi" w:cstheme="majorHAnsi"/>
                <w:color w:val="000000"/>
                <w:sz w:val="20"/>
                <w:szCs w:val="20"/>
              </w:rPr>
            </w:pPr>
            <w:r w:rsidRPr="001247EE">
              <w:rPr>
                <w:rFonts w:asciiTheme="majorHAnsi" w:hAnsiTheme="majorHAnsi" w:cstheme="majorHAnsi"/>
                <w:sz w:val="20"/>
                <w:szCs w:val="20"/>
              </w:rPr>
              <w:t>Written Paper</w:t>
            </w:r>
            <w:r w:rsidR="00822D8B" w:rsidRPr="001247EE">
              <w:rPr>
                <w:rFonts w:asciiTheme="majorHAnsi" w:hAnsiTheme="majorHAnsi" w:cstheme="majorHAnsi"/>
                <w:color w:val="000000"/>
                <w:sz w:val="20"/>
                <w:szCs w:val="20"/>
              </w:rPr>
              <w:t>:</w:t>
            </w:r>
            <w:r w:rsidRPr="001247EE">
              <w:rPr>
                <w:rFonts w:asciiTheme="majorHAnsi" w:hAnsiTheme="majorHAnsi" w:cstheme="majorHAnsi"/>
                <w:color w:val="000000"/>
                <w:sz w:val="20"/>
                <w:szCs w:val="20"/>
              </w:rPr>
              <w:t xml:space="preserve"> Students investigate the impact of a potential modifier of an occupational factor influencing worker well-being. </w:t>
            </w:r>
          </w:p>
        </w:tc>
      </w:tr>
      <w:tr w:rsidR="00B8166D" w:rsidRPr="001247EE" w:rsidTr="00DE072A">
        <w:trPr>
          <w:trHeight w:val="300"/>
        </w:trPr>
        <w:tc>
          <w:tcPr>
            <w:tcW w:w="1354" w:type="pct"/>
            <w:vMerge/>
            <w:shd w:val="clear" w:color="auto" w:fill="auto"/>
          </w:tcPr>
          <w:p w:rsidR="00B8166D" w:rsidRPr="001247EE" w:rsidRDefault="00B8166D" w:rsidP="006C308E">
            <w:pPr>
              <w:rPr>
                <w:rFonts w:asciiTheme="majorHAnsi" w:hAnsiTheme="majorHAnsi" w:cstheme="majorHAnsi"/>
                <w:color w:val="000000"/>
                <w:sz w:val="20"/>
                <w:szCs w:val="20"/>
              </w:rPr>
            </w:pPr>
          </w:p>
        </w:tc>
        <w:tc>
          <w:tcPr>
            <w:tcW w:w="1407" w:type="pct"/>
          </w:tcPr>
          <w:p w:rsidR="00B8166D" w:rsidRPr="001247EE" w:rsidRDefault="00FF744E" w:rsidP="00A35E94">
            <w:pPr>
              <w:rPr>
                <w:rFonts w:asciiTheme="majorHAnsi" w:hAnsiTheme="majorHAnsi" w:cstheme="majorHAnsi"/>
                <w:color w:val="000000"/>
                <w:sz w:val="20"/>
                <w:szCs w:val="20"/>
              </w:rPr>
            </w:pPr>
            <w:r w:rsidRPr="0012136D">
              <w:rPr>
                <w:rFonts w:asciiTheme="majorHAnsi" w:hAnsiTheme="majorHAnsi" w:cstheme="majorHAnsi"/>
                <w:b/>
                <w:sz w:val="20"/>
                <w:szCs w:val="20"/>
              </w:rPr>
              <w:t>PHWD 2106</w:t>
            </w:r>
            <w:r w:rsidRPr="001247EE">
              <w:rPr>
                <w:rFonts w:asciiTheme="majorHAnsi" w:hAnsiTheme="majorHAnsi" w:cstheme="majorHAnsi"/>
                <w:sz w:val="20"/>
                <w:szCs w:val="20"/>
              </w:rPr>
              <w:t xml:space="preserve"> Introduction to Doctoral Research Methods in Environmental and Occupational Health Sciences</w:t>
            </w:r>
          </w:p>
        </w:tc>
        <w:tc>
          <w:tcPr>
            <w:tcW w:w="2239" w:type="pct"/>
            <w:shd w:val="clear" w:color="auto" w:fill="auto"/>
          </w:tcPr>
          <w:p w:rsidR="00B8166D" w:rsidRPr="001247EE" w:rsidRDefault="00FF744E" w:rsidP="006C308E">
            <w:pPr>
              <w:rPr>
                <w:rFonts w:asciiTheme="majorHAnsi" w:hAnsiTheme="majorHAnsi" w:cstheme="majorHAnsi"/>
                <w:color w:val="000000"/>
                <w:sz w:val="20"/>
                <w:szCs w:val="20"/>
              </w:rPr>
            </w:pPr>
            <w:r w:rsidRPr="0012136D">
              <w:rPr>
                <w:rFonts w:asciiTheme="majorHAnsi" w:hAnsiTheme="majorHAnsi" w:cstheme="majorHAnsi"/>
                <w:sz w:val="20"/>
                <w:szCs w:val="20"/>
              </w:rPr>
              <w:t>Modifiers</w:t>
            </w:r>
            <w:r w:rsidRPr="0012136D">
              <w:rPr>
                <w:rFonts w:asciiTheme="majorHAnsi" w:hAnsiTheme="majorHAnsi" w:cstheme="majorHAnsi"/>
                <w:color w:val="000000"/>
                <w:sz w:val="20"/>
                <w:szCs w:val="20"/>
              </w:rPr>
              <w:t xml:space="preserve"> (and </w:t>
            </w:r>
            <w:r w:rsidRPr="0012136D">
              <w:rPr>
                <w:rFonts w:asciiTheme="majorHAnsi" w:hAnsiTheme="majorHAnsi" w:cstheme="majorHAnsi"/>
                <w:sz w:val="20"/>
                <w:szCs w:val="20"/>
              </w:rPr>
              <w:t>Rubric</w:t>
            </w:r>
            <w:r w:rsidRPr="0012136D">
              <w:rPr>
                <w:rFonts w:asciiTheme="majorHAnsi" w:hAnsiTheme="majorHAnsi" w:cstheme="majorHAnsi"/>
                <w:color w:val="000000"/>
                <w:sz w:val="20"/>
                <w:szCs w:val="20"/>
              </w:rPr>
              <w:t xml:space="preserve">): </w:t>
            </w:r>
            <w:r w:rsidR="00B8166D" w:rsidRPr="0012136D">
              <w:rPr>
                <w:rFonts w:asciiTheme="majorHAnsi" w:hAnsiTheme="majorHAnsi" w:cstheme="majorHAnsi"/>
                <w:color w:val="000000"/>
                <w:sz w:val="20"/>
                <w:szCs w:val="20"/>
              </w:rPr>
              <w:t>Written reviews of scientific documents</w:t>
            </w:r>
            <w:r w:rsidR="00B8166D" w:rsidRPr="001247EE">
              <w:rPr>
                <w:rFonts w:asciiTheme="majorHAnsi" w:hAnsiTheme="majorHAnsi" w:cstheme="majorHAnsi"/>
                <w:color w:val="000000"/>
                <w:sz w:val="20"/>
                <w:szCs w:val="20"/>
              </w:rPr>
              <w:t xml:space="preserve"> and papers discussing key concepts present in the given piece. Students present orally and in written form 1) the key scientific content useful for supporting decisions and 2) key concepts underpinning an environmental health issue.  </w:t>
            </w:r>
          </w:p>
        </w:tc>
      </w:tr>
      <w:tr w:rsidR="00B8166D" w:rsidRPr="001247EE" w:rsidTr="00DE072A">
        <w:trPr>
          <w:trHeight w:val="300"/>
        </w:trPr>
        <w:tc>
          <w:tcPr>
            <w:tcW w:w="1354" w:type="pct"/>
            <w:vMerge/>
            <w:shd w:val="clear" w:color="auto" w:fill="auto"/>
          </w:tcPr>
          <w:p w:rsidR="00B8166D" w:rsidRPr="001247EE" w:rsidRDefault="00B8166D" w:rsidP="006C308E">
            <w:pPr>
              <w:rPr>
                <w:rFonts w:asciiTheme="majorHAnsi" w:hAnsiTheme="majorHAnsi" w:cstheme="majorHAnsi"/>
                <w:color w:val="000000"/>
                <w:sz w:val="20"/>
                <w:szCs w:val="20"/>
              </w:rPr>
            </w:pPr>
          </w:p>
        </w:tc>
        <w:tc>
          <w:tcPr>
            <w:tcW w:w="1407" w:type="pct"/>
          </w:tcPr>
          <w:p w:rsidR="00B8166D" w:rsidRPr="001247EE" w:rsidRDefault="00B8166D" w:rsidP="009E2E0D">
            <w:pPr>
              <w:rPr>
                <w:rFonts w:asciiTheme="majorHAnsi" w:hAnsiTheme="majorHAnsi" w:cstheme="majorHAnsi"/>
                <w:color w:val="000000"/>
                <w:sz w:val="20"/>
                <w:szCs w:val="20"/>
              </w:rPr>
            </w:pPr>
            <w:r w:rsidRPr="0012136D">
              <w:rPr>
                <w:rFonts w:asciiTheme="majorHAnsi" w:hAnsiTheme="majorHAnsi" w:cstheme="majorHAnsi"/>
                <w:b/>
                <w:sz w:val="20"/>
                <w:szCs w:val="20"/>
              </w:rPr>
              <w:t>PHW 2498</w:t>
            </w:r>
            <w:r w:rsidRPr="001247EE">
              <w:rPr>
                <w:rFonts w:asciiTheme="majorHAnsi" w:hAnsiTheme="majorHAnsi" w:cstheme="majorHAnsi"/>
                <w:sz w:val="20"/>
                <w:szCs w:val="20"/>
              </w:rPr>
              <w:t xml:space="preserve"> Occupational Health Psychology</w:t>
            </w:r>
          </w:p>
        </w:tc>
        <w:tc>
          <w:tcPr>
            <w:tcW w:w="2239" w:type="pct"/>
            <w:shd w:val="clear" w:color="auto" w:fill="auto"/>
          </w:tcPr>
          <w:p w:rsidR="00B8166D" w:rsidRPr="001247EE" w:rsidRDefault="00B8166D" w:rsidP="006C308E">
            <w:pPr>
              <w:rPr>
                <w:rFonts w:asciiTheme="majorHAnsi" w:hAnsiTheme="majorHAnsi" w:cstheme="majorHAnsi"/>
                <w:color w:val="000000"/>
                <w:sz w:val="20"/>
                <w:szCs w:val="20"/>
              </w:rPr>
            </w:pPr>
            <w:r w:rsidRPr="001247EE">
              <w:rPr>
                <w:rFonts w:asciiTheme="majorHAnsi" w:hAnsiTheme="majorHAnsi" w:cstheme="majorHAnsi"/>
                <w:sz w:val="20"/>
                <w:szCs w:val="20"/>
              </w:rPr>
              <w:t>How does occupational health psychology relate to Total Worker Health® (TWH)?</w:t>
            </w:r>
            <w:r w:rsidRPr="001247EE">
              <w:rPr>
                <w:rFonts w:asciiTheme="majorHAnsi" w:hAnsiTheme="majorHAnsi" w:cstheme="majorHAnsi"/>
                <w:color w:val="000000"/>
                <w:sz w:val="20"/>
                <w:szCs w:val="20"/>
              </w:rPr>
              <w:t xml:space="preserve"> In a single figure, students must create a conceptual framework that demonstrates the relationships between the potential modifiers and main determinants (i.e., the main outcome or target of the TWH approach). For each potential modifier depicted in the conceptual framework, indicate:</w:t>
            </w:r>
          </w:p>
          <w:p w:rsidR="00B8166D" w:rsidRPr="001247EE" w:rsidRDefault="00B8166D" w:rsidP="006C308E">
            <w:pPr>
              <w:ind w:left="162"/>
              <w:rPr>
                <w:rFonts w:asciiTheme="majorHAnsi" w:hAnsiTheme="majorHAnsi" w:cstheme="majorHAnsi"/>
                <w:color w:val="000000"/>
                <w:sz w:val="20"/>
                <w:szCs w:val="20"/>
              </w:rPr>
            </w:pPr>
            <w:r w:rsidRPr="001247EE">
              <w:rPr>
                <w:rFonts w:asciiTheme="majorHAnsi" w:hAnsiTheme="majorHAnsi" w:cstheme="majorHAnsi"/>
                <w:color w:val="000000"/>
                <w:sz w:val="20"/>
                <w:szCs w:val="20"/>
              </w:rPr>
              <w:t>-</w:t>
            </w:r>
            <w:r w:rsidR="000F1B37" w:rsidRPr="001247EE">
              <w:rPr>
                <w:rFonts w:asciiTheme="majorHAnsi" w:hAnsiTheme="majorHAnsi" w:cstheme="majorHAnsi"/>
                <w:color w:val="000000"/>
                <w:sz w:val="20"/>
                <w:szCs w:val="20"/>
              </w:rPr>
              <w:t xml:space="preserve"> </w:t>
            </w:r>
            <w:r w:rsidRPr="001247EE">
              <w:rPr>
                <w:rFonts w:asciiTheme="majorHAnsi" w:hAnsiTheme="majorHAnsi" w:cstheme="majorHAnsi"/>
                <w:color w:val="000000"/>
                <w:sz w:val="20"/>
                <w:szCs w:val="20"/>
              </w:rPr>
              <w:t>Whether it is work or non-work-related</w:t>
            </w:r>
          </w:p>
          <w:p w:rsidR="00B8166D" w:rsidRPr="001247EE" w:rsidRDefault="00B8166D" w:rsidP="006C308E">
            <w:pPr>
              <w:ind w:left="162"/>
              <w:rPr>
                <w:rFonts w:asciiTheme="majorHAnsi" w:hAnsiTheme="majorHAnsi" w:cstheme="majorHAnsi"/>
                <w:color w:val="000000"/>
                <w:sz w:val="20"/>
                <w:szCs w:val="20"/>
              </w:rPr>
            </w:pPr>
            <w:r w:rsidRPr="001247EE">
              <w:rPr>
                <w:rFonts w:asciiTheme="majorHAnsi" w:hAnsiTheme="majorHAnsi" w:cstheme="majorHAnsi"/>
                <w:color w:val="000000"/>
                <w:sz w:val="20"/>
                <w:szCs w:val="20"/>
              </w:rPr>
              <w:t>-</w:t>
            </w:r>
            <w:r w:rsidR="000F1B37" w:rsidRPr="001247EE">
              <w:rPr>
                <w:rFonts w:asciiTheme="majorHAnsi" w:hAnsiTheme="majorHAnsi" w:cstheme="majorHAnsi"/>
                <w:color w:val="000000"/>
                <w:sz w:val="20"/>
                <w:szCs w:val="20"/>
              </w:rPr>
              <w:t xml:space="preserve"> </w:t>
            </w:r>
            <w:r w:rsidRPr="001247EE">
              <w:rPr>
                <w:rFonts w:asciiTheme="majorHAnsi" w:hAnsiTheme="majorHAnsi" w:cstheme="majorHAnsi"/>
                <w:color w:val="000000"/>
                <w:sz w:val="20"/>
                <w:szCs w:val="20"/>
              </w:rPr>
              <w:t>Whether it is behavioral or influenced by behavior</w:t>
            </w:r>
          </w:p>
          <w:p w:rsidR="00B8166D" w:rsidRPr="001247EE" w:rsidRDefault="00B8166D" w:rsidP="006C308E">
            <w:pPr>
              <w:ind w:left="162"/>
              <w:rPr>
                <w:rFonts w:asciiTheme="majorHAnsi" w:hAnsiTheme="majorHAnsi" w:cstheme="majorHAnsi"/>
                <w:color w:val="000000"/>
                <w:sz w:val="20"/>
                <w:szCs w:val="20"/>
              </w:rPr>
            </w:pPr>
            <w:r w:rsidRPr="001247EE">
              <w:rPr>
                <w:rFonts w:asciiTheme="majorHAnsi" w:hAnsiTheme="majorHAnsi" w:cstheme="majorHAnsi"/>
                <w:color w:val="000000"/>
                <w:sz w:val="20"/>
                <w:szCs w:val="20"/>
              </w:rPr>
              <w:t>-</w:t>
            </w:r>
            <w:r w:rsidR="000F1B37" w:rsidRPr="001247EE">
              <w:rPr>
                <w:rFonts w:asciiTheme="majorHAnsi" w:hAnsiTheme="majorHAnsi" w:cstheme="majorHAnsi"/>
                <w:color w:val="000000"/>
                <w:sz w:val="20"/>
                <w:szCs w:val="20"/>
              </w:rPr>
              <w:t xml:space="preserve"> </w:t>
            </w:r>
            <w:r w:rsidRPr="001247EE">
              <w:rPr>
                <w:rFonts w:asciiTheme="majorHAnsi" w:hAnsiTheme="majorHAnsi" w:cstheme="majorHAnsi"/>
                <w:color w:val="000000"/>
                <w:sz w:val="20"/>
                <w:szCs w:val="20"/>
              </w:rPr>
              <w:t>Its level (individual, workplace, community, other)</w:t>
            </w:r>
          </w:p>
          <w:p w:rsidR="00B8166D" w:rsidRPr="001247EE" w:rsidRDefault="00B8166D" w:rsidP="006C308E">
            <w:pPr>
              <w:ind w:left="162"/>
              <w:rPr>
                <w:rFonts w:asciiTheme="majorHAnsi" w:hAnsiTheme="majorHAnsi" w:cstheme="majorHAnsi"/>
                <w:color w:val="000000"/>
                <w:sz w:val="20"/>
                <w:szCs w:val="20"/>
              </w:rPr>
            </w:pPr>
            <w:r w:rsidRPr="001247EE">
              <w:rPr>
                <w:rFonts w:asciiTheme="majorHAnsi" w:hAnsiTheme="majorHAnsi" w:cstheme="majorHAnsi"/>
                <w:color w:val="000000"/>
                <w:sz w:val="20"/>
                <w:szCs w:val="20"/>
              </w:rPr>
              <w:t>-</w:t>
            </w:r>
            <w:r w:rsidR="000F1B37" w:rsidRPr="001247EE">
              <w:rPr>
                <w:rFonts w:asciiTheme="majorHAnsi" w:hAnsiTheme="majorHAnsi" w:cstheme="majorHAnsi"/>
                <w:color w:val="000000"/>
                <w:sz w:val="20"/>
                <w:szCs w:val="20"/>
              </w:rPr>
              <w:t xml:space="preserve"> </w:t>
            </w:r>
            <w:r w:rsidRPr="001247EE">
              <w:rPr>
                <w:rFonts w:asciiTheme="majorHAnsi" w:hAnsiTheme="majorHAnsi" w:cstheme="majorHAnsi"/>
                <w:color w:val="000000"/>
                <w:sz w:val="20"/>
                <w:szCs w:val="20"/>
              </w:rPr>
              <w:t>Its relationship to the other determinants (using arrows indicating directionality) and to the outcome (worker well-being)</w:t>
            </w:r>
          </w:p>
          <w:p w:rsidR="00B8166D" w:rsidRPr="001247EE" w:rsidRDefault="00B8166D" w:rsidP="006C308E">
            <w:pPr>
              <w:rPr>
                <w:rFonts w:asciiTheme="majorHAnsi" w:hAnsiTheme="majorHAnsi" w:cstheme="majorHAnsi"/>
                <w:color w:val="000000"/>
                <w:sz w:val="20"/>
                <w:szCs w:val="20"/>
              </w:rPr>
            </w:pPr>
            <w:r w:rsidRPr="001247EE">
              <w:rPr>
                <w:rFonts w:asciiTheme="majorHAnsi" w:hAnsiTheme="majorHAnsi" w:cstheme="majorHAnsi"/>
                <w:color w:val="000000"/>
                <w:sz w:val="20"/>
                <w:szCs w:val="20"/>
              </w:rPr>
              <w:t>Each student should submit a single figure and a paragraph that briefly summarizes the information portrayed in the figure.</w:t>
            </w:r>
          </w:p>
        </w:tc>
      </w:tr>
      <w:tr w:rsidR="00B8166D" w:rsidRPr="001247EE" w:rsidTr="00DE072A">
        <w:trPr>
          <w:trHeight w:val="315"/>
        </w:trPr>
        <w:tc>
          <w:tcPr>
            <w:tcW w:w="1354" w:type="pct"/>
            <w:vMerge w:val="restart"/>
            <w:shd w:val="clear" w:color="auto" w:fill="auto"/>
            <w:hideMark/>
          </w:tcPr>
          <w:p w:rsidR="00B8166D" w:rsidRPr="001247EE" w:rsidRDefault="00B8166D" w:rsidP="006C308E">
            <w:pPr>
              <w:rPr>
                <w:rFonts w:asciiTheme="majorHAnsi" w:hAnsiTheme="majorHAnsi" w:cstheme="majorHAnsi"/>
                <w:color w:val="000000"/>
                <w:sz w:val="20"/>
                <w:szCs w:val="20"/>
              </w:rPr>
            </w:pPr>
            <w:r w:rsidRPr="001247EE">
              <w:rPr>
                <w:rFonts w:asciiTheme="majorHAnsi" w:hAnsiTheme="majorHAnsi" w:cstheme="majorHAnsi"/>
                <w:color w:val="000000"/>
                <w:sz w:val="20"/>
                <w:szCs w:val="20"/>
              </w:rPr>
              <w:t>PhD-T5. Integrate behavioral, organizational, and policy theories as needed in plans to improve well-being.</w:t>
            </w:r>
          </w:p>
        </w:tc>
        <w:tc>
          <w:tcPr>
            <w:tcW w:w="1407" w:type="pct"/>
          </w:tcPr>
          <w:p w:rsidR="00B8166D" w:rsidRPr="001247EE" w:rsidRDefault="00B8166D" w:rsidP="0056573D">
            <w:pPr>
              <w:rPr>
                <w:rFonts w:asciiTheme="majorHAnsi" w:hAnsiTheme="majorHAnsi" w:cstheme="majorHAnsi"/>
                <w:color w:val="000000"/>
                <w:sz w:val="20"/>
                <w:szCs w:val="20"/>
              </w:rPr>
            </w:pPr>
            <w:r w:rsidRPr="0012136D">
              <w:rPr>
                <w:rFonts w:asciiTheme="majorHAnsi" w:hAnsiTheme="majorHAnsi" w:cstheme="majorHAnsi"/>
                <w:b/>
                <w:sz w:val="20"/>
                <w:szCs w:val="20"/>
              </w:rPr>
              <w:t>PH 2205</w:t>
            </w:r>
            <w:r w:rsidRPr="001247EE">
              <w:rPr>
                <w:rFonts w:asciiTheme="majorHAnsi" w:hAnsiTheme="majorHAnsi" w:cstheme="majorHAnsi"/>
                <w:sz w:val="20"/>
                <w:szCs w:val="20"/>
              </w:rPr>
              <w:t xml:space="preserve"> Occupational Health &amp; Safety Program Management &amp; Leadership</w:t>
            </w:r>
            <w:r w:rsidRPr="001247EE">
              <w:rPr>
                <w:rFonts w:asciiTheme="majorHAnsi" w:hAnsiTheme="majorHAnsi" w:cstheme="majorHAnsi"/>
                <w:color w:val="000000"/>
                <w:sz w:val="20"/>
                <w:szCs w:val="20"/>
              </w:rPr>
              <w:t xml:space="preserve"> </w:t>
            </w:r>
          </w:p>
        </w:tc>
        <w:tc>
          <w:tcPr>
            <w:tcW w:w="2239" w:type="pct"/>
            <w:shd w:val="clear" w:color="auto" w:fill="auto"/>
          </w:tcPr>
          <w:p w:rsidR="00B8166D" w:rsidRPr="001247EE" w:rsidRDefault="00694144" w:rsidP="006C308E">
            <w:pPr>
              <w:rPr>
                <w:rFonts w:asciiTheme="majorHAnsi" w:hAnsiTheme="majorHAnsi" w:cstheme="majorHAnsi"/>
                <w:color w:val="000000"/>
                <w:sz w:val="20"/>
                <w:szCs w:val="20"/>
              </w:rPr>
            </w:pPr>
            <w:r w:rsidRPr="008760B2">
              <w:rPr>
                <w:rFonts w:asciiTheme="majorHAnsi" w:hAnsiTheme="majorHAnsi" w:cstheme="majorHAnsi"/>
                <w:sz w:val="20"/>
                <w:szCs w:val="20"/>
              </w:rPr>
              <w:t xml:space="preserve">Shark Tank </w:t>
            </w:r>
            <w:r w:rsidR="00B8166D" w:rsidRPr="008760B2">
              <w:rPr>
                <w:rFonts w:asciiTheme="majorHAnsi" w:hAnsiTheme="majorHAnsi" w:cstheme="majorHAnsi"/>
                <w:sz w:val="20"/>
                <w:szCs w:val="20"/>
              </w:rPr>
              <w:t>Case Study and Presentation</w:t>
            </w:r>
            <w:r w:rsidR="0056573D" w:rsidRPr="008760B2">
              <w:rPr>
                <w:rFonts w:asciiTheme="majorHAnsi" w:hAnsiTheme="majorHAnsi" w:cstheme="majorHAnsi"/>
                <w:color w:val="000000"/>
                <w:sz w:val="20"/>
                <w:szCs w:val="20"/>
              </w:rPr>
              <w:t xml:space="preserve"> </w:t>
            </w:r>
            <w:r w:rsidR="007E3774" w:rsidRPr="008760B2">
              <w:rPr>
                <w:rFonts w:asciiTheme="majorHAnsi" w:hAnsiTheme="majorHAnsi" w:cstheme="majorHAnsi"/>
                <w:color w:val="000000"/>
                <w:sz w:val="20"/>
                <w:szCs w:val="20"/>
              </w:rPr>
              <w:t>(</w:t>
            </w:r>
            <w:r w:rsidR="007E3774" w:rsidRPr="008760B2">
              <w:rPr>
                <w:rFonts w:asciiTheme="majorHAnsi" w:hAnsiTheme="majorHAnsi" w:cstheme="majorHAnsi"/>
                <w:sz w:val="20"/>
                <w:szCs w:val="20"/>
              </w:rPr>
              <w:t>Rubric</w:t>
            </w:r>
            <w:r w:rsidR="007E3774" w:rsidRPr="008760B2">
              <w:rPr>
                <w:rFonts w:asciiTheme="majorHAnsi" w:hAnsiTheme="majorHAnsi" w:cstheme="majorHAnsi"/>
                <w:color w:val="000000"/>
                <w:sz w:val="20"/>
                <w:szCs w:val="20"/>
              </w:rPr>
              <w:t>)</w:t>
            </w:r>
            <w:r w:rsidRPr="008760B2">
              <w:rPr>
                <w:rFonts w:asciiTheme="majorHAnsi" w:hAnsiTheme="majorHAnsi" w:cstheme="majorHAnsi"/>
                <w:color w:val="000000"/>
                <w:sz w:val="20"/>
                <w:szCs w:val="20"/>
              </w:rPr>
              <w:t>:</w:t>
            </w:r>
            <w:r w:rsidR="00B8166D" w:rsidRPr="001247EE">
              <w:rPr>
                <w:rFonts w:asciiTheme="majorHAnsi" w:hAnsiTheme="majorHAnsi" w:cstheme="majorHAnsi"/>
                <w:color w:val="000000"/>
                <w:sz w:val="20"/>
                <w:szCs w:val="20"/>
              </w:rPr>
              <w:t xml:space="preserve"> Students discuss and apply pertinent management theories in organizing implementing and evaluating health and safety programs.</w:t>
            </w:r>
          </w:p>
        </w:tc>
      </w:tr>
      <w:tr w:rsidR="00B8166D" w:rsidRPr="001247EE" w:rsidTr="00DE072A">
        <w:trPr>
          <w:trHeight w:val="315"/>
        </w:trPr>
        <w:tc>
          <w:tcPr>
            <w:tcW w:w="1354" w:type="pct"/>
            <w:vMerge/>
            <w:shd w:val="clear" w:color="auto" w:fill="auto"/>
          </w:tcPr>
          <w:p w:rsidR="00B8166D" w:rsidRPr="001247EE" w:rsidRDefault="00B8166D" w:rsidP="006C308E">
            <w:pPr>
              <w:rPr>
                <w:rFonts w:asciiTheme="majorHAnsi" w:hAnsiTheme="majorHAnsi" w:cstheme="majorHAnsi"/>
                <w:color w:val="000000"/>
                <w:sz w:val="20"/>
                <w:szCs w:val="20"/>
              </w:rPr>
            </w:pPr>
          </w:p>
        </w:tc>
        <w:tc>
          <w:tcPr>
            <w:tcW w:w="1407" w:type="pct"/>
          </w:tcPr>
          <w:p w:rsidR="00B8166D" w:rsidRPr="001247EE" w:rsidRDefault="00694144" w:rsidP="006C308E">
            <w:pPr>
              <w:rPr>
                <w:rFonts w:asciiTheme="majorHAnsi" w:hAnsiTheme="majorHAnsi" w:cstheme="majorHAnsi"/>
                <w:color w:val="000000"/>
                <w:sz w:val="20"/>
                <w:szCs w:val="20"/>
                <w:highlight w:val="yellow"/>
              </w:rPr>
            </w:pPr>
            <w:r w:rsidRPr="0012136D">
              <w:rPr>
                <w:rFonts w:asciiTheme="majorHAnsi" w:hAnsiTheme="majorHAnsi" w:cstheme="majorHAnsi"/>
                <w:b/>
                <w:sz w:val="20"/>
                <w:szCs w:val="20"/>
              </w:rPr>
              <w:t>PHW 2498</w:t>
            </w:r>
            <w:r w:rsidRPr="001247EE">
              <w:rPr>
                <w:rFonts w:asciiTheme="majorHAnsi" w:hAnsiTheme="majorHAnsi" w:cstheme="majorHAnsi"/>
                <w:sz w:val="20"/>
                <w:szCs w:val="20"/>
              </w:rPr>
              <w:t xml:space="preserve"> Occupational Health Psychology</w:t>
            </w:r>
          </w:p>
        </w:tc>
        <w:tc>
          <w:tcPr>
            <w:tcW w:w="2239" w:type="pct"/>
            <w:shd w:val="clear" w:color="auto" w:fill="auto"/>
          </w:tcPr>
          <w:p w:rsidR="00B8166D" w:rsidRPr="001247EE" w:rsidRDefault="00B8166D" w:rsidP="006C308E">
            <w:pPr>
              <w:rPr>
                <w:rFonts w:asciiTheme="majorHAnsi" w:hAnsiTheme="majorHAnsi" w:cstheme="majorHAnsi"/>
                <w:sz w:val="20"/>
                <w:szCs w:val="20"/>
                <w:highlight w:val="yellow"/>
              </w:rPr>
            </w:pPr>
            <w:r w:rsidRPr="001247EE">
              <w:rPr>
                <w:rFonts w:asciiTheme="majorHAnsi" w:hAnsiTheme="majorHAnsi" w:cstheme="majorHAnsi"/>
                <w:sz w:val="20"/>
                <w:szCs w:val="20"/>
              </w:rPr>
              <w:t>Final Paper</w:t>
            </w:r>
            <w:r w:rsidR="00694144" w:rsidRPr="001247EE">
              <w:rPr>
                <w:rFonts w:asciiTheme="majorHAnsi" w:hAnsiTheme="majorHAnsi" w:cstheme="majorHAnsi"/>
                <w:sz w:val="20"/>
                <w:szCs w:val="20"/>
              </w:rPr>
              <w:t>, Interventions in Occupational Health Psychology</w:t>
            </w:r>
            <w:r w:rsidRPr="001247EE">
              <w:rPr>
                <w:rFonts w:asciiTheme="majorHAnsi" w:hAnsiTheme="majorHAnsi" w:cstheme="majorHAnsi"/>
                <w:sz w:val="20"/>
                <w:szCs w:val="20"/>
              </w:rPr>
              <w:t>: Students must apply learned theoretical models to develop a strategy proposal for the design, implementation and evaluation of an intervention to improve psychological health and well-being at the workplace.</w:t>
            </w:r>
          </w:p>
        </w:tc>
      </w:tr>
      <w:tr w:rsidR="00B8166D" w:rsidRPr="001247EE" w:rsidTr="00DE072A">
        <w:trPr>
          <w:trHeight w:val="315"/>
        </w:trPr>
        <w:tc>
          <w:tcPr>
            <w:tcW w:w="1354" w:type="pct"/>
            <w:vMerge/>
            <w:shd w:val="clear" w:color="auto" w:fill="auto"/>
          </w:tcPr>
          <w:p w:rsidR="00B8166D" w:rsidRPr="001247EE" w:rsidRDefault="00B8166D" w:rsidP="006C308E">
            <w:pPr>
              <w:rPr>
                <w:rFonts w:asciiTheme="majorHAnsi" w:hAnsiTheme="majorHAnsi" w:cstheme="majorHAnsi"/>
                <w:color w:val="000000"/>
                <w:sz w:val="20"/>
                <w:szCs w:val="20"/>
              </w:rPr>
            </w:pPr>
          </w:p>
        </w:tc>
        <w:tc>
          <w:tcPr>
            <w:tcW w:w="1407" w:type="pct"/>
          </w:tcPr>
          <w:p w:rsidR="00B8166D" w:rsidRPr="001247EE" w:rsidRDefault="00B8166D" w:rsidP="00D76858">
            <w:pPr>
              <w:rPr>
                <w:rFonts w:asciiTheme="majorHAnsi" w:hAnsiTheme="majorHAnsi" w:cstheme="majorHAnsi"/>
                <w:color w:val="000000"/>
                <w:sz w:val="20"/>
                <w:szCs w:val="20"/>
              </w:rPr>
            </w:pPr>
            <w:r w:rsidRPr="0012136D">
              <w:rPr>
                <w:rFonts w:asciiTheme="majorHAnsi" w:hAnsiTheme="majorHAnsi" w:cstheme="majorHAnsi"/>
                <w:b/>
                <w:sz w:val="20"/>
                <w:szCs w:val="20"/>
              </w:rPr>
              <w:t>PHD 1122</w:t>
            </w:r>
            <w:r w:rsidRPr="001247EE">
              <w:rPr>
                <w:rFonts w:asciiTheme="majorHAnsi" w:hAnsiTheme="majorHAnsi" w:cstheme="majorHAnsi"/>
                <w:sz w:val="20"/>
                <w:szCs w:val="20"/>
              </w:rPr>
              <w:t xml:space="preserve"> Health Promotion Theory for Individuals and Groups</w:t>
            </w:r>
          </w:p>
        </w:tc>
        <w:tc>
          <w:tcPr>
            <w:tcW w:w="2239" w:type="pct"/>
            <w:shd w:val="clear" w:color="auto" w:fill="auto"/>
          </w:tcPr>
          <w:p w:rsidR="00B8166D" w:rsidRPr="001247EE" w:rsidRDefault="00B8166D" w:rsidP="004A0F1C">
            <w:pPr>
              <w:rPr>
                <w:rFonts w:asciiTheme="majorHAnsi" w:hAnsiTheme="majorHAnsi" w:cstheme="majorHAnsi"/>
                <w:color w:val="000000"/>
                <w:sz w:val="20"/>
                <w:szCs w:val="20"/>
              </w:rPr>
            </w:pPr>
            <w:r w:rsidRPr="001247EE">
              <w:rPr>
                <w:rFonts w:asciiTheme="majorHAnsi" w:hAnsiTheme="majorHAnsi" w:cstheme="majorHAnsi"/>
                <w:sz w:val="20"/>
                <w:szCs w:val="20"/>
              </w:rPr>
              <w:t xml:space="preserve">Theory </w:t>
            </w:r>
            <w:r w:rsidR="004A0F1C" w:rsidRPr="001247EE">
              <w:rPr>
                <w:rFonts w:asciiTheme="majorHAnsi" w:hAnsiTheme="majorHAnsi" w:cstheme="majorHAnsi"/>
                <w:sz w:val="20"/>
                <w:szCs w:val="20"/>
              </w:rPr>
              <w:t>Papers</w:t>
            </w:r>
            <w:r w:rsidRPr="001247EE">
              <w:rPr>
                <w:rFonts w:asciiTheme="majorHAnsi" w:hAnsiTheme="majorHAnsi" w:cstheme="majorHAnsi"/>
                <w:color w:val="000000"/>
                <w:sz w:val="20"/>
                <w:szCs w:val="20"/>
              </w:rPr>
              <w:t xml:space="preserve">: For an assigned theory, students select a health topic of importance to a public health or occupational health partner, use the health topic to explain theoretical constructs, identify theoretical constructs most relevant for intervention development for the topic, and survey items to evaluate each construct for the topic, and provide a rationale for which constructs might be most salient for the selected topic. </w:t>
            </w:r>
            <w:r w:rsidR="004A0F1C" w:rsidRPr="001247EE">
              <w:rPr>
                <w:rFonts w:asciiTheme="majorHAnsi" w:hAnsiTheme="majorHAnsi" w:cstheme="majorHAnsi"/>
                <w:color w:val="000000"/>
                <w:sz w:val="20"/>
                <w:szCs w:val="20"/>
              </w:rPr>
              <w:t>Select a population or health topic and evaluate the appropriate use of a social or behavioral sciences theory for improving the well-being of the target population or developing, implementing, and evaluating community-based interventions</w:t>
            </w:r>
          </w:p>
        </w:tc>
      </w:tr>
      <w:tr w:rsidR="00B8166D" w:rsidRPr="001247EE" w:rsidTr="00DE072A">
        <w:trPr>
          <w:trHeight w:val="315"/>
        </w:trPr>
        <w:tc>
          <w:tcPr>
            <w:tcW w:w="1354" w:type="pct"/>
            <w:vMerge/>
            <w:shd w:val="clear" w:color="auto" w:fill="auto"/>
          </w:tcPr>
          <w:p w:rsidR="00B8166D" w:rsidRPr="001247EE" w:rsidRDefault="00B8166D" w:rsidP="006C308E">
            <w:pPr>
              <w:rPr>
                <w:rFonts w:asciiTheme="majorHAnsi" w:hAnsiTheme="majorHAnsi" w:cstheme="majorHAnsi"/>
                <w:color w:val="000000"/>
                <w:sz w:val="20"/>
                <w:szCs w:val="20"/>
              </w:rPr>
            </w:pPr>
          </w:p>
        </w:tc>
        <w:tc>
          <w:tcPr>
            <w:tcW w:w="1407" w:type="pct"/>
          </w:tcPr>
          <w:p w:rsidR="00B8166D" w:rsidRPr="001247EE" w:rsidRDefault="00B8166D" w:rsidP="00DA630C">
            <w:pPr>
              <w:rPr>
                <w:rFonts w:asciiTheme="majorHAnsi" w:hAnsiTheme="majorHAnsi" w:cstheme="majorHAnsi"/>
                <w:color w:val="000000"/>
                <w:sz w:val="20"/>
                <w:szCs w:val="20"/>
              </w:rPr>
            </w:pPr>
            <w:r w:rsidRPr="0012136D">
              <w:rPr>
                <w:rFonts w:asciiTheme="majorHAnsi" w:hAnsiTheme="majorHAnsi" w:cstheme="majorHAnsi"/>
                <w:b/>
                <w:sz w:val="20"/>
                <w:szCs w:val="20"/>
              </w:rPr>
              <w:t>PHD 1113</w:t>
            </w:r>
            <w:r w:rsidRPr="001247EE">
              <w:rPr>
                <w:rFonts w:asciiTheme="majorHAnsi" w:hAnsiTheme="majorHAnsi" w:cstheme="majorHAnsi"/>
                <w:sz w:val="20"/>
                <w:szCs w:val="20"/>
              </w:rPr>
              <w:t xml:space="preserve"> Advanced Methods for Planning &amp; Implementing Health Promotion Programs</w:t>
            </w:r>
            <w:r w:rsidR="00597C2D" w:rsidRPr="001247EE">
              <w:rPr>
                <w:rFonts w:asciiTheme="majorHAnsi" w:hAnsiTheme="majorHAnsi" w:cstheme="majorHAnsi"/>
                <w:sz w:val="20"/>
                <w:szCs w:val="20"/>
              </w:rPr>
              <w:t xml:space="preserve"> (Intervention Mapping)</w:t>
            </w:r>
          </w:p>
        </w:tc>
        <w:tc>
          <w:tcPr>
            <w:tcW w:w="2239" w:type="pct"/>
            <w:shd w:val="clear" w:color="auto" w:fill="auto"/>
          </w:tcPr>
          <w:p w:rsidR="00B8166D" w:rsidRPr="001247EE" w:rsidRDefault="00926D4A" w:rsidP="006C308E">
            <w:pPr>
              <w:rPr>
                <w:rFonts w:asciiTheme="majorHAnsi" w:hAnsiTheme="majorHAnsi" w:cstheme="majorHAnsi"/>
                <w:color w:val="000000"/>
                <w:sz w:val="20"/>
                <w:szCs w:val="20"/>
              </w:rPr>
            </w:pPr>
            <w:r w:rsidRPr="001247EE">
              <w:rPr>
                <w:rFonts w:asciiTheme="majorHAnsi" w:hAnsiTheme="majorHAnsi" w:cstheme="majorHAnsi"/>
                <w:sz w:val="20"/>
                <w:szCs w:val="20"/>
              </w:rPr>
              <w:t>Exam 2</w:t>
            </w:r>
            <w:r w:rsidR="00597C2D" w:rsidRPr="001247EE">
              <w:rPr>
                <w:rFonts w:asciiTheme="majorHAnsi" w:hAnsiTheme="majorHAnsi" w:cstheme="majorHAnsi"/>
                <w:sz w:val="20"/>
                <w:szCs w:val="20"/>
              </w:rPr>
              <w:t>,</w:t>
            </w:r>
            <w:r w:rsidRPr="001247EE">
              <w:rPr>
                <w:rFonts w:asciiTheme="majorHAnsi" w:hAnsiTheme="majorHAnsi" w:cstheme="majorHAnsi"/>
                <w:sz w:val="20"/>
                <w:szCs w:val="20"/>
              </w:rPr>
              <w:t xml:space="preserve"> Q7</w:t>
            </w:r>
            <w:r w:rsidRPr="0012136D">
              <w:rPr>
                <w:rFonts w:asciiTheme="majorHAnsi" w:hAnsiTheme="majorHAnsi" w:cstheme="majorHAnsi"/>
                <w:sz w:val="20"/>
                <w:szCs w:val="20"/>
              </w:rPr>
              <w:t>-12</w:t>
            </w:r>
            <w:r w:rsidRPr="0012136D">
              <w:rPr>
                <w:rFonts w:asciiTheme="majorHAnsi" w:hAnsiTheme="majorHAnsi" w:cstheme="majorHAnsi"/>
                <w:color w:val="000000"/>
                <w:sz w:val="20"/>
                <w:szCs w:val="20"/>
              </w:rPr>
              <w:t xml:space="preserve"> (and </w:t>
            </w:r>
            <w:r w:rsidRPr="0012136D">
              <w:rPr>
                <w:rFonts w:asciiTheme="majorHAnsi" w:hAnsiTheme="majorHAnsi" w:cstheme="majorHAnsi"/>
                <w:sz w:val="20"/>
                <w:szCs w:val="20"/>
              </w:rPr>
              <w:t>Grading Sheet</w:t>
            </w:r>
            <w:r w:rsidRPr="0012136D">
              <w:rPr>
                <w:rFonts w:asciiTheme="majorHAnsi" w:hAnsiTheme="majorHAnsi" w:cstheme="majorHAnsi"/>
                <w:color w:val="000000"/>
                <w:sz w:val="20"/>
                <w:szCs w:val="20"/>
              </w:rPr>
              <w:t>):</w:t>
            </w:r>
            <w:r w:rsidR="00B8166D" w:rsidRPr="0012136D">
              <w:rPr>
                <w:rFonts w:asciiTheme="majorHAnsi" w:hAnsiTheme="majorHAnsi" w:cstheme="majorHAnsi"/>
                <w:color w:val="000000"/>
                <w:sz w:val="20"/>
                <w:szCs w:val="20"/>
              </w:rPr>
              <w:t xml:space="preserve"> Students identify modifiable</w:t>
            </w:r>
            <w:r w:rsidR="00B8166D" w:rsidRPr="001247EE">
              <w:rPr>
                <w:rFonts w:asciiTheme="majorHAnsi" w:hAnsiTheme="majorHAnsi" w:cstheme="majorHAnsi"/>
                <w:color w:val="000000"/>
                <w:sz w:val="20"/>
                <w:szCs w:val="20"/>
              </w:rPr>
              <w:t xml:space="preserve"> behavioral and environmental (interpersonal, organizational, policy) outcomes and related psychosocial change objectives, and design a multilevel intervention to address worker well-being. Students must identify theoretical methods that can influence change in determinants and identify the conditions under which a given method is most likely to be effective.</w:t>
            </w:r>
          </w:p>
        </w:tc>
      </w:tr>
      <w:tr w:rsidR="00B8166D" w:rsidRPr="001247EE" w:rsidTr="00DE072A">
        <w:trPr>
          <w:trHeight w:val="315"/>
        </w:trPr>
        <w:tc>
          <w:tcPr>
            <w:tcW w:w="1354" w:type="pct"/>
            <w:vMerge w:val="restart"/>
            <w:shd w:val="clear" w:color="auto" w:fill="auto"/>
          </w:tcPr>
          <w:p w:rsidR="00B8166D" w:rsidRPr="001247EE" w:rsidRDefault="00B8166D" w:rsidP="006C308E">
            <w:pPr>
              <w:rPr>
                <w:rFonts w:asciiTheme="majorHAnsi" w:hAnsiTheme="majorHAnsi" w:cstheme="majorHAnsi"/>
                <w:color w:val="000000"/>
                <w:sz w:val="20"/>
                <w:szCs w:val="20"/>
              </w:rPr>
            </w:pPr>
            <w:r w:rsidRPr="001247EE">
              <w:rPr>
                <w:rFonts w:asciiTheme="majorHAnsi" w:hAnsiTheme="majorHAnsi" w:cstheme="majorHAnsi"/>
                <w:color w:val="000000"/>
                <w:sz w:val="20"/>
                <w:szCs w:val="20"/>
              </w:rPr>
              <w:t>PhD-T6. Develop, implement, or evaluate a total worker health strategy or intervention to improve worker well-being.</w:t>
            </w:r>
          </w:p>
        </w:tc>
        <w:tc>
          <w:tcPr>
            <w:tcW w:w="1407" w:type="pct"/>
          </w:tcPr>
          <w:p w:rsidR="00B8166D" w:rsidRPr="001247EE" w:rsidRDefault="00B8166D" w:rsidP="006C308E">
            <w:pPr>
              <w:rPr>
                <w:rFonts w:asciiTheme="majorHAnsi" w:hAnsiTheme="majorHAnsi" w:cstheme="majorHAnsi"/>
                <w:color w:val="000000"/>
                <w:sz w:val="20"/>
                <w:szCs w:val="20"/>
              </w:rPr>
            </w:pPr>
            <w:r w:rsidRPr="001247EE">
              <w:rPr>
                <w:rFonts w:asciiTheme="majorHAnsi" w:hAnsiTheme="majorHAnsi" w:cstheme="majorHAnsi"/>
                <w:b/>
                <w:color w:val="000000"/>
                <w:sz w:val="20"/>
                <w:szCs w:val="20"/>
              </w:rPr>
              <w:t>PH 9999</w:t>
            </w:r>
            <w:r w:rsidRPr="001247EE">
              <w:rPr>
                <w:rFonts w:asciiTheme="majorHAnsi" w:hAnsiTheme="majorHAnsi" w:cstheme="majorHAnsi"/>
                <w:color w:val="000000"/>
                <w:sz w:val="20"/>
                <w:szCs w:val="20"/>
              </w:rPr>
              <w:t xml:space="preserve">  Dissertation Research</w:t>
            </w:r>
          </w:p>
        </w:tc>
        <w:tc>
          <w:tcPr>
            <w:tcW w:w="2239" w:type="pct"/>
            <w:shd w:val="clear" w:color="auto" w:fill="auto"/>
          </w:tcPr>
          <w:p w:rsidR="00B8166D" w:rsidRPr="001247EE" w:rsidRDefault="00B8166D" w:rsidP="006C308E">
            <w:pPr>
              <w:rPr>
                <w:rFonts w:asciiTheme="majorHAnsi" w:hAnsiTheme="majorHAnsi" w:cstheme="majorHAnsi"/>
                <w:color w:val="000000"/>
                <w:sz w:val="20"/>
                <w:szCs w:val="20"/>
              </w:rPr>
            </w:pPr>
            <w:r w:rsidRPr="00F3037B">
              <w:rPr>
                <w:rFonts w:asciiTheme="majorHAnsi" w:hAnsiTheme="majorHAnsi" w:cstheme="majorHAnsi"/>
                <w:color w:val="000000"/>
                <w:sz w:val="20"/>
                <w:szCs w:val="20"/>
              </w:rPr>
              <w:t>Dissertation</w:t>
            </w:r>
            <w:r w:rsidR="00D455C7" w:rsidRPr="00F3037B">
              <w:rPr>
                <w:rFonts w:asciiTheme="majorHAnsi" w:hAnsiTheme="majorHAnsi" w:cstheme="majorHAnsi"/>
                <w:color w:val="000000"/>
                <w:sz w:val="20"/>
                <w:szCs w:val="20"/>
              </w:rPr>
              <w:t>:</w:t>
            </w:r>
            <w:r w:rsidR="00D455C7" w:rsidRPr="001247EE">
              <w:rPr>
                <w:rFonts w:asciiTheme="majorHAnsi" w:hAnsiTheme="majorHAnsi" w:cstheme="majorHAnsi"/>
                <w:color w:val="000000"/>
                <w:sz w:val="20"/>
                <w:szCs w:val="20"/>
              </w:rPr>
              <w:t xml:space="preserve"> S</w:t>
            </w:r>
            <w:r w:rsidRPr="001247EE">
              <w:rPr>
                <w:rFonts w:asciiTheme="majorHAnsi" w:hAnsiTheme="majorHAnsi" w:cstheme="majorHAnsi"/>
                <w:color w:val="000000"/>
                <w:sz w:val="20"/>
                <w:szCs w:val="20"/>
              </w:rPr>
              <w:t>tudents develop, complete and defend a dissertation research project.</w:t>
            </w:r>
          </w:p>
        </w:tc>
      </w:tr>
      <w:tr w:rsidR="00B8166D" w:rsidRPr="001247EE" w:rsidTr="00321053">
        <w:trPr>
          <w:trHeight w:val="458"/>
        </w:trPr>
        <w:tc>
          <w:tcPr>
            <w:tcW w:w="1354" w:type="pct"/>
            <w:vMerge/>
            <w:shd w:val="clear" w:color="auto" w:fill="auto"/>
          </w:tcPr>
          <w:p w:rsidR="00B8166D" w:rsidRPr="001247EE" w:rsidRDefault="00B8166D" w:rsidP="006C308E">
            <w:pPr>
              <w:rPr>
                <w:rFonts w:asciiTheme="majorHAnsi" w:hAnsiTheme="majorHAnsi" w:cstheme="majorHAnsi"/>
                <w:color w:val="000000"/>
                <w:sz w:val="20"/>
                <w:szCs w:val="20"/>
              </w:rPr>
            </w:pPr>
          </w:p>
        </w:tc>
        <w:tc>
          <w:tcPr>
            <w:tcW w:w="1407" w:type="pct"/>
          </w:tcPr>
          <w:p w:rsidR="00B8166D" w:rsidRPr="001247EE" w:rsidRDefault="00B8166D" w:rsidP="0091556C">
            <w:pPr>
              <w:rPr>
                <w:rFonts w:asciiTheme="majorHAnsi" w:hAnsiTheme="majorHAnsi" w:cstheme="majorHAnsi"/>
                <w:color w:val="000000"/>
                <w:sz w:val="20"/>
                <w:szCs w:val="20"/>
              </w:rPr>
            </w:pPr>
            <w:r w:rsidRPr="001247EE">
              <w:rPr>
                <w:rFonts w:asciiTheme="majorHAnsi" w:hAnsiTheme="majorHAnsi" w:cstheme="majorHAnsi"/>
                <w:b/>
                <w:sz w:val="20"/>
                <w:szCs w:val="20"/>
              </w:rPr>
              <w:t>PHD 2498</w:t>
            </w:r>
            <w:r w:rsidRPr="001247EE">
              <w:rPr>
                <w:rFonts w:asciiTheme="majorHAnsi" w:hAnsiTheme="majorHAnsi" w:cstheme="majorHAnsi"/>
                <w:sz w:val="20"/>
                <w:szCs w:val="20"/>
              </w:rPr>
              <w:t xml:space="preserve"> Total Worker Health Field Experience</w:t>
            </w:r>
          </w:p>
        </w:tc>
        <w:tc>
          <w:tcPr>
            <w:tcW w:w="2239" w:type="pct"/>
            <w:shd w:val="clear" w:color="auto" w:fill="auto"/>
          </w:tcPr>
          <w:p w:rsidR="00B8166D" w:rsidRPr="001247EE" w:rsidRDefault="00D06FF3" w:rsidP="006C308E">
            <w:pPr>
              <w:rPr>
                <w:rFonts w:asciiTheme="majorHAnsi" w:hAnsiTheme="majorHAnsi" w:cstheme="majorHAnsi"/>
                <w:color w:val="000000"/>
                <w:sz w:val="20"/>
                <w:szCs w:val="20"/>
              </w:rPr>
            </w:pPr>
            <w:r w:rsidRPr="001247EE">
              <w:rPr>
                <w:rFonts w:asciiTheme="majorHAnsi" w:hAnsiTheme="majorHAnsi" w:cstheme="majorHAnsi"/>
                <w:sz w:val="20"/>
                <w:szCs w:val="20"/>
              </w:rPr>
              <w:t>Field Experience Report</w:t>
            </w:r>
            <w:r w:rsidR="00D455C7" w:rsidRPr="001247EE">
              <w:rPr>
                <w:rFonts w:asciiTheme="majorHAnsi" w:hAnsiTheme="majorHAnsi" w:cstheme="majorHAnsi"/>
                <w:color w:val="000000"/>
                <w:sz w:val="20"/>
                <w:szCs w:val="20"/>
              </w:rPr>
              <w:t>: S</w:t>
            </w:r>
            <w:r w:rsidRPr="001247EE">
              <w:rPr>
                <w:rFonts w:asciiTheme="majorHAnsi" w:hAnsiTheme="majorHAnsi" w:cstheme="majorHAnsi"/>
                <w:color w:val="000000"/>
                <w:sz w:val="20"/>
                <w:szCs w:val="20"/>
              </w:rPr>
              <w:t xml:space="preserve">tudents evaluate the field experience identifying the initial plan of action, </w:t>
            </w:r>
            <w:r w:rsidR="00D455C7" w:rsidRPr="001247EE">
              <w:rPr>
                <w:rFonts w:asciiTheme="majorHAnsi" w:hAnsiTheme="majorHAnsi" w:cstheme="majorHAnsi"/>
                <w:color w:val="000000"/>
                <w:sz w:val="20"/>
                <w:szCs w:val="20"/>
              </w:rPr>
              <w:t xml:space="preserve">the implementation or evaluation, </w:t>
            </w:r>
            <w:r w:rsidRPr="001247EE">
              <w:rPr>
                <w:rFonts w:asciiTheme="majorHAnsi" w:hAnsiTheme="majorHAnsi" w:cstheme="majorHAnsi"/>
                <w:color w:val="000000"/>
                <w:sz w:val="20"/>
                <w:szCs w:val="20"/>
              </w:rPr>
              <w:t>their results and next steps for the employer reflecting the principles of total worker health.</w:t>
            </w:r>
          </w:p>
        </w:tc>
      </w:tr>
    </w:tbl>
    <w:p w:rsidR="0005458B" w:rsidRPr="001247EE" w:rsidRDefault="0005458B" w:rsidP="006C308E">
      <w:pPr>
        <w:rPr>
          <w:rFonts w:asciiTheme="majorHAnsi" w:eastAsia="Arial" w:hAnsiTheme="majorHAnsi" w:cstheme="majorHAnsi"/>
          <w:sz w:val="20"/>
          <w:szCs w:val="20"/>
        </w:rPr>
      </w:pPr>
    </w:p>
    <w:p w:rsidR="0095486A" w:rsidRPr="001247EE" w:rsidRDefault="0095486A" w:rsidP="006C308E">
      <w:pPr>
        <w:pStyle w:val="BodyText"/>
        <w:tabs>
          <w:tab w:val="left" w:pos="720"/>
        </w:tabs>
        <w:ind w:left="1350" w:right="119" w:hanging="630"/>
        <w:rPr>
          <w:rStyle w:val="Hyperlink"/>
          <w:rFonts w:asciiTheme="majorHAnsi" w:hAnsiTheme="majorHAnsi" w:cstheme="majorHAnsi"/>
        </w:rPr>
      </w:pPr>
      <w:r w:rsidRPr="001247EE">
        <w:rPr>
          <w:rFonts w:asciiTheme="majorHAnsi" w:hAnsiTheme="majorHAnsi" w:cstheme="majorHAnsi"/>
        </w:rPr>
        <w:t>Table D</w:t>
      </w:r>
      <w:r w:rsidR="00322BE3" w:rsidRPr="001247EE">
        <w:rPr>
          <w:rFonts w:asciiTheme="majorHAnsi" w:hAnsiTheme="majorHAnsi" w:cstheme="majorHAnsi"/>
        </w:rPr>
        <w:t>.</w:t>
      </w:r>
      <w:r w:rsidRPr="001247EE">
        <w:rPr>
          <w:rFonts w:asciiTheme="majorHAnsi" w:hAnsiTheme="majorHAnsi" w:cstheme="majorHAnsi"/>
        </w:rPr>
        <w:t>18.3</w:t>
      </w:r>
      <w:r w:rsidR="00322BE3" w:rsidRPr="001247EE">
        <w:rPr>
          <w:rFonts w:asciiTheme="majorHAnsi" w:hAnsiTheme="majorHAnsi" w:cstheme="majorHAnsi"/>
        </w:rPr>
        <w:t>.</w:t>
      </w:r>
      <w:r w:rsidRPr="001247EE">
        <w:rPr>
          <w:rFonts w:asciiTheme="majorHAnsi" w:hAnsiTheme="majorHAnsi" w:cstheme="majorHAnsi"/>
        </w:rPr>
        <w:t>e. Assessment of Competencies for PhD in Epidemiolog</w:t>
      </w:r>
      <w:r w:rsidR="003E5D51" w:rsidRPr="001247EE">
        <w:rPr>
          <w:rFonts w:asciiTheme="majorHAnsi" w:hAnsiTheme="majorHAnsi" w:cstheme="majorHAnsi"/>
        </w:rPr>
        <w:t>y (</w:t>
      </w:r>
      <w:r w:rsidR="003E5D51" w:rsidRPr="001247EE">
        <w:rPr>
          <w:rFonts w:asciiTheme="majorHAnsi" w:hAnsiTheme="majorHAnsi" w:cstheme="majorHAnsi"/>
          <w:i/>
        </w:rPr>
        <w:t>ERF, D18.3. PhD in Epidemiology</w:t>
      </w:r>
      <w:r w:rsidR="003E5D51" w:rsidRPr="001247EE">
        <w:rPr>
          <w:rFonts w:asciiTheme="majorHAnsi" w:hAnsiTheme="majorHAnsi" w:cstheme="majorHAnsi"/>
        </w:rPr>
        <w:t xml:space="preserve">) </w:t>
      </w: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429"/>
        <w:gridCol w:w="3869"/>
      </w:tblGrid>
      <w:tr w:rsidR="00B8166D" w:rsidRPr="001247EE" w:rsidTr="00DE072A">
        <w:trPr>
          <w:cantSplit/>
          <w:trHeight w:val="315"/>
          <w:tblHeader/>
        </w:trPr>
        <w:tc>
          <w:tcPr>
            <w:tcW w:w="1355" w:type="pct"/>
            <w:shd w:val="clear" w:color="000000" w:fill="D9D9D9"/>
            <w:vAlign w:val="center"/>
            <w:hideMark/>
          </w:tcPr>
          <w:p w:rsidR="00B8166D" w:rsidRPr="001247EE" w:rsidRDefault="00B8166D" w:rsidP="006C308E">
            <w:pPr>
              <w:jc w:val="center"/>
              <w:rPr>
                <w:rFonts w:asciiTheme="majorHAnsi" w:eastAsia="Times New Roman" w:hAnsiTheme="majorHAnsi" w:cstheme="majorHAnsi"/>
                <w:b/>
                <w:bCs/>
                <w:color w:val="000000"/>
                <w:sz w:val="20"/>
                <w:szCs w:val="20"/>
              </w:rPr>
            </w:pPr>
            <w:r w:rsidRPr="001247EE">
              <w:rPr>
                <w:rFonts w:asciiTheme="majorHAnsi" w:eastAsia="Times New Roman" w:hAnsiTheme="majorHAnsi" w:cstheme="majorHAnsi"/>
                <w:b/>
                <w:bCs/>
                <w:color w:val="000000"/>
                <w:sz w:val="20"/>
                <w:szCs w:val="20"/>
              </w:rPr>
              <w:t>Competency</w:t>
            </w:r>
          </w:p>
        </w:tc>
        <w:tc>
          <w:tcPr>
            <w:tcW w:w="1406" w:type="pct"/>
            <w:shd w:val="clear" w:color="000000" w:fill="D9D9D9"/>
            <w:vAlign w:val="center"/>
          </w:tcPr>
          <w:p w:rsidR="00B8166D" w:rsidRPr="001247EE" w:rsidRDefault="00B8166D" w:rsidP="006C308E">
            <w:pPr>
              <w:jc w:val="center"/>
              <w:rPr>
                <w:rFonts w:asciiTheme="majorHAnsi" w:eastAsia="Times New Roman" w:hAnsiTheme="majorHAnsi" w:cstheme="majorHAnsi"/>
                <w:b/>
                <w:bCs/>
                <w:color w:val="000000"/>
                <w:sz w:val="20"/>
                <w:szCs w:val="20"/>
              </w:rPr>
            </w:pPr>
            <w:r w:rsidRPr="001247EE">
              <w:rPr>
                <w:rFonts w:asciiTheme="majorHAnsi" w:eastAsia="Times New Roman" w:hAnsiTheme="majorHAnsi" w:cstheme="majorHAnsi"/>
                <w:b/>
                <w:bCs/>
                <w:color w:val="000000"/>
                <w:sz w:val="20"/>
                <w:szCs w:val="20"/>
              </w:rPr>
              <w:t>Course Name(s) and Number(s)</w:t>
            </w:r>
          </w:p>
        </w:tc>
        <w:tc>
          <w:tcPr>
            <w:tcW w:w="2239" w:type="pct"/>
            <w:shd w:val="clear" w:color="000000" w:fill="D9D9D9"/>
            <w:vAlign w:val="center"/>
            <w:hideMark/>
          </w:tcPr>
          <w:p w:rsidR="00B8166D" w:rsidRPr="001247EE" w:rsidRDefault="00B8166D" w:rsidP="006C308E">
            <w:pPr>
              <w:jc w:val="center"/>
              <w:rPr>
                <w:rFonts w:asciiTheme="majorHAnsi" w:eastAsia="Times New Roman" w:hAnsiTheme="majorHAnsi" w:cstheme="majorHAnsi"/>
                <w:b/>
                <w:bCs/>
                <w:color w:val="000000"/>
                <w:sz w:val="20"/>
                <w:szCs w:val="20"/>
              </w:rPr>
            </w:pPr>
            <w:r w:rsidRPr="001247EE">
              <w:rPr>
                <w:rFonts w:asciiTheme="majorHAnsi" w:eastAsia="Times New Roman" w:hAnsiTheme="majorHAnsi" w:cstheme="majorHAnsi"/>
                <w:b/>
                <w:bCs/>
                <w:color w:val="000000"/>
                <w:sz w:val="20"/>
                <w:szCs w:val="20"/>
              </w:rPr>
              <w:t>Specific assessment opportunity</w:t>
            </w:r>
          </w:p>
        </w:tc>
      </w:tr>
      <w:tr w:rsidR="00B8166D" w:rsidRPr="001247EE" w:rsidTr="00DE072A">
        <w:trPr>
          <w:cantSplit/>
          <w:trHeight w:val="315"/>
        </w:trPr>
        <w:tc>
          <w:tcPr>
            <w:tcW w:w="1355" w:type="pct"/>
            <w:vMerge w:val="restart"/>
            <w:shd w:val="clear" w:color="auto" w:fill="auto"/>
            <w:hideMark/>
          </w:tcPr>
          <w:p w:rsidR="00B8166D" w:rsidRPr="001247EE" w:rsidRDefault="00B8166D" w:rsidP="006C308E">
            <w:pPr>
              <w:rPr>
                <w:rFonts w:asciiTheme="majorHAnsi" w:hAnsiTheme="majorHAnsi" w:cstheme="majorHAnsi"/>
                <w:color w:val="000000"/>
                <w:sz w:val="20"/>
                <w:szCs w:val="20"/>
              </w:rPr>
            </w:pPr>
            <w:r w:rsidRPr="001247EE">
              <w:rPr>
                <w:rFonts w:asciiTheme="majorHAnsi" w:hAnsiTheme="majorHAnsi" w:cstheme="majorHAnsi"/>
                <w:color w:val="000000"/>
                <w:sz w:val="20"/>
                <w:szCs w:val="20"/>
              </w:rPr>
              <w:t>PhD-E1. Apply causal inference theory and principles of epidemiology to interpret public health data.</w:t>
            </w:r>
          </w:p>
        </w:tc>
        <w:tc>
          <w:tcPr>
            <w:tcW w:w="1406" w:type="pct"/>
            <w:shd w:val="clear" w:color="auto" w:fill="auto"/>
          </w:tcPr>
          <w:p w:rsidR="00B8166D" w:rsidRPr="001247EE" w:rsidRDefault="00B8166D" w:rsidP="003E5D51">
            <w:pPr>
              <w:rPr>
                <w:rFonts w:asciiTheme="majorHAnsi" w:eastAsia="Times New Roman" w:hAnsiTheme="majorHAnsi" w:cstheme="majorHAnsi"/>
                <w:sz w:val="20"/>
                <w:szCs w:val="20"/>
              </w:rPr>
            </w:pPr>
            <w:r w:rsidRPr="0012136D">
              <w:rPr>
                <w:rFonts w:asciiTheme="majorHAnsi" w:hAnsiTheme="majorHAnsi" w:cstheme="majorHAnsi"/>
                <w:b/>
                <w:sz w:val="20"/>
                <w:szCs w:val="20"/>
              </w:rPr>
              <w:t>PHD 2711</w:t>
            </w:r>
            <w:r w:rsidRPr="001247EE">
              <w:rPr>
                <w:rFonts w:asciiTheme="majorHAnsi" w:hAnsiTheme="majorHAnsi" w:cstheme="majorHAnsi"/>
                <w:sz w:val="20"/>
                <w:szCs w:val="20"/>
              </w:rPr>
              <w:t xml:space="preserve"> Epidemiology IV</w:t>
            </w:r>
          </w:p>
        </w:tc>
        <w:tc>
          <w:tcPr>
            <w:tcW w:w="2239" w:type="pct"/>
            <w:shd w:val="clear" w:color="auto" w:fill="auto"/>
          </w:tcPr>
          <w:p w:rsidR="00B8166D" w:rsidRPr="001247EE" w:rsidRDefault="00621EB2" w:rsidP="006C308E">
            <w:pPr>
              <w:rPr>
                <w:rFonts w:asciiTheme="majorHAnsi" w:hAnsiTheme="majorHAnsi" w:cstheme="majorHAnsi"/>
                <w:sz w:val="20"/>
                <w:szCs w:val="20"/>
              </w:rPr>
            </w:pPr>
            <w:r w:rsidRPr="001247EE">
              <w:rPr>
                <w:rFonts w:asciiTheme="majorHAnsi" w:hAnsiTheme="majorHAnsi" w:cstheme="majorHAnsi"/>
                <w:sz w:val="20"/>
                <w:szCs w:val="20"/>
              </w:rPr>
              <w:t xml:space="preserve">Seminar 1: </w:t>
            </w:r>
            <w:r w:rsidR="00B8166D" w:rsidRPr="001247EE">
              <w:rPr>
                <w:rFonts w:asciiTheme="majorHAnsi" w:hAnsiTheme="majorHAnsi" w:cstheme="majorHAnsi"/>
                <w:sz w:val="20"/>
                <w:szCs w:val="20"/>
              </w:rPr>
              <w:t>This assignment is a review of an assigned article with questions based on STROBE and PRISMA checklists that allow for application of principles of epidemiology such as bias and confounding, as well as causal inference theories, including Bradford Hill's criteria for causality.</w:t>
            </w:r>
          </w:p>
        </w:tc>
      </w:tr>
      <w:tr w:rsidR="00B8166D" w:rsidRPr="001247EE" w:rsidTr="00DE072A">
        <w:trPr>
          <w:cantSplit/>
          <w:trHeight w:val="315"/>
        </w:trPr>
        <w:tc>
          <w:tcPr>
            <w:tcW w:w="1355" w:type="pct"/>
            <w:vMerge/>
            <w:shd w:val="clear" w:color="auto" w:fill="auto"/>
          </w:tcPr>
          <w:p w:rsidR="00B8166D" w:rsidRPr="001247EE" w:rsidRDefault="00B8166D" w:rsidP="006C308E">
            <w:pPr>
              <w:rPr>
                <w:rFonts w:asciiTheme="majorHAnsi" w:hAnsiTheme="majorHAnsi" w:cstheme="majorHAnsi"/>
                <w:color w:val="000000"/>
                <w:sz w:val="20"/>
                <w:szCs w:val="20"/>
              </w:rPr>
            </w:pPr>
          </w:p>
        </w:tc>
        <w:tc>
          <w:tcPr>
            <w:tcW w:w="1406" w:type="pct"/>
            <w:shd w:val="clear" w:color="auto" w:fill="auto"/>
          </w:tcPr>
          <w:p w:rsidR="00B8166D" w:rsidRPr="001247EE" w:rsidRDefault="00B8166D" w:rsidP="00CD6F65">
            <w:pPr>
              <w:rPr>
                <w:rFonts w:asciiTheme="majorHAnsi" w:eastAsia="Times New Roman" w:hAnsiTheme="majorHAnsi" w:cstheme="majorHAnsi"/>
                <w:sz w:val="20"/>
                <w:szCs w:val="20"/>
              </w:rPr>
            </w:pPr>
            <w:r w:rsidRPr="0012136D">
              <w:rPr>
                <w:rFonts w:asciiTheme="majorHAnsi" w:hAnsiTheme="majorHAnsi" w:cstheme="majorHAnsi"/>
                <w:b/>
                <w:sz w:val="20"/>
                <w:szCs w:val="20"/>
              </w:rPr>
              <w:t>PHD 2712</w:t>
            </w:r>
            <w:r w:rsidRPr="001247EE">
              <w:rPr>
                <w:rFonts w:asciiTheme="majorHAnsi" w:hAnsiTheme="majorHAnsi" w:cstheme="majorHAnsi"/>
                <w:sz w:val="20"/>
                <w:szCs w:val="20"/>
              </w:rPr>
              <w:t xml:space="preserve"> Experimental Methods in Epidemiology</w:t>
            </w:r>
          </w:p>
        </w:tc>
        <w:tc>
          <w:tcPr>
            <w:tcW w:w="2239" w:type="pct"/>
            <w:shd w:val="clear" w:color="auto" w:fill="auto"/>
          </w:tcPr>
          <w:p w:rsidR="00B8166D" w:rsidRPr="001247EE" w:rsidRDefault="005405DA" w:rsidP="006C308E">
            <w:pPr>
              <w:rPr>
                <w:rFonts w:asciiTheme="majorHAnsi" w:hAnsiTheme="majorHAnsi" w:cstheme="majorHAnsi"/>
                <w:sz w:val="20"/>
                <w:szCs w:val="20"/>
              </w:rPr>
            </w:pPr>
            <w:r w:rsidRPr="001247EE">
              <w:rPr>
                <w:rFonts w:asciiTheme="majorHAnsi" w:hAnsiTheme="majorHAnsi" w:cstheme="majorHAnsi"/>
                <w:sz w:val="20"/>
                <w:szCs w:val="20"/>
              </w:rPr>
              <w:t xml:space="preserve">Article Presentation: </w:t>
            </w:r>
            <w:r w:rsidR="00B8166D" w:rsidRPr="001247EE">
              <w:rPr>
                <w:rFonts w:asciiTheme="majorHAnsi" w:hAnsiTheme="majorHAnsi" w:cstheme="majorHAnsi"/>
                <w:sz w:val="20"/>
                <w:szCs w:val="20"/>
              </w:rPr>
              <w:t>Students prepare a 20 minute PowerPoint presentation about a randomized controlled trial published in a peer-reviewed journal. They apply epidemiological concepts to critique and evaluate the experimental study.</w:t>
            </w:r>
          </w:p>
        </w:tc>
      </w:tr>
      <w:tr w:rsidR="00B8166D" w:rsidRPr="001247EE" w:rsidTr="00DE072A">
        <w:trPr>
          <w:cantSplit/>
          <w:trHeight w:val="300"/>
        </w:trPr>
        <w:tc>
          <w:tcPr>
            <w:tcW w:w="1355" w:type="pct"/>
            <w:vMerge w:val="restart"/>
            <w:shd w:val="clear" w:color="auto" w:fill="auto"/>
            <w:hideMark/>
          </w:tcPr>
          <w:p w:rsidR="00B8166D" w:rsidRPr="001247EE" w:rsidRDefault="00B8166D" w:rsidP="006C308E">
            <w:pPr>
              <w:rPr>
                <w:rFonts w:asciiTheme="majorHAnsi" w:hAnsiTheme="majorHAnsi" w:cstheme="majorHAnsi"/>
                <w:color w:val="000000"/>
                <w:sz w:val="20"/>
                <w:szCs w:val="20"/>
              </w:rPr>
            </w:pPr>
            <w:r w:rsidRPr="001247EE">
              <w:rPr>
                <w:rFonts w:asciiTheme="majorHAnsi" w:hAnsiTheme="majorHAnsi" w:cstheme="majorHAnsi"/>
                <w:color w:val="000000"/>
                <w:sz w:val="20"/>
                <w:szCs w:val="20"/>
              </w:rPr>
              <w:t>PhD-E2. Critically evaluate epidemiologic literature to assess a study question, methodology, results, ethical considerations and conclusions.</w:t>
            </w:r>
          </w:p>
        </w:tc>
        <w:tc>
          <w:tcPr>
            <w:tcW w:w="1406" w:type="pct"/>
            <w:shd w:val="clear" w:color="auto" w:fill="auto"/>
          </w:tcPr>
          <w:p w:rsidR="00B8166D" w:rsidRPr="001247EE" w:rsidRDefault="000255F1" w:rsidP="00F61376">
            <w:pPr>
              <w:rPr>
                <w:rFonts w:asciiTheme="majorHAnsi" w:eastAsia="Times New Roman" w:hAnsiTheme="majorHAnsi" w:cstheme="majorHAnsi"/>
                <w:sz w:val="20"/>
                <w:szCs w:val="20"/>
              </w:rPr>
            </w:pPr>
            <w:r w:rsidRPr="0012136D">
              <w:rPr>
                <w:rFonts w:asciiTheme="majorHAnsi" w:hAnsiTheme="majorHAnsi" w:cstheme="majorHAnsi"/>
                <w:b/>
                <w:sz w:val="20"/>
                <w:szCs w:val="20"/>
              </w:rPr>
              <w:t>PHD 2711</w:t>
            </w:r>
            <w:r w:rsidRPr="001247EE">
              <w:rPr>
                <w:rFonts w:asciiTheme="majorHAnsi" w:hAnsiTheme="majorHAnsi" w:cstheme="majorHAnsi"/>
                <w:sz w:val="20"/>
                <w:szCs w:val="20"/>
              </w:rPr>
              <w:t xml:space="preserve"> Epidemiology IV</w:t>
            </w:r>
          </w:p>
        </w:tc>
        <w:tc>
          <w:tcPr>
            <w:tcW w:w="2239" w:type="pct"/>
            <w:shd w:val="clear" w:color="auto" w:fill="auto"/>
          </w:tcPr>
          <w:p w:rsidR="00B8166D" w:rsidRPr="001247EE" w:rsidRDefault="00621EB2" w:rsidP="006C308E">
            <w:pPr>
              <w:rPr>
                <w:rFonts w:asciiTheme="majorHAnsi" w:hAnsiTheme="majorHAnsi" w:cstheme="majorHAnsi"/>
                <w:sz w:val="20"/>
                <w:szCs w:val="20"/>
              </w:rPr>
            </w:pPr>
            <w:r w:rsidRPr="001247EE">
              <w:rPr>
                <w:rFonts w:asciiTheme="majorHAnsi" w:hAnsiTheme="majorHAnsi" w:cstheme="majorHAnsi"/>
                <w:sz w:val="20"/>
                <w:szCs w:val="20"/>
              </w:rPr>
              <w:t xml:space="preserve">Seminar 2: </w:t>
            </w:r>
            <w:r w:rsidR="00B8166D" w:rsidRPr="001247EE">
              <w:rPr>
                <w:rFonts w:asciiTheme="majorHAnsi" w:hAnsiTheme="majorHAnsi" w:cstheme="majorHAnsi"/>
                <w:sz w:val="20"/>
                <w:szCs w:val="20"/>
              </w:rPr>
              <w:t>This is a seminar assignment related to review of a given literature. In addition to the usual questions, this assignment has some of the following additional questions e.g. matching, power, bias etc.</w:t>
            </w:r>
          </w:p>
        </w:tc>
      </w:tr>
      <w:tr w:rsidR="00B8166D" w:rsidRPr="001247EE" w:rsidTr="00DE072A">
        <w:trPr>
          <w:cantSplit/>
          <w:trHeight w:val="300"/>
        </w:trPr>
        <w:tc>
          <w:tcPr>
            <w:tcW w:w="1355" w:type="pct"/>
            <w:vMerge/>
            <w:shd w:val="clear" w:color="auto" w:fill="auto"/>
          </w:tcPr>
          <w:p w:rsidR="00B8166D" w:rsidRPr="001247EE" w:rsidRDefault="00B8166D" w:rsidP="006C308E">
            <w:pPr>
              <w:rPr>
                <w:rFonts w:asciiTheme="majorHAnsi" w:hAnsiTheme="majorHAnsi" w:cstheme="majorHAnsi"/>
                <w:color w:val="000000"/>
                <w:sz w:val="20"/>
                <w:szCs w:val="20"/>
              </w:rPr>
            </w:pPr>
          </w:p>
        </w:tc>
        <w:tc>
          <w:tcPr>
            <w:tcW w:w="1406" w:type="pct"/>
            <w:shd w:val="clear" w:color="auto" w:fill="auto"/>
          </w:tcPr>
          <w:p w:rsidR="00B8166D" w:rsidRPr="001247EE" w:rsidRDefault="005405DA" w:rsidP="00BD688F">
            <w:pPr>
              <w:rPr>
                <w:rFonts w:asciiTheme="majorHAnsi" w:eastAsia="Times New Roman" w:hAnsiTheme="majorHAnsi" w:cstheme="majorHAnsi"/>
                <w:sz w:val="20"/>
                <w:szCs w:val="20"/>
              </w:rPr>
            </w:pPr>
            <w:r w:rsidRPr="0012136D">
              <w:rPr>
                <w:rFonts w:asciiTheme="majorHAnsi" w:hAnsiTheme="majorHAnsi" w:cstheme="majorHAnsi"/>
                <w:b/>
                <w:sz w:val="20"/>
                <w:szCs w:val="20"/>
              </w:rPr>
              <w:t>PHD 2712</w:t>
            </w:r>
            <w:r w:rsidRPr="001247EE">
              <w:rPr>
                <w:rFonts w:asciiTheme="majorHAnsi" w:hAnsiTheme="majorHAnsi" w:cstheme="majorHAnsi"/>
                <w:sz w:val="20"/>
                <w:szCs w:val="20"/>
              </w:rPr>
              <w:t xml:space="preserve"> Experimental Methods in Epidemiology</w:t>
            </w:r>
          </w:p>
        </w:tc>
        <w:tc>
          <w:tcPr>
            <w:tcW w:w="2239" w:type="pct"/>
            <w:shd w:val="clear" w:color="auto" w:fill="auto"/>
          </w:tcPr>
          <w:p w:rsidR="00B8166D" w:rsidRPr="001247EE" w:rsidRDefault="005405DA" w:rsidP="005405DA">
            <w:pPr>
              <w:rPr>
                <w:rFonts w:asciiTheme="majorHAnsi" w:hAnsiTheme="majorHAnsi" w:cstheme="majorHAnsi"/>
                <w:sz w:val="20"/>
                <w:szCs w:val="20"/>
              </w:rPr>
            </w:pPr>
            <w:r w:rsidRPr="001247EE">
              <w:rPr>
                <w:rFonts w:asciiTheme="majorHAnsi" w:hAnsiTheme="majorHAnsi" w:cstheme="majorHAnsi"/>
                <w:sz w:val="20"/>
                <w:szCs w:val="20"/>
              </w:rPr>
              <w:t>Midterm Exam, Question 6:</w:t>
            </w:r>
            <w:r w:rsidR="00F01F4E" w:rsidRPr="001247EE">
              <w:rPr>
                <w:rFonts w:asciiTheme="majorHAnsi" w:hAnsiTheme="majorHAnsi" w:cstheme="majorHAnsi"/>
                <w:sz w:val="20"/>
                <w:szCs w:val="20"/>
              </w:rPr>
              <w:t xml:space="preserve"> </w:t>
            </w:r>
            <w:r w:rsidRPr="001247EE">
              <w:rPr>
                <w:rFonts w:asciiTheme="majorHAnsi" w:hAnsiTheme="majorHAnsi" w:cstheme="majorHAnsi"/>
                <w:sz w:val="20"/>
                <w:szCs w:val="20"/>
              </w:rPr>
              <w:t>T</w:t>
            </w:r>
            <w:r w:rsidR="00B8166D" w:rsidRPr="001247EE">
              <w:rPr>
                <w:rFonts w:asciiTheme="majorHAnsi" w:hAnsiTheme="majorHAnsi" w:cstheme="majorHAnsi"/>
                <w:sz w:val="20"/>
                <w:szCs w:val="20"/>
              </w:rPr>
              <w:t>his midterm requires students to identify the ethical issues associated with using placebos in clinical trials.</w:t>
            </w:r>
          </w:p>
        </w:tc>
      </w:tr>
      <w:tr w:rsidR="00B8166D" w:rsidRPr="001247EE" w:rsidTr="00DE072A">
        <w:trPr>
          <w:cantSplit/>
          <w:trHeight w:val="300"/>
        </w:trPr>
        <w:tc>
          <w:tcPr>
            <w:tcW w:w="1355" w:type="pct"/>
            <w:vMerge/>
            <w:shd w:val="clear" w:color="auto" w:fill="auto"/>
          </w:tcPr>
          <w:p w:rsidR="00B8166D" w:rsidRPr="001247EE" w:rsidRDefault="00B8166D" w:rsidP="006C308E">
            <w:pPr>
              <w:rPr>
                <w:rFonts w:asciiTheme="majorHAnsi" w:hAnsiTheme="majorHAnsi" w:cstheme="majorHAnsi"/>
                <w:color w:val="000000"/>
                <w:sz w:val="20"/>
                <w:szCs w:val="20"/>
              </w:rPr>
            </w:pPr>
          </w:p>
        </w:tc>
        <w:tc>
          <w:tcPr>
            <w:tcW w:w="1406" w:type="pct"/>
            <w:shd w:val="clear" w:color="auto" w:fill="auto"/>
          </w:tcPr>
          <w:p w:rsidR="00B8166D" w:rsidRPr="001247EE" w:rsidRDefault="00B8166D" w:rsidP="00B541C8">
            <w:pPr>
              <w:rPr>
                <w:rFonts w:asciiTheme="majorHAnsi" w:eastAsia="Times New Roman" w:hAnsiTheme="majorHAnsi" w:cstheme="majorHAnsi"/>
                <w:sz w:val="20"/>
                <w:szCs w:val="20"/>
              </w:rPr>
            </w:pPr>
            <w:r w:rsidRPr="0012136D">
              <w:rPr>
                <w:rFonts w:asciiTheme="majorHAnsi" w:hAnsiTheme="majorHAnsi" w:cstheme="majorHAnsi"/>
                <w:b/>
                <w:sz w:val="20"/>
                <w:szCs w:val="20"/>
              </w:rPr>
              <w:t>PHD 2720</w:t>
            </w:r>
            <w:r w:rsidRPr="001247EE">
              <w:rPr>
                <w:rFonts w:asciiTheme="majorHAnsi" w:hAnsiTheme="majorHAnsi" w:cstheme="majorHAnsi"/>
                <w:sz w:val="20"/>
                <w:szCs w:val="20"/>
              </w:rPr>
              <w:t xml:space="preserve"> Epidemiology Proposal Development</w:t>
            </w:r>
          </w:p>
        </w:tc>
        <w:tc>
          <w:tcPr>
            <w:tcW w:w="2239" w:type="pct"/>
            <w:shd w:val="clear" w:color="auto" w:fill="auto"/>
          </w:tcPr>
          <w:p w:rsidR="00B8166D" w:rsidRPr="001247EE" w:rsidRDefault="0021763B" w:rsidP="006C308E">
            <w:pPr>
              <w:rPr>
                <w:rFonts w:asciiTheme="majorHAnsi" w:hAnsiTheme="majorHAnsi" w:cstheme="majorHAnsi"/>
                <w:sz w:val="20"/>
                <w:szCs w:val="20"/>
              </w:rPr>
            </w:pPr>
            <w:r w:rsidRPr="001247EE">
              <w:rPr>
                <w:rFonts w:asciiTheme="majorHAnsi" w:hAnsiTheme="majorHAnsi" w:cstheme="majorHAnsi"/>
                <w:sz w:val="20"/>
                <w:szCs w:val="20"/>
              </w:rPr>
              <w:t xml:space="preserve">Introduction and Public Health Significance: </w:t>
            </w:r>
            <w:r w:rsidR="00B8166D" w:rsidRPr="001247EE">
              <w:rPr>
                <w:rFonts w:asciiTheme="majorHAnsi" w:hAnsiTheme="majorHAnsi" w:cstheme="majorHAnsi"/>
                <w:sz w:val="20"/>
                <w:szCs w:val="20"/>
              </w:rPr>
              <w:t>Students write the Introduction and Public Health Significance sections as part of a  written research proposal</w:t>
            </w:r>
          </w:p>
        </w:tc>
      </w:tr>
      <w:tr w:rsidR="00B8166D" w:rsidRPr="001247EE" w:rsidTr="00DE072A">
        <w:trPr>
          <w:cantSplit/>
          <w:trHeight w:val="300"/>
        </w:trPr>
        <w:tc>
          <w:tcPr>
            <w:tcW w:w="1355" w:type="pct"/>
            <w:vMerge/>
            <w:shd w:val="clear" w:color="auto" w:fill="auto"/>
          </w:tcPr>
          <w:p w:rsidR="00B8166D" w:rsidRPr="001247EE" w:rsidRDefault="00B8166D" w:rsidP="006C308E">
            <w:pPr>
              <w:rPr>
                <w:rFonts w:asciiTheme="majorHAnsi" w:hAnsiTheme="majorHAnsi" w:cstheme="majorHAnsi"/>
                <w:color w:val="000000"/>
                <w:sz w:val="20"/>
                <w:szCs w:val="20"/>
              </w:rPr>
            </w:pPr>
          </w:p>
        </w:tc>
        <w:tc>
          <w:tcPr>
            <w:tcW w:w="1406" w:type="pct"/>
            <w:shd w:val="clear" w:color="auto" w:fill="auto"/>
          </w:tcPr>
          <w:p w:rsidR="00B8166D" w:rsidRPr="001247EE" w:rsidRDefault="00B8166D" w:rsidP="00A13333">
            <w:pPr>
              <w:rPr>
                <w:rFonts w:asciiTheme="majorHAnsi" w:eastAsia="Times New Roman" w:hAnsiTheme="majorHAnsi" w:cstheme="majorHAnsi"/>
                <w:sz w:val="20"/>
                <w:szCs w:val="20"/>
              </w:rPr>
            </w:pPr>
            <w:r w:rsidRPr="0012136D">
              <w:rPr>
                <w:rFonts w:asciiTheme="majorHAnsi" w:hAnsiTheme="majorHAnsi" w:cstheme="majorHAnsi"/>
                <w:b/>
                <w:sz w:val="20"/>
                <w:szCs w:val="20"/>
              </w:rPr>
              <w:t>PHD 2770</w:t>
            </w:r>
            <w:r w:rsidRPr="001247EE">
              <w:rPr>
                <w:rFonts w:asciiTheme="majorHAnsi" w:hAnsiTheme="majorHAnsi" w:cstheme="majorHAnsi"/>
                <w:sz w:val="20"/>
                <w:szCs w:val="20"/>
              </w:rPr>
              <w:t xml:space="preserve"> NIH Proposal Development</w:t>
            </w:r>
          </w:p>
        </w:tc>
        <w:tc>
          <w:tcPr>
            <w:tcW w:w="2239" w:type="pct"/>
            <w:shd w:val="clear" w:color="auto" w:fill="auto"/>
          </w:tcPr>
          <w:p w:rsidR="00B8166D" w:rsidRPr="001247EE" w:rsidRDefault="0021763B" w:rsidP="006C308E">
            <w:pPr>
              <w:rPr>
                <w:rFonts w:asciiTheme="majorHAnsi" w:hAnsiTheme="majorHAnsi" w:cstheme="majorHAnsi"/>
                <w:sz w:val="20"/>
                <w:szCs w:val="20"/>
              </w:rPr>
            </w:pPr>
            <w:r w:rsidRPr="001247EE">
              <w:rPr>
                <w:rFonts w:asciiTheme="majorHAnsi" w:hAnsiTheme="majorHAnsi" w:cstheme="majorHAnsi"/>
                <w:sz w:val="20"/>
                <w:szCs w:val="20"/>
              </w:rPr>
              <w:t>Proposal Development</w:t>
            </w:r>
            <w:r w:rsidRPr="001247EE">
              <w:rPr>
                <w:rFonts w:asciiTheme="majorHAnsi" w:hAnsiTheme="majorHAnsi" w:cstheme="majorHAnsi"/>
                <w:sz w:val="20"/>
                <w:szCs w:val="20"/>
                <w:u w:val="single"/>
              </w:rPr>
              <w:t>:</w:t>
            </w:r>
            <w:r w:rsidRPr="001247EE">
              <w:rPr>
                <w:rFonts w:asciiTheme="majorHAnsi" w:hAnsiTheme="majorHAnsi" w:cstheme="majorHAnsi"/>
                <w:sz w:val="20"/>
                <w:szCs w:val="20"/>
              </w:rPr>
              <w:t xml:space="preserve"> </w:t>
            </w:r>
            <w:r w:rsidR="00B8166D" w:rsidRPr="001247EE">
              <w:rPr>
                <w:rFonts w:asciiTheme="majorHAnsi" w:hAnsiTheme="majorHAnsi" w:cstheme="majorHAnsi"/>
                <w:sz w:val="20"/>
                <w:szCs w:val="20"/>
              </w:rPr>
              <w:t>Students identify research questions that have significance and is innovative, by conducting a detailed literature review. They also identify the appropriate study designs and methodology through their literature search.</w:t>
            </w:r>
          </w:p>
        </w:tc>
      </w:tr>
      <w:tr w:rsidR="00B8166D" w:rsidRPr="001247EE" w:rsidTr="00DE072A">
        <w:trPr>
          <w:cantSplit/>
          <w:trHeight w:val="300"/>
        </w:trPr>
        <w:tc>
          <w:tcPr>
            <w:tcW w:w="1355" w:type="pct"/>
            <w:vMerge/>
            <w:shd w:val="clear" w:color="auto" w:fill="auto"/>
          </w:tcPr>
          <w:p w:rsidR="00B8166D" w:rsidRPr="001247EE" w:rsidRDefault="00B8166D" w:rsidP="006C308E">
            <w:pPr>
              <w:rPr>
                <w:rFonts w:asciiTheme="majorHAnsi" w:hAnsiTheme="majorHAnsi" w:cstheme="majorHAnsi"/>
                <w:color w:val="000000"/>
                <w:sz w:val="20"/>
                <w:szCs w:val="20"/>
              </w:rPr>
            </w:pPr>
          </w:p>
        </w:tc>
        <w:tc>
          <w:tcPr>
            <w:tcW w:w="1406" w:type="pct"/>
            <w:shd w:val="clear" w:color="auto" w:fill="auto"/>
          </w:tcPr>
          <w:p w:rsidR="00B8166D" w:rsidRPr="001247EE" w:rsidRDefault="00B8166D" w:rsidP="00752E85">
            <w:pPr>
              <w:rPr>
                <w:rFonts w:asciiTheme="majorHAnsi" w:eastAsia="Times New Roman" w:hAnsiTheme="majorHAnsi" w:cstheme="majorHAnsi"/>
                <w:sz w:val="20"/>
                <w:szCs w:val="20"/>
              </w:rPr>
            </w:pPr>
            <w:r w:rsidRPr="0012136D">
              <w:rPr>
                <w:rFonts w:asciiTheme="majorHAnsi" w:hAnsiTheme="majorHAnsi" w:cstheme="majorHAnsi"/>
                <w:b/>
                <w:sz w:val="20"/>
                <w:szCs w:val="20"/>
              </w:rPr>
              <w:t>PHD 2990</w:t>
            </w:r>
            <w:r w:rsidRPr="001247EE">
              <w:rPr>
                <w:rFonts w:asciiTheme="majorHAnsi" w:hAnsiTheme="majorHAnsi" w:cstheme="majorHAnsi"/>
                <w:sz w:val="20"/>
                <w:szCs w:val="20"/>
              </w:rPr>
              <w:t xml:space="preserve"> Epidemiology Seminar and Journal Club</w:t>
            </w:r>
          </w:p>
        </w:tc>
        <w:tc>
          <w:tcPr>
            <w:tcW w:w="2239" w:type="pct"/>
            <w:shd w:val="clear" w:color="auto" w:fill="auto"/>
          </w:tcPr>
          <w:p w:rsidR="00B8166D" w:rsidRPr="001247EE" w:rsidRDefault="00C445CC" w:rsidP="006C308E">
            <w:pPr>
              <w:rPr>
                <w:rFonts w:asciiTheme="majorHAnsi" w:hAnsiTheme="majorHAnsi" w:cstheme="majorHAnsi"/>
                <w:sz w:val="20"/>
                <w:szCs w:val="20"/>
              </w:rPr>
            </w:pPr>
            <w:r w:rsidRPr="001247EE">
              <w:rPr>
                <w:rFonts w:asciiTheme="majorHAnsi" w:hAnsiTheme="majorHAnsi" w:cstheme="majorHAnsi"/>
                <w:sz w:val="20"/>
                <w:szCs w:val="20"/>
              </w:rPr>
              <w:t xml:space="preserve">Peer Evaluations: </w:t>
            </w:r>
            <w:r w:rsidR="00B8166D" w:rsidRPr="001247EE">
              <w:rPr>
                <w:rFonts w:asciiTheme="majorHAnsi" w:hAnsiTheme="majorHAnsi" w:cstheme="majorHAnsi"/>
                <w:sz w:val="20"/>
                <w:szCs w:val="20"/>
              </w:rPr>
              <w:t>Students are required to critique the abstracts and presentations of other students.</w:t>
            </w:r>
          </w:p>
        </w:tc>
      </w:tr>
      <w:tr w:rsidR="00B8166D" w:rsidRPr="001247EE" w:rsidTr="00DE072A">
        <w:trPr>
          <w:cantSplit/>
          <w:trHeight w:val="315"/>
        </w:trPr>
        <w:tc>
          <w:tcPr>
            <w:tcW w:w="1355" w:type="pct"/>
            <w:shd w:val="clear" w:color="auto" w:fill="auto"/>
          </w:tcPr>
          <w:p w:rsidR="00B8166D" w:rsidRPr="001247EE" w:rsidRDefault="00B8166D" w:rsidP="006C308E">
            <w:pPr>
              <w:rPr>
                <w:rFonts w:asciiTheme="majorHAnsi" w:hAnsiTheme="majorHAnsi" w:cstheme="majorHAnsi"/>
                <w:color w:val="000000"/>
                <w:sz w:val="20"/>
                <w:szCs w:val="20"/>
              </w:rPr>
            </w:pPr>
            <w:r w:rsidRPr="001247EE">
              <w:rPr>
                <w:rFonts w:asciiTheme="majorHAnsi" w:hAnsiTheme="majorHAnsi" w:cstheme="majorHAnsi"/>
                <w:color w:val="000000"/>
                <w:sz w:val="20"/>
                <w:szCs w:val="20"/>
              </w:rPr>
              <w:t>PhD-E3. Select and apply appropriate multivariable statistical analysis techniques for an epidemiologic study.</w:t>
            </w:r>
          </w:p>
        </w:tc>
        <w:tc>
          <w:tcPr>
            <w:tcW w:w="1406" w:type="pct"/>
          </w:tcPr>
          <w:p w:rsidR="00B8166D" w:rsidRPr="001247EE" w:rsidRDefault="000255F1" w:rsidP="0094116E">
            <w:pPr>
              <w:rPr>
                <w:rFonts w:asciiTheme="majorHAnsi" w:eastAsia="Times New Roman" w:hAnsiTheme="majorHAnsi" w:cstheme="majorHAnsi"/>
                <w:sz w:val="20"/>
                <w:szCs w:val="20"/>
              </w:rPr>
            </w:pPr>
            <w:r w:rsidRPr="0012136D">
              <w:rPr>
                <w:rFonts w:asciiTheme="majorHAnsi" w:hAnsiTheme="majorHAnsi" w:cstheme="majorHAnsi"/>
                <w:b/>
                <w:sz w:val="20"/>
                <w:szCs w:val="20"/>
              </w:rPr>
              <w:t>PHD 2711</w:t>
            </w:r>
            <w:r w:rsidRPr="001247EE">
              <w:rPr>
                <w:rFonts w:asciiTheme="majorHAnsi" w:hAnsiTheme="majorHAnsi" w:cstheme="majorHAnsi"/>
                <w:sz w:val="20"/>
                <w:szCs w:val="20"/>
              </w:rPr>
              <w:t xml:space="preserve"> Epidemiology IV</w:t>
            </w:r>
          </w:p>
        </w:tc>
        <w:tc>
          <w:tcPr>
            <w:tcW w:w="2239" w:type="pct"/>
            <w:shd w:val="clear" w:color="auto" w:fill="auto"/>
          </w:tcPr>
          <w:p w:rsidR="00B8166D" w:rsidRPr="001247EE" w:rsidRDefault="00621EB2" w:rsidP="006C308E">
            <w:pPr>
              <w:rPr>
                <w:rFonts w:asciiTheme="majorHAnsi" w:hAnsiTheme="majorHAnsi" w:cstheme="majorHAnsi"/>
                <w:sz w:val="20"/>
                <w:szCs w:val="20"/>
              </w:rPr>
            </w:pPr>
            <w:r w:rsidRPr="001247EE">
              <w:rPr>
                <w:rFonts w:asciiTheme="majorHAnsi" w:hAnsiTheme="majorHAnsi" w:cstheme="majorHAnsi"/>
                <w:sz w:val="20"/>
                <w:szCs w:val="20"/>
              </w:rPr>
              <w:t xml:space="preserve">Homework 5: </w:t>
            </w:r>
            <w:r w:rsidR="00B8166D" w:rsidRPr="001247EE">
              <w:rPr>
                <w:rFonts w:asciiTheme="majorHAnsi" w:hAnsiTheme="majorHAnsi" w:cstheme="majorHAnsi"/>
                <w:sz w:val="20"/>
                <w:szCs w:val="20"/>
              </w:rPr>
              <w:t xml:space="preserve">This analytic assignment is based on dataset from New Mexico Women’s Health </w:t>
            </w:r>
            <w:r w:rsidR="0012136D" w:rsidRPr="001247EE">
              <w:rPr>
                <w:rFonts w:asciiTheme="majorHAnsi" w:hAnsiTheme="majorHAnsi" w:cstheme="majorHAnsi"/>
                <w:sz w:val="20"/>
                <w:szCs w:val="20"/>
              </w:rPr>
              <w:t>Study, which</w:t>
            </w:r>
            <w:r w:rsidR="00B8166D" w:rsidRPr="001247EE">
              <w:rPr>
                <w:rFonts w:asciiTheme="majorHAnsi" w:hAnsiTheme="majorHAnsi" w:cstheme="majorHAnsi"/>
                <w:sz w:val="20"/>
                <w:szCs w:val="20"/>
              </w:rPr>
              <w:t xml:space="preserve"> is a matched case-control study. Model building and testing techniques in matched case-control study are tested in thus assignment.</w:t>
            </w:r>
          </w:p>
        </w:tc>
      </w:tr>
      <w:tr w:rsidR="00B8166D" w:rsidRPr="001247EE" w:rsidTr="00DE072A">
        <w:trPr>
          <w:cantSplit/>
          <w:trHeight w:val="179"/>
        </w:trPr>
        <w:tc>
          <w:tcPr>
            <w:tcW w:w="1355" w:type="pct"/>
            <w:vMerge w:val="restart"/>
            <w:shd w:val="clear" w:color="auto" w:fill="auto"/>
          </w:tcPr>
          <w:p w:rsidR="00B8166D" w:rsidRPr="001247EE" w:rsidRDefault="00B8166D" w:rsidP="006C308E">
            <w:pPr>
              <w:rPr>
                <w:rFonts w:asciiTheme="majorHAnsi" w:hAnsiTheme="majorHAnsi" w:cstheme="majorHAnsi"/>
                <w:color w:val="000000"/>
                <w:sz w:val="20"/>
                <w:szCs w:val="20"/>
              </w:rPr>
            </w:pPr>
            <w:r w:rsidRPr="001247EE">
              <w:rPr>
                <w:rFonts w:asciiTheme="majorHAnsi" w:hAnsiTheme="majorHAnsi" w:cstheme="majorHAnsi"/>
                <w:color w:val="000000"/>
                <w:sz w:val="20"/>
                <w:szCs w:val="20"/>
              </w:rPr>
              <w:t>PhD-E4. Develop a research proposal to design, conduct, and interpret results of an epidemiological study.</w:t>
            </w:r>
          </w:p>
        </w:tc>
        <w:tc>
          <w:tcPr>
            <w:tcW w:w="1406" w:type="pct"/>
          </w:tcPr>
          <w:p w:rsidR="00B8166D" w:rsidRPr="001247EE" w:rsidRDefault="005405DA" w:rsidP="001227B1">
            <w:pPr>
              <w:rPr>
                <w:rFonts w:asciiTheme="majorHAnsi" w:eastAsia="Times New Roman" w:hAnsiTheme="majorHAnsi" w:cstheme="majorHAnsi"/>
                <w:sz w:val="20"/>
                <w:szCs w:val="20"/>
              </w:rPr>
            </w:pPr>
            <w:r w:rsidRPr="0012136D">
              <w:rPr>
                <w:rFonts w:asciiTheme="majorHAnsi" w:hAnsiTheme="majorHAnsi" w:cstheme="majorHAnsi"/>
                <w:b/>
                <w:sz w:val="20"/>
                <w:szCs w:val="20"/>
              </w:rPr>
              <w:t>PHD 2712</w:t>
            </w:r>
            <w:r w:rsidRPr="001247EE">
              <w:rPr>
                <w:rFonts w:asciiTheme="majorHAnsi" w:hAnsiTheme="majorHAnsi" w:cstheme="majorHAnsi"/>
                <w:sz w:val="20"/>
                <w:szCs w:val="20"/>
              </w:rPr>
              <w:t xml:space="preserve"> Experimental Methods in Epidemiology</w:t>
            </w:r>
          </w:p>
        </w:tc>
        <w:tc>
          <w:tcPr>
            <w:tcW w:w="2239" w:type="pct"/>
            <w:shd w:val="clear" w:color="auto" w:fill="auto"/>
          </w:tcPr>
          <w:p w:rsidR="00B8166D" w:rsidRPr="001247EE" w:rsidRDefault="005405DA" w:rsidP="006C308E">
            <w:pPr>
              <w:rPr>
                <w:rFonts w:asciiTheme="majorHAnsi" w:hAnsiTheme="majorHAnsi" w:cstheme="majorHAnsi"/>
                <w:sz w:val="20"/>
                <w:szCs w:val="20"/>
              </w:rPr>
            </w:pPr>
            <w:r w:rsidRPr="001247EE">
              <w:rPr>
                <w:rFonts w:asciiTheme="majorHAnsi" w:hAnsiTheme="majorHAnsi" w:cstheme="majorHAnsi"/>
                <w:sz w:val="20"/>
                <w:szCs w:val="20"/>
              </w:rPr>
              <w:t xml:space="preserve">Specific </w:t>
            </w:r>
            <w:r w:rsidRPr="006F7F57">
              <w:rPr>
                <w:rFonts w:asciiTheme="majorHAnsi" w:hAnsiTheme="majorHAnsi" w:cstheme="majorHAnsi"/>
                <w:sz w:val="20"/>
                <w:szCs w:val="20"/>
              </w:rPr>
              <w:t>Aims Proposal</w:t>
            </w:r>
            <w:r w:rsidRPr="001247EE">
              <w:rPr>
                <w:rFonts w:asciiTheme="majorHAnsi" w:hAnsiTheme="majorHAnsi" w:cstheme="majorHAnsi"/>
                <w:sz w:val="20"/>
                <w:szCs w:val="20"/>
              </w:rPr>
              <w:t xml:space="preserve">: </w:t>
            </w:r>
            <w:r w:rsidR="00B8166D" w:rsidRPr="001247EE">
              <w:rPr>
                <w:rFonts w:asciiTheme="majorHAnsi" w:hAnsiTheme="majorHAnsi" w:cstheme="majorHAnsi"/>
                <w:sz w:val="20"/>
                <w:szCs w:val="20"/>
              </w:rPr>
              <w:t>Students develop an NIH-style written proposal summary and class presentation. The proposal includes a background about public health significance, knowledge gap and innovative intervention; specific aims and an approach for the study including design, methods and data analysis.</w:t>
            </w:r>
          </w:p>
        </w:tc>
      </w:tr>
      <w:tr w:rsidR="00B8166D" w:rsidRPr="001247EE" w:rsidTr="00DE072A">
        <w:trPr>
          <w:cantSplit/>
          <w:trHeight w:val="179"/>
        </w:trPr>
        <w:tc>
          <w:tcPr>
            <w:tcW w:w="1355" w:type="pct"/>
            <w:vMerge/>
            <w:shd w:val="clear" w:color="auto" w:fill="auto"/>
          </w:tcPr>
          <w:p w:rsidR="00B8166D" w:rsidRPr="001247EE" w:rsidRDefault="00B8166D" w:rsidP="006C308E">
            <w:pPr>
              <w:rPr>
                <w:rFonts w:asciiTheme="majorHAnsi" w:hAnsiTheme="majorHAnsi" w:cstheme="majorHAnsi"/>
                <w:color w:val="000000"/>
                <w:sz w:val="20"/>
                <w:szCs w:val="20"/>
              </w:rPr>
            </w:pPr>
          </w:p>
        </w:tc>
        <w:tc>
          <w:tcPr>
            <w:tcW w:w="1406" w:type="pct"/>
          </w:tcPr>
          <w:p w:rsidR="00B8166D" w:rsidRPr="001247EE" w:rsidRDefault="0021763B" w:rsidP="00C36A57">
            <w:pPr>
              <w:rPr>
                <w:rFonts w:asciiTheme="majorHAnsi" w:eastAsia="Times New Roman" w:hAnsiTheme="majorHAnsi" w:cstheme="majorHAnsi"/>
                <w:sz w:val="20"/>
                <w:szCs w:val="20"/>
              </w:rPr>
            </w:pPr>
            <w:r w:rsidRPr="0012136D">
              <w:rPr>
                <w:rFonts w:asciiTheme="majorHAnsi" w:hAnsiTheme="majorHAnsi" w:cstheme="majorHAnsi"/>
                <w:b/>
                <w:sz w:val="20"/>
                <w:szCs w:val="20"/>
              </w:rPr>
              <w:t>PHD 2720</w:t>
            </w:r>
            <w:r w:rsidRPr="001247EE">
              <w:rPr>
                <w:rFonts w:asciiTheme="majorHAnsi" w:hAnsiTheme="majorHAnsi" w:cstheme="majorHAnsi"/>
                <w:sz w:val="20"/>
                <w:szCs w:val="20"/>
              </w:rPr>
              <w:t xml:space="preserve"> Epidemiology Proposal Development</w:t>
            </w:r>
          </w:p>
        </w:tc>
        <w:tc>
          <w:tcPr>
            <w:tcW w:w="2239" w:type="pct"/>
            <w:shd w:val="clear" w:color="auto" w:fill="auto"/>
          </w:tcPr>
          <w:p w:rsidR="00B8166D" w:rsidRPr="001247EE" w:rsidRDefault="0021763B" w:rsidP="006C308E">
            <w:pPr>
              <w:rPr>
                <w:rFonts w:asciiTheme="majorHAnsi" w:hAnsiTheme="majorHAnsi" w:cstheme="majorHAnsi"/>
                <w:sz w:val="20"/>
                <w:szCs w:val="20"/>
              </w:rPr>
            </w:pPr>
            <w:r w:rsidRPr="001247EE">
              <w:rPr>
                <w:rFonts w:asciiTheme="majorHAnsi" w:hAnsiTheme="majorHAnsi" w:cstheme="majorHAnsi"/>
                <w:sz w:val="20"/>
                <w:szCs w:val="20"/>
              </w:rPr>
              <w:t xml:space="preserve">Research Proposal: </w:t>
            </w:r>
            <w:r w:rsidR="00B8166D" w:rsidRPr="001247EE">
              <w:rPr>
                <w:rFonts w:asciiTheme="majorHAnsi" w:hAnsiTheme="majorHAnsi" w:cstheme="majorHAnsi"/>
                <w:sz w:val="20"/>
                <w:szCs w:val="20"/>
              </w:rPr>
              <w:t xml:space="preserve">Students complete a full research proposal consisting of Specific Aims, Introduction, Significance, </w:t>
            </w:r>
            <w:r w:rsidRPr="001247EE">
              <w:rPr>
                <w:rFonts w:asciiTheme="majorHAnsi" w:hAnsiTheme="majorHAnsi" w:cstheme="majorHAnsi"/>
                <w:sz w:val="20"/>
                <w:szCs w:val="20"/>
              </w:rPr>
              <w:t>I</w:t>
            </w:r>
            <w:r w:rsidR="00B8166D" w:rsidRPr="001247EE">
              <w:rPr>
                <w:rFonts w:asciiTheme="majorHAnsi" w:hAnsiTheme="majorHAnsi" w:cstheme="majorHAnsi"/>
                <w:sz w:val="20"/>
                <w:szCs w:val="20"/>
              </w:rPr>
              <w:t>nnovation and Approach (methods).</w:t>
            </w:r>
          </w:p>
        </w:tc>
      </w:tr>
      <w:tr w:rsidR="00B8166D" w:rsidRPr="001247EE" w:rsidTr="00DE072A">
        <w:trPr>
          <w:cantSplit/>
          <w:trHeight w:val="179"/>
        </w:trPr>
        <w:tc>
          <w:tcPr>
            <w:tcW w:w="1355" w:type="pct"/>
            <w:vMerge/>
            <w:shd w:val="clear" w:color="auto" w:fill="auto"/>
          </w:tcPr>
          <w:p w:rsidR="00B8166D" w:rsidRPr="001247EE" w:rsidRDefault="00B8166D" w:rsidP="006C308E">
            <w:pPr>
              <w:rPr>
                <w:rFonts w:asciiTheme="majorHAnsi" w:hAnsiTheme="majorHAnsi" w:cstheme="majorHAnsi"/>
                <w:color w:val="000000"/>
                <w:sz w:val="20"/>
                <w:szCs w:val="20"/>
              </w:rPr>
            </w:pPr>
          </w:p>
        </w:tc>
        <w:tc>
          <w:tcPr>
            <w:tcW w:w="1406" w:type="pct"/>
          </w:tcPr>
          <w:p w:rsidR="00B8166D" w:rsidRPr="001247EE" w:rsidRDefault="0021763B" w:rsidP="00F67137">
            <w:pPr>
              <w:rPr>
                <w:rFonts w:asciiTheme="majorHAnsi" w:eastAsia="Times New Roman" w:hAnsiTheme="majorHAnsi" w:cstheme="majorHAnsi"/>
                <w:sz w:val="20"/>
                <w:szCs w:val="20"/>
              </w:rPr>
            </w:pPr>
            <w:r w:rsidRPr="0012136D">
              <w:rPr>
                <w:rFonts w:asciiTheme="majorHAnsi" w:hAnsiTheme="majorHAnsi" w:cstheme="majorHAnsi"/>
                <w:b/>
                <w:sz w:val="20"/>
                <w:szCs w:val="20"/>
              </w:rPr>
              <w:t>PHD 2770</w:t>
            </w:r>
            <w:r w:rsidRPr="001247EE">
              <w:rPr>
                <w:rFonts w:asciiTheme="majorHAnsi" w:hAnsiTheme="majorHAnsi" w:cstheme="majorHAnsi"/>
                <w:sz w:val="20"/>
                <w:szCs w:val="20"/>
              </w:rPr>
              <w:t xml:space="preserve"> NIH Proposal Development</w:t>
            </w:r>
          </w:p>
        </w:tc>
        <w:tc>
          <w:tcPr>
            <w:tcW w:w="2239" w:type="pct"/>
            <w:shd w:val="clear" w:color="auto" w:fill="auto"/>
          </w:tcPr>
          <w:p w:rsidR="00B8166D" w:rsidRPr="001247EE" w:rsidRDefault="002A2F37" w:rsidP="006C308E">
            <w:pPr>
              <w:rPr>
                <w:rFonts w:asciiTheme="majorHAnsi" w:hAnsiTheme="majorHAnsi" w:cstheme="majorHAnsi"/>
                <w:sz w:val="20"/>
                <w:szCs w:val="20"/>
              </w:rPr>
            </w:pPr>
            <w:r w:rsidRPr="001247EE">
              <w:rPr>
                <w:rFonts w:asciiTheme="majorHAnsi" w:hAnsiTheme="majorHAnsi" w:cstheme="majorHAnsi"/>
                <w:sz w:val="20"/>
                <w:szCs w:val="20"/>
              </w:rPr>
              <w:t xml:space="preserve">Proposal Development: </w:t>
            </w:r>
            <w:r w:rsidR="00B8166D" w:rsidRPr="001247EE">
              <w:rPr>
                <w:rFonts w:asciiTheme="majorHAnsi" w:hAnsiTheme="majorHAnsi" w:cstheme="majorHAnsi"/>
                <w:sz w:val="20"/>
                <w:szCs w:val="20"/>
              </w:rPr>
              <w:t xml:space="preserve">Students complete an NIH-style research proposal including Specific Aims, Significance, Innovation and Approach. All proposals are presented in a Mock Study Section for experience in grant reviewing and are submitted at the end of class.  </w:t>
            </w:r>
          </w:p>
        </w:tc>
      </w:tr>
      <w:tr w:rsidR="00B8166D" w:rsidRPr="001247EE" w:rsidTr="00DE072A">
        <w:trPr>
          <w:cantSplit/>
          <w:trHeight w:val="315"/>
        </w:trPr>
        <w:tc>
          <w:tcPr>
            <w:tcW w:w="1355" w:type="pct"/>
            <w:vMerge w:val="restart"/>
            <w:shd w:val="clear" w:color="auto" w:fill="auto"/>
          </w:tcPr>
          <w:p w:rsidR="00B8166D" w:rsidRPr="001247EE" w:rsidRDefault="00B8166D" w:rsidP="006C308E">
            <w:pPr>
              <w:rPr>
                <w:rFonts w:asciiTheme="majorHAnsi" w:hAnsiTheme="majorHAnsi" w:cstheme="majorHAnsi"/>
                <w:color w:val="000000"/>
                <w:sz w:val="20"/>
                <w:szCs w:val="20"/>
              </w:rPr>
            </w:pPr>
            <w:r w:rsidRPr="001247EE">
              <w:rPr>
                <w:rFonts w:asciiTheme="majorHAnsi" w:hAnsiTheme="majorHAnsi" w:cstheme="majorHAnsi"/>
                <w:color w:val="000000"/>
                <w:sz w:val="20"/>
                <w:szCs w:val="20"/>
              </w:rPr>
              <w:t>PhD-E5. Conduct and communicate a peer review analysis of a proposed epidemiologic research publication or paper.</w:t>
            </w:r>
          </w:p>
        </w:tc>
        <w:tc>
          <w:tcPr>
            <w:tcW w:w="1406" w:type="pct"/>
          </w:tcPr>
          <w:p w:rsidR="00B8166D" w:rsidRPr="001247EE" w:rsidRDefault="005405DA" w:rsidP="008F764F">
            <w:pPr>
              <w:rPr>
                <w:rFonts w:asciiTheme="majorHAnsi" w:eastAsia="Times New Roman" w:hAnsiTheme="majorHAnsi" w:cstheme="majorHAnsi"/>
                <w:sz w:val="20"/>
                <w:szCs w:val="20"/>
              </w:rPr>
            </w:pPr>
            <w:r w:rsidRPr="0012136D">
              <w:rPr>
                <w:rFonts w:asciiTheme="majorHAnsi" w:hAnsiTheme="majorHAnsi" w:cstheme="majorHAnsi"/>
                <w:b/>
                <w:sz w:val="20"/>
                <w:szCs w:val="20"/>
              </w:rPr>
              <w:t>PHD 2712</w:t>
            </w:r>
            <w:r w:rsidRPr="001247EE">
              <w:rPr>
                <w:rFonts w:asciiTheme="majorHAnsi" w:hAnsiTheme="majorHAnsi" w:cstheme="majorHAnsi"/>
                <w:sz w:val="20"/>
                <w:szCs w:val="20"/>
              </w:rPr>
              <w:t xml:space="preserve"> Experimental Methods in Epidemiology</w:t>
            </w:r>
          </w:p>
        </w:tc>
        <w:tc>
          <w:tcPr>
            <w:tcW w:w="2239" w:type="pct"/>
            <w:shd w:val="clear" w:color="auto" w:fill="auto"/>
          </w:tcPr>
          <w:p w:rsidR="00B8166D" w:rsidRPr="001247EE" w:rsidRDefault="0072667D" w:rsidP="006C308E">
            <w:pPr>
              <w:rPr>
                <w:rFonts w:asciiTheme="majorHAnsi" w:hAnsiTheme="majorHAnsi" w:cstheme="majorHAnsi"/>
                <w:sz w:val="20"/>
                <w:szCs w:val="20"/>
              </w:rPr>
            </w:pPr>
            <w:r w:rsidRPr="001247EE">
              <w:rPr>
                <w:rFonts w:asciiTheme="majorHAnsi" w:hAnsiTheme="majorHAnsi" w:cstheme="majorHAnsi"/>
                <w:sz w:val="20"/>
                <w:szCs w:val="20"/>
              </w:rPr>
              <w:t>Article Presentation:</w:t>
            </w:r>
            <w:r w:rsidR="004B6E83" w:rsidRPr="001247EE">
              <w:rPr>
                <w:rFonts w:asciiTheme="majorHAnsi" w:hAnsiTheme="majorHAnsi" w:cstheme="majorHAnsi"/>
                <w:sz w:val="20"/>
                <w:szCs w:val="20"/>
              </w:rPr>
              <w:t xml:space="preserve"> </w:t>
            </w:r>
            <w:r w:rsidR="0012136D">
              <w:rPr>
                <w:rFonts w:asciiTheme="majorHAnsi" w:hAnsiTheme="majorHAnsi" w:cstheme="majorHAnsi"/>
                <w:sz w:val="20"/>
                <w:szCs w:val="20"/>
              </w:rPr>
              <w:t>Students prepare a 20-</w:t>
            </w:r>
            <w:r w:rsidR="00B8166D" w:rsidRPr="001247EE">
              <w:rPr>
                <w:rFonts w:asciiTheme="majorHAnsi" w:hAnsiTheme="majorHAnsi" w:cstheme="majorHAnsi"/>
                <w:sz w:val="20"/>
                <w:szCs w:val="20"/>
              </w:rPr>
              <w:t>minute PowerPoint presentation about a randomized controlled trial published in a peer-reviewed journal. The deliverables include a PDF of the article, a copy of the</w:t>
            </w:r>
            <w:r w:rsidR="0012136D">
              <w:rPr>
                <w:rFonts w:asciiTheme="majorHAnsi" w:hAnsiTheme="majorHAnsi" w:cstheme="majorHAnsi"/>
                <w:sz w:val="20"/>
                <w:szCs w:val="20"/>
              </w:rPr>
              <w:t xml:space="preserve"> presentation and a 1 to 2-</w:t>
            </w:r>
            <w:r w:rsidR="00B8166D" w:rsidRPr="001247EE">
              <w:rPr>
                <w:rFonts w:asciiTheme="majorHAnsi" w:hAnsiTheme="majorHAnsi" w:cstheme="majorHAnsi"/>
                <w:sz w:val="20"/>
                <w:szCs w:val="20"/>
              </w:rPr>
              <w:t>page summary about the presentation. Grading rubric for this assignment was provided in the assignment.</w:t>
            </w:r>
          </w:p>
        </w:tc>
      </w:tr>
      <w:tr w:rsidR="00B8166D" w:rsidRPr="001247EE" w:rsidTr="00DE072A">
        <w:trPr>
          <w:cantSplit/>
          <w:trHeight w:val="315"/>
        </w:trPr>
        <w:tc>
          <w:tcPr>
            <w:tcW w:w="1355" w:type="pct"/>
            <w:vMerge/>
            <w:shd w:val="clear" w:color="auto" w:fill="auto"/>
          </w:tcPr>
          <w:p w:rsidR="00B8166D" w:rsidRPr="001247EE" w:rsidRDefault="00B8166D" w:rsidP="006C308E">
            <w:pPr>
              <w:rPr>
                <w:rFonts w:asciiTheme="majorHAnsi" w:hAnsiTheme="majorHAnsi" w:cstheme="majorHAnsi"/>
                <w:color w:val="000000"/>
                <w:sz w:val="20"/>
                <w:szCs w:val="20"/>
              </w:rPr>
            </w:pPr>
          </w:p>
        </w:tc>
        <w:tc>
          <w:tcPr>
            <w:tcW w:w="1406" w:type="pct"/>
          </w:tcPr>
          <w:p w:rsidR="00B8166D" w:rsidRPr="001247EE" w:rsidRDefault="0021763B" w:rsidP="00447618">
            <w:pPr>
              <w:rPr>
                <w:rFonts w:asciiTheme="majorHAnsi" w:eastAsia="Times New Roman" w:hAnsiTheme="majorHAnsi" w:cstheme="majorHAnsi"/>
                <w:sz w:val="20"/>
                <w:szCs w:val="20"/>
              </w:rPr>
            </w:pPr>
            <w:r w:rsidRPr="0012136D">
              <w:rPr>
                <w:rFonts w:asciiTheme="majorHAnsi" w:hAnsiTheme="majorHAnsi" w:cstheme="majorHAnsi"/>
                <w:b/>
                <w:sz w:val="20"/>
                <w:szCs w:val="20"/>
              </w:rPr>
              <w:t>PHD 2720</w:t>
            </w:r>
            <w:r w:rsidRPr="001247EE">
              <w:rPr>
                <w:rFonts w:asciiTheme="majorHAnsi" w:hAnsiTheme="majorHAnsi" w:cstheme="majorHAnsi"/>
                <w:sz w:val="20"/>
                <w:szCs w:val="20"/>
              </w:rPr>
              <w:t xml:space="preserve"> Epidemiology Proposal Development</w:t>
            </w:r>
          </w:p>
        </w:tc>
        <w:tc>
          <w:tcPr>
            <w:tcW w:w="2239" w:type="pct"/>
            <w:shd w:val="clear" w:color="auto" w:fill="auto"/>
          </w:tcPr>
          <w:p w:rsidR="00B8166D" w:rsidRPr="001247EE" w:rsidRDefault="0021763B" w:rsidP="006C308E">
            <w:pPr>
              <w:rPr>
                <w:rFonts w:asciiTheme="majorHAnsi" w:hAnsiTheme="majorHAnsi" w:cstheme="majorHAnsi"/>
                <w:sz w:val="20"/>
                <w:szCs w:val="20"/>
              </w:rPr>
            </w:pPr>
            <w:r w:rsidRPr="001247EE">
              <w:rPr>
                <w:rFonts w:asciiTheme="majorHAnsi" w:hAnsiTheme="majorHAnsi" w:cstheme="majorHAnsi"/>
                <w:sz w:val="20"/>
                <w:szCs w:val="20"/>
              </w:rPr>
              <w:t xml:space="preserve">Peer Review Evaluation: </w:t>
            </w:r>
            <w:r w:rsidR="00B8166D" w:rsidRPr="001247EE">
              <w:rPr>
                <w:rFonts w:asciiTheme="majorHAnsi" w:hAnsiTheme="majorHAnsi" w:cstheme="majorHAnsi"/>
                <w:sz w:val="20"/>
                <w:szCs w:val="20"/>
              </w:rPr>
              <w:t>Students were required to conduct a peer review of the proposals of other students.</w:t>
            </w:r>
          </w:p>
        </w:tc>
      </w:tr>
      <w:tr w:rsidR="00B8166D" w:rsidRPr="001247EE" w:rsidTr="00DE072A">
        <w:trPr>
          <w:cantSplit/>
          <w:trHeight w:val="315"/>
        </w:trPr>
        <w:tc>
          <w:tcPr>
            <w:tcW w:w="1355" w:type="pct"/>
            <w:vMerge/>
            <w:shd w:val="clear" w:color="auto" w:fill="auto"/>
          </w:tcPr>
          <w:p w:rsidR="00B8166D" w:rsidRPr="001247EE" w:rsidRDefault="00B8166D" w:rsidP="006C308E">
            <w:pPr>
              <w:rPr>
                <w:rFonts w:asciiTheme="majorHAnsi" w:hAnsiTheme="majorHAnsi" w:cstheme="majorHAnsi"/>
                <w:color w:val="000000"/>
                <w:sz w:val="20"/>
                <w:szCs w:val="20"/>
              </w:rPr>
            </w:pPr>
          </w:p>
        </w:tc>
        <w:tc>
          <w:tcPr>
            <w:tcW w:w="1406" w:type="pct"/>
          </w:tcPr>
          <w:p w:rsidR="00B8166D" w:rsidRPr="001247EE" w:rsidRDefault="0021763B" w:rsidP="003C114E">
            <w:pPr>
              <w:rPr>
                <w:rFonts w:asciiTheme="majorHAnsi" w:eastAsia="Times New Roman" w:hAnsiTheme="majorHAnsi" w:cstheme="majorHAnsi"/>
                <w:sz w:val="20"/>
                <w:szCs w:val="20"/>
              </w:rPr>
            </w:pPr>
            <w:r w:rsidRPr="0012136D">
              <w:rPr>
                <w:rFonts w:asciiTheme="majorHAnsi" w:hAnsiTheme="majorHAnsi" w:cstheme="majorHAnsi"/>
                <w:b/>
                <w:sz w:val="20"/>
                <w:szCs w:val="20"/>
              </w:rPr>
              <w:t>PHD 2770</w:t>
            </w:r>
            <w:r w:rsidRPr="001247EE">
              <w:rPr>
                <w:rFonts w:asciiTheme="majorHAnsi" w:hAnsiTheme="majorHAnsi" w:cstheme="majorHAnsi"/>
                <w:sz w:val="20"/>
                <w:szCs w:val="20"/>
              </w:rPr>
              <w:t xml:space="preserve"> NIH Proposal Development</w:t>
            </w:r>
          </w:p>
        </w:tc>
        <w:tc>
          <w:tcPr>
            <w:tcW w:w="2239" w:type="pct"/>
            <w:shd w:val="clear" w:color="auto" w:fill="auto"/>
          </w:tcPr>
          <w:p w:rsidR="00B8166D" w:rsidRPr="001247EE" w:rsidRDefault="002A2F37" w:rsidP="002A2F37">
            <w:pPr>
              <w:rPr>
                <w:rFonts w:asciiTheme="majorHAnsi" w:hAnsiTheme="majorHAnsi" w:cstheme="majorHAnsi"/>
                <w:sz w:val="20"/>
                <w:szCs w:val="20"/>
              </w:rPr>
            </w:pPr>
            <w:r w:rsidRPr="001247EE">
              <w:rPr>
                <w:rFonts w:asciiTheme="majorHAnsi" w:hAnsiTheme="majorHAnsi" w:cstheme="majorHAnsi"/>
                <w:sz w:val="20"/>
                <w:szCs w:val="20"/>
              </w:rPr>
              <w:t xml:space="preserve">Mock Study Section: </w:t>
            </w:r>
            <w:r w:rsidR="00B8166D" w:rsidRPr="001247EE">
              <w:rPr>
                <w:rFonts w:asciiTheme="majorHAnsi" w:hAnsiTheme="majorHAnsi" w:cstheme="majorHAnsi"/>
                <w:sz w:val="20"/>
                <w:szCs w:val="20"/>
              </w:rPr>
              <w:t>Students present their proposals in a Mock Study Section and they get reviewed and scored by three other students. The students provide a numerical score as well comment on the weaknesses of the proposal. This assessment provides students with experience in grant review and grant scoring process.</w:t>
            </w:r>
          </w:p>
        </w:tc>
      </w:tr>
      <w:tr w:rsidR="00B8166D" w:rsidRPr="001247EE" w:rsidTr="00DE072A">
        <w:trPr>
          <w:cantSplit/>
          <w:trHeight w:val="315"/>
        </w:trPr>
        <w:tc>
          <w:tcPr>
            <w:tcW w:w="1355" w:type="pct"/>
            <w:vMerge/>
            <w:shd w:val="clear" w:color="auto" w:fill="auto"/>
          </w:tcPr>
          <w:p w:rsidR="00B8166D" w:rsidRPr="001247EE" w:rsidRDefault="00B8166D" w:rsidP="006C308E">
            <w:pPr>
              <w:rPr>
                <w:rFonts w:asciiTheme="majorHAnsi" w:hAnsiTheme="majorHAnsi" w:cstheme="majorHAnsi"/>
                <w:color w:val="000000"/>
                <w:sz w:val="20"/>
                <w:szCs w:val="20"/>
              </w:rPr>
            </w:pPr>
          </w:p>
        </w:tc>
        <w:tc>
          <w:tcPr>
            <w:tcW w:w="1406" w:type="pct"/>
          </w:tcPr>
          <w:p w:rsidR="00B8166D" w:rsidRPr="001247EE" w:rsidRDefault="00C445CC" w:rsidP="00012C23">
            <w:pPr>
              <w:rPr>
                <w:rFonts w:asciiTheme="majorHAnsi" w:eastAsia="Times New Roman" w:hAnsiTheme="majorHAnsi" w:cstheme="majorHAnsi"/>
                <w:sz w:val="20"/>
                <w:szCs w:val="20"/>
              </w:rPr>
            </w:pPr>
            <w:r w:rsidRPr="0012136D">
              <w:rPr>
                <w:rFonts w:asciiTheme="majorHAnsi" w:hAnsiTheme="majorHAnsi" w:cstheme="majorHAnsi"/>
                <w:b/>
                <w:sz w:val="20"/>
                <w:szCs w:val="20"/>
              </w:rPr>
              <w:t>PHD 2990</w:t>
            </w:r>
            <w:r w:rsidRPr="001247EE">
              <w:rPr>
                <w:rFonts w:asciiTheme="majorHAnsi" w:hAnsiTheme="majorHAnsi" w:cstheme="majorHAnsi"/>
                <w:sz w:val="20"/>
                <w:szCs w:val="20"/>
              </w:rPr>
              <w:t xml:space="preserve"> Epidemiology Seminar and Journal Club</w:t>
            </w:r>
          </w:p>
        </w:tc>
        <w:tc>
          <w:tcPr>
            <w:tcW w:w="2239" w:type="pct"/>
            <w:shd w:val="clear" w:color="auto" w:fill="auto"/>
          </w:tcPr>
          <w:p w:rsidR="00B8166D" w:rsidRPr="001247EE" w:rsidRDefault="00C445CC" w:rsidP="006C308E">
            <w:pPr>
              <w:rPr>
                <w:rFonts w:asciiTheme="majorHAnsi" w:hAnsiTheme="majorHAnsi" w:cstheme="majorHAnsi"/>
                <w:sz w:val="20"/>
                <w:szCs w:val="20"/>
              </w:rPr>
            </w:pPr>
            <w:r w:rsidRPr="001247EE">
              <w:rPr>
                <w:rFonts w:asciiTheme="majorHAnsi" w:hAnsiTheme="majorHAnsi" w:cstheme="majorHAnsi"/>
                <w:sz w:val="20"/>
                <w:szCs w:val="20"/>
              </w:rPr>
              <w:t xml:space="preserve">Peer Evaluations: </w:t>
            </w:r>
            <w:r w:rsidR="00B8166D" w:rsidRPr="001247EE">
              <w:rPr>
                <w:rFonts w:asciiTheme="majorHAnsi" w:hAnsiTheme="majorHAnsi" w:cstheme="majorHAnsi"/>
                <w:sz w:val="20"/>
                <w:szCs w:val="20"/>
              </w:rPr>
              <w:t>Students are required to critique the abstracts and presentations of other students.</w:t>
            </w:r>
          </w:p>
        </w:tc>
      </w:tr>
    </w:tbl>
    <w:p w:rsidR="00B8166D" w:rsidRPr="001247EE" w:rsidRDefault="00B8166D" w:rsidP="006C308E">
      <w:pPr>
        <w:pStyle w:val="BodyText"/>
        <w:tabs>
          <w:tab w:val="left" w:pos="720"/>
        </w:tabs>
        <w:ind w:left="1350" w:right="119" w:hanging="630"/>
        <w:jc w:val="both"/>
        <w:rPr>
          <w:rStyle w:val="Hyperlink"/>
          <w:rFonts w:asciiTheme="majorHAnsi" w:hAnsiTheme="majorHAnsi" w:cstheme="majorHAnsi"/>
        </w:rPr>
      </w:pPr>
    </w:p>
    <w:p w:rsidR="0061568B" w:rsidRPr="001247EE" w:rsidRDefault="0061568B" w:rsidP="0061568B">
      <w:pPr>
        <w:pStyle w:val="BodyText"/>
        <w:tabs>
          <w:tab w:val="left" w:pos="720"/>
        </w:tabs>
        <w:ind w:left="720" w:right="119" w:firstLine="0"/>
        <w:jc w:val="both"/>
        <w:rPr>
          <w:rStyle w:val="Hyperlink"/>
          <w:rFonts w:asciiTheme="majorHAnsi" w:hAnsiTheme="majorHAnsi" w:cstheme="majorHAnsi"/>
        </w:rPr>
      </w:pPr>
      <w:r w:rsidRPr="001247EE">
        <w:rPr>
          <w:rFonts w:asciiTheme="majorHAnsi" w:hAnsiTheme="majorHAnsi" w:cstheme="majorHAnsi"/>
        </w:rPr>
        <w:t>Table D.18.3.f. Assessment of Competencies for PhD in Health Economics and Health Services Research (</w:t>
      </w:r>
      <w:r w:rsidRPr="001247EE">
        <w:rPr>
          <w:rFonts w:asciiTheme="majorHAnsi" w:hAnsiTheme="majorHAnsi" w:cstheme="majorHAnsi"/>
          <w:i/>
        </w:rPr>
        <w:t xml:space="preserve">ERF, </w:t>
      </w:r>
      <w:r w:rsidR="0038142C" w:rsidRPr="001247EE">
        <w:rPr>
          <w:rStyle w:val="Hyperlink"/>
          <w:rFonts w:asciiTheme="majorHAnsi" w:hAnsiTheme="majorHAnsi" w:cstheme="majorHAnsi"/>
          <w:i/>
          <w:color w:val="auto"/>
          <w:u w:val="none"/>
        </w:rPr>
        <w:t>D18.3. PhD in Health Economics and Health Services Research</w:t>
      </w:r>
      <w:r w:rsidR="0038142C" w:rsidRPr="001247EE">
        <w:rPr>
          <w:rStyle w:val="Hyperlink"/>
          <w:rFonts w:asciiTheme="majorHAnsi" w:hAnsiTheme="majorHAnsi" w:cstheme="majorHAnsi"/>
          <w:color w:val="auto"/>
          <w:u w:val="none"/>
        </w:rPr>
        <w:t xml:space="preserve">) </w:t>
      </w:r>
    </w:p>
    <w:tbl>
      <w:tblPr>
        <w:tblW w:w="8640" w:type="dxa"/>
        <w:tblInd w:w="715" w:type="dxa"/>
        <w:tblLook w:val="04A0" w:firstRow="1" w:lastRow="0" w:firstColumn="1" w:lastColumn="0" w:noHBand="0" w:noVBand="1"/>
      </w:tblPr>
      <w:tblGrid>
        <w:gridCol w:w="2340"/>
        <w:gridCol w:w="2430"/>
        <w:gridCol w:w="3870"/>
      </w:tblGrid>
      <w:tr w:rsidR="0061568B" w:rsidRPr="001247EE" w:rsidTr="006E28EE">
        <w:trPr>
          <w:cantSplit/>
          <w:trHeight w:val="458"/>
          <w:tblHeader/>
        </w:trPr>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568B" w:rsidRPr="001247EE" w:rsidRDefault="0061568B" w:rsidP="00B861A8">
            <w:pPr>
              <w:jc w:val="center"/>
              <w:rPr>
                <w:rFonts w:asciiTheme="majorHAnsi" w:eastAsia="Times New Roman" w:hAnsiTheme="majorHAnsi" w:cstheme="majorHAnsi"/>
                <w:b/>
                <w:bCs/>
                <w:sz w:val="20"/>
                <w:szCs w:val="20"/>
              </w:rPr>
            </w:pPr>
            <w:r w:rsidRPr="001247EE">
              <w:rPr>
                <w:rFonts w:asciiTheme="majorHAnsi" w:eastAsia="Times New Roman" w:hAnsiTheme="majorHAnsi" w:cstheme="majorHAnsi"/>
                <w:b/>
                <w:bCs/>
                <w:sz w:val="20"/>
                <w:szCs w:val="20"/>
              </w:rPr>
              <w:t>Competency</w:t>
            </w:r>
          </w:p>
        </w:tc>
        <w:tc>
          <w:tcPr>
            <w:tcW w:w="243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1568B" w:rsidRPr="001247EE" w:rsidRDefault="0061568B" w:rsidP="00B861A8">
            <w:pPr>
              <w:jc w:val="center"/>
              <w:rPr>
                <w:rFonts w:asciiTheme="majorHAnsi" w:eastAsia="Times New Roman" w:hAnsiTheme="majorHAnsi" w:cstheme="majorHAnsi"/>
                <w:b/>
                <w:bCs/>
                <w:sz w:val="20"/>
                <w:szCs w:val="20"/>
              </w:rPr>
            </w:pPr>
            <w:r w:rsidRPr="001247EE">
              <w:rPr>
                <w:rFonts w:asciiTheme="majorHAnsi" w:eastAsia="Times New Roman" w:hAnsiTheme="majorHAnsi" w:cstheme="majorHAnsi"/>
                <w:b/>
                <w:bCs/>
                <w:sz w:val="20"/>
                <w:szCs w:val="20"/>
              </w:rPr>
              <w:t>Course Number and Name</w:t>
            </w:r>
          </w:p>
        </w:tc>
        <w:tc>
          <w:tcPr>
            <w:tcW w:w="387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1568B" w:rsidRPr="001247EE" w:rsidRDefault="0038142C" w:rsidP="00B861A8">
            <w:pPr>
              <w:jc w:val="center"/>
              <w:rPr>
                <w:rFonts w:asciiTheme="majorHAnsi" w:eastAsia="Times New Roman" w:hAnsiTheme="majorHAnsi" w:cstheme="majorHAnsi"/>
                <w:b/>
                <w:bCs/>
                <w:sz w:val="20"/>
                <w:szCs w:val="20"/>
              </w:rPr>
            </w:pPr>
            <w:r w:rsidRPr="001247EE">
              <w:rPr>
                <w:rFonts w:asciiTheme="majorHAnsi" w:eastAsia="Times New Roman" w:hAnsiTheme="majorHAnsi" w:cstheme="majorHAnsi"/>
                <w:b/>
                <w:bCs/>
                <w:sz w:val="20"/>
                <w:szCs w:val="20"/>
              </w:rPr>
              <w:t xml:space="preserve">Specific Assessment Opportunity </w:t>
            </w:r>
          </w:p>
        </w:tc>
      </w:tr>
      <w:tr w:rsidR="0061568B" w:rsidRPr="001247EE" w:rsidTr="006E28EE">
        <w:trPr>
          <w:cantSplit/>
          <w:trHeight w:val="980"/>
        </w:trPr>
        <w:tc>
          <w:tcPr>
            <w:tcW w:w="2340" w:type="dxa"/>
            <w:tcBorders>
              <w:top w:val="nil"/>
              <w:left w:val="single" w:sz="4" w:space="0" w:color="auto"/>
              <w:bottom w:val="single" w:sz="4" w:space="0" w:color="auto"/>
              <w:right w:val="single" w:sz="4" w:space="0" w:color="auto"/>
            </w:tcBorders>
            <w:shd w:val="clear" w:color="auto" w:fill="auto"/>
            <w:hideMark/>
          </w:tcPr>
          <w:p w:rsidR="0061568B" w:rsidRPr="001247EE" w:rsidRDefault="0061568B" w:rsidP="00B861A8">
            <w:pPr>
              <w:rPr>
                <w:rFonts w:asciiTheme="majorHAnsi" w:eastAsia="Times New Roman" w:hAnsiTheme="majorHAnsi" w:cstheme="majorHAnsi"/>
                <w:sz w:val="20"/>
                <w:szCs w:val="20"/>
              </w:rPr>
            </w:pPr>
            <w:r w:rsidRPr="001247EE">
              <w:rPr>
                <w:rFonts w:asciiTheme="majorHAnsi" w:eastAsia="Times New Roman" w:hAnsiTheme="majorHAnsi" w:cstheme="majorHAnsi"/>
                <w:sz w:val="20"/>
                <w:szCs w:val="20"/>
              </w:rPr>
              <w:t xml:space="preserve">PhD-S1. Critically evaluate how principles of economic theory apply to healthcare questions. </w:t>
            </w:r>
          </w:p>
        </w:tc>
        <w:tc>
          <w:tcPr>
            <w:tcW w:w="2430" w:type="dxa"/>
            <w:tcBorders>
              <w:top w:val="nil"/>
              <w:left w:val="nil"/>
              <w:bottom w:val="single" w:sz="4" w:space="0" w:color="auto"/>
              <w:right w:val="single" w:sz="4" w:space="0" w:color="auto"/>
            </w:tcBorders>
            <w:shd w:val="clear" w:color="auto" w:fill="auto"/>
            <w:hideMark/>
          </w:tcPr>
          <w:p w:rsidR="0061568B" w:rsidRPr="001247EE" w:rsidRDefault="0061568B" w:rsidP="00C41EB0">
            <w:pPr>
              <w:rPr>
                <w:rFonts w:asciiTheme="majorHAnsi" w:eastAsia="Times New Roman" w:hAnsiTheme="majorHAnsi" w:cstheme="majorHAnsi"/>
                <w:sz w:val="20"/>
                <w:szCs w:val="20"/>
              </w:rPr>
            </w:pPr>
            <w:r w:rsidRPr="0012136D">
              <w:rPr>
                <w:rFonts w:asciiTheme="majorHAnsi" w:hAnsiTheme="majorHAnsi" w:cstheme="majorHAnsi"/>
                <w:b/>
                <w:sz w:val="20"/>
                <w:szCs w:val="20"/>
              </w:rPr>
              <w:t>PHD 3910</w:t>
            </w:r>
            <w:r w:rsidRPr="001247EE">
              <w:rPr>
                <w:rFonts w:asciiTheme="majorHAnsi" w:hAnsiTheme="majorHAnsi" w:cstheme="majorHAnsi"/>
                <w:sz w:val="20"/>
                <w:szCs w:val="20"/>
              </w:rPr>
              <w:t xml:space="preserve"> Health Economics</w:t>
            </w:r>
          </w:p>
        </w:tc>
        <w:tc>
          <w:tcPr>
            <w:tcW w:w="3870" w:type="dxa"/>
            <w:tcBorders>
              <w:top w:val="nil"/>
              <w:left w:val="nil"/>
              <w:bottom w:val="single" w:sz="4" w:space="0" w:color="auto"/>
              <w:right w:val="single" w:sz="4" w:space="0" w:color="auto"/>
            </w:tcBorders>
            <w:shd w:val="clear" w:color="auto" w:fill="auto"/>
            <w:hideMark/>
          </w:tcPr>
          <w:p w:rsidR="0061568B" w:rsidRPr="001247EE" w:rsidRDefault="0061568B" w:rsidP="00B861A8">
            <w:pPr>
              <w:rPr>
                <w:rFonts w:asciiTheme="majorHAnsi" w:eastAsia="Times New Roman" w:hAnsiTheme="majorHAnsi" w:cstheme="majorHAnsi"/>
                <w:sz w:val="20"/>
                <w:szCs w:val="20"/>
              </w:rPr>
            </w:pPr>
            <w:r w:rsidRPr="001247EE">
              <w:rPr>
                <w:rFonts w:asciiTheme="majorHAnsi" w:hAnsiTheme="majorHAnsi" w:cstheme="majorHAnsi"/>
                <w:sz w:val="20"/>
                <w:szCs w:val="20"/>
              </w:rPr>
              <w:t>Application of Economic Theory:</w:t>
            </w:r>
            <w:r w:rsidRPr="001247EE">
              <w:rPr>
                <w:rFonts w:asciiTheme="majorHAnsi" w:eastAsia="Times New Roman" w:hAnsiTheme="majorHAnsi" w:cstheme="majorHAnsi"/>
                <w:sz w:val="20"/>
                <w:szCs w:val="20"/>
              </w:rPr>
              <w:t xml:space="preserve"> Identify a health economic research question, select and adapt economic theories and concepts for generation of hypotheses to examine in a term paper. </w:t>
            </w:r>
          </w:p>
        </w:tc>
      </w:tr>
      <w:tr w:rsidR="0061568B" w:rsidRPr="001247EE" w:rsidTr="006E28EE">
        <w:trPr>
          <w:cantSplit/>
          <w:trHeight w:val="1178"/>
        </w:trPr>
        <w:tc>
          <w:tcPr>
            <w:tcW w:w="2340" w:type="dxa"/>
            <w:tcBorders>
              <w:top w:val="nil"/>
              <w:left w:val="single" w:sz="4" w:space="0" w:color="auto"/>
              <w:bottom w:val="single" w:sz="4" w:space="0" w:color="auto"/>
              <w:right w:val="single" w:sz="4" w:space="0" w:color="auto"/>
            </w:tcBorders>
            <w:shd w:val="clear" w:color="auto" w:fill="auto"/>
            <w:hideMark/>
          </w:tcPr>
          <w:p w:rsidR="0061568B" w:rsidRPr="001247EE" w:rsidRDefault="0061568B" w:rsidP="00B861A8">
            <w:pPr>
              <w:rPr>
                <w:rFonts w:asciiTheme="majorHAnsi" w:eastAsia="Times New Roman" w:hAnsiTheme="majorHAnsi" w:cstheme="majorHAnsi"/>
                <w:sz w:val="20"/>
                <w:szCs w:val="20"/>
              </w:rPr>
            </w:pPr>
            <w:r w:rsidRPr="001247EE">
              <w:rPr>
                <w:rFonts w:asciiTheme="majorHAnsi" w:eastAsia="Times New Roman" w:hAnsiTheme="majorHAnsi" w:cstheme="majorHAnsi"/>
                <w:sz w:val="20"/>
                <w:szCs w:val="20"/>
              </w:rPr>
              <w:t xml:space="preserve">PhD-S2. Develop a survey research design and analytic strategy to answer a significant public health question.  </w:t>
            </w:r>
          </w:p>
        </w:tc>
        <w:tc>
          <w:tcPr>
            <w:tcW w:w="2430" w:type="dxa"/>
            <w:tcBorders>
              <w:top w:val="nil"/>
              <w:left w:val="nil"/>
              <w:bottom w:val="single" w:sz="4" w:space="0" w:color="auto"/>
              <w:right w:val="single" w:sz="4" w:space="0" w:color="auto"/>
            </w:tcBorders>
            <w:shd w:val="clear" w:color="auto" w:fill="auto"/>
            <w:hideMark/>
          </w:tcPr>
          <w:p w:rsidR="0061568B" w:rsidRPr="001247EE" w:rsidRDefault="0061568B" w:rsidP="00E74C9F">
            <w:pPr>
              <w:rPr>
                <w:rFonts w:asciiTheme="majorHAnsi" w:eastAsia="Times New Roman" w:hAnsiTheme="majorHAnsi" w:cstheme="majorHAnsi"/>
                <w:sz w:val="20"/>
                <w:szCs w:val="20"/>
              </w:rPr>
            </w:pPr>
            <w:r w:rsidRPr="0012136D">
              <w:rPr>
                <w:rFonts w:asciiTheme="majorHAnsi" w:hAnsiTheme="majorHAnsi" w:cstheme="majorHAnsi"/>
                <w:b/>
                <w:sz w:val="20"/>
                <w:szCs w:val="20"/>
              </w:rPr>
              <w:t>PHD 3926</w:t>
            </w:r>
            <w:r w:rsidRPr="001247EE">
              <w:rPr>
                <w:rFonts w:asciiTheme="majorHAnsi" w:hAnsiTheme="majorHAnsi" w:cstheme="majorHAnsi"/>
                <w:sz w:val="20"/>
                <w:szCs w:val="20"/>
              </w:rPr>
              <w:t xml:space="preserve"> Health Survey Research Design</w:t>
            </w:r>
          </w:p>
        </w:tc>
        <w:tc>
          <w:tcPr>
            <w:tcW w:w="3870" w:type="dxa"/>
            <w:tcBorders>
              <w:top w:val="nil"/>
              <w:left w:val="nil"/>
              <w:bottom w:val="single" w:sz="4" w:space="0" w:color="auto"/>
              <w:right w:val="single" w:sz="4" w:space="0" w:color="auto"/>
            </w:tcBorders>
            <w:shd w:val="clear" w:color="auto" w:fill="auto"/>
            <w:hideMark/>
          </w:tcPr>
          <w:p w:rsidR="0061568B" w:rsidRPr="001247EE" w:rsidRDefault="0061568B" w:rsidP="00B861A8">
            <w:pPr>
              <w:rPr>
                <w:rFonts w:asciiTheme="majorHAnsi" w:eastAsia="Times New Roman" w:hAnsiTheme="majorHAnsi" w:cstheme="majorHAnsi"/>
                <w:sz w:val="20"/>
                <w:szCs w:val="20"/>
              </w:rPr>
            </w:pPr>
            <w:r w:rsidRPr="001247EE">
              <w:rPr>
                <w:rFonts w:asciiTheme="majorHAnsi" w:hAnsiTheme="majorHAnsi" w:cstheme="majorHAnsi"/>
                <w:sz w:val="20"/>
                <w:szCs w:val="20"/>
              </w:rPr>
              <w:t>Research Prospectus</w:t>
            </w:r>
            <w:r w:rsidR="00E74C9F" w:rsidRPr="001247EE">
              <w:rPr>
                <w:rFonts w:asciiTheme="majorHAnsi" w:eastAsia="Times New Roman" w:hAnsiTheme="majorHAnsi" w:cstheme="majorHAnsi"/>
                <w:sz w:val="20"/>
                <w:szCs w:val="20"/>
              </w:rPr>
              <w:t>:</w:t>
            </w:r>
            <w:r w:rsidRPr="001247EE">
              <w:rPr>
                <w:rFonts w:asciiTheme="majorHAnsi" w:eastAsia="Times New Roman" w:hAnsiTheme="majorHAnsi" w:cstheme="majorHAnsi"/>
                <w:sz w:val="20"/>
                <w:szCs w:val="20"/>
              </w:rPr>
              <w:t xml:space="preserve"> Develop a survey project prospectus, including specific research objectives, justification, significance, sampling design and sample size, survey components, questions, and format, survey administration plan, analysis strategy, and dissemination plan.</w:t>
            </w:r>
          </w:p>
        </w:tc>
      </w:tr>
      <w:tr w:rsidR="0061568B" w:rsidRPr="001247EE" w:rsidTr="006E28EE">
        <w:trPr>
          <w:cantSplit/>
          <w:trHeight w:val="1880"/>
        </w:trPr>
        <w:tc>
          <w:tcPr>
            <w:tcW w:w="2340" w:type="dxa"/>
            <w:tcBorders>
              <w:top w:val="nil"/>
              <w:left w:val="single" w:sz="4" w:space="0" w:color="auto"/>
              <w:bottom w:val="single" w:sz="4" w:space="0" w:color="auto"/>
              <w:right w:val="single" w:sz="4" w:space="0" w:color="auto"/>
            </w:tcBorders>
            <w:shd w:val="clear" w:color="auto" w:fill="auto"/>
            <w:hideMark/>
          </w:tcPr>
          <w:p w:rsidR="0061568B" w:rsidRPr="001247EE" w:rsidRDefault="0061568B" w:rsidP="00B861A8">
            <w:pPr>
              <w:rPr>
                <w:rFonts w:asciiTheme="majorHAnsi" w:eastAsia="Times New Roman" w:hAnsiTheme="majorHAnsi" w:cstheme="majorHAnsi"/>
                <w:sz w:val="20"/>
                <w:szCs w:val="20"/>
              </w:rPr>
            </w:pPr>
            <w:r w:rsidRPr="001247EE">
              <w:rPr>
                <w:rFonts w:asciiTheme="majorHAnsi" w:eastAsia="Times New Roman" w:hAnsiTheme="majorHAnsi" w:cstheme="majorHAnsi"/>
                <w:sz w:val="20"/>
                <w:szCs w:val="20"/>
              </w:rPr>
              <w:t xml:space="preserve">PhD-S3. Develop data analytical study designs and apply econometric and statistical regression methods to analyze and draw inferences from large healthcare datasets (including healthcare claims, electronic medical records, and survey data). </w:t>
            </w:r>
          </w:p>
        </w:tc>
        <w:tc>
          <w:tcPr>
            <w:tcW w:w="2430" w:type="dxa"/>
            <w:tcBorders>
              <w:top w:val="nil"/>
              <w:left w:val="nil"/>
              <w:bottom w:val="single" w:sz="4" w:space="0" w:color="auto"/>
              <w:right w:val="single" w:sz="4" w:space="0" w:color="auto"/>
            </w:tcBorders>
            <w:shd w:val="clear" w:color="auto" w:fill="auto"/>
            <w:hideMark/>
          </w:tcPr>
          <w:p w:rsidR="0061568B" w:rsidRPr="001247EE" w:rsidRDefault="0061568B" w:rsidP="004530C2">
            <w:pPr>
              <w:rPr>
                <w:rFonts w:asciiTheme="majorHAnsi" w:eastAsia="Times New Roman" w:hAnsiTheme="majorHAnsi" w:cstheme="majorHAnsi"/>
                <w:sz w:val="20"/>
                <w:szCs w:val="20"/>
              </w:rPr>
            </w:pPr>
            <w:r w:rsidRPr="0012136D">
              <w:rPr>
                <w:rFonts w:asciiTheme="majorHAnsi" w:hAnsiTheme="majorHAnsi" w:cstheme="majorHAnsi"/>
                <w:b/>
                <w:sz w:val="20"/>
                <w:szCs w:val="20"/>
              </w:rPr>
              <w:t>PHD 3930</w:t>
            </w:r>
            <w:r w:rsidRPr="001247EE">
              <w:rPr>
                <w:rFonts w:asciiTheme="majorHAnsi" w:hAnsiTheme="majorHAnsi" w:cstheme="majorHAnsi"/>
                <w:sz w:val="20"/>
                <w:szCs w:val="20"/>
              </w:rPr>
              <w:t xml:space="preserve"> Econometrics in Public Health</w:t>
            </w:r>
          </w:p>
        </w:tc>
        <w:tc>
          <w:tcPr>
            <w:tcW w:w="3870" w:type="dxa"/>
            <w:tcBorders>
              <w:top w:val="nil"/>
              <w:left w:val="nil"/>
              <w:bottom w:val="single" w:sz="4" w:space="0" w:color="auto"/>
              <w:right w:val="single" w:sz="4" w:space="0" w:color="auto"/>
            </w:tcBorders>
            <w:shd w:val="clear" w:color="auto" w:fill="auto"/>
            <w:hideMark/>
          </w:tcPr>
          <w:p w:rsidR="0061568B" w:rsidRPr="001247EE" w:rsidRDefault="0061568B" w:rsidP="00B861A8">
            <w:pPr>
              <w:rPr>
                <w:rFonts w:asciiTheme="majorHAnsi" w:eastAsia="Times New Roman" w:hAnsiTheme="majorHAnsi" w:cstheme="majorHAnsi"/>
                <w:sz w:val="20"/>
                <w:szCs w:val="20"/>
              </w:rPr>
            </w:pPr>
            <w:r w:rsidRPr="001247EE">
              <w:rPr>
                <w:rFonts w:asciiTheme="majorHAnsi" w:hAnsiTheme="majorHAnsi" w:cstheme="majorHAnsi"/>
                <w:sz w:val="20"/>
                <w:szCs w:val="20"/>
              </w:rPr>
              <w:t>Final Exam</w:t>
            </w:r>
            <w:r w:rsidRPr="001247EE">
              <w:rPr>
                <w:rFonts w:asciiTheme="majorHAnsi" w:eastAsia="Times New Roman" w:hAnsiTheme="majorHAnsi" w:cstheme="majorHAnsi"/>
                <w:sz w:val="20"/>
                <w:szCs w:val="20"/>
              </w:rPr>
              <w:t>: Students complete a final exam through which they identify research questions, develop study designs, determine appropriate data set(s) for analysis or use datasets provided by the instructor, select appropriate statistical methods for the given research question based on variable distributions and specification tests of the data, analyze data using the statistical methods, draw inferences based on the data analysis results, and use the inferences to answer research questions.</w:t>
            </w:r>
          </w:p>
        </w:tc>
      </w:tr>
      <w:tr w:rsidR="0061568B" w:rsidRPr="001247EE" w:rsidTr="006E28EE">
        <w:trPr>
          <w:cantSplit/>
          <w:trHeight w:val="70"/>
        </w:trPr>
        <w:tc>
          <w:tcPr>
            <w:tcW w:w="2340" w:type="dxa"/>
            <w:tcBorders>
              <w:top w:val="nil"/>
              <w:left w:val="single" w:sz="4" w:space="0" w:color="auto"/>
              <w:bottom w:val="single" w:sz="4" w:space="0" w:color="auto"/>
              <w:right w:val="single" w:sz="4" w:space="0" w:color="auto"/>
            </w:tcBorders>
            <w:shd w:val="clear" w:color="auto" w:fill="auto"/>
            <w:hideMark/>
          </w:tcPr>
          <w:p w:rsidR="0061568B" w:rsidRPr="001247EE" w:rsidRDefault="0061568B" w:rsidP="00B861A8">
            <w:pPr>
              <w:rPr>
                <w:rFonts w:asciiTheme="majorHAnsi" w:eastAsia="Times New Roman" w:hAnsiTheme="majorHAnsi" w:cstheme="majorHAnsi"/>
                <w:sz w:val="20"/>
                <w:szCs w:val="20"/>
              </w:rPr>
            </w:pPr>
            <w:r w:rsidRPr="001247EE">
              <w:rPr>
                <w:rFonts w:asciiTheme="majorHAnsi" w:eastAsia="Times New Roman" w:hAnsiTheme="majorHAnsi" w:cstheme="majorHAnsi"/>
                <w:sz w:val="20"/>
                <w:szCs w:val="20"/>
              </w:rPr>
              <w:t>PhD-S4. Identify and critique strategies for measuring “quality” and effectiveness in healthcare, according to recognized standards and models, at individual, clinic, and population levels of analysis.</w:t>
            </w:r>
          </w:p>
        </w:tc>
        <w:tc>
          <w:tcPr>
            <w:tcW w:w="2430" w:type="dxa"/>
            <w:tcBorders>
              <w:top w:val="nil"/>
              <w:left w:val="nil"/>
              <w:bottom w:val="single" w:sz="4" w:space="0" w:color="auto"/>
              <w:right w:val="single" w:sz="4" w:space="0" w:color="auto"/>
            </w:tcBorders>
            <w:shd w:val="clear" w:color="auto" w:fill="auto"/>
            <w:hideMark/>
          </w:tcPr>
          <w:p w:rsidR="0061568B" w:rsidRPr="001247EE" w:rsidRDefault="0061568B" w:rsidP="00FA6FA0">
            <w:pPr>
              <w:rPr>
                <w:rFonts w:asciiTheme="majorHAnsi" w:eastAsia="Times New Roman" w:hAnsiTheme="majorHAnsi" w:cstheme="majorHAnsi"/>
                <w:sz w:val="20"/>
                <w:szCs w:val="20"/>
              </w:rPr>
            </w:pPr>
            <w:r w:rsidRPr="0012136D">
              <w:rPr>
                <w:rFonts w:asciiTheme="majorHAnsi" w:hAnsiTheme="majorHAnsi" w:cstheme="majorHAnsi"/>
                <w:b/>
                <w:sz w:val="20"/>
                <w:szCs w:val="20"/>
              </w:rPr>
              <w:t>PH 3940</w:t>
            </w:r>
            <w:r w:rsidRPr="001247EE">
              <w:rPr>
                <w:rFonts w:asciiTheme="majorHAnsi" w:hAnsiTheme="majorHAnsi" w:cstheme="majorHAnsi"/>
                <w:sz w:val="20"/>
                <w:szCs w:val="20"/>
              </w:rPr>
              <w:t xml:space="preserve"> Healthcare Outcomes and Quality</w:t>
            </w:r>
          </w:p>
        </w:tc>
        <w:tc>
          <w:tcPr>
            <w:tcW w:w="3870" w:type="dxa"/>
            <w:tcBorders>
              <w:top w:val="nil"/>
              <w:left w:val="nil"/>
              <w:bottom w:val="single" w:sz="4" w:space="0" w:color="auto"/>
              <w:right w:val="single" w:sz="4" w:space="0" w:color="auto"/>
            </w:tcBorders>
            <w:shd w:val="clear" w:color="auto" w:fill="auto"/>
            <w:hideMark/>
          </w:tcPr>
          <w:p w:rsidR="0061568B" w:rsidRPr="001247EE" w:rsidRDefault="0061568B" w:rsidP="00B861A8">
            <w:pPr>
              <w:rPr>
                <w:rFonts w:asciiTheme="majorHAnsi" w:eastAsia="Times New Roman" w:hAnsiTheme="majorHAnsi" w:cstheme="majorHAnsi"/>
                <w:sz w:val="20"/>
                <w:szCs w:val="20"/>
              </w:rPr>
            </w:pPr>
            <w:r w:rsidRPr="001247EE">
              <w:rPr>
                <w:rFonts w:asciiTheme="majorHAnsi" w:hAnsiTheme="majorHAnsi" w:cstheme="majorHAnsi"/>
                <w:sz w:val="20"/>
                <w:szCs w:val="20"/>
              </w:rPr>
              <w:t>Quantitative Study Analyses</w:t>
            </w:r>
            <w:r w:rsidRPr="001247EE">
              <w:rPr>
                <w:rFonts w:asciiTheme="majorHAnsi" w:eastAsia="Times New Roman" w:hAnsiTheme="majorHAnsi" w:cstheme="majorHAnsi"/>
                <w:sz w:val="20"/>
                <w:szCs w:val="20"/>
              </w:rPr>
              <w:t>: Students complete 12+ individual weekly assignments in which 15 methodology and quality aspects of a published study are identified, with summary critique of article based upon those elements. In several "Reading Response" assignments, students answer questions regarding the analysis of healthcare quality and effectiveness at individual, clinic, and population models, and answer questions noting competency in applying the "RE-AIM" model of effectiveness, and applying recognized models, such as the Downs &amp; Black model, of research article quality scoring, and the Sociotechnical Model for understanding medical errors.</w:t>
            </w:r>
          </w:p>
        </w:tc>
      </w:tr>
      <w:tr w:rsidR="0061568B" w:rsidRPr="001247EE" w:rsidTr="006E28EE">
        <w:trPr>
          <w:cantSplit/>
          <w:trHeight w:val="2933"/>
        </w:trPr>
        <w:tc>
          <w:tcPr>
            <w:tcW w:w="2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568B" w:rsidRPr="001247EE" w:rsidRDefault="0061568B" w:rsidP="00B861A8">
            <w:pPr>
              <w:rPr>
                <w:rFonts w:asciiTheme="majorHAnsi" w:eastAsia="Times New Roman" w:hAnsiTheme="majorHAnsi" w:cstheme="majorHAnsi"/>
                <w:sz w:val="20"/>
                <w:szCs w:val="20"/>
              </w:rPr>
            </w:pPr>
            <w:r w:rsidRPr="001247EE">
              <w:rPr>
                <w:rFonts w:asciiTheme="majorHAnsi" w:eastAsia="Times New Roman" w:hAnsiTheme="majorHAnsi" w:cstheme="majorHAnsi"/>
                <w:sz w:val="20"/>
                <w:szCs w:val="20"/>
              </w:rPr>
              <w:t xml:space="preserve">PhD-S5. Defend and critique the application of analytic methods in advanced health economics or health services research literature. </w:t>
            </w:r>
          </w:p>
        </w:tc>
        <w:tc>
          <w:tcPr>
            <w:tcW w:w="2430" w:type="dxa"/>
            <w:tcBorders>
              <w:top w:val="single" w:sz="4" w:space="0" w:color="auto"/>
              <w:left w:val="nil"/>
              <w:bottom w:val="single" w:sz="4" w:space="0" w:color="auto"/>
              <w:right w:val="single" w:sz="4" w:space="0" w:color="auto"/>
            </w:tcBorders>
            <w:shd w:val="clear" w:color="auto" w:fill="auto"/>
            <w:hideMark/>
          </w:tcPr>
          <w:p w:rsidR="0061568B" w:rsidRPr="001247EE" w:rsidRDefault="0061568B" w:rsidP="002E1932">
            <w:pPr>
              <w:rPr>
                <w:rFonts w:asciiTheme="majorHAnsi" w:eastAsia="Times New Roman" w:hAnsiTheme="majorHAnsi" w:cstheme="majorHAnsi"/>
                <w:sz w:val="20"/>
                <w:szCs w:val="20"/>
              </w:rPr>
            </w:pPr>
            <w:r w:rsidRPr="0012136D">
              <w:rPr>
                <w:rFonts w:asciiTheme="majorHAnsi" w:hAnsiTheme="majorHAnsi" w:cstheme="majorHAnsi"/>
                <w:b/>
                <w:sz w:val="20"/>
                <w:szCs w:val="20"/>
              </w:rPr>
              <w:t>PHD 3935</w:t>
            </w:r>
            <w:r w:rsidRPr="001247EE">
              <w:rPr>
                <w:rFonts w:asciiTheme="majorHAnsi" w:hAnsiTheme="majorHAnsi" w:cstheme="majorHAnsi"/>
                <w:sz w:val="20"/>
                <w:szCs w:val="20"/>
              </w:rPr>
              <w:t xml:space="preserve"> Advanced Health Economics</w:t>
            </w:r>
          </w:p>
        </w:tc>
        <w:tc>
          <w:tcPr>
            <w:tcW w:w="3870" w:type="dxa"/>
            <w:tcBorders>
              <w:top w:val="single" w:sz="4" w:space="0" w:color="auto"/>
              <w:left w:val="nil"/>
              <w:bottom w:val="single" w:sz="4" w:space="0" w:color="auto"/>
              <w:right w:val="single" w:sz="4" w:space="0" w:color="auto"/>
            </w:tcBorders>
            <w:shd w:val="clear" w:color="auto" w:fill="auto"/>
            <w:hideMark/>
          </w:tcPr>
          <w:p w:rsidR="0061568B" w:rsidRPr="001247EE" w:rsidRDefault="0061568B" w:rsidP="00B861A8">
            <w:pPr>
              <w:rPr>
                <w:rFonts w:asciiTheme="majorHAnsi" w:hAnsiTheme="majorHAnsi" w:cstheme="majorHAnsi"/>
                <w:sz w:val="20"/>
                <w:szCs w:val="20"/>
              </w:rPr>
            </w:pPr>
            <w:r w:rsidRPr="001247EE">
              <w:rPr>
                <w:rFonts w:asciiTheme="majorHAnsi" w:hAnsiTheme="majorHAnsi" w:cstheme="majorHAnsi"/>
                <w:sz w:val="20"/>
                <w:szCs w:val="20"/>
              </w:rPr>
              <w:t xml:space="preserve">Seminar Participation: This course involves two forms of assessments. Students are provided seminal/outstanding peer-reviewed articles and book chapters in the area of health economics. Students review these articles and take turns to present each article during the course. This exercise assesses student’s ability to understand advanced health economics concepts, study designs, analytical methods and important findings. </w:t>
            </w:r>
          </w:p>
          <w:p w:rsidR="0061568B" w:rsidRPr="001247EE" w:rsidRDefault="0061568B" w:rsidP="00B861A8">
            <w:pPr>
              <w:rPr>
                <w:rFonts w:asciiTheme="majorHAnsi" w:hAnsiTheme="majorHAnsi" w:cstheme="majorHAnsi"/>
                <w:sz w:val="20"/>
                <w:szCs w:val="20"/>
              </w:rPr>
            </w:pPr>
          </w:p>
          <w:p w:rsidR="0061568B" w:rsidRPr="001247EE" w:rsidRDefault="0061568B" w:rsidP="00B861A8">
            <w:pPr>
              <w:rPr>
                <w:rFonts w:asciiTheme="majorHAnsi" w:eastAsia="Times New Roman" w:hAnsiTheme="majorHAnsi" w:cstheme="majorHAnsi"/>
                <w:sz w:val="20"/>
                <w:szCs w:val="20"/>
              </w:rPr>
            </w:pPr>
            <w:r w:rsidRPr="001247EE">
              <w:rPr>
                <w:rFonts w:asciiTheme="majorHAnsi" w:hAnsiTheme="majorHAnsi" w:cstheme="majorHAnsi"/>
                <w:sz w:val="20"/>
                <w:szCs w:val="20"/>
              </w:rPr>
              <w:t>Term Paper: Students also formulate a research question that lends itself to a health economics study proposal or literature review, draft a write-up that includes descriptions of study design and evaluation for a proposal or review methods and findings for a literature review, and present the final project to the instructors and peers.</w:t>
            </w:r>
          </w:p>
        </w:tc>
      </w:tr>
      <w:tr w:rsidR="0061568B" w:rsidRPr="001247EE" w:rsidTr="006E28EE">
        <w:trPr>
          <w:cantSplit/>
          <w:trHeight w:val="5201"/>
        </w:trPr>
        <w:tc>
          <w:tcPr>
            <w:tcW w:w="2340" w:type="dxa"/>
            <w:vMerge/>
            <w:tcBorders>
              <w:top w:val="single" w:sz="4" w:space="0" w:color="auto"/>
              <w:left w:val="single" w:sz="4" w:space="0" w:color="auto"/>
              <w:bottom w:val="single" w:sz="4" w:space="0" w:color="auto"/>
              <w:right w:val="single" w:sz="4" w:space="0" w:color="auto"/>
            </w:tcBorders>
            <w:hideMark/>
          </w:tcPr>
          <w:p w:rsidR="0061568B" w:rsidRPr="001247EE" w:rsidRDefault="0061568B" w:rsidP="00B861A8">
            <w:pPr>
              <w:rPr>
                <w:rFonts w:asciiTheme="majorHAnsi" w:eastAsia="Times New Roman" w:hAnsiTheme="majorHAnsi" w:cstheme="majorHAnsi"/>
                <w:sz w:val="20"/>
                <w:szCs w:val="20"/>
              </w:rPr>
            </w:pPr>
          </w:p>
        </w:tc>
        <w:tc>
          <w:tcPr>
            <w:tcW w:w="2430" w:type="dxa"/>
            <w:tcBorders>
              <w:top w:val="single" w:sz="4" w:space="0" w:color="auto"/>
              <w:left w:val="nil"/>
              <w:bottom w:val="single" w:sz="4" w:space="0" w:color="auto"/>
              <w:right w:val="single" w:sz="4" w:space="0" w:color="auto"/>
            </w:tcBorders>
            <w:shd w:val="clear" w:color="auto" w:fill="auto"/>
            <w:hideMark/>
          </w:tcPr>
          <w:p w:rsidR="0061568B" w:rsidRPr="001247EE" w:rsidRDefault="0061568B" w:rsidP="00493DE5">
            <w:pPr>
              <w:rPr>
                <w:rFonts w:asciiTheme="majorHAnsi" w:eastAsia="Times New Roman" w:hAnsiTheme="majorHAnsi" w:cstheme="majorHAnsi"/>
                <w:sz w:val="20"/>
                <w:szCs w:val="20"/>
              </w:rPr>
            </w:pPr>
            <w:r w:rsidRPr="0012136D">
              <w:rPr>
                <w:rFonts w:asciiTheme="majorHAnsi" w:hAnsiTheme="majorHAnsi" w:cstheme="majorHAnsi"/>
                <w:b/>
                <w:sz w:val="20"/>
                <w:szCs w:val="20"/>
              </w:rPr>
              <w:t>PHD 3945</w:t>
            </w:r>
            <w:r w:rsidRPr="001247EE">
              <w:rPr>
                <w:rFonts w:asciiTheme="majorHAnsi" w:hAnsiTheme="majorHAnsi" w:cstheme="majorHAnsi"/>
                <w:sz w:val="20"/>
                <w:szCs w:val="20"/>
              </w:rPr>
              <w:t xml:space="preserve"> Advanced Health Services Research</w:t>
            </w:r>
          </w:p>
        </w:tc>
        <w:tc>
          <w:tcPr>
            <w:tcW w:w="3870" w:type="dxa"/>
            <w:tcBorders>
              <w:top w:val="single" w:sz="4" w:space="0" w:color="auto"/>
              <w:left w:val="nil"/>
              <w:bottom w:val="single" w:sz="4" w:space="0" w:color="auto"/>
              <w:right w:val="single" w:sz="4" w:space="0" w:color="auto"/>
            </w:tcBorders>
            <w:shd w:val="clear" w:color="auto" w:fill="auto"/>
            <w:hideMark/>
          </w:tcPr>
          <w:p w:rsidR="0061568B" w:rsidRPr="001247EE" w:rsidRDefault="0061568B" w:rsidP="00B861A8">
            <w:pPr>
              <w:spacing w:after="240"/>
              <w:rPr>
                <w:rFonts w:asciiTheme="majorHAnsi" w:eastAsia="Times New Roman" w:hAnsiTheme="majorHAnsi" w:cstheme="majorHAnsi"/>
                <w:sz w:val="20"/>
                <w:szCs w:val="20"/>
              </w:rPr>
            </w:pPr>
            <w:r w:rsidRPr="001247EE">
              <w:rPr>
                <w:rFonts w:asciiTheme="majorHAnsi" w:hAnsiTheme="majorHAnsi" w:cstheme="majorHAnsi"/>
                <w:sz w:val="20"/>
                <w:szCs w:val="20"/>
              </w:rPr>
              <w:t>Paper Discussions</w:t>
            </w:r>
            <w:r w:rsidRPr="001247EE">
              <w:rPr>
                <w:rFonts w:asciiTheme="majorHAnsi" w:eastAsia="Times New Roman" w:hAnsiTheme="majorHAnsi" w:cstheme="majorHAnsi"/>
                <w:sz w:val="20"/>
                <w:szCs w:val="20"/>
              </w:rPr>
              <w:t xml:space="preserve">: This course involves two forms of assessments. Students are provided seminal/outstanding peer-reviewed articles and book chapters in the area of health services research. Students review these articles and take turns to present each article during the course. This exercise assesses student’s ability to understand advanced health services research concepts, study designs, analytical methods and important findings. </w:t>
            </w:r>
          </w:p>
          <w:p w:rsidR="00691356" w:rsidRPr="001247EE" w:rsidRDefault="0061568B" w:rsidP="00B861A8">
            <w:pPr>
              <w:spacing w:after="240"/>
              <w:rPr>
                <w:rFonts w:asciiTheme="majorHAnsi" w:eastAsia="Times New Roman" w:hAnsiTheme="majorHAnsi" w:cstheme="majorHAnsi"/>
                <w:sz w:val="20"/>
                <w:szCs w:val="20"/>
              </w:rPr>
            </w:pPr>
            <w:r w:rsidRPr="001247EE">
              <w:rPr>
                <w:rFonts w:asciiTheme="majorHAnsi" w:hAnsiTheme="majorHAnsi" w:cstheme="majorHAnsi"/>
                <w:sz w:val="20"/>
                <w:szCs w:val="20"/>
              </w:rPr>
              <w:t xml:space="preserve">Term </w:t>
            </w:r>
            <w:r w:rsidRPr="007D4BAD">
              <w:rPr>
                <w:rFonts w:asciiTheme="majorHAnsi" w:hAnsiTheme="majorHAnsi" w:cstheme="majorHAnsi"/>
                <w:sz w:val="20"/>
                <w:szCs w:val="20"/>
              </w:rPr>
              <w:t>Paper</w:t>
            </w:r>
            <w:r w:rsidRPr="007D4BAD">
              <w:rPr>
                <w:rFonts w:asciiTheme="majorHAnsi" w:eastAsia="Times New Roman" w:hAnsiTheme="majorHAnsi" w:cstheme="majorHAnsi"/>
                <w:sz w:val="20"/>
                <w:szCs w:val="20"/>
              </w:rPr>
              <w:t xml:space="preserve"> (</w:t>
            </w:r>
            <w:r w:rsidRPr="007D4BAD">
              <w:rPr>
                <w:rFonts w:asciiTheme="majorHAnsi" w:hAnsiTheme="majorHAnsi" w:cstheme="majorHAnsi"/>
                <w:sz w:val="20"/>
                <w:szCs w:val="20"/>
              </w:rPr>
              <w:t>NIH Proposal Outline</w:t>
            </w:r>
            <w:r w:rsidRPr="007D4BAD">
              <w:rPr>
                <w:rFonts w:asciiTheme="majorHAnsi" w:eastAsia="Times New Roman" w:hAnsiTheme="majorHAnsi" w:cstheme="majorHAnsi"/>
                <w:sz w:val="20"/>
                <w:szCs w:val="20"/>
              </w:rPr>
              <w:t>): Students also formulate a</w:t>
            </w:r>
            <w:r w:rsidRPr="001247EE">
              <w:rPr>
                <w:rFonts w:asciiTheme="majorHAnsi" w:eastAsia="Times New Roman" w:hAnsiTheme="majorHAnsi" w:cstheme="majorHAnsi"/>
                <w:sz w:val="20"/>
                <w:szCs w:val="20"/>
              </w:rPr>
              <w:t xml:space="preserve"> research question that lends itself to a health services research study proposal or literature review, draft a write-up that includes descriptions of study design and evaluation for a proposal or review methods and findings for a literature review, and present the final project to the instructors and peers.</w:t>
            </w:r>
          </w:p>
        </w:tc>
      </w:tr>
    </w:tbl>
    <w:p w:rsidR="0061568B" w:rsidRPr="001247EE" w:rsidRDefault="0061568B" w:rsidP="0061568B">
      <w:pPr>
        <w:pStyle w:val="BodyText"/>
        <w:tabs>
          <w:tab w:val="left" w:pos="720"/>
        </w:tabs>
        <w:ind w:left="1440" w:right="119" w:hanging="720"/>
        <w:jc w:val="both"/>
        <w:rPr>
          <w:rStyle w:val="Hyperlink"/>
          <w:rFonts w:asciiTheme="majorHAnsi" w:hAnsiTheme="majorHAnsi" w:cstheme="majorHAnsi"/>
        </w:rPr>
      </w:pPr>
    </w:p>
    <w:p w:rsidR="00852E1E" w:rsidRPr="001247EE" w:rsidRDefault="00852E1E" w:rsidP="0061568B">
      <w:pPr>
        <w:pStyle w:val="BodyText"/>
        <w:tabs>
          <w:tab w:val="left" w:pos="720"/>
        </w:tabs>
        <w:ind w:left="1440" w:right="119" w:hanging="720"/>
        <w:jc w:val="both"/>
        <w:rPr>
          <w:rStyle w:val="Hyperlink"/>
          <w:rFonts w:asciiTheme="majorHAnsi" w:hAnsiTheme="majorHAnsi" w:cstheme="majorHAnsi"/>
        </w:rPr>
      </w:pPr>
    </w:p>
    <w:p w:rsidR="00852E1E" w:rsidRPr="001247EE" w:rsidRDefault="00852E1E" w:rsidP="0061568B">
      <w:pPr>
        <w:pStyle w:val="BodyText"/>
        <w:tabs>
          <w:tab w:val="left" w:pos="720"/>
        </w:tabs>
        <w:ind w:left="1440" w:right="119" w:hanging="720"/>
        <w:jc w:val="both"/>
        <w:rPr>
          <w:rStyle w:val="Hyperlink"/>
          <w:rFonts w:asciiTheme="majorHAnsi" w:hAnsiTheme="majorHAnsi" w:cstheme="majorHAnsi"/>
        </w:rPr>
      </w:pPr>
    </w:p>
    <w:p w:rsidR="00852E1E" w:rsidRPr="001247EE" w:rsidRDefault="00852E1E" w:rsidP="0061568B">
      <w:pPr>
        <w:pStyle w:val="BodyText"/>
        <w:tabs>
          <w:tab w:val="left" w:pos="720"/>
        </w:tabs>
        <w:ind w:left="1440" w:right="119" w:hanging="720"/>
        <w:jc w:val="both"/>
        <w:rPr>
          <w:rStyle w:val="Hyperlink"/>
          <w:rFonts w:asciiTheme="majorHAnsi" w:hAnsiTheme="majorHAnsi" w:cstheme="majorHAnsi"/>
        </w:rPr>
      </w:pPr>
    </w:p>
    <w:p w:rsidR="00852E1E" w:rsidRPr="001247EE" w:rsidRDefault="00852E1E" w:rsidP="0061568B">
      <w:pPr>
        <w:pStyle w:val="BodyText"/>
        <w:tabs>
          <w:tab w:val="left" w:pos="720"/>
        </w:tabs>
        <w:ind w:left="1440" w:right="119" w:hanging="720"/>
        <w:jc w:val="both"/>
        <w:rPr>
          <w:rStyle w:val="Hyperlink"/>
          <w:rFonts w:asciiTheme="majorHAnsi" w:hAnsiTheme="majorHAnsi" w:cstheme="majorHAnsi"/>
        </w:rPr>
      </w:pPr>
    </w:p>
    <w:p w:rsidR="00852E1E" w:rsidRPr="001247EE" w:rsidRDefault="00852E1E" w:rsidP="0061568B">
      <w:pPr>
        <w:pStyle w:val="BodyText"/>
        <w:tabs>
          <w:tab w:val="left" w:pos="720"/>
        </w:tabs>
        <w:ind w:left="1440" w:right="119" w:hanging="720"/>
        <w:jc w:val="both"/>
        <w:rPr>
          <w:rStyle w:val="Hyperlink"/>
          <w:rFonts w:asciiTheme="majorHAnsi" w:hAnsiTheme="majorHAnsi" w:cstheme="majorHAnsi"/>
        </w:rPr>
      </w:pPr>
    </w:p>
    <w:p w:rsidR="00852E1E" w:rsidRPr="001247EE" w:rsidRDefault="00852E1E" w:rsidP="0061568B">
      <w:pPr>
        <w:pStyle w:val="BodyText"/>
        <w:tabs>
          <w:tab w:val="left" w:pos="720"/>
        </w:tabs>
        <w:ind w:left="1440" w:right="119" w:hanging="720"/>
        <w:jc w:val="both"/>
        <w:rPr>
          <w:rStyle w:val="Hyperlink"/>
          <w:rFonts w:asciiTheme="majorHAnsi" w:hAnsiTheme="majorHAnsi" w:cstheme="majorHAnsi"/>
        </w:rPr>
      </w:pPr>
    </w:p>
    <w:p w:rsidR="00852E1E" w:rsidRPr="001247EE" w:rsidRDefault="00852E1E" w:rsidP="0061568B">
      <w:pPr>
        <w:pStyle w:val="BodyText"/>
        <w:tabs>
          <w:tab w:val="left" w:pos="720"/>
        </w:tabs>
        <w:ind w:left="1440" w:right="119" w:hanging="720"/>
        <w:jc w:val="both"/>
        <w:rPr>
          <w:rStyle w:val="Hyperlink"/>
          <w:rFonts w:asciiTheme="majorHAnsi" w:hAnsiTheme="majorHAnsi" w:cstheme="majorHAnsi"/>
        </w:rPr>
      </w:pPr>
    </w:p>
    <w:p w:rsidR="00852E1E" w:rsidRPr="001247EE" w:rsidRDefault="00852E1E" w:rsidP="0061568B">
      <w:pPr>
        <w:pStyle w:val="BodyText"/>
        <w:tabs>
          <w:tab w:val="left" w:pos="720"/>
        </w:tabs>
        <w:ind w:left="1440" w:right="119" w:hanging="720"/>
        <w:jc w:val="both"/>
        <w:rPr>
          <w:rStyle w:val="Hyperlink"/>
          <w:rFonts w:asciiTheme="majorHAnsi" w:hAnsiTheme="majorHAnsi" w:cstheme="majorHAnsi"/>
        </w:rPr>
      </w:pPr>
    </w:p>
    <w:p w:rsidR="00852E1E" w:rsidRPr="001247EE" w:rsidRDefault="00852E1E" w:rsidP="0061568B">
      <w:pPr>
        <w:pStyle w:val="BodyText"/>
        <w:tabs>
          <w:tab w:val="left" w:pos="720"/>
        </w:tabs>
        <w:ind w:left="1440" w:right="119" w:hanging="720"/>
        <w:jc w:val="both"/>
        <w:rPr>
          <w:rStyle w:val="Hyperlink"/>
          <w:rFonts w:asciiTheme="majorHAnsi" w:hAnsiTheme="majorHAnsi" w:cstheme="majorHAnsi"/>
        </w:rPr>
      </w:pPr>
    </w:p>
    <w:p w:rsidR="00852E1E" w:rsidRPr="001247EE" w:rsidRDefault="00852E1E" w:rsidP="0061568B">
      <w:pPr>
        <w:pStyle w:val="BodyText"/>
        <w:tabs>
          <w:tab w:val="left" w:pos="720"/>
        </w:tabs>
        <w:ind w:left="1440" w:right="119" w:hanging="720"/>
        <w:jc w:val="both"/>
        <w:rPr>
          <w:rStyle w:val="Hyperlink"/>
          <w:rFonts w:asciiTheme="majorHAnsi" w:hAnsiTheme="majorHAnsi" w:cstheme="majorHAnsi"/>
        </w:rPr>
      </w:pPr>
    </w:p>
    <w:p w:rsidR="00852E1E" w:rsidRPr="001247EE" w:rsidRDefault="00852E1E" w:rsidP="0061568B">
      <w:pPr>
        <w:pStyle w:val="BodyText"/>
        <w:tabs>
          <w:tab w:val="left" w:pos="720"/>
        </w:tabs>
        <w:ind w:left="1440" w:right="119" w:hanging="720"/>
        <w:jc w:val="both"/>
        <w:rPr>
          <w:rStyle w:val="Hyperlink"/>
          <w:rFonts w:asciiTheme="majorHAnsi" w:hAnsiTheme="majorHAnsi" w:cstheme="majorHAnsi"/>
        </w:rPr>
      </w:pPr>
    </w:p>
    <w:p w:rsidR="00852E1E" w:rsidRPr="001247EE" w:rsidRDefault="00852E1E" w:rsidP="0061568B">
      <w:pPr>
        <w:pStyle w:val="BodyText"/>
        <w:tabs>
          <w:tab w:val="left" w:pos="720"/>
        </w:tabs>
        <w:ind w:left="1440" w:right="119" w:hanging="720"/>
        <w:jc w:val="both"/>
        <w:rPr>
          <w:rStyle w:val="Hyperlink"/>
          <w:rFonts w:asciiTheme="majorHAnsi" w:hAnsiTheme="majorHAnsi" w:cstheme="majorHAnsi"/>
        </w:rPr>
      </w:pPr>
    </w:p>
    <w:p w:rsidR="00852E1E" w:rsidRPr="001247EE" w:rsidRDefault="00852E1E" w:rsidP="0061568B">
      <w:pPr>
        <w:pStyle w:val="BodyText"/>
        <w:tabs>
          <w:tab w:val="left" w:pos="720"/>
        </w:tabs>
        <w:ind w:left="1440" w:right="119" w:hanging="720"/>
        <w:jc w:val="both"/>
        <w:rPr>
          <w:rStyle w:val="Hyperlink"/>
          <w:rFonts w:asciiTheme="majorHAnsi" w:hAnsiTheme="majorHAnsi" w:cstheme="majorHAnsi"/>
        </w:rPr>
      </w:pPr>
    </w:p>
    <w:p w:rsidR="00852E1E" w:rsidRPr="001247EE" w:rsidRDefault="00852E1E" w:rsidP="0061568B">
      <w:pPr>
        <w:pStyle w:val="BodyText"/>
        <w:tabs>
          <w:tab w:val="left" w:pos="720"/>
        </w:tabs>
        <w:ind w:left="1440" w:right="119" w:hanging="720"/>
        <w:jc w:val="both"/>
        <w:rPr>
          <w:rStyle w:val="Hyperlink"/>
          <w:rFonts w:asciiTheme="majorHAnsi" w:hAnsiTheme="majorHAnsi" w:cstheme="majorHAnsi"/>
        </w:rPr>
      </w:pPr>
    </w:p>
    <w:p w:rsidR="00852E1E" w:rsidRPr="001247EE" w:rsidRDefault="00852E1E" w:rsidP="0061568B">
      <w:pPr>
        <w:pStyle w:val="BodyText"/>
        <w:tabs>
          <w:tab w:val="left" w:pos="720"/>
        </w:tabs>
        <w:ind w:left="1440" w:right="119" w:hanging="720"/>
        <w:jc w:val="both"/>
        <w:rPr>
          <w:rStyle w:val="Hyperlink"/>
          <w:rFonts w:asciiTheme="majorHAnsi" w:hAnsiTheme="majorHAnsi" w:cstheme="majorHAnsi"/>
        </w:rPr>
      </w:pPr>
    </w:p>
    <w:p w:rsidR="00852E1E" w:rsidRPr="001247EE" w:rsidRDefault="00852E1E" w:rsidP="0061568B">
      <w:pPr>
        <w:pStyle w:val="BodyText"/>
        <w:tabs>
          <w:tab w:val="left" w:pos="720"/>
        </w:tabs>
        <w:ind w:left="1440" w:right="119" w:hanging="720"/>
        <w:jc w:val="both"/>
        <w:rPr>
          <w:rStyle w:val="Hyperlink"/>
          <w:rFonts w:asciiTheme="majorHAnsi" w:hAnsiTheme="majorHAnsi" w:cstheme="majorHAnsi"/>
        </w:rPr>
      </w:pPr>
    </w:p>
    <w:p w:rsidR="00852E1E" w:rsidRPr="001247EE" w:rsidRDefault="00852E1E" w:rsidP="0061568B">
      <w:pPr>
        <w:pStyle w:val="BodyText"/>
        <w:tabs>
          <w:tab w:val="left" w:pos="720"/>
        </w:tabs>
        <w:ind w:left="1440" w:right="119" w:hanging="720"/>
        <w:jc w:val="both"/>
        <w:rPr>
          <w:rStyle w:val="Hyperlink"/>
          <w:rFonts w:asciiTheme="majorHAnsi" w:hAnsiTheme="majorHAnsi" w:cstheme="majorHAnsi"/>
        </w:rPr>
      </w:pPr>
    </w:p>
    <w:p w:rsidR="00852E1E" w:rsidRPr="001247EE" w:rsidRDefault="00852E1E" w:rsidP="0061568B">
      <w:pPr>
        <w:pStyle w:val="BodyText"/>
        <w:tabs>
          <w:tab w:val="left" w:pos="720"/>
        </w:tabs>
        <w:ind w:left="1440" w:right="119" w:hanging="720"/>
        <w:jc w:val="both"/>
        <w:rPr>
          <w:rStyle w:val="Hyperlink"/>
          <w:rFonts w:asciiTheme="majorHAnsi" w:hAnsiTheme="majorHAnsi" w:cstheme="majorHAnsi"/>
        </w:rPr>
      </w:pPr>
    </w:p>
    <w:p w:rsidR="00852E1E" w:rsidRPr="001247EE" w:rsidRDefault="00852E1E" w:rsidP="0061568B">
      <w:pPr>
        <w:pStyle w:val="BodyText"/>
        <w:tabs>
          <w:tab w:val="left" w:pos="720"/>
        </w:tabs>
        <w:ind w:left="1440" w:right="119" w:hanging="720"/>
        <w:jc w:val="both"/>
        <w:rPr>
          <w:rStyle w:val="Hyperlink"/>
          <w:rFonts w:asciiTheme="majorHAnsi" w:hAnsiTheme="majorHAnsi" w:cstheme="majorHAnsi"/>
        </w:rPr>
      </w:pPr>
    </w:p>
    <w:p w:rsidR="00852E1E" w:rsidRPr="001247EE" w:rsidRDefault="00852E1E" w:rsidP="0061568B">
      <w:pPr>
        <w:pStyle w:val="BodyText"/>
        <w:tabs>
          <w:tab w:val="left" w:pos="720"/>
        </w:tabs>
        <w:ind w:left="1440" w:right="119" w:hanging="720"/>
        <w:jc w:val="both"/>
        <w:rPr>
          <w:rStyle w:val="Hyperlink"/>
          <w:rFonts w:asciiTheme="majorHAnsi" w:hAnsiTheme="majorHAnsi" w:cstheme="majorHAnsi"/>
        </w:rPr>
      </w:pPr>
    </w:p>
    <w:p w:rsidR="00852E1E" w:rsidRPr="001247EE" w:rsidRDefault="00852E1E" w:rsidP="0061568B">
      <w:pPr>
        <w:pStyle w:val="BodyText"/>
        <w:tabs>
          <w:tab w:val="left" w:pos="720"/>
        </w:tabs>
        <w:ind w:left="1440" w:right="119" w:hanging="720"/>
        <w:jc w:val="both"/>
        <w:rPr>
          <w:rStyle w:val="Hyperlink"/>
          <w:rFonts w:asciiTheme="majorHAnsi" w:hAnsiTheme="majorHAnsi" w:cstheme="majorHAnsi"/>
        </w:rPr>
      </w:pPr>
    </w:p>
    <w:p w:rsidR="00852E1E" w:rsidRPr="001247EE" w:rsidRDefault="00852E1E" w:rsidP="0061568B">
      <w:pPr>
        <w:pStyle w:val="BodyText"/>
        <w:tabs>
          <w:tab w:val="left" w:pos="720"/>
        </w:tabs>
        <w:ind w:left="1440" w:right="119" w:hanging="720"/>
        <w:jc w:val="both"/>
        <w:rPr>
          <w:rStyle w:val="Hyperlink"/>
          <w:rFonts w:asciiTheme="majorHAnsi" w:hAnsiTheme="majorHAnsi" w:cstheme="majorHAnsi"/>
        </w:rPr>
      </w:pPr>
    </w:p>
    <w:p w:rsidR="00852E1E" w:rsidRPr="001247EE" w:rsidRDefault="00852E1E" w:rsidP="0061568B">
      <w:pPr>
        <w:pStyle w:val="BodyText"/>
        <w:tabs>
          <w:tab w:val="left" w:pos="720"/>
        </w:tabs>
        <w:ind w:left="1440" w:right="119" w:hanging="720"/>
        <w:jc w:val="both"/>
        <w:rPr>
          <w:rStyle w:val="Hyperlink"/>
          <w:rFonts w:asciiTheme="majorHAnsi" w:hAnsiTheme="majorHAnsi" w:cstheme="majorHAnsi"/>
        </w:rPr>
      </w:pPr>
    </w:p>
    <w:p w:rsidR="00852E1E" w:rsidRPr="001247EE" w:rsidRDefault="00852E1E" w:rsidP="0061568B">
      <w:pPr>
        <w:pStyle w:val="BodyText"/>
        <w:tabs>
          <w:tab w:val="left" w:pos="720"/>
        </w:tabs>
        <w:ind w:left="1440" w:right="119" w:hanging="720"/>
        <w:jc w:val="both"/>
        <w:rPr>
          <w:rStyle w:val="Hyperlink"/>
          <w:rFonts w:asciiTheme="majorHAnsi" w:hAnsiTheme="majorHAnsi" w:cstheme="majorHAnsi"/>
        </w:rPr>
      </w:pPr>
    </w:p>
    <w:p w:rsidR="00852E1E" w:rsidRPr="001247EE" w:rsidRDefault="00852E1E" w:rsidP="0061568B">
      <w:pPr>
        <w:pStyle w:val="BodyText"/>
        <w:tabs>
          <w:tab w:val="left" w:pos="720"/>
        </w:tabs>
        <w:ind w:left="1440" w:right="119" w:hanging="720"/>
        <w:jc w:val="both"/>
        <w:rPr>
          <w:rStyle w:val="Hyperlink"/>
          <w:rFonts w:asciiTheme="majorHAnsi" w:hAnsiTheme="majorHAnsi" w:cstheme="majorHAnsi"/>
        </w:rPr>
      </w:pPr>
    </w:p>
    <w:p w:rsidR="00852E1E" w:rsidRPr="001247EE" w:rsidRDefault="00852E1E" w:rsidP="0061568B">
      <w:pPr>
        <w:pStyle w:val="BodyText"/>
        <w:tabs>
          <w:tab w:val="left" w:pos="720"/>
        </w:tabs>
        <w:ind w:left="1440" w:right="119" w:hanging="720"/>
        <w:jc w:val="both"/>
        <w:rPr>
          <w:rStyle w:val="Hyperlink"/>
          <w:rFonts w:asciiTheme="majorHAnsi" w:hAnsiTheme="majorHAnsi" w:cstheme="majorHAnsi"/>
        </w:rPr>
      </w:pPr>
    </w:p>
    <w:p w:rsidR="00852E1E" w:rsidRPr="001247EE" w:rsidRDefault="00852E1E" w:rsidP="0061568B">
      <w:pPr>
        <w:pStyle w:val="BodyText"/>
        <w:tabs>
          <w:tab w:val="left" w:pos="720"/>
        </w:tabs>
        <w:ind w:left="1440" w:right="119" w:hanging="720"/>
        <w:jc w:val="both"/>
        <w:rPr>
          <w:rStyle w:val="Hyperlink"/>
          <w:rFonts w:asciiTheme="majorHAnsi" w:hAnsiTheme="majorHAnsi" w:cstheme="majorHAnsi"/>
        </w:rPr>
      </w:pPr>
    </w:p>
    <w:p w:rsidR="00984010" w:rsidRDefault="00984010" w:rsidP="006C308E">
      <w:pPr>
        <w:pStyle w:val="BodyText"/>
        <w:tabs>
          <w:tab w:val="left" w:pos="720"/>
        </w:tabs>
        <w:ind w:left="720" w:right="119" w:firstLine="0"/>
        <w:rPr>
          <w:rStyle w:val="Hyperlink"/>
          <w:rFonts w:asciiTheme="majorHAnsi" w:hAnsiTheme="majorHAnsi" w:cstheme="majorHAnsi"/>
        </w:rPr>
      </w:pPr>
    </w:p>
    <w:p w:rsidR="0095486A" w:rsidRPr="001247EE" w:rsidRDefault="0005458B" w:rsidP="006C308E">
      <w:pPr>
        <w:pStyle w:val="BodyText"/>
        <w:tabs>
          <w:tab w:val="left" w:pos="720"/>
        </w:tabs>
        <w:ind w:left="720" w:right="119" w:firstLine="0"/>
        <w:rPr>
          <w:rStyle w:val="Hyperlink"/>
          <w:rFonts w:asciiTheme="majorHAnsi" w:hAnsiTheme="majorHAnsi" w:cstheme="majorHAnsi"/>
        </w:rPr>
      </w:pPr>
      <w:r w:rsidRPr="001247EE">
        <w:rPr>
          <w:rFonts w:asciiTheme="majorHAnsi" w:hAnsiTheme="majorHAnsi" w:cstheme="majorHAnsi"/>
        </w:rPr>
        <w:t>T</w:t>
      </w:r>
      <w:r w:rsidR="0095486A" w:rsidRPr="001247EE">
        <w:rPr>
          <w:rFonts w:asciiTheme="majorHAnsi" w:hAnsiTheme="majorHAnsi" w:cstheme="majorHAnsi"/>
        </w:rPr>
        <w:t>able D</w:t>
      </w:r>
      <w:r w:rsidR="00322BE3" w:rsidRPr="001247EE">
        <w:rPr>
          <w:rFonts w:asciiTheme="majorHAnsi" w:hAnsiTheme="majorHAnsi" w:cstheme="majorHAnsi"/>
        </w:rPr>
        <w:t>.</w:t>
      </w:r>
      <w:r w:rsidR="0095486A" w:rsidRPr="001247EE">
        <w:rPr>
          <w:rFonts w:asciiTheme="majorHAnsi" w:hAnsiTheme="majorHAnsi" w:cstheme="majorHAnsi"/>
        </w:rPr>
        <w:t>18.3</w:t>
      </w:r>
      <w:r w:rsidR="00322BE3" w:rsidRPr="001247EE">
        <w:rPr>
          <w:rFonts w:asciiTheme="majorHAnsi" w:hAnsiTheme="majorHAnsi" w:cstheme="majorHAnsi"/>
        </w:rPr>
        <w:t>.</w:t>
      </w:r>
      <w:r w:rsidR="0095486A" w:rsidRPr="001247EE">
        <w:rPr>
          <w:rFonts w:asciiTheme="majorHAnsi" w:hAnsiTheme="majorHAnsi" w:cstheme="majorHAnsi"/>
        </w:rPr>
        <w:t>g. Assessment of Competencies for PhD in Healthcare Management and Health Policy</w:t>
      </w:r>
      <w:r w:rsidR="00852E1E" w:rsidRPr="001247EE">
        <w:rPr>
          <w:rFonts w:asciiTheme="majorHAnsi" w:hAnsiTheme="majorHAnsi" w:cstheme="majorHAnsi"/>
        </w:rPr>
        <w:t xml:space="preserve"> (</w:t>
      </w:r>
      <w:r w:rsidR="00852E1E" w:rsidRPr="001247EE">
        <w:rPr>
          <w:rFonts w:asciiTheme="majorHAnsi" w:hAnsiTheme="majorHAnsi" w:cstheme="majorHAnsi"/>
          <w:i/>
        </w:rPr>
        <w:t>ERF, D18.3. PhD in Healthcare Management and Health Policy</w:t>
      </w:r>
      <w:r w:rsidR="00852E1E" w:rsidRPr="001247EE">
        <w:rPr>
          <w:rFonts w:asciiTheme="majorHAnsi" w:hAnsiTheme="majorHAnsi" w:cstheme="majorHAnsi"/>
        </w:rPr>
        <w:t xml:space="preserve">) </w:t>
      </w: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431"/>
        <w:gridCol w:w="3869"/>
      </w:tblGrid>
      <w:tr w:rsidR="00B8166D" w:rsidRPr="001247EE" w:rsidTr="006E28EE">
        <w:trPr>
          <w:cantSplit/>
          <w:trHeight w:val="315"/>
          <w:tblHeader/>
        </w:trPr>
        <w:tc>
          <w:tcPr>
            <w:tcW w:w="1354" w:type="pct"/>
            <w:shd w:val="clear" w:color="000000" w:fill="D9D9D9"/>
            <w:vAlign w:val="center"/>
          </w:tcPr>
          <w:p w:rsidR="00B8166D" w:rsidRPr="001247EE" w:rsidRDefault="00B8166D" w:rsidP="006C308E">
            <w:pPr>
              <w:jc w:val="center"/>
              <w:rPr>
                <w:rFonts w:asciiTheme="majorHAnsi" w:eastAsia="Times New Roman" w:hAnsiTheme="majorHAnsi" w:cstheme="majorHAnsi"/>
                <w:b/>
                <w:bCs/>
                <w:color w:val="000000"/>
                <w:sz w:val="20"/>
                <w:szCs w:val="20"/>
              </w:rPr>
            </w:pPr>
            <w:r w:rsidRPr="001247EE">
              <w:rPr>
                <w:rFonts w:asciiTheme="majorHAnsi" w:eastAsia="Times New Roman" w:hAnsiTheme="majorHAnsi" w:cstheme="majorHAnsi"/>
                <w:b/>
                <w:bCs/>
                <w:color w:val="000000"/>
                <w:sz w:val="20"/>
                <w:szCs w:val="20"/>
              </w:rPr>
              <w:t>Competency</w:t>
            </w:r>
          </w:p>
        </w:tc>
        <w:tc>
          <w:tcPr>
            <w:tcW w:w="1407" w:type="pct"/>
            <w:shd w:val="clear" w:color="000000" w:fill="D9D9D9"/>
            <w:vAlign w:val="center"/>
          </w:tcPr>
          <w:p w:rsidR="00B8166D" w:rsidRPr="001247EE" w:rsidRDefault="00B8166D" w:rsidP="006C308E">
            <w:pPr>
              <w:jc w:val="center"/>
              <w:rPr>
                <w:rFonts w:asciiTheme="majorHAnsi" w:eastAsia="Times New Roman" w:hAnsiTheme="majorHAnsi" w:cstheme="majorHAnsi"/>
                <w:b/>
                <w:bCs/>
                <w:color w:val="000000"/>
                <w:sz w:val="20"/>
                <w:szCs w:val="20"/>
              </w:rPr>
            </w:pPr>
            <w:r w:rsidRPr="001247EE">
              <w:rPr>
                <w:rFonts w:asciiTheme="majorHAnsi" w:eastAsia="Times New Roman" w:hAnsiTheme="majorHAnsi" w:cstheme="majorHAnsi"/>
                <w:b/>
                <w:bCs/>
                <w:sz w:val="20"/>
                <w:szCs w:val="20"/>
              </w:rPr>
              <w:t>Course number(s) and name(s)</w:t>
            </w:r>
          </w:p>
        </w:tc>
        <w:tc>
          <w:tcPr>
            <w:tcW w:w="2239" w:type="pct"/>
            <w:shd w:val="clear" w:color="000000" w:fill="D9D9D9"/>
            <w:vAlign w:val="center"/>
          </w:tcPr>
          <w:p w:rsidR="00B8166D" w:rsidRPr="001247EE" w:rsidRDefault="00B8166D" w:rsidP="006C308E">
            <w:pPr>
              <w:jc w:val="center"/>
              <w:rPr>
                <w:rFonts w:asciiTheme="majorHAnsi" w:eastAsia="Times New Roman" w:hAnsiTheme="majorHAnsi" w:cstheme="majorHAnsi"/>
                <w:b/>
                <w:bCs/>
                <w:color w:val="000000"/>
                <w:sz w:val="20"/>
                <w:szCs w:val="20"/>
              </w:rPr>
            </w:pPr>
            <w:r w:rsidRPr="001247EE">
              <w:rPr>
                <w:rFonts w:asciiTheme="majorHAnsi" w:eastAsia="Times New Roman" w:hAnsiTheme="majorHAnsi" w:cstheme="majorHAnsi"/>
                <w:b/>
                <w:bCs/>
                <w:color w:val="000000"/>
                <w:sz w:val="20"/>
                <w:szCs w:val="20"/>
              </w:rPr>
              <w:t>Specific assessment opportunity</w:t>
            </w:r>
          </w:p>
        </w:tc>
      </w:tr>
      <w:tr w:rsidR="00B8166D" w:rsidRPr="001247EE" w:rsidTr="006E28EE">
        <w:trPr>
          <w:cantSplit/>
          <w:trHeight w:val="315"/>
        </w:trPr>
        <w:tc>
          <w:tcPr>
            <w:tcW w:w="1354" w:type="pct"/>
            <w:shd w:val="clear" w:color="auto" w:fill="auto"/>
          </w:tcPr>
          <w:p w:rsidR="00B8166D" w:rsidRPr="001247EE" w:rsidRDefault="00B8166D" w:rsidP="006C308E">
            <w:pPr>
              <w:rPr>
                <w:rFonts w:asciiTheme="majorHAnsi" w:eastAsia="Times New Roman" w:hAnsiTheme="majorHAnsi" w:cstheme="majorHAnsi"/>
                <w:bCs/>
                <w:color w:val="000000"/>
                <w:sz w:val="20"/>
                <w:szCs w:val="20"/>
              </w:rPr>
            </w:pPr>
            <w:r w:rsidRPr="001247EE">
              <w:rPr>
                <w:rFonts w:asciiTheme="majorHAnsi" w:hAnsiTheme="majorHAnsi" w:cstheme="majorHAnsi"/>
                <w:bCs/>
                <w:color w:val="000000"/>
                <w:sz w:val="20"/>
                <w:szCs w:val="20"/>
              </w:rPr>
              <w:t>PHD-M1: Appraise the role of policy making institutions, processes, and ideas that shape policy in public health at the local, state and national levels.</w:t>
            </w:r>
          </w:p>
        </w:tc>
        <w:tc>
          <w:tcPr>
            <w:tcW w:w="1407" w:type="pct"/>
            <w:shd w:val="clear" w:color="auto" w:fill="auto"/>
          </w:tcPr>
          <w:p w:rsidR="00B8166D" w:rsidRPr="001247EE" w:rsidRDefault="00B8166D" w:rsidP="005749AE">
            <w:pPr>
              <w:rPr>
                <w:rFonts w:asciiTheme="majorHAnsi" w:eastAsia="Times New Roman" w:hAnsiTheme="majorHAnsi" w:cstheme="majorHAnsi"/>
                <w:bCs/>
                <w:color w:val="000000"/>
                <w:sz w:val="20"/>
                <w:szCs w:val="20"/>
              </w:rPr>
            </w:pPr>
            <w:r w:rsidRPr="0012136D">
              <w:rPr>
                <w:rFonts w:asciiTheme="majorHAnsi" w:hAnsiTheme="majorHAnsi" w:cstheme="majorHAnsi"/>
                <w:b/>
                <w:sz w:val="20"/>
                <w:szCs w:val="20"/>
              </w:rPr>
              <w:t>PHD 3810</w:t>
            </w:r>
            <w:r w:rsidRPr="001247EE">
              <w:rPr>
                <w:rFonts w:asciiTheme="majorHAnsi" w:hAnsiTheme="majorHAnsi" w:cstheme="majorHAnsi"/>
                <w:sz w:val="20"/>
                <w:szCs w:val="20"/>
              </w:rPr>
              <w:t xml:space="preserve"> Health Policy in the United States</w:t>
            </w:r>
          </w:p>
        </w:tc>
        <w:tc>
          <w:tcPr>
            <w:tcW w:w="2239" w:type="pct"/>
            <w:shd w:val="clear" w:color="auto" w:fill="auto"/>
          </w:tcPr>
          <w:p w:rsidR="00B8166D" w:rsidRPr="001247EE" w:rsidRDefault="00B8166D" w:rsidP="006C308E">
            <w:pPr>
              <w:rPr>
                <w:rFonts w:asciiTheme="majorHAnsi" w:hAnsiTheme="majorHAnsi" w:cstheme="majorHAnsi"/>
                <w:sz w:val="20"/>
                <w:szCs w:val="20"/>
              </w:rPr>
            </w:pPr>
            <w:r w:rsidRPr="001247EE">
              <w:rPr>
                <w:rFonts w:asciiTheme="majorHAnsi" w:hAnsiTheme="majorHAnsi" w:cstheme="majorHAnsi"/>
                <w:sz w:val="20"/>
                <w:szCs w:val="20"/>
              </w:rPr>
              <w:t xml:space="preserve">Policy Paper: Students are responsible for writing a final paper for this class on a health policy issue of their choosing. This paper is meant to be a policy memo. Memo should be address to someone you will identify and who can act on the issue. Students need to make their case for pressing on a specific strategy to tackle the issue. With this in mind you will have to evaluate the evidence and information out there on the issue and strategies to address it, what are it’s strengths and limitations, how it can be extrapolated to the actual issue at hand and why should the decision maker take it into consideration. </w:t>
            </w:r>
            <w:r w:rsidRPr="001247EE">
              <w:rPr>
                <w:rFonts w:asciiTheme="majorHAnsi" w:hAnsiTheme="majorHAnsi" w:cstheme="majorHAnsi"/>
                <w:i/>
                <w:sz w:val="20"/>
                <w:szCs w:val="20"/>
              </w:rPr>
              <w:t>Doctoral students</w:t>
            </w:r>
            <w:r w:rsidRPr="001247EE">
              <w:rPr>
                <w:rFonts w:asciiTheme="majorHAnsi" w:hAnsiTheme="majorHAnsi" w:cstheme="majorHAnsi"/>
                <w:sz w:val="20"/>
                <w:szCs w:val="20"/>
              </w:rPr>
              <w:t xml:space="preserve"> will have to add to this memo a section requesting action to the individual/s the memo is addressed to. This section should reflect your understanding of the policy process and explain how and why the individual/s should act in this manner. </w:t>
            </w:r>
          </w:p>
          <w:p w:rsidR="00B8166D" w:rsidRPr="001247EE" w:rsidRDefault="00B8166D" w:rsidP="006C308E">
            <w:pPr>
              <w:rPr>
                <w:rFonts w:asciiTheme="majorHAnsi" w:hAnsiTheme="majorHAnsi" w:cstheme="majorHAnsi"/>
                <w:sz w:val="20"/>
                <w:szCs w:val="20"/>
              </w:rPr>
            </w:pPr>
          </w:p>
          <w:p w:rsidR="00B8166D" w:rsidRPr="001247EE" w:rsidRDefault="00B8166D" w:rsidP="006C308E">
            <w:pPr>
              <w:rPr>
                <w:rFonts w:asciiTheme="majorHAnsi" w:eastAsia="Times New Roman" w:hAnsiTheme="majorHAnsi" w:cstheme="majorHAnsi"/>
                <w:bCs/>
                <w:color w:val="000000"/>
                <w:sz w:val="20"/>
                <w:szCs w:val="20"/>
              </w:rPr>
            </w:pPr>
            <w:r w:rsidRPr="001247EE">
              <w:rPr>
                <w:rFonts w:asciiTheme="majorHAnsi" w:hAnsiTheme="majorHAnsi" w:cstheme="majorHAnsi"/>
                <w:sz w:val="20"/>
                <w:szCs w:val="20"/>
              </w:rPr>
              <w:t xml:space="preserve">Advocacy Strategy: Your final presentation will be on the same topic as your policy paper, however, students will submit their advocacy strategy for achieving their policy goals. Students have to design their strategy keeping in mind the policy making process and identify key individuals and/or organizations, entities to which the strategy should be addressed. Likewise, students will need to identify what information is valid, applicable to the issue at hand and more likely to be the best advocacy message. </w:t>
            </w:r>
            <w:r w:rsidRPr="001247EE">
              <w:rPr>
                <w:rFonts w:asciiTheme="majorHAnsi" w:hAnsiTheme="majorHAnsi" w:cstheme="majorHAnsi"/>
                <w:i/>
                <w:sz w:val="20"/>
                <w:szCs w:val="20"/>
              </w:rPr>
              <w:t xml:space="preserve">Doctoral </w:t>
            </w:r>
            <w:r w:rsidR="00A63A85" w:rsidRPr="0012136D">
              <w:rPr>
                <w:rFonts w:asciiTheme="majorHAnsi" w:hAnsiTheme="majorHAnsi" w:cstheme="majorHAnsi"/>
                <w:sz w:val="20"/>
                <w:szCs w:val="20"/>
              </w:rPr>
              <w:t>student’s</w:t>
            </w:r>
            <w:r w:rsidRPr="0012136D">
              <w:rPr>
                <w:rFonts w:asciiTheme="majorHAnsi" w:hAnsiTheme="majorHAnsi" w:cstheme="majorHAnsi"/>
                <w:sz w:val="20"/>
                <w:szCs w:val="20"/>
              </w:rPr>
              <w:t xml:space="preserve"> </w:t>
            </w:r>
            <w:r w:rsidRPr="001247EE">
              <w:rPr>
                <w:rFonts w:asciiTheme="majorHAnsi" w:hAnsiTheme="majorHAnsi" w:cstheme="majorHAnsi"/>
                <w:sz w:val="20"/>
                <w:szCs w:val="20"/>
              </w:rPr>
              <w:t>strategy should incorporate concepts from “Writing Public Policy” by Smith. In particular consider chapter 7 “Petition, proposal, letter: request action”. References should be clear and reflect how you would get government to act on your concern.</w:t>
            </w:r>
            <w:r w:rsidRPr="001247EE">
              <w:rPr>
                <w:rFonts w:asciiTheme="majorHAnsi" w:hAnsiTheme="majorHAnsi" w:cstheme="majorHAnsi"/>
                <w:b/>
                <w:sz w:val="20"/>
                <w:szCs w:val="20"/>
              </w:rPr>
              <w:t xml:space="preserve"> </w:t>
            </w:r>
          </w:p>
        </w:tc>
      </w:tr>
      <w:tr w:rsidR="00B8166D" w:rsidRPr="001247EE" w:rsidTr="006E28EE">
        <w:trPr>
          <w:cantSplit/>
          <w:trHeight w:val="315"/>
        </w:trPr>
        <w:tc>
          <w:tcPr>
            <w:tcW w:w="1354" w:type="pct"/>
            <w:shd w:val="clear" w:color="auto" w:fill="auto"/>
          </w:tcPr>
          <w:p w:rsidR="00B8166D" w:rsidRPr="001247EE" w:rsidRDefault="00B8166D" w:rsidP="006C308E">
            <w:pPr>
              <w:rPr>
                <w:rFonts w:asciiTheme="majorHAnsi" w:eastAsia="Times New Roman" w:hAnsiTheme="majorHAnsi" w:cstheme="majorHAnsi"/>
                <w:bCs/>
                <w:color w:val="000000"/>
                <w:sz w:val="20"/>
                <w:szCs w:val="20"/>
              </w:rPr>
            </w:pPr>
            <w:r w:rsidRPr="001247EE">
              <w:rPr>
                <w:rFonts w:asciiTheme="majorHAnsi" w:hAnsiTheme="majorHAnsi" w:cstheme="majorHAnsi"/>
                <w:bCs/>
                <w:color w:val="000000"/>
                <w:sz w:val="20"/>
                <w:szCs w:val="20"/>
              </w:rPr>
              <w:t>PHD-M2: Assess healthcare organizational quality and safety performance through research-based framework for measuring population and organizational outcomes.</w:t>
            </w:r>
          </w:p>
        </w:tc>
        <w:tc>
          <w:tcPr>
            <w:tcW w:w="1407" w:type="pct"/>
            <w:shd w:val="clear" w:color="auto" w:fill="auto"/>
          </w:tcPr>
          <w:p w:rsidR="00B8166D" w:rsidRPr="001247EE" w:rsidRDefault="00B8166D" w:rsidP="00F568FA">
            <w:pPr>
              <w:rPr>
                <w:rFonts w:asciiTheme="majorHAnsi" w:eastAsia="Times New Roman" w:hAnsiTheme="majorHAnsi" w:cstheme="majorHAnsi"/>
                <w:bCs/>
                <w:color w:val="000000"/>
                <w:sz w:val="20"/>
                <w:szCs w:val="20"/>
              </w:rPr>
            </w:pPr>
            <w:r w:rsidRPr="0012136D">
              <w:rPr>
                <w:rFonts w:asciiTheme="majorHAnsi" w:hAnsiTheme="majorHAnsi" w:cstheme="majorHAnsi"/>
                <w:b/>
                <w:sz w:val="20"/>
                <w:szCs w:val="20"/>
              </w:rPr>
              <w:t>PHD 3846</w:t>
            </w:r>
            <w:r w:rsidRPr="001247EE">
              <w:rPr>
                <w:rFonts w:asciiTheme="majorHAnsi" w:hAnsiTheme="majorHAnsi" w:cstheme="majorHAnsi"/>
                <w:sz w:val="20"/>
                <w:szCs w:val="20"/>
              </w:rPr>
              <w:t xml:space="preserve"> Quality Management and Improvement in Healthcare</w:t>
            </w:r>
          </w:p>
        </w:tc>
        <w:tc>
          <w:tcPr>
            <w:tcW w:w="2239" w:type="pct"/>
            <w:shd w:val="clear" w:color="auto" w:fill="auto"/>
          </w:tcPr>
          <w:p w:rsidR="00B8166D" w:rsidRPr="001247EE" w:rsidRDefault="00B8166D" w:rsidP="006C308E">
            <w:pPr>
              <w:rPr>
                <w:rFonts w:asciiTheme="majorHAnsi" w:eastAsia="Times New Roman" w:hAnsiTheme="majorHAnsi" w:cstheme="majorHAnsi"/>
                <w:bCs/>
                <w:color w:val="000000"/>
                <w:sz w:val="20"/>
                <w:szCs w:val="20"/>
              </w:rPr>
            </w:pPr>
            <w:r w:rsidRPr="001247EE">
              <w:rPr>
                <w:rFonts w:asciiTheme="majorHAnsi" w:hAnsiTheme="majorHAnsi" w:cstheme="majorHAnsi"/>
                <w:sz w:val="20"/>
                <w:szCs w:val="20"/>
              </w:rPr>
              <w:t>Research Paper and Presentation</w:t>
            </w:r>
            <w:r w:rsidR="00FA7AD5" w:rsidRPr="001247EE">
              <w:rPr>
                <w:rFonts w:asciiTheme="majorHAnsi" w:hAnsiTheme="majorHAnsi" w:cstheme="majorHAnsi"/>
                <w:sz w:val="20"/>
                <w:szCs w:val="20"/>
              </w:rPr>
              <w:t xml:space="preserve"> (and Rubric)</w:t>
            </w:r>
            <w:r w:rsidRPr="001247EE">
              <w:rPr>
                <w:rFonts w:asciiTheme="majorHAnsi" w:hAnsiTheme="majorHAnsi" w:cstheme="majorHAnsi"/>
                <w:sz w:val="20"/>
                <w:szCs w:val="20"/>
              </w:rPr>
              <w:t>:</w:t>
            </w:r>
            <w:r w:rsidRPr="001247EE">
              <w:rPr>
                <w:rFonts w:asciiTheme="majorHAnsi" w:hAnsiTheme="majorHAnsi" w:cstheme="majorHAnsi"/>
                <w:color w:val="000000"/>
                <w:sz w:val="20"/>
                <w:szCs w:val="20"/>
              </w:rPr>
              <w:t xml:space="preserve"> An independent research topic to be completed throughout each of the course modules. Sections of the research paper will be submitted at the end of every module and feedback will be provided. You will be expected to have a clear research question, apply a theoretical framework, obtain and analyze data using basic statistics and present your findings. You will present you research in addition to submitting your paper.</w:t>
            </w:r>
          </w:p>
        </w:tc>
      </w:tr>
      <w:tr w:rsidR="00B8166D" w:rsidRPr="001247EE" w:rsidTr="006E28EE">
        <w:trPr>
          <w:cantSplit/>
          <w:trHeight w:val="315"/>
        </w:trPr>
        <w:tc>
          <w:tcPr>
            <w:tcW w:w="1354" w:type="pct"/>
            <w:shd w:val="clear" w:color="auto" w:fill="auto"/>
          </w:tcPr>
          <w:p w:rsidR="00B8166D" w:rsidRPr="001247EE" w:rsidRDefault="00B8166D" w:rsidP="006C308E">
            <w:pPr>
              <w:rPr>
                <w:rFonts w:asciiTheme="majorHAnsi" w:eastAsia="Times New Roman" w:hAnsiTheme="majorHAnsi" w:cstheme="majorHAnsi"/>
                <w:bCs/>
                <w:color w:val="000000"/>
                <w:sz w:val="20"/>
                <w:szCs w:val="20"/>
              </w:rPr>
            </w:pPr>
            <w:r w:rsidRPr="001247EE">
              <w:rPr>
                <w:rFonts w:asciiTheme="majorHAnsi" w:hAnsiTheme="majorHAnsi" w:cstheme="majorHAnsi"/>
                <w:bCs/>
                <w:color w:val="000000"/>
                <w:sz w:val="20"/>
                <w:szCs w:val="20"/>
              </w:rPr>
              <w:t xml:space="preserve">PHD-M3: Evaluate policy research proposals, briefs, publications and elucidate impact on the health delivery system.  </w:t>
            </w:r>
          </w:p>
        </w:tc>
        <w:tc>
          <w:tcPr>
            <w:tcW w:w="1407" w:type="pct"/>
            <w:shd w:val="clear" w:color="auto" w:fill="auto"/>
          </w:tcPr>
          <w:p w:rsidR="00B8166D" w:rsidRPr="001247EE" w:rsidRDefault="00B8166D" w:rsidP="00FE0FB9">
            <w:pPr>
              <w:rPr>
                <w:rFonts w:asciiTheme="majorHAnsi" w:eastAsia="Times New Roman" w:hAnsiTheme="majorHAnsi" w:cstheme="majorHAnsi"/>
                <w:bCs/>
                <w:color w:val="000000"/>
                <w:sz w:val="20"/>
                <w:szCs w:val="20"/>
              </w:rPr>
            </w:pPr>
            <w:r w:rsidRPr="0012136D">
              <w:rPr>
                <w:rFonts w:asciiTheme="majorHAnsi" w:hAnsiTheme="majorHAnsi" w:cstheme="majorHAnsi"/>
                <w:b/>
                <w:sz w:val="20"/>
                <w:szCs w:val="20"/>
              </w:rPr>
              <w:t>PH 3815</w:t>
            </w:r>
            <w:r w:rsidRPr="001247EE">
              <w:rPr>
                <w:rFonts w:asciiTheme="majorHAnsi" w:hAnsiTheme="majorHAnsi" w:cstheme="majorHAnsi"/>
                <w:sz w:val="20"/>
                <w:szCs w:val="20"/>
              </w:rPr>
              <w:t xml:space="preserve"> Health Policy Analysis</w:t>
            </w:r>
          </w:p>
        </w:tc>
        <w:tc>
          <w:tcPr>
            <w:tcW w:w="2239" w:type="pct"/>
            <w:shd w:val="clear" w:color="auto" w:fill="auto"/>
          </w:tcPr>
          <w:p w:rsidR="00B8166D" w:rsidRPr="001247EE" w:rsidRDefault="00DB6B9A" w:rsidP="00DB6B9A">
            <w:pPr>
              <w:rPr>
                <w:rFonts w:asciiTheme="majorHAnsi" w:eastAsia="Times New Roman" w:hAnsiTheme="majorHAnsi" w:cstheme="majorHAnsi"/>
                <w:bCs/>
                <w:color w:val="000000"/>
                <w:sz w:val="20"/>
                <w:szCs w:val="20"/>
              </w:rPr>
            </w:pPr>
            <w:r w:rsidRPr="001247EE">
              <w:rPr>
                <w:rFonts w:asciiTheme="majorHAnsi" w:hAnsiTheme="majorHAnsi" w:cstheme="majorHAnsi"/>
                <w:sz w:val="20"/>
                <w:szCs w:val="20"/>
              </w:rPr>
              <w:t>Policy Analysis Paper</w:t>
            </w:r>
            <w:r w:rsidRPr="001247EE">
              <w:rPr>
                <w:rFonts w:asciiTheme="majorHAnsi" w:eastAsia="Times New Roman" w:hAnsiTheme="majorHAnsi" w:cstheme="majorHAnsi"/>
                <w:bCs/>
                <w:color w:val="000000"/>
                <w:sz w:val="20"/>
                <w:szCs w:val="20"/>
              </w:rPr>
              <w:t xml:space="preserve">: </w:t>
            </w:r>
            <w:r w:rsidR="00B8166D" w:rsidRPr="001247EE">
              <w:rPr>
                <w:rFonts w:asciiTheme="majorHAnsi" w:eastAsia="Times New Roman" w:hAnsiTheme="majorHAnsi" w:cstheme="majorHAnsi"/>
                <w:bCs/>
                <w:color w:val="000000"/>
                <w:sz w:val="20"/>
                <w:szCs w:val="20"/>
              </w:rPr>
              <w:t>Following a recognized policy-analysis format, students will identify a current health policy issue at the local, state, or federal level, will gather descriptive background information to illustrate scope of problem, will identify prevailing policies, will identify outcomes by which to evaluate policy functioning and identify data sources for those outcomes, will identify relevant policy alternatives for consideration, will determine criteria for evaluating desirability of alternatives, will project outcomes of alternatives in terms of outcomes and will develop a written health policy analysis. Each student provides a class presentation based on their written analysis. Each student will review and critique the analyses of fellow students.</w:t>
            </w:r>
          </w:p>
        </w:tc>
      </w:tr>
      <w:tr w:rsidR="00B8166D" w:rsidRPr="001247EE" w:rsidTr="006E28EE">
        <w:trPr>
          <w:cantSplit/>
          <w:trHeight w:val="315"/>
        </w:trPr>
        <w:tc>
          <w:tcPr>
            <w:tcW w:w="1354" w:type="pct"/>
            <w:shd w:val="clear" w:color="auto" w:fill="auto"/>
          </w:tcPr>
          <w:p w:rsidR="00B8166D" w:rsidRPr="001247EE" w:rsidRDefault="00B8166D" w:rsidP="006C308E">
            <w:pPr>
              <w:rPr>
                <w:rFonts w:asciiTheme="majorHAnsi" w:eastAsia="Times New Roman" w:hAnsiTheme="majorHAnsi" w:cstheme="majorHAnsi"/>
                <w:bCs/>
                <w:color w:val="000000"/>
                <w:sz w:val="20"/>
                <w:szCs w:val="20"/>
              </w:rPr>
            </w:pPr>
            <w:r w:rsidRPr="001247EE">
              <w:rPr>
                <w:rFonts w:asciiTheme="majorHAnsi" w:hAnsiTheme="majorHAnsi" w:cstheme="majorHAnsi"/>
                <w:color w:val="000000"/>
                <w:sz w:val="20"/>
                <w:szCs w:val="20"/>
              </w:rPr>
              <w:t>PHD-M4: Identify and apply relevant managerial theories for improving the health of a population</w:t>
            </w:r>
          </w:p>
        </w:tc>
        <w:tc>
          <w:tcPr>
            <w:tcW w:w="1407" w:type="pct"/>
            <w:shd w:val="clear" w:color="auto" w:fill="auto"/>
          </w:tcPr>
          <w:p w:rsidR="00B8166D" w:rsidRPr="001247EE" w:rsidRDefault="00B8166D" w:rsidP="00C93DA5">
            <w:pPr>
              <w:rPr>
                <w:rFonts w:asciiTheme="majorHAnsi" w:eastAsia="Times New Roman" w:hAnsiTheme="majorHAnsi" w:cstheme="majorHAnsi"/>
                <w:bCs/>
                <w:color w:val="000000"/>
                <w:sz w:val="20"/>
                <w:szCs w:val="20"/>
              </w:rPr>
            </w:pPr>
            <w:r w:rsidRPr="0012136D">
              <w:rPr>
                <w:rFonts w:asciiTheme="majorHAnsi" w:hAnsiTheme="majorHAnsi" w:cstheme="majorHAnsi"/>
                <w:b/>
                <w:sz w:val="20"/>
                <w:szCs w:val="20"/>
              </w:rPr>
              <w:t>PHD 3743</w:t>
            </w:r>
            <w:r w:rsidRPr="001247EE">
              <w:rPr>
                <w:rFonts w:asciiTheme="majorHAnsi" w:hAnsiTheme="majorHAnsi" w:cstheme="majorHAnsi"/>
                <w:sz w:val="20"/>
                <w:szCs w:val="20"/>
              </w:rPr>
              <w:t xml:space="preserve"> Organizational and Management Theory</w:t>
            </w:r>
          </w:p>
        </w:tc>
        <w:tc>
          <w:tcPr>
            <w:tcW w:w="2239" w:type="pct"/>
            <w:shd w:val="clear" w:color="auto" w:fill="auto"/>
          </w:tcPr>
          <w:p w:rsidR="00B8166D" w:rsidRPr="001247EE" w:rsidRDefault="00B8166D" w:rsidP="006C308E">
            <w:pPr>
              <w:rPr>
                <w:rFonts w:asciiTheme="majorHAnsi" w:hAnsiTheme="majorHAnsi" w:cstheme="majorHAnsi"/>
                <w:color w:val="000000"/>
                <w:sz w:val="20"/>
                <w:szCs w:val="20"/>
              </w:rPr>
            </w:pPr>
            <w:r w:rsidRPr="001247EE">
              <w:rPr>
                <w:rFonts w:asciiTheme="majorHAnsi" w:hAnsiTheme="majorHAnsi" w:cstheme="majorHAnsi"/>
                <w:sz w:val="20"/>
                <w:szCs w:val="20"/>
              </w:rPr>
              <w:t xml:space="preserve">Final </w:t>
            </w:r>
            <w:r w:rsidR="00F3729F" w:rsidRPr="001247EE">
              <w:rPr>
                <w:rFonts w:asciiTheme="majorHAnsi" w:hAnsiTheme="majorHAnsi" w:cstheme="majorHAnsi"/>
                <w:sz w:val="20"/>
                <w:szCs w:val="20"/>
              </w:rPr>
              <w:t>P</w:t>
            </w:r>
            <w:r w:rsidRPr="001247EE">
              <w:rPr>
                <w:rFonts w:asciiTheme="majorHAnsi" w:hAnsiTheme="majorHAnsi" w:cstheme="majorHAnsi"/>
                <w:sz w:val="20"/>
                <w:szCs w:val="20"/>
              </w:rPr>
              <w:t>aper</w:t>
            </w:r>
            <w:r w:rsidRPr="001247EE">
              <w:rPr>
                <w:rFonts w:asciiTheme="majorHAnsi" w:hAnsiTheme="majorHAnsi" w:cstheme="majorHAnsi"/>
                <w:color w:val="000000"/>
                <w:sz w:val="20"/>
                <w:szCs w:val="20"/>
              </w:rPr>
              <w:t xml:space="preserve">: The final paper will reflect progress on the competency of identifying and applying relevant managerial theories for improving the health of a population.  Each participant will select one theory/framework to summarize for the class.  The 3-5 page double-spaced paper and accompanying in-class presentation should address: </w:t>
            </w:r>
          </w:p>
          <w:p w:rsidR="00B8166D" w:rsidRPr="001247EE" w:rsidRDefault="00B8166D" w:rsidP="006C308E">
            <w:pPr>
              <w:rPr>
                <w:rFonts w:asciiTheme="majorHAnsi" w:hAnsiTheme="majorHAnsi" w:cstheme="majorHAnsi"/>
                <w:color w:val="000000"/>
                <w:sz w:val="20"/>
                <w:szCs w:val="20"/>
              </w:rPr>
            </w:pPr>
            <w:r w:rsidRPr="001247EE">
              <w:rPr>
                <w:rFonts w:asciiTheme="majorHAnsi" w:hAnsiTheme="majorHAnsi" w:cstheme="majorHAnsi"/>
                <w:color w:val="000000"/>
                <w:sz w:val="20"/>
                <w:szCs w:val="20"/>
              </w:rPr>
              <w:t>• What the theory/framework assumes (what do you need to believe to find it credible?)</w:t>
            </w:r>
          </w:p>
          <w:p w:rsidR="00B8166D" w:rsidRPr="001247EE" w:rsidRDefault="00B8166D" w:rsidP="006C308E">
            <w:pPr>
              <w:rPr>
                <w:rFonts w:asciiTheme="majorHAnsi" w:hAnsiTheme="majorHAnsi" w:cstheme="majorHAnsi"/>
                <w:color w:val="000000"/>
                <w:sz w:val="20"/>
                <w:szCs w:val="20"/>
              </w:rPr>
            </w:pPr>
            <w:r w:rsidRPr="001247EE">
              <w:rPr>
                <w:rFonts w:asciiTheme="majorHAnsi" w:hAnsiTheme="majorHAnsi" w:cstheme="majorHAnsi"/>
                <w:color w:val="000000"/>
                <w:sz w:val="20"/>
                <w:szCs w:val="20"/>
              </w:rPr>
              <w:t>• To what situations the theory/framework is most applicable</w:t>
            </w:r>
          </w:p>
          <w:p w:rsidR="00B8166D" w:rsidRPr="001247EE" w:rsidRDefault="00B8166D" w:rsidP="006C308E">
            <w:pPr>
              <w:rPr>
                <w:rFonts w:asciiTheme="majorHAnsi" w:hAnsiTheme="majorHAnsi" w:cstheme="majorHAnsi"/>
                <w:color w:val="000000"/>
                <w:sz w:val="20"/>
                <w:szCs w:val="20"/>
              </w:rPr>
            </w:pPr>
            <w:r w:rsidRPr="001247EE">
              <w:rPr>
                <w:rFonts w:asciiTheme="majorHAnsi" w:hAnsiTheme="majorHAnsi" w:cstheme="majorHAnsi"/>
                <w:color w:val="000000"/>
                <w:sz w:val="20"/>
                <w:szCs w:val="20"/>
              </w:rPr>
              <w:t>• What the theory or framework asserts (what’s disprovable)</w:t>
            </w:r>
          </w:p>
          <w:p w:rsidR="00B8166D" w:rsidRPr="001247EE" w:rsidRDefault="00B8166D" w:rsidP="006C308E">
            <w:pPr>
              <w:rPr>
                <w:rFonts w:asciiTheme="majorHAnsi" w:hAnsiTheme="majorHAnsi" w:cstheme="majorHAnsi"/>
                <w:color w:val="000000"/>
                <w:sz w:val="20"/>
                <w:szCs w:val="20"/>
              </w:rPr>
            </w:pPr>
            <w:r w:rsidRPr="001247EE">
              <w:rPr>
                <w:rFonts w:asciiTheme="majorHAnsi" w:hAnsiTheme="majorHAnsi" w:cstheme="majorHAnsi"/>
                <w:color w:val="000000"/>
                <w:sz w:val="20"/>
                <w:szCs w:val="20"/>
              </w:rPr>
              <w:t xml:space="preserve">• A 1-2 paragraph summary of the 3 – 6 empirical studies applying theory/framework most relevant to </w:t>
            </w:r>
            <w:r w:rsidR="00D06EEE" w:rsidRPr="001247EE">
              <w:rPr>
                <w:rFonts w:asciiTheme="majorHAnsi" w:hAnsiTheme="majorHAnsi" w:cstheme="majorHAnsi"/>
                <w:color w:val="000000"/>
                <w:sz w:val="20"/>
                <w:szCs w:val="20"/>
              </w:rPr>
              <w:t>healthcare</w:t>
            </w:r>
          </w:p>
          <w:p w:rsidR="00B8166D" w:rsidRPr="001247EE" w:rsidRDefault="00B8166D" w:rsidP="006C308E">
            <w:pPr>
              <w:rPr>
                <w:rFonts w:asciiTheme="majorHAnsi" w:hAnsiTheme="majorHAnsi" w:cstheme="majorHAnsi"/>
                <w:color w:val="000000"/>
                <w:sz w:val="20"/>
                <w:szCs w:val="20"/>
              </w:rPr>
            </w:pPr>
            <w:r w:rsidRPr="001247EE">
              <w:rPr>
                <w:rFonts w:asciiTheme="majorHAnsi" w:hAnsiTheme="majorHAnsi" w:cstheme="majorHAnsi"/>
                <w:color w:val="000000"/>
                <w:sz w:val="20"/>
                <w:szCs w:val="20"/>
              </w:rPr>
              <w:t>• Specific implications of this theory/framework for managers or policy makers</w:t>
            </w:r>
            <w:r w:rsidR="0024776B" w:rsidRPr="001247EE">
              <w:rPr>
                <w:rFonts w:asciiTheme="majorHAnsi" w:hAnsiTheme="majorHAnsi" w:cstheme="majorHAnsi"/>
                <w:color w:val="000000"/>
                <w:sz w:val="20"/>
                <w:szCs w:val="20"/>
              </w:rPr>
              <w:t xml:space="preserve"> for improving the health of a population</w:t>
            </w:r>
          </w:p>
          <w:p w:rsidR="00B8166D" w:rsidRPr="001247EE" w:rsidRDefault="00B8166D" w:rsidP="00501B52">
            <w:pPr>
              <w:rPr>
                <w:rFonts w:asciiTheme="majorHAnsi" w:eastAsia="Times New Roman" w:hAnsiTheme="majorHAnsi" w:cstheme="majorHAnsi"/>
                <w:bCs/>
                <w:color w:val="000000"/>
                <w:sz w:val="20"/>
                <w:szCs w:val="20"/>
              </w:rPr>
            </w:pPr>
            <w:r w:rsidRPr="001247EE">
              <w:rPr>
                <w:rFonts w:asciiTheme="majorHAnsi" w:hAnsiTheme="majorHAnsi" w:cstheme="majorHAnsi"/>
                <w:color w:val="000000"/>
                <w:sz w:val="20"/>
                <w:szCs w:val="20"/>
              </w:rPr>
              <w:t xml:space="preserve">• </w:t>
            </w:r>
            <w:r w:rsidR="00501B52" w:rsidRPr="001247EE">
              <w:rPr>
                <w:rFonts w:asciiTheme="majorHAnsi" w:hAnsiTheme="majorHAnsi" w:cstheme="majorHAnsi"/>
                <w:color w:val="000000"/>
                <w:sz w:val="20"/>
                <w:szCs w:val="20"/>
              </w:rPr>
              <w:t>Potential benefits and intended or</w:t>
            </w:r>
            <w:r w:rsidRPr="001247EE">
              <w:rPr>
                <w:rFonts w:asciiTheme="majorHAnsi" w:hAnsiTheme="majorHAnsi" w:cstheme="majorHAnsi"/>
                <w:color w:val="000000"/>
                <w:sz w:val="20"/>
                <w:szCs w:val="20"/>
              </w:rPr>
              <w:t xml:space="preserve"> unintended consequences of those implications</w:t>
            </w:r>
            <w:r w:rsidR="00501B52" w:rsidRPr="001247EE">
              <w:rPr>
                <w:rFonts w:asciiTheme="majorHAnsi" w:hAnsiTheme="majorHAnsi" w:cstheme="majorHAnsi"/>
                <w:color w:val="000000"/>
                <w:sz w:val="20"/>
                <w:szCs w:val="20"/>
              </w:rPr>
              <w:t xml:space="preserve"> for organizations or population health</w:t>
            </w:r>
          </w:p>
        </w:tc>
      </w:tr>
      <w:tr w:rsidR="00B8166D" w:rsidRPr="001247EE" w:rsidTr="006E28EE">
        <w:trPr>
          <w:cantSplit/>
          <w:trHeight w:val="827"/>
        </w:trPr>
        <w:tc>
          <w:tcPr>
            <w:tcW w:w="1354" w:type="pct"/>
            <w:shd w:val="clear" w:color="auto" w:fill="auto"/>
          </w:tcPr>
          <w:p w:rsidR="00B8166D" w:rsidRPr="001247EE" w:rsidRDefault="00B8166D" w:rsidP="006C308E">
            <w:pPr>
              <w:rPr>
                <w:rFonts w:asciiTheme="majorHAnsi" w:eastAsia="Times New Roman" w:hAnsiTheme="majorHAnsi" w:cstheme="majorHAnsi"/>
                <w:bCs/>
                <w:color w:val="000000"/>
                <w:sz w:val="20"/>
                <w:szCs w:val="20"/>
              </w:rPr>
            </w:pPr>
            <w:r w:rsidRPr="001247EE">
              <w:rPr>
                <w:rFonts w:asciiTheme="majorHAnsi" w:hAnsiTheme="majorHAnsi" w:cstheme="majorHAnsi"/>
                <w:bCs/>
                <w:color w:val="000000"/>
                <w:sz w:val="20"/>
                <w:szCs w:val="20"/>
              </w:rPr>
              <w:t>PHD-M5: Analyze the importance of financial transactions within the healthcare delivery system and the resulting impact on organizations.</w:t>
            </w:r>
          </w:p>
        </w:tc>
        <w:tc>
          <w:tcPr>
            <w:tcW w:w="1407" w:type="pct"/>
            <w:shd w:val="clear" w:color="auto" w:fill="auto"/>
          </w:tcPr>
          <w:p w:rsidR="00B8166D" w:rsidRPr="001247EE" w:rsidRDefault="00B8166D" w:rsidP="00F37F1E">
            <w:pPr>
              <w:rPr>
                <w:rFonts w:asciiTheme="majorHAnsi" w:hAnsiTheme="majorHAnsi" w:cstheme="majorHAnsi"/>
                <w:color w:val="000000"/>
                <w:sz w:val="20"/>
                <w:szCs w:val="20"/>
              </w:rPr>
            </w:pPr>
            <w:r w:rsidRPr="0012136D">
              <w:rPr>
                <w:rFonts w:asciiTheme="majorHAnsi" w:hAnsiTheme="majorHAnsi" w:cstheme="majorHAnsi"/>
                <w:b/>
                <w:sz w:val="20"/>
                <w:szCs w:val="20"/>
              </w:rPr>
              <w:t>PHD 3721</w:t>
            </w:r>
            <w:r w:rsidRPr="001247EE">
              <w:rPr>
                <w:rFonts w:asciiTheme="majorHAnsi" w:hAnsiTheme="majorHAnsi" w:cstheme="majorHAnsi"/>
                <w:sz w:val="20"/>
                <w:szCs w:val="20"/>
              </w:rPr>
              <w:t xml:space="preserve"> Healthcare Finance</w:t>
            </w:r>
          </w:p>
        </w:tc>
        <w:tc>
          <w:tcPr>
            <w:tcW w:w="2239" w:type="pct"/>
            <w:shd w:val="clear" w:color="auto" w:fill="auto"/>
          </w:tcPr>
          <w:p w:rsidR="00B8166D" w:rsidRPr="001247EE" w:rsidRDefault="006B3966" w:rsidP="006C308E">
            <w:pPr>
              <w:rPr>
                <w:rFonts w:asciiTheme="majorHAnsi" w:eastAsia="Times New Roman" w:hAnsiTheme="majorHAnsi" w:cstheme="majorHAnsi"/>
                <w:bCs/>
                <w:color w:val="000000"/>
                <w:sz w:val="20"/>
                <w:szCs w:val="20"/>
              </w:rPr>
            </w:pPr>
            <w:r w:rsidRPr="0012136D">
              <w:rPr>
                <w:rFonts w:asciiTheme="majorHAnsi" w:hAnsiTheme="majorHAnsi" w:cstheme="majorHAnsi"/>
                <w:sz w:val="20"/>
                <w:szCs w:val="20"/>
              </w:rPr>
              <w:t>Midterm Exam</w:t>
            </w:r>
            <w:r w:rsidRPr="0012136D">
              <w:rPr>
                <w:rFonts w:asciiTheme="majorHAnsi" w:hAnsiTheme="majorHAnsi" w:cstheme="majorHAnsi"/>
                <w:color w:val="000000" w:themeColor="text1"/>
                <w:sz w:val="20"/>
                <w:szCs w:val="20"/>
              </w:rPr>
              <w:t xml:space="preserve"> </w:t>
            </w:r>
            <w:r w:rsidR="004F7954" w:rsidRPr="0012136D">
              <w:rPr>
                <w:rFonts w:asciiTheme="majorHAnsi" w:hAnsiTheme="majorHAnsi" w:cstheme="majorHAnsi"/>
                <w:color w:val="000000" w:themeColor="text1"/>
                <w:sz w:val="20"/>
                <w:szCs w:val="20"/>
              </w:rPr>
              <w:t>(</w:t>
            </w:r>
            <w:r w:rsidR="004F7954" w:rsidRPr="0012136D">
              <w:rPr>
                <w:rFonts w:asciiTheme="majorHAnsi" w:hAnsiTheme="majorHAnsi" w:cstheme="majorHAnsi"/>
                <w:sz w:val="20"/>
                <w:szCs w:val="20"/>
              </w:rPr>
              <w:t>Data File</w:t>
            </w:r>
            <w:r w:rsidR="004F7954" w:rsidRPr="0012136D">
              <w:rPr>
                <w:rFonts w:asciiTheme="majorHAnsi" w:hAnsiTheme="majorHAnsi" w:cstheme="majorHAnsi"/>
                <w:color w:val="000000" w:themeColor="text1"/>
                <w:sz w:val="20"/>
                <w:szCs w:val="20"/>
              </w:rPr>
              <w:t xml:space="preserve">) </w:t>
            </w:r>
            <w:r w:rsidRPr="0012136D">
              <w:rPr>
                <w:rFonts w:asciiTheme="majorHAnsi" w:hAnsiTheme="majorHAnsi" w:cstheme="majorHAnsi"/>
                <w:color w:val="000000" w:themeColor="text1"/>
                <w:sz w:val="20"/>
                <w:szCs w:val="20"/>
              </w:rPr>
              <w:t xml:space="preserve">and </w:t>
            </w:r>
            <w:r w:rsidRPr="0012136D">
              <w:rPr>
                <w:rFonts w:asciiTheme="majorHAnsi" w:hAnsiTheme="majorHAnsi" w:cstheme="majorHAnsi"/>
                <w:sz w:val="20"/>
                <w:szCs w:val="20"/>
              </w:rPr>
              <w:t>Final Exam</w:t>
            </w:r>
            <w:r w:rsidRPr="0012136D">
              <w:rPr>
                <w:rFonts w:asciiTheme="majorHAnsi" w:hAnsiTheme="majorHAnsi" w:cstheme="majorHAnsi"/>
                <w:color w:val="000000" w:themeColor="text1"/>
                <w:sz w:val="20"/>
                <w:szCs w:val="20"/>
              </w:rPr>
              <w:t xml:space="preserve">: Students </w:t>
            </w:r>
            <w:r w:rsidR="00B8166D" w:rsidRPr="0012136D">
              <w:rPr>
                <w:rFonts w:asciiTheme="majorHAnsi" w:hAnsiTheme="majorHAnsi" w:cstheme="majorHAnsi"/>
                <w:color w:val="000000" w:themeColor="text1"/>
                <w:sz w:val="20"/>
                <w:szCs w:val="20"/>
              </w:rPr>
              <w:t>prepare a written review of the financial condition of a healthcare organi</w:t>
            </w:r>
            <w:r w:rsidRPr="0012136D">
              <w:rPr>
                <w:rFonts w:asciiTheme="majorHAnsi" w:hAnsiTheme="majorHAnsi" w:cstheme="majorHAnsi"/>
                <w:color w:val="000000" w:themeColor="text1"/>
                <w:sz w:val="20"/>
                <w:szCs w:val="20"/>
              </w:rPr>
              <w:t>zation</w:t>
            </w:r>
            <w:r w:rsidRPr="001247EE">
              <w:rPr>
                <w:rFonts w:asciiTheme="majorHAnsi" w:hAnsiTheme="majorHAnsi" w:cstheme="majorHAnsi"/>
                <w:color w:val="000000" w:themeColor="text1"/>
                <w:sz w:val="20"/>
                <w:szCs w:val="20"/>
              </w:rPr>
              <w:t xml:space="preserve"> of their choosing and</w:t>
            </w:r>
            <w:r w:rsidR="00B8166D" w:rsidRPr="001247EE">
              <w:rPr>
                <w:rFonts w:asciiTheme="majorHAnsi" w:hAnsiTheme="majorHAnsi" w:cstheme="majorHAnsi"/>
                <w:color w:val="000000" w:themeColor="text1"/>
                <w:sz w:val="20"/>
                <w:szCs w:val="20"/>
              </w:rPr>
              <w:t xml:space="preserve"> demonstrate competency in understanding financial transactions and their impact on healthcare organizations via questions on the mid-term and final exams.</w:t>
            </w:r>
          </w:p>
        </w:tc>
      </w:tr>
      <w:tr w:rsidR="00B8166D" w:rsidRPr="001247EE" w:rsidTr="006E28EE">
        <w:trPr>
          <w:cantSplit/>
          <w:trHeight w:val="315"/>
        </w:trPr>
        <w:tc>
          <w:tcPr>
            <w:tcW w:w="1354" w:type="pct"/>
            <w:shd w:val="clear" w:color="auto" w:fill="auto"/>
          </w:tcPr>
          <w:p w:rsidR="00B8166D" w:rsidRPr="001247EE" w:rsidRDefault="00B8166D" w:rsidP="006C308E">
            <w:pPr>
              <w:rPr>
                <w:rFonts w:asciiTheme="majorHAnsi" w:eastAsia="Times New Roman" w:hAnsiTheme="majorHAnsi" w:cstheme="majorHAnsi"/>
                <w:i/>
                <w:color w:val="FF0000"/>
                <w:sz w:val="20"/>
                <w:szCs w:val="20"/>
              </w:rPr>
            </w:pPr>
            <w:r w:rsidRPr="001247EE">
              <w:rPr>
                <w:rFonts w:asciiTheme="majorHAnsi" w:hAnsiTheme="majorHAnsi" w:cstheme="majorHAnsi"/>
                <w:bCs/>
                <w:color w:val="000000"/>
                <w:sz w:val="20"/>
                <w:szCs w:val="20"/>
              </w:rPr>
              <w:t>PHD-M6: Assess research questions, study designs, sources of evidence and research methodologies appropriate for management and policy research.</w:t>
            </w:r>
          </w:p>
        </w:tc>
        <w:tc>
          <w:tcPr>
            <w:tcW w:w="1407" w:type="pct"/>
            <w:shd w:val="clear" w:color="auto" w:fill="auto"/>
          </w:tcPr>
          <w:p w:rsidR="00B8166D" w:rsidRPr="001247EE" w:rsidRDefault="00B8166D" w:rsidP="00D47390">
            <w:pPr>
              <w:rPr>
                <w:rFonts w:asciiTheme="majorHAnsi" w:eastAsia="Times New Roman" w:hAnsiTheme="majorHAnsi" w:cstheme="majorHAnsi"/>
                <w:i/>
                <w:color w:val="FF0000"/>
                <w:sz w:val="20"/>
                <w:szCs w:val="20"/>
              </w:rPr>
            </w:pPr>
            <w:r w:rsidRPr="0012136D">
              <w:rPr>
                <w:rFonts w:asciiTheme="majorHAnsi" w:hAnsiTheme="majorHAnsi" w:cstheme="majorHAnsi"/>
                <w:b/>
                <w:sz w:val="20"/>
                <w:szCs w:val="20"/>
              </w:rPr>
              <w:t>PHD 3731</w:t>
            </w:r>
            <w:r w:rsidRPr="001247EE">
              <w:rPr>
                <w:rFonts w:asciiTheme="majorHAnsi" w:hAnsiTheme="majorHAnsi" w:cstheme="majorHAnsi"/>
                <w:sz w:val="20"/>
                <w:szCs w:val="20"/>
              </w:rPr>
              <w:t xml:space="preserve"> Healthcare Management and Policy Research</w:t>
            </w:r>
          </w:p>
        </w:tc>
        <w:tc>
          <w:tcPr>
            <w:tcW w:w="2239" w:type="pct"/>
            <w:shd w:val="clear" w:color="auto" w:fill="auto"/>
          </w:tcPr>
          <w:p w:rsidR="00B8166D" w:rsidRPr="001247EE" w:rsidRDefault="00B8166D" w:rsidP="006C308E">
            <w:pPr>
              <w:rPr>
                <w:rFonts w:asciiTheme="majorHAnsi" w:hAnsiTheme="majorHAnsi" w:cstheme="majorHAnsi"/>
                <w:bCs/>
                <w:sz w:val="20"/>
                <w:szCs w:val="20"/>
                <w:u w:val="single"/>
              </w:rPr>
            </w:pPr>
            <w:r w:rsidRPr="001247EE">
              <w:rPr>
                <w:rFonts w:asciiTheme="majorHAnsi" w:hAnsiTheme="majorHAnsi" w:cstheme="majorHAnsi"/>
                <w:sz w:val="20"/>
                <w:szCs w:val="20"/>
              </w:rPr>
              <w:t xml:space="preserve">Journal </w:t>
            </w:r>
            <w:r w:rsidR="00BA2609" w:rsidRPr="001247EE">
              <w:rPr>
                <w:rFonts w:asciiTheme="majorHAnsi" w:hAnsiTheme="majorHAnsi" w:cstheme="majorHAnsi"/>
                <w:sz w:val="20"/>
                <w:szCs w:val="20"/>
              </w:rPr>
              <w:t>A</w:t>
            </w:r>
            <w:r w:rsidRPr="001247EE">
              <w:rPr>
                <w:rFonts w:asciiTheme="majorHAnsi" w:hAnsiTheme="majorHAnsi" w:cstheme="majorHAnsi"/>
                <w:sz w:val="20"/>
                <w:szCs w:val="20"/>
              </w:rPr>
              <w:t xml:space="preserve">rticle </w:t>
            </w:r>
            <w:r w:rsidR="00BA2609" w:rsidRPr="001247EE">
              <w:rPr>
                <w:rFonts w:asciiTheme="majorHAnsi" w:hAnsiTheme="majorHAnsi" w:cstheme="majorHAnsi"/>
                <w:sz w:val="20"/>
                <w:szCs w:val="20"/>
              </w:rPr>
              <w:t>Critiques</w:t>
            </w:r>
            <w:r w:rsidR="00BA2609" w:rsidRPr="001247EE">
              <w:rPr>
                <w:rFonts w:asciiTheme="majorHAnsi" w:hAnsiTheme="majorHAnsi" w:cstheme="majorHAnsi"/>
                <w:bCs/>
                <w:color w:val="000000"/>
                <w:sz w:val="20"/>
                <w:szCs w:val="20"/>
              </w:rPr>
              <w:t>: Participants</w:t>
            </w:r>
            <w:r w:rsidRPr="001247EE">
              <w:rPr>
                <w:rFonts w:asciiTheme="majorHAnsi" w:hAnsiTheme="majorHAnsi" w:cstheme="majorHAnsi"/>
                <w:bCs/>
                <w:color w:val="000000"/>
                <w:sz w:val="20"/>
                <w:szCs w:val="20"/>
              </w:rPr>
              <w:t xml:space="preserve"> will provide quality written reviews. See instructions for Writing a Critique at the end of the syllabus; 4 Article critiques Each module will contain an individual article critique assignment. </w:t>
            </w:r>
          </w:p>
        </w:tc>
      </w:tr>
    </w:tbl>
    <w:p w:rsidR="00B8166D" w:rsidRPr="001247EE" w:rsidRDefault="00B8166D" w:rsidP="006C308E">
      <w:pPr>
        <w:pStyle w:val="BodyText"/>
        <w:tabs>
          <w:tab w:val="left" w:pos="720"/>
        </w:tabs>
        <w:ind w:left="720" w:right="119" w:firstLine="0"/>
        <w:jc w:val="both"/>
        <w:rPr>
          <w:rStyle w:val="Hyperlink"/>
          <w:rFonts w:asciiTheme="majorHAnsi" w:hAnsiTheme="majorHAnsi" w:cstheme="majorHAnsi"/>
        </w:rPr>
      </w:pPr>
    </w:p>
    <w:p w:rsidR="00B8166D" w:rsidRPr="001247EE" w:rsidRDefault="00B8166D" w:rsidP="006C308E">
      <w:pPr>
        <w:pStyle w:val="BodyText"/>
        <w:tabs>
          <w:tab w:val="left" w:pos="720"/>
        </w:tabs>
        <w:ind w:left="720" w:right="119" w:firstLine="0"/>
        <w:jc w:val="both"/>
        <w:rPr>
          <w:rFonts w:asciiTheme="majorHAnsi" w:hAnsiTheme="majorHAnsi" w:cstheme="majorHAnsi"/>
        </w:rPr>
      </w:pPr>
    </w:p>
    <w:p w:rsidR="0095486A" w:rsidRPr="001247EE" w:rsidRDefault="0095486A" w:rsidP="006C308E">
      <w:pPr>
        <w:tabs>
          <w:tab w:val="left" w:pos="1665"/>
        </w:tabs>
        <w:jc w:val="both"/>
        <w:rPr>
          <w:rFonts w:asciiTheme="majorHAnsi" w:hAnsiTheme="majorHAnsi" w:cstheme="majorHAnsi"/>
          <w:sz w:val="20"/>
          <w:szCs w:val="20"/>
        </w:rPr>
      </w:pPr>
    </w:p>
    <w:p w:rsidR="00B36322" w:rsidRPr="001247EE" w:rsidRDefault="00B36322" w:rsidP="006C308E">
      <w:pPr>
        <w:pStyle w:val="BodyText"/>
        <w:tabs>
          <w:tab w:val="left" w:pos="720"/>
        </w:tabs>
        <w:ind w:left="1440" w:right="119" w:hanging="720"/>
        <w:jc w:val="both"/>
        <w:rPr>
          <w:rFonts w:asciiTheme="majorHAnsi" w:hAnsiTheme="majorHAnsi" w:cstheme="majorHAnsi"/>
          <w:highlight w:val="yellow"/>
        </w:rPr>
      </w:pPr>
    </w:p>
    <w:p w:rsidR="00B36322" w:rsidRPr="001247EE" w:rsidRDefault="00B36322" w:rsidP="006C308E">
      <w:pPr>
        <w:pStyle w:val="BodyText"/>
        <w:tabs>
          <w:tab w:val="left" w:pos="720"/>
        </w:tabs>
        <w:ind w:left="1440" w:right="119" w:hanging="720"/>
        <w:jc w:val="both"/>
        <w:rPr>
          <w:rFonts w:asciiTheme="majorHAnsi" w:hAnsiTheme="majorHAnsi" w:cstheme="majorHAnsi"/>
          <w:highlight w:val="yellow"/>
        </w:rPr>
      </w:pPr>
    </w:p>
    <w:p w:rsidR="003A29C6" w:rsidRPr="001247EE" w:rsidRDefault="003A29C6" w:rsidP="006C308E">
      <w:pPr>
        <w:pStyle w:val="BodyText"/>
        <w:tabs>
          <w:tab w:val="left" w:pos="720"/>
        </w:tabs>
        <w:ind w:left="1440" w:right="119" w:hanging="720"/>
        <w:jc w:val="both"/>
        <w:rPr>
          <w:rFonts w:asciiTheme="majorHAnsi" w:hAnsiTheme="majorHAnsi" w:cstheme="majorHAnsi"/>
          <w:highlight w:val="yellow"/>
        </w:rPr>
      </w:pPr>
    </w:p>
    <w:p w:rsidR="003A29C6" w:rsidRPr="001247EE" w:rsidRDefault="003A29C6" w:rsidP="006C308E">
      <w:pPr>
        <w:pStyle w:val="BodyText"/>
        <w:tabs>
          <w:tab w:val="left" w:pos="720"/>
        </w:tabs>
        <w:ind w:left="1440" w:right="119" w:hanging="720"/>
        <w:jc w:val="both"/>
        <w:rPr>
          <w:rFonts w:asciiTheme="majorHAnsi" w:hAnsiTheme="majorHAnsi" w:cstheme="majorHAnsi"/>
          <w:highlight w:val="yellow"/>
        </w:rPr>
      </w:pPr>
    </w:p>
    <w:p w:rsidR="00933038" w:rsidRPr="001247EE" w:rsidRDefault="00933038" w:rsidP="006C308E">
      <w:pPr>
        <w:numPr>
          <w:ilvl w:val="0"/>
          <w:numId w:val="29"/>
        </w:numPr>
        <w:shd w:val="clear" w:color="auto" w:fill="FFFFFF"/>
        <w:jc w:val="both"/>
        <w:rPr>
          <w:rFonts w:asciiTheme="majorHAnsi" w:eastAsia="Arial Unicode MS" w:hAnsiTheme="majorHAnsi" w:cstheme="majorHAnsi"/>
          <w:sz w:val="20"/>
          <w:szCs w:val="20"/>
        </w:rPr>
      </w:pPr>
      <w:r w:rsidRPr="001247EE">
        <w:rPr>
          <w:rFonts w:asciiTheme="majorHAnsi" w:eastAsia="Arial Unicode MS" w:hAnsiTheme="majorHAnsi" w:cstheme="majorHAnsi"/>
          <w:sz w:val="20"/>
          <w:szCs w:val="20"/>
        </w:rPr>
        <w:t>Identify required coursework and other experiences that address the variety of public health research methods employed in the context of a population health framework to foster discovery and translation of public health knowledge and a brief narrative that explains how the instruction and assessment is equivalent to that typically associated with a three-semester-credit course.</w:t>
      </w:r>
    </w:p>
    <w:p w:rsidR="00933038" w:rsidRPr="001247EE" w:rsidRDefault="00933038" w:rsidP="006C308E">
      <w:pPr>
        <w:shd w:val="clear" w:color="auto" w:fill="FFFFFF"/>
        <w:ind w:left="720"/>
        <w:jc w:val="both"/>
        <w:rPr>
          <w:rFonts w:asciiTheme="majorHAnsi" w:eastAsia="Arial Unicode MS" w:hAnsiTheme="majorHAnsi" w:cstheme="majorHAnsi"/>
          <w:sz w:val="20"/>
          <w:szCs w:val="20"/>
        </w:rPr>
      </w:pPr>
    </w:p>
    <w:p w:rsidR="00E075E7" w:rsidRPr="001247EE" w:rsidRDefault="00FE593F" w:rsidP="006C308E">
      <w:pPr>
        <w:shd w:val="clear" w:color="auto" w:fill="FFFFFF"/>
        <w:ind w:left="720"/>
        <w:rPr>
          <w:rFonts w:asciiTheme="majorHAnsi" w:hAnsiTheme="majorHAnsi" w:cstheme="majorHAnsi"/>
          <w:sz w:val="20"/>
          <w:szCs w:val="20"/>
        </w:rPr>
      </w:pPr>
      <w:r w:rsidRPr="001247EE">
        <w:rPr>
          <w:rFonts w:asciiTheme="majorHAnsi" w:eastAsia="Arial" w:hAnsiTheme="majorHAnsi" w:cstheme="majorHAnsi"/>
          <w:sz w:val="20"/>
          <w:szCs w:val="20"/>
        </w:rPr>
        <w:t xml:space="preserve">The curricular requirements for the </w:t>
      </w:r>
      <w:r w:rsidR="00701B70" w:rsidRPr="001247EE">
        <w:rPr>
          <w:rFonts w:asciiTheme="majorHAnsi" w:eastAsia="Arial" w:hAnsiTheme="majorHAnsi" w:cstheme="majorHAnsi"/>
          <w:sz w:val="20"/>
          <w:szCs w:val="20"/>
        </w:rPr>
        <w:t xml:space="preserve">PhD </w:t>
      </w:r>
      <w:r w:rsidRPr="001247EE">
        <w:rPr>
          <w:rFonts w:asciiTheme="majorHAnsi" w:eastAsia="Arial" w:hAnsiTheme="majorHAnsi" w:cstheme="majorHAnsi"/>
          <w:sz w:val="20"/>
          <w:szCs w:val="20"/>
        </w:rPr>
        <w:t>degree program</w:t>
      </w:r>
      <w:r w:rsidR="00701B70" w:rsidRPr="001247EE">
        <w:rPr>
          <w:rFonts w:asciiTheme="majorHAnsi" w:eastAsia="Arial" w:hAnsiTheme="majorHAnsi" w:cstheme="majorHAnsi"/>
          <w:sz w:val="20"/>
          <w:szCs w:val="20"/>
        </w:rPr>
        <w:t>s</w:t>
      </w:r>
      <w:r w:rsidRPr="001247EE">
        <w:rPr>
          <w:rFonts w:asciiTheme="majorHAnsi" w:eastAsia="Arial" w:hAnsiTheme="majorHAnsi" w:cstheme="majorHAnsi"/>
          <w:sz w:val="20"/>
          <w:szCs w:val="20"/>
        </w:rPr>
        <w:t xml:space="preserve"> </w:t>
      </w:r>
      <w:r w:rsidR="00720396" w:rsidRPr="001247EE">
        <w:rPr>
          <w:rFonts w:asciiTheme="majorHAnsi" w:eastAsia="Arial" w:hAnsiTheme="majorHAnsi" w:cstheme="majorHAnsi"/>
          <w:sz w:val="20"/>
          <w:szCs w:val="20"/>
        </w:rPr>
        <w:t xml:space="preserve">can be found in </w:t>
      </w:r>
      <w:r w:rsidR="00720396" w:rsidRPr="001247EE">
        <w:rPr>
          <w:rFonts w:asciiTheme="majorHAnsi" w:eastAsia="Arial" w:hAnsiTheme="majorHAnsi" w:cstheme="majorHAnsi"/>
          <w:color w:val="000000"/>
          <w:sz w:val="20"/>
          <w:szCs w:val="20"/>
        </w:rPr>
        <w:t xml:space="preserve">the </w:t>
      </w:r>
      <w:r w:rsidR="00720396" w:rsidRPr="001247EE">
        <w:rPr>
          <w:rFonts w:asciiTheme="majorHAnsi" w:eastAsia="Arial" w:hAnsiTheme="majorHAnsi" w:cstheme="majorHAnsi"/>
          <w:sz w:val="20"/>
          <w:szCs w:val="20"/>
        </w:rPr>
        <w:t>2018–2020 Academic Catalog</w:t>
      </w:r>
      <w:r w:rsidR="00720396" w:rsidRPr="001247EE">
        <w:rPr>
          <w:rFonts w:asciiTheme="majorHAnsi" w:eastAsia="Arial" w:hAnsiTheme="majorHAnsi" w:cstheme="majorHAnsi"/>
          <w:color w:val="000000"/>
          <w:sz w:val="20"/>
          <w:szCs w:val="20"/>
        </w:rPr>
        <w:t xml:space="preserve"> and </w:t>
      </w:r>
      <w:r w:rsidR="00720396" w:rsidRPr="001247EE">
        <w:rPr>
          <w:rFonts w:asciiTheme="majorHAnsi" w:hAnsiTheme="majorHAnsi" w:cstheme="majorHAnsi"/>
          <w:sz w:val="20"/>
          <w:szCs w:val="20"/>
        </w:rPr>
        <w:t xml:space="preserve">2019–2020 </w:t>
      </w:r>
      <w:r w:rsidR="00720396" w:rsidRPr="001247EE">
        <w:rPr>
          <w:rFonts w:asciiTheme="majorHAnsi" w:eastAsia="Arial" w:hAnsiTheme="majorHAnsi" w:cstheme="majorHAnsi"/>
          <w:sz w:val="20"/>
          <w:szCs w:val="20"/>
        </w:rPr>
        <w:t xml:space="preserve">Academic </w:t>
      </w:r>
      <w:r w:rsidR="00720396" w:rsidRPr="001247EE">
        <w:rPr>
          <w:rFonts w:asciiTheme="majorHAnsi" w:hAnsiTheme="majorHAnsi" w:cstheme="majorHAnsi"/>
          <w:sz w:val="20"/>
          <w:szCs w:val="20"/>
        </w:rPr>
        <w:t>Catalog Addendum</w:t>
      </w:r>
      <w:r w:rsidR="00720396" w:rsidRPr="001247EE">
        <w:rPr>
          <w:rFonts w:asciiTheme="majorHAnsi" w:eastAsia="Arial" w:hAnsiTheme="majorHAnsi" w:cstheme="majorHAnsi"/>
          <w:color w:val="000000"/>
          <w:sz w:val="20"/>
          <w:szCs w:val="20"/>
        </w:rPr>
        <w:t xml:space="preserve"> </w:t>
      </w:r>
      <w:r w:rsidR="00720396" w:rsidRPr="001247EE">
        <w:rPr>
          <w:rFonts w:asciiTheme="majorHAnsi" w:hAnsiTheme="majorHAnsi" w:cstheme="majorHAnsi"/>
          <w:sz w:val="20"/>
          <w:szCs w:val="20"/>
        </w:rPr>
        <w:t>(</w:t>
      </w:r>
      <w:r w:rsidR="00720396" w:rsidRPr="001247EE">
        <w:rPr>
          <w:rFonts w:asciiTheme="majorHAnsi" w:hAnsiTheme="majorHAnsi" w:cstheme="majorHAnsi"/>
          <w:i/>
          <w:sz w:val="20"/>
          <w:szCs w:val="20"/>
        </w:rPr>
        <w:t>ERF, A5. Degree Offerings in Schools of Public Health</w:t>
      </w:r>
      <w:r w:rsidR="00720396" w:rsidRPr="001247EE">
        <w:rPr>
          <w:rFonts w:asciiTheme="majorHAnsi" w:hAnsiTheme="majorHAnsi" w:cstheme="majorHAnsi"/>
          <w:sz w:val="20"/>
          <w:szCs w:val="20"/>
        </w:rPr>
        <w:t>)</w:t>
      </w:r>
      <w:r w:rsidR="00720396" w:rsidRPr="001247EE">
        <w:rPr>
          <w:rFonts w:asciiTheme="majorHAnsi" w:eastAsia="Arial" w:hAnsiTheme="majorHAnsi" w:cstheme="majorHAnsi"/>
          <w:color w:val="000000"/>
          <w:sz w:val="20"/>
          <w:szCs w:val="20"/>
        </w:rPr>
        <w:t xml:space="preserve">, </w:t>
      </w:r>
      <w:r w:rsidR="00720396" w:rsidRPr="001247EE">
        <w:rPr>
          <w:rFonts w:asciiTheme="majorHAnsi" w:eastAsia="Arial" w:hAnsiTheme="majorHAnsi" w:cstheme="majorHAnsi"/>
          <w:sz w:val="20"/>
          <w:szCs w:val="20"/>
        </w:rPr>
        <w:t xml:space="preserve">and the </w:t>
      </w:r>
      <w:r w:rsidR="00081DE5" w:rsidRPr="001247EE">
        <w:rPr>
          <w:rFonts w:asciiTheme="majorHAnsi" w:eastAsia="Arial" w:hAnsiTheme="majorHAnsi" w:cstheme="majorHAnsi"/>
          <w:sz w:val="20"/>
          <w:szCs w:val="20"/>
        </w:rPr>
        <w:t>PhD degree planners (</w:t>
      </w:r>
      <w:r w:rsidR="00081DE5" w:rsidRPr="001247EE">
        <w:rPr>
          <w:rFonts w:asciiTheme="majorHAnsi" w:eastAsia="Arial" w:hAnsiTheme="majorHAnsi" w:cstheme="majorHAnsi"/>
          <w:i/>
          <w:sz w:val="20"/>
          <w:szCs w:val="20"/>
        </w:rPr>
        <w:t>ERF, D18.4. Degree Planners</w:t>
      </w:r>
      <w:r w:rsidR="00081DE5" w:rsidRPr="001247EE">
        <w:rPr>
          <w:rFonts w:asciiTheme="majorHAnsi" w:eastAsia="Arial" w:hAnsiTheme="majorHAnsi" w:cstheme="majorHAnsi"/>
          <w:sz w:val="20"/>
          <w:szCs w:val="20"/>
        </w:rPr>
        <w:t>)</w:t>
      </w:r>
      <w:r w:rsidRPr="001247EE">
        <w:rPr>
          <w:rFonts w:asciiTheme="majorHAnsi" w:hAnsiTheme="majorHAnsi" w:cstheme="majorHAnsi"/>
          <w:sz w:val="20"/>
          <w:szCs w:val="20"/>
        </w:rPr>
        <w:t xml:space="preserve">, </w:t>
      </w:r>
      <w:r w:rsidR="00E075E7" w:rsidRPr="001247EE">
        <w:rPr>
          <w:rFonts w:asciiTheme="majorHAnsi" w:hAnsiTheme="majorHAnsi" w:cstheme="majorHAnsi"/>
          <w:sz w:val="20"/>
          <w:szCs w:val="20"/>
        </w:rPr>
        <w:t xml:space="preserve">and emphasize coursework that addresses the public health research methods that are employed in the context of a population health framework to foster discovery and translation of public health knowledge. </w:t>
      </w:r>
    </w:p>
    <w:p w:rsidR="00E075E7" w:rsidRPr="001247EE" w:rsidRDefault="00E075E7" w:rsidP="006C308E">
      <w:pPr>
        <w:pStyle w:val="ListParagraph"/>
        <w:autoSpaceDE w:val="0"/>
        <w:autoSpaceDN w:val="0"/>
        <w:rPr>
          <w:rFonts w:asciiTheme="majorHAnsi" w:hAnsiTheme="majorHAnsi" w:cstheme="majorHAnsi"/>
          <w:szCs w:val="20"/>
        </w:rPr>
      </w:pPr>
    </w:p>
    <w:p w:rsidR="00E075E7" w:rsidRPr="001247EE" w:rsidRDefault="00E075E7" w:rsidP="006C308E">
      <w:pPr>
        <w:pStyle w:val="ListParagraph"/>
        <w:autoSpaceDE w:val="0"/>
        <w:autoSpaceDN w:val="0"/>
        <w:rPr>
          <w:rFonts w:asciiTheme="majorHAnsi" w:hAnsiTheme="majorHAnsi" w:cstheme="majorHAnsi"/>
          <w:szCs w:val="20"/>
        </w:rPr>
      </w:pPr>
      <w:r w:rsidRPr="001247EE">
        <w:rPr>
          <w:rFonts w:asciiTheme="majorHAnsi" w:hAnsiTheme="majorHAnsi" w:cstheme="majorHAnsi"/>
          <w:szCs w:val="20"/>
        </w:rPr>
        <w:t>Specifically, all Doctor of Philosophy degrees have substantial public health research methods embedded in their course work.  For example:</w:t>
      </w:r>
    </w:p>
    <w:p w:rsidR="00E075E7" w:rsidRPr="001247EE" w:rsidRDefault="00E075E7" w:rsidP="006C308E">
      <w:pPr>
        <w:numPr>
          <w:ilvl w:val="0"/>
          <w:numId w:val="169"/>
        </w:numPr>
        <w:autoSpaceDE w:val="0"/>
        <w:autoSpaceDN w:val="0"/>
        <w:rPr>
          <w:rFonts w:asciiTheme="majorHAnsi" w:eastAsia="Times New Roman" w:hAnsiTheme="majorHAnsi" w:cstheme="majorHAnsi"/>
          <w:sz w:val="20"/>
          <w:szCs w:val="20"/>
        </w:rPr>
      </w:pPr>
      <w:r w:rsidRPr="001247EE">
        <w:rPr>
          <w:rFonts w:asciiTheme="majorHAnsi" w:eastAsia="Times New Roman" w:hAnsiTheme="majorHAnsi" w:cstheme="majorHAnsi"/>
          <w:sz w:val="20"/>
          <w:szCs w:val="20"/>
        </w:rPr>
        <w:t xml:space="preserve">The doctoral degree in Biostatistics includes courses in survival analysis, Linear Model I, and Generalized Linear Models which include understanding research questions, methods, and analyses related to population health problems. </w:t>
      </w:r>
    </w:p>
    <w:p w:rsidR="00E075E7" w:rsidRPr="001247EE" w:rsidRDefault="00E075E7" w:rsidP="006C308E">
      <w:pPr>
        <w:numPr>
          <w:ilvl w:val="0"/>
          <w:numId w:val="169"/>
        </w:numPr>
        <w:autoSpaceDE w:val="0"/>
        <w:autoSpaceDN w:val="0"/>
        <w:rPr>
          <w:rFonts w:asciiTheme="majorHAnsi" w:eastAsia="Times New Roman" w:hAnsiTheme="majorHAnsi" w:cstheme="majorHAnsi"/>
          <w:sz w:val="20"/>
          <w:szCs w:val="20"/>
        </w:rPr>
      </w:pPr>
      <w:r w:rsidRPr="001247EE">
        <w:rPr>
          <w:rFonts w:asciiTheme="majorHAnsi" w:eastAsia="Times New Roman" w:hAnsiTheme="majorHAnsi" w:cstheme="majorHAnsi"/>
          <w:sz w:val="20"/>
          <w:szCs w:val="20"/>
        </w:rPr>
        <w:t xml:space="preserve">The doctoral degree in Behavioral Sciences and Health Promotion includes research methods courses in Research Design for Behavioral Sciences, Quantitative Analysis for Behavioral Sciences, Advanced Qualitative Analysis, and Applied Measurement Theory. </w:t>
      </w:r>
    </w:p>
    <w:p w:rsidR="00E075E7" w:rsidRPr="001247EE" w:rsidRDefault="00E075E7" w:rsidP="006C308E">
      <w:pPr>
        <w:numPr>
          <w:ilvl w:val="0"/>
          <w:numId w:val="169"/>
        </w:numPr>
        <w:autoSpaceDE w:val="0"/>
        <w:autoSpaceDN w:val="0"/>
        <w:rPr>
          <w:rFonts w:asciiTheme="majorHAnsi" w:eastAsia="Times New Roman" w:hAnsiTheme="majorHAnsi" w:cstheme="majorHAnsi"/>
          <w:sz w:val="20"/>
          <w:szCs w:val="20"/>
        </w:rPr>
      </w:pPr>
      <w:r w:rsidRPr="001247EE">
        <w:rPr>
          <w:rFonts w:asciiTheme="majorHAnsi" w:eastAsia="Times New Roman" w:hAnsiTheme="majorHAnsi" w:cstheme="majorHAnsi"/>
          <w:sz w:val="20"/>
          <w:szCs w:val="20"/>
        </w:rPr>
        <w:t>The doctoral d</w:t>
      </w:r>
      <w:r w:rsidR="007F7A57" w:rsidRPr="001247EE">
        <w:rPr>
          <w:rFonts w:asciiTheme="majorHAnsi" w:eastAsia="Times New Roman" w:hAnsiTheme="majorHAnsi" w:cstheme="majorHAnsi"/>
          <w:sz w:val="20"/>
          <w:szCs w:val="20"/>
        </w:rPr>
        <w:t>egree in Environmental Science,</w:t>
      </w:r>
      <w:r w:rsidRPr="001247EE">
        <w:rPr>
          <w:rFonts w:asciiTheme="majorHAnsi" w:eastAsia="Times New Roman" w:hAnsiTheme="majorHAnsi" w:cstheme="majorHAnsi"/>
          <w:sz w:val="20"/>
          <w:szCs w:val="20"/>
        </w:rPr>
        <w:t xml:space="preserve"> Environmental Disease Prevention track includes research methods courses in Doctoral Research Methods in Environmental and Occupational Health, Applied Epidemiological Analysis, Epidemiology I, and Epidemiology II. </w:t>
      </w:r>
    </w:p>
    <w:p w:rsidR="00E075E7" w:rsidRPr="001247EE" w:rsidRDefault="00E075E7" w:rsidP="006C308E">
      <w:pPr>
        <w:numPr>
          <w:ilvl w:val="0"/>
          <w:numId w:val="169"/>
        </w:numPr>
        <w:autoSpaceDE w:val="0"/>
        <w:autoSpaceDN w:val="0"/>
        <w:rPr>
          <w:rFonts w:asciiTheme="majorHAnsi" w:eastAsia="Times New Roman" w:hAnsiTheme="majorHAnsi" w:cstheme="majorHAnsi"/>
          <w:sz w:val="20"/>
          <w:szCs w:val="20"/>
        </w:rPr>
      </w:pPr>
      <w:r w:rsidRPr="001247EE">
        <w:rPr>
          <w:rFonts w:asciiTheme="majorHAnsi" w:eastAsia="Times New Roman" w:hAnsiTheme="majorHAnsi" w:cstheme="majorHAnsi"/>
          <w:sz w:val="20"/>
          <w:szCs w:val="20"/>
        </w:rPr>
        <w:t>The doctoral degree in Environmental Science</w:t>
      </w:r>
      <w:r w:rsidR="005C0D20" w:rsidRPr="001247EE">
        <w:rPr>
          <w:rFonts w:asciiTheme="majorHAnsi" w:eastAsia="Times New Roman" w:hAnsiTheme="majorHAnsi" w:cstheme="majorHAnsi"/>
          <w:sz w:val="20"/>
          <w:szCs w:val="20"/>
        </w:rPr>
        <w:t>,</w:t>
      </w:r>
      <w:r w:rsidR="00590D53" w:rsidRPr="001247EE">
        <w:rPr>
          <w:rFonts w:asciiTheme="majorHAnsi" w:eastAsia="Times New Roman" w:hAnsiTheme="majorHAnsi" w:cstheme="majorHAnsi"/>
          <w:sz w:val="20"/>
          <w:szCs w:val="20"/>
        </w:rPr>
        <w:t xml:space="preserve"> </w:t>
      </w:r>
      <w:r w:rsidRPr="001247EE">
        <w:rPr>
          <w:rFonts w:asciiTheme="majorHAnsi" w:eastAsia="Times New Roman" w:hAnsiTheme="majorHAnsi" w:cstheme="majorHAnsi"/>
          <w:sz w:val="20"/>
          <w:szCs w:val="20"/>
        </w:rPr>
        <w:t>Total Worker Health track includes research methods courses in Doctoral Research Methods in Environmental and Occupational Health and Program Evaluation.</w:t>
      </w:r>
    </w:p>
    <w:p w:rsidR="00E075E7" w:rsidRPr="001247EE" w:rsidRDefault="00E075E7" w:rsidP="006C308E">
      <w:pPr>
        <w:numPr>
          <w:ilvl w:val="0"/>
          <w:numId w:val="169"/>
        </w:numPr>
        <w:autoSpaceDE w:val="0"/>
        <w:autoSpaceDN w:val="0"/>
        <w:rPr>
          <w:rFonts w:asciiTheme="majorHAnsi" w:eastAsia="Times New Roman" w:hAnsiTheme="majorHAnsi" w:cstheme="majorHAnsi"/>
          <w:sz w:val="20"/>
          <w:szCs w:val="20"/>
        </w:rPr>
      </w:pPr>
      <w:r w:rsidRPr="001247EE">
        <w:rPr>
          <w:rFonts w:asciiTheme="majorHAnsi" w:eastAsia="Times New Roman" w:hAnsiTheme="majorHAnsi" w:cstheme="majorHAnsi"/>
          <w:sz w:val="20"/>
          <w:szCs w:val="20"/>
        </w:rPr>
        <w:t xml:space="preserve">The doctoral degree in Epidemiology includes research methods courses that include Epidemiology IV, Experimental Methods in Epidemiology, Survival Analysis, Categorical Analysis, and Epidemiology Proposal Development or NIH Proposal Development. </w:t>
      </w:r>
    </w:p>
    <w:p w:rsidR="00E075E7" w:rsidRPr="001247EE" w:rsidRDefault="00E075E7" w:rsidP="006C308E">
      <w:pPr>
        <w:numPr>
          <w:ilvl w:val="0"/>
          <w:numId w:val="169"/>
        </w:numPr>
        <w:autoSpaceDE w:val="0"/>
        <w:autoSpaceDN w:val="0"/>
        <w:rPr>
          <w:rFonts w:asciiTheme="majorHAnsi" w:eastAsia="Times New Roman" w:hAnsiTheme="majorHAnsi" w:cstheme="majorHAnsi"/>
          <w:sz w:val="20"/>
          <w:szCs w:val="20"/>
        </w:rPr>
      </w:pPr>
      <w:r w:rsidRPr="001247EE">
        <w:rPr>
          <w:rFonts w:asciiTheme="majorHAnsi" w:eastAsia="Times New Roman" w:hAnsiTheme="majorHAnsi" w:cstheme="majorHAnsi"/>
          <w:sz w:val="20"/>
          <w:szCs w:val="20"/>
        </w:rPr>
        <w:t>The doctoral degree in Healthcare Management and Health Policy includes research methods courses in Healthcare Management Policy Research and Epidemiology.</w:t>
      </w:r>
    </w:p>
    <w:p w:rsidR="00E075E7" w:rsidRPr="001247EE" w:rsidRDefault="00E075E7" w:rsidP="006C308E">
      <w:pPr>
        <w:numPr>
          <w:ilvl w:val="0"/>
          <w:numId w:val="169"/>
        </w:numPr>
        <w:autoSpaceDE w:val="0"/>
        <w:autoSpaceDN w:val="0"/>
        <w:rPr>
          <w:rFonts w:asciiTheme="majorHAnsi" w:eastAsia="Times New Roman" w:hAnsiTheme="majorHAnsi" w:cstheme="majorHAnsi"/>
          <w:sz w:val="20"/>
          <w:szCs w:val="20"/>
        </w:rPr>
      </w:pPr>
      <w:r w:rsidRPr="001247EE">
        <w:rPr>
          <w:rFonts w:asciiTheme="majorHAnsi" w:eastAsia="Times New Roman" w:hAnsiTheme="majorHAnsi" w:cstheme="majorHAnsi"/>
          <w:sz w:val="20"/>
          <w:szCs w:val="20"/>
        </w:rPr>
        <w:t xml:space="preserve">The doctoral degree in Health Economics/Health Services Research includes research methods courses in Methods for Economic Evaluation and Health Programs, Health Survey Research Design, and Epidemiology.  </w:t>
      </w:r>
    </w:p>
    <w:p w:rsidR="00E075E7" w:rsidRPr="001247EE" w:rsidRDefault="00E075E7" w:rsidP="006C308E">
      <w:pPr>
        <w:pStyle w:val="ListParagraph"/>
        <w:autoSpaceDE w:val="0"/>
        <w:autoSpaceDN w:val="0"/>
        <w:rPr>
          <w:rFonts w:asciiTheme="majorHAnsi" w:eastAsiaTheme="minorHAnsi" w:hAnsiTheme="majorHAnsi" w:cstheme="majorHAnsi"/>
          <w:szCs w:val="20"/>
        </w:rPr>
      </w:pPr>
    </w:p>
    <w:p w:rsidR="00E075E7" w:rsidRPr="00C34E1B" w:rsidRDefault="00E075E7" w:rsidP="006C308E">
      <w:pPr>
        <w:pStyle w:val="ListParagraph"/>
        <w:autoSpaceDE w:val="0"/>
        <w:autoSpaceDN w:val="0"/>
        <w:rPr>
          <w:rFonts w:asciiTheme="majorHAnsi" w:hAnsiTheme="majorHAnsi" w:cstheme="majorHAnsi"/>
          <w:szCs w:val="20"/>
        </w:rPr>
      </w:pPr>
      <w:r w:rsidRPr="00C34E1B">
        <w:rPr>
          <w:rFonts w:asciiTheme="majorHAnsi" w:hAnsiTheme="majorHAnsi" w:cstheme="majorHAnsi"/>
          <w:szCs w:val="20"/>
        </w:rPr>
        <w:t xml:space="preserve">All PhD degree programs </w:t>
      </w:r>
      <w:r w:rsidR="007D3E7E" w:rsidRPr="00C34E1B">
        <w:rPr>
          <w:rFonts w:asciiTheme="majorHAnsi" w:hAnsiTheme="majorHAnsi" w:cstheme="majorHAnsi"/>
          <w:szCs w:val="20"/>
        </w:rPr>
        <w:t>require</w:t>
      </w:r>
      <w:r w:rsidRPr="00C34E1B">
        <w:rPr>
          <w:rFonts w:asciiTheme="majorHAnsi" w:hAnsiTheme="majorHAnsi" w:cstheme="majorHAnsi"/>
          <w:szCs w:val="20"/>
        </w:rPr>
        <w:t xml:space="preserve"> students to obtain a minor and a breadth</w:t>
      </w:r>
      <w:r w:rsidR="00EA2D1E" w:rsidRPr="00C34E1B">
        <w:rPr>
          <w:rFonts w:asciiTheme="majorHAnsi" w:eastAsia="Arial" w:hAnsiTheme="majorHAnsi" w:cstheme="majorHAnsi"/>
          <w:szCs w:val="20"/>
        </w:rPr>
        <w:t xml:space="preserve"> (</w:t>
      </w:r>
      <w:r w:rsidR="00EA2D1E" w:rsidRPr="00C34E1B">
        <w:rPr>
          <w:rFonts w:asciiTheme="majorHAnsi" w:eastAsia="Arial" w:hAnsiTheme="majorHAnsi" w:cstheme="majorHAnsi"/>
          <w:i/>
          <w:szCs w:val="20"/>
        </w:rPr>
        <w:t>ERF, D18. Public Health Academic Doctoral Degrees, Minors and Breadths</w:t>
      </w:r>
      <w:r w:rsidR="00EA2D1E" w:rsidRPr="00C34E1B">
        <w:rPr>
          <w:rFonts w:asciiTheme="majorHAnsi" w:eastAsia="Arial" w:hAnsiTheme="majorHAnsi" w:cstheme="majorHAnsi"/>
          <w:szCs w:val="20"/>
        </w:rPr>
        <w:t xml:space="preserve">) </w:t>
      </w:r>
      <w:r w:rsidRPr="00C34E1B">
        <w:rPr>
          <w:rFonts w:asciiTheme="majorHAnsi" w:hAnsiTheme="majorHAnsi" w:cstheme="majorHAnsi"/>
          <w:szCs w:val="20"/>
        </w:rPr>
        <w:t xml:space="preserve">in addition to their major required coursework and the </w:t>
      </w:r>
      <w:r w:rsidR="006F5CBA" w:rsidRPr="00C34E1B">
        <w:rPr>
          <w:rFonts w:asciiTheme="majorHAnsi" w:hAnsiTheme="majorHAnsi" w:cstheme="majorHAnsi"/>
          <w:szCs w:val="20"/>
        </w:rPr>
        <w:t xml:space="preserve">PH101 Foundations in Public Health course (outlined in </w:t>
      </w:r>
      <w:hyperlink w:anchor="_D1._MPH_&amp;" w:history="1">
        <w:r w:rsidR="006F5CBA" w:rsidRPr="00C34E1B">
          <w:rPr>
            <w:rStyle w:val="Hyperlink"/>
            <w:rFonts w:asciiTheme="majorHAnsi" w:hAnsiTheme="majorHAnsi" w:cstheme="majorHAnsi"/>
            <w:i/>
            <w:szCs w:val="20"/>
          </w:rPr>
          <w:t>Criterion D1 Foundational Public Health Knowledge</w:t>
        </w:r>
      </w:hyperlink>
      <w:r w:rsidR="006F5CBA" w:rsidRPr="00C34E1B">
        <w:rPr>
          <w:rFonts w:asciiTheme="majorHAnsi" w:hAnsiTheme="majorHAnsi" w:cstheme="majorHAnsi"/>
          <w:szCs w:val="20"/>
        </w:rPr>
        <w:t>)</w:t>
      </w:r>
      <w:r w:rsidR="00096135" w:rsidRPr="00C34E1B">
        <w:rPr>
          <w:rFonts w:asciiTheme="majorHAnsi" w:hAnsiTheme="majorHAnsi" w:cstheme="majorHAnsi"/>
          <w:szCs w:val="20"/>
        </w:rPr>
        <w:t>.</w:t>
      </w:r>
      <w:r w:rsidRPr="00C34E1B">
        <w:rPr>
          <w:rFonts w:asciiTheme="majorHAnsi" w:hAnsiTheme="majorHAnsi" w:cstheme="majorHAnsi"/>
          <w:szCs w:val="20"/>
        </w:rPr>
        <w:t xml:space="preserve"> Students also enroll for a minimum of three credit hours with a faculty supervisor for their research-based dissertation and work with their committee on the application of research methods to their dissertation topic. </w:t>
      </w:r>
    </w:p>
    <w:p w:rsidR="000D223B" w:rsidRPr="00C34E1B" w:rsidRDefault="00E075E7" w:rsidP="006C308E">
      <w:pPr>
        <w:pStyle w:val="ListParagraph"/>
        <w:autoSpaceDE w:val="0"/>
        <w:autoSpaceDN w:val="0"/>
        <w:adjustRightInd w:val="0"/>
        <w:rPr>
          <w:rFonts w:asciiTheme="majorHAnsi" w:hAnsiTheme="majorHAnsi" w:cstheme="majorHAnsi"/>
          <w:szCs w:val="20"/>
        </w:rPr>
      </w:pPr>
      <w:r w:rsidRPr="00C34E1B" w:rsidDel="00E075E7">
        <w:rPr>
          <w:rFonts w:asciiTheme="majorHAnsi" w:hAnsiTheme="majorHAnsi" w:cstheme="majorHAnsi"/>
          <w:szCs w:val="20"/>
        </w:rPr>
        <w:t xml:space="preserve"> </w:t>
      </w:r>
    </w:p>
    <w:p w:rsidR="00933038" w:rsidRPr="00C34E1B" w:rsidRDefault="00DB533A" w:rsidP="006C308E">
      <w:pPr>
        <w:shd w:val="clear" w:color="auto" w:fill="FFFFFF"/>
        <w:ind w:left="720"/>
        <w:jc w:val="both"/>
        <w:rPr>
          <w:rFonts w:asciiTheme="majorHAnsi" w:hAnsiTheme="majorHAnsi" w:cstheme="majorHAnsi"/>
          <w:sz w:val="20"/>
          <w:szCs w:val="20"/>
        </w:rPr>
      </w:pPr>
      <w:r w:rsidRPr="00C34E1B">
        <w:rPr>
          <w:rFonts w:asciiTheme="majorHAnsi" w:hAnsiTheme="majorHAnsi" w:cstheme="majorHAnsi"/>
          <w:sz w:val="20"/>
          <w:szCs w:val="20"/>
        </w:rPr>
        <w:t>Associated documents in the electronic resource file:</w:t>
      </w:r>
    </w:p>
    <w:p w:rsidR="00DB533A" w:rsidRPr="0012136D" w:rsidRDefault="00DB533A" w:rsidP="006C308E">
      <w:pPr>
        <w:pStyle w:val="ListParagraph"/>
        <w:numPr>
          <w:ilvl w:val="0"/>
          <w:numId w:val="130"/>
        </w:numPr>
        <w:shd w:val="clear" w:color="auto" w:fill="FFFFFF"/>
        <w:jc w:val="both"/>
        <w:rPr>
          <w:rFonts w:asciiTheme="majorHAnsi" w:hAnsiTheme="majorHAnsi" w:cstheme="majorHAnsi"/>
          <w:i/>
          <w:szCs w:val="20"/>
        </w:rPr>
      </w:pPr>
      <w:r w:rsidRPr="0012136D">
        <w:rPr>
          <w:rFonts w:asciiTheme="majorHAnsi" w:hAnsiTheme="majorHAnsi" w:cstheme="majorHAnsi"/>
          <w:i/>
        </w:rPr>
        <w:t>D18. Academic Public Health Doctoral Degrees</w:t>
      </w:r>
    </w:p>
    <w:p w:rsidR="00DB533A" w:rsidRPr="0012136D" w:rsidRDefault="00AA7345" w:rsidP="006C308E">
      <w:pPr>
        <w:pStyle w:val="ListParagraph"/>
        <w:numPr>
          <w:ilvl w:val="1"/>
          <w:numId w:val="130"/>
        </w:numPr>
        <w:shd w:val="clear" w:color="auto" w:fill="FFFFFF"/>
        <w:jc w:val="both"/>
        <w:rPr>
          <w:rFonts w:asciiTheme="majorHAnsi" w:hAnsiTheme="majorHAnsi" w:cstheme="majorHAnsi"/>
          <w:i/>
          <w:szCs w:val="20"/>
        </w:rPr>
      </w:pPr>
      <w:r w:rsidRPr="0012136D">
        <w:rPr>
          <w:rFonts w:asciiTheme="majorHAnsi" w:hAnsiTheme="majorHAnsi" w:cstheme="majorHAnsi"/>
          <w:i/>
        </w:rPr>
        <w:t>D18.4. PhD Degree Planners</w:t>
      </w:r>
    </w:p>
    <w:p w:rsidR="000D223B" w:rsidRPr="0012136D" w:rsidRDefault="000D223B" w:rsidP="006C308E">
      <w:pPr>
        <w:shd w:val="clear" w:color="auto" w:fill="FFFFFF"/>
        <w:ind w:left="720"/>
        <w:jc w:val="both"/>
        <w:rPr>
          <w:rFonts w:asciiTheme="majorHAnsi" w:eastAsia="Arial Unicode MS" w:hAnsiTheme="majorHAnsi" w:cstheme="majorHAnsi"/>
          <w:sz w:val="20"/>
          <w:szCs w:val="20"/>
        </w:rPr>
      </w:pPr>
    </w:p>
    <w:p w:rsidR="00933038" w:rsidRPr="00C34E1B" w:rsidRDefault="00933038" w:rsidP="006C308E">
      <w:pPr>
        <w:numPr>
          <w:ilvl w:val="0"/>
          <w:numId w:val="29"/>
        </w:numPr>
        <w:shd w:val="clear" w:color="auto" w:fill="FFFFFF"/>
        <w:jc w:val="both"/>
        <w:rPr>
          <w:rFonts w:asciiTheme="majorHAnsi" w:eastAsia="Arial Unicode MS" w:hAnsiTheme="majorHAnsi" w:cstheme="majorHAnsi"/>
          <w:sz w:val="20"/>
          <w:szCs w:val="20"/>
        </w:rPr>
      </w:pPr>
      <w:r w:rsidRPr="0012136D">
        <w:rPr>
          <w:rFonts w:asciiTheme="majorHAnsi" w:eastAsia="Arial Unicode MS" w:hAnsiTheme="majorHAnsi" w:cstheme="majorHAnsi"/>
          <w:sz w:val="20"/>
          <w:szCs w:val="20"/>
        </w:rPr>
        <w:t>Briefly summarize policies and procedures relating to production and assessment of the final research project or paper.</w:t>
      </w:r>
      <w:r w:rsidRPr="00C34E1B">
        <w:rPr>
          <w:rFonts w:asciiTheme="majorHAnsi" w:eastAsia="Arial Unicode MS" w:hAnsiTheme="majorHAnsi" w:cstheme="majorHAnsi"/>
          <w:sz w:val="20"/>
          <w:szCs w:val="20"/>
        </w:rPr>
        <w:t xml:space="preserve"> </w:t>
      </w:r>
    </w:p>
    <w:p w:rsidR="00933038" w:rsidRPr="00C34E1B" w:rsidRDefault="00933038" w:rsidP="006C308E">
      <w:pPr>
        <w:shd w:val="clear" w:color="auto" w:fill="FFFFFF"/>
        <w:jc w:val="both"/>
        <w:rPr>
          <w:rFonts w:asciiTheme="majorHAnsi" w:eastAsia="Arial Unicode MS" w:hAnsiTheme="majorHAnsi" w:cstheme="majorHAnsi"/>
          <w:sz w:val="20"/>
          <w:szCs w:val="20"/>
        </w:rPr>
      </w:pPr>
    </w:p>
    <w:p w:rsidR="00933038" w:rsidRPr="00C34E1B" w:rsidRDefault="000D223B" w:rsidP="006C308E">
      <w:pPr>
        <w:pStyle w:val="ListParagraph"/>
        <w:rPr>
          <w:rFonts w:asciiTheme="majorHAnsi" w:hAnsiTheme="majorHAnsi" w:cstheme="majorHAnsi"/>
          <w:szCs w:val="20"/>
        </w:rPr>
      </w:pPr>
      <w:r w:rsidRPr="00C34E1B">
        <w:rPr>
          <w:rFonts w:asciiTheme="majorHAnsi" w:hAnsiTheme="majorHAnsi" w:cstheme="majorHAnsi"/>
          <w:szCs w:val="20"/>
        </w:rPr>
        <w:t xml:space="preserve">Students in the PhD program are required to complete a written research dissertation that makes a substantial contribution to knowledge in the public health sciences. </w:t>
      </w:r>
      <w:r w:rsidR="00144468" w:rsidRPr="00C34E1B">
        <w:rPr>
          <w:rFonts w:asciiTheme="majorHAnsi" w:eastAsia="Arial" w:hAnsiTheme="majorHAnsi" w:cstheme="majorHAnsi"/>
          <w:szCs w:val="20"/>
        </w:rPr>
        <w:t xml:space="preserve">Doctoral student preparation to conduct, communicate, and defend research is monitored through successful completion of proposal and final dissertation defense using the </w:t>
      </w:r>
      <w:r w:rsidR="00144468" w:rsidRPr="0012136D">
        <w:rPr>
          <w:rFonts w:asciiTheme="majorHAnsi" w:eastAsia="Arial" w:hAnsiTheme="majorHAnsi" w:cstheme="majorHAnsi"/>
        </w:rPr>
        <w:t>Doctoral Dissertation Statement of Completion and Evaluati</w:t>
      </w:r>
      <w:r w:rsidR="00161E69" w:rsidRPr="0012136D">
        <w:rPr>
          <w:rFonts w:asciiTheme="majorHAnsi" w:eastAsia="Arial" w:hAnsiTheme="majorHAnsi" w:cstheme="majorHAnsi"/>
          <w:szCs w:val="20"/>
        </w:rPr>
        <w:t>on</w:t>
      </w:r>
      <w:r w:rsidR="00161E69" w:rsidRPr="00C34E1B">
        <w:rPr>
          <w:rFonts w:asciiTheme="majorHAnsi" w:eastAsia="Arial" w:hAnsiTheme="majorHAnsi" w:cstheme="majorHAnsi"/>
          <w:szCs w:val="20"/>
        </w:rPr>
        <w:t xml:space="preserve"> (</w:t>
      </w:r>
      <w:r w:rsidR="00161E69" w:rsidRPr="006E28EE">
        <w:rPr>
          <w:rFonts w:asciiTheme="majorHAnsi" w:eastAsia="Arial" w:hAnsiTheme="majorHAnsi" w:cstheme="majorHAnsi"/>
          <w:i/>
          <w:szCs w:val="20"/>
        </w:rPr>
        <w:t>ERF, D18.5. Policies and Procedures for Production and Assessment of Final Research Dissertation, Doctoral Dissertation Statement of Completion)</w:t>
      </w:r>
      <w:r w:rsidR="00161E69" w:rsidRPr="00C34E1B">
        <w:rPr>
          <w:rFonts w:asciiTheme="majorHAnsi" w:eastAsia="Arial" w:hAnsiTheme="majorHAnsi" w:cstheme="majorHAnsi"/>
          <w:szCs w:val="20"/>
        </w:rPr>
        <w:t xml:space="preserve">. </w:t>
      </w:r>
    </w:p>
    <w:p w:rsidR="00DE363B" w:rsidRPr="00C34E1B" w:rsidRDefault="00DE363B" w:rsidP="006C308E">
      <w:pPr>
        <w:pStyle w:val="ListParagraph"/>
        <w:rPr>
          <w:rFonts w:asciiTheme="majorHAnsi" w:hAnsiTheme="majorHAnsi" w:cstheme="majorHAnsi"/>
          <w:szCs w:val="20"/>
        </w:rPr>
      </w:pPr>
    </w:p>
    <w:p w:rsidR="00DE363B" w:rsidRPr="0012136D" w:rsidRDefault="00DE363B" w:rsidP="00DE363B">
      <w:pPr>
        <w:shd w:val="clear" w:color="auto" w:fill="FFFFFF"/>
        <w:ind w:left="720"/>
        <w:jc w:val="both"/>
        <w:rPr>
          <w:rFonts w:asciiTheme="majorHAnsi" w:hAnsiTheme="majorHAnsi" w:cstheme="majorHAnsi"/>
          <w:sz w:val="20"/>
          <w:szCs w:val="20"/>
        </w:rPr>
      </w:pPr>
      <w:r w:rsidRPr="0012136D">
        <w:rPr>
          <w:rFonts w:asciiTheme="majorHAnsi" w:hAnsiTheme="majorHAnsi" w:cstheme="majorHAnsi"/>
          <w:sz w:val="20"/>
          <w:szCs w:val="20"/>
        </w:rPr>
        <w:t>Associated documents in the electronic resource file:</w:t>
      </w:r>
    </w:p>
    <w:p w:rsidR="00DE363B" w:rsidRPr="0012136D" w:rsidRDefault="00DE363B" w:rsidP="00DE363B">
      <w:pPr>
        <w:pStyle w:val="ListParagraph"/>
        <w:numPr>
          <w:ilvl w:val="0"/>
          <w:numId w:val="138"/>
        </w:numPr>
        <w:shd w:val="clear" w:color="auto" w:fill="FFFFFF"/>
        <w:jc w:val="both"/>
        <w:rPr>
          <w:rFonts w:asciiTheme="majorHAnsi" w:eastAsia="Arial Unicode MS" w:hAnsiTheme="majorHAnsi" w:cstheme="majorHAnsi"/>
          <w:i/>
          <w:szCs w:val="20"/>
        </w:rPr>
      </w:pPr>
      <w:r w:rsidRPr="0012136D">
        <w:rPr>
          <w:rFonts w:asciiTheme="majorHAnsi" w:eastAsia="Arial Unicode MS" w:hAnsiTheme="majorHAnsi" w:cstheme="majorHAnsi"/>
          <w:i/>
        </w:rPr>
        <w:t>D18.5. Policies and Procedures for Assessment of Final Research Dissertatio</w:t>
      </w:r>
      <w:r w:rsidR="00161E69" w:rsidRPr="0012136D">
        <w:rPr>
          <w:rFonts w:asciiTheme="majorHAnsi" w:eastAsia="Arial Unicode MS" w:hAnsiTheme="majorHAnsi" w:cstheme="majorHAnsi"/>
          <w:i/>
          <w:szCs w:val="20"/>
        </w:rPr>
        <w:t>n</w:t>
      </w:r>
    </w:p>
    <w:p w:rsidR="00DE363B" w:rsidRPr="0012136D" w:rsidRDefault="00DE363B" w:rsidP="00DE363B">
      <w:pPr>
        <w:pStyle w:val="ListParagraph"/>
        <w:numPr>
          <w:ilvl w:val="1"/>
          <w:numId w:val="138"/>
        </w:numPr>
        <w:shd w:val="clear" w:color="auto" w:fill="FFFFFF"/>
        <w:jc w:val="both"/>
        <w:rPr>
          <w:rFonts w:asciiTheme="majorHAnsi" w:eastAsia="Arial Unicode MS" w:hAnsiTheme="majorHAnsi" w:cstheme="majorHAnsi"/>
          <w:i/>
          <w:szCs w:val="20"/>
        </w:rPr>
      </w:pPr>
      <w:r w:rsidRPr="0012136D">
        <w:rPr>
          <w:rFonts w:asciiTheme="majorHAnsi" w:hAnsiTheme="majorHAnsi" w:cstheme="majorHAnsi"/>
          <w:bCs/>
          <w:i/>
          <w:szCs w:val="20"/>
        </w:rPr>
        <w:t>PhD Dissertation Research Guide</w:t>
      </w:r>
    </w:p>
    <w:p w:rsidR="00DE363B" w:rsidRPr="0012136D" w:rsidRDefault="00DE363B" w:rsidP="00DE363B">
      <w:pPr>
        <w:pStyle w:val="ListParagraph"/>
        <w:numPr>
          <w:ilvl w:val="1"/>
          <w:numId w:val="138"/>
        </w:numPr>
        <w:shd w:val="clear" w:color="auto" w:fill="FFFFFF"/>
        <w:jc w:val="both"/>
        <w:rPr>
          <w:rFonts w:asciiTheme="majorHAnsi" w:eastAsia="Arial Unicode MS" w:hAnsiTheme="majorHAnsi" w:cstheme="majorHAnsi"/>
          <w:i/>
          <w:szCs w:val="20"/>
        </w:rPr>
      </w:pPr>
      <w:r w:rsidRPr="0012136D">
        <w:rPr>
          <w:rFonts w:asciiTheme="majorHAnsi" w:hAnsiTheme="majorHAnsi" w:cstheme="majorHAnsi"/>
          <w:i/>
        </w:rPr>
        <w:t>Doctoral Dissertation Statement of Completion</w:t>
      </w:r>
    </w:p>
    <w:p w:rsidR="003B2FE7" w:rsidRPr="0012136D" w:rsidRDefault="003B2FE7" w:rsidP="003B2FE7">
      <w:pPr>
        <w:pStyle w:val="ListParagraph"/>
        <w:numPr>
          <w:ilvl w:val="1"/>
          <w:numId w:val="138"/>
        </w:numPr>
        <w:shd w:val="clear" w:color="auto" w:fill="FFFFFF"/>
        <w:rPr>
          <w:rStyle w:val="Hyperlink"/>
          <w:rFonts w:asciiTheme="majorHAnsi" w:eastAsia="Arial Unicode MS" w:hAnsiTheme="majorHAnsi" w:cstheme="majorHAnsi"/>
          <w:i/>
          <w:color w:val="auto"/>
          <w:szCs w:val="20"/>
          <w:u w:val="none"/>
        </w:rPr>
      </w:pPr>
      <w:r w:rsidRPr="0012136D">
        <w:rPr>
          <w:rFonts w:asciiTheme="majorHAnsi" w:hAnsiTheme="majorHAnsi" w:cstheme="majorHAnsi"/>
          <w:i/>
        </w:rPr>
        <w:t>Policy 102, Doctoral Committee Structure</w:t>
      </w:r>
    </w:p>
    <w:p w:rsidR="00DE363B" w:rsidRPr="0012136D" w:rsidRDefault="00DE363B" w:rsidP="00DE363B">
      <w:pPr>
        <w:pStyle w:val="ListParagraph"/>
        <w:numPr>
          <w:ilvl w:val="1"/>
          <w:numId w:val="138"/>
        </w:numPr>
        <w:shd w:val="clear" w:color="auto" w:fill="FFFFFF"/>
        <w:jc w:val="both"/>
        <w:rPr>
          <w:rStyle w:val="Hyperlink"/>
          <w:rFonts w:asciiTheme="majorHAnsi" w:eastAsia="Arial Unicode MS" w:hAnsiTheme="majorHAnsi" w:cstheme="majorHAnsi"/>
          <w:i/>
          <w:color w:val="auto"/>
          <w:szCs w:val="20"/>
          <w:u w:val="none"/>
        </w:rPr>
      </w:pPr>
      <w:r w:rsidRPr="0012136D">
        <w:rPr>
          <w:rFonts w:asciiTheme="majorHAnsi" w:hAnsiTheme="majorHAnsi" w:cstheme="majorHAnsi"/>
          <w:i/>
        </w:rPr>
        <w:t>Policy 106, Thesis and Dissertation Data &amp; Publication Authorship</w:t>
      </w:r>
    </w:p>
    <w:p w:rsidR="00DE363B" w:rsidRPr="0012136D" w:rsidRDefault="00DE363B" w:rsidP="00DE363B">
      <w:pPr>
        <w:pStyle w:val="ListParagraph"/>
        <w:numPr>
          <w:ilvl w:val="1"/>
          <w:numId w:val="138"/>
        </w:numPr>
        <w:shd w:val="clear" w:color="auto" w:fill="FFFFFF"/>
        <w:jc w:val="both"/>
        <w:rPr>
          <w:rFonts w:asciiTheme="majorHAnsi" w:eastAsia="Arial Unicode MS" w:hAnsiTheme="majorHAnsi" w:cstheme="majorHAnsi"/>
          <w:i/>
          <w:szCs w:val="20"/>
        </w:rPr>
      </w:pPr>
      <w:r w:rsidRPr="0012136D">
        <w:rPr>
          <w:rFonts w:asciiTheme="majorHAnsi" w:hAnsiTheme="majorHAnsi" w:cstheme="majorHAnsi"/>
          <w:i/>
        </w:rPr>
        <w:t>Policy 109 Student Research Thesis and Dissertation Proposal</w:t>
      </w:r>
    </w:p>
    <w:p w:rsidR="000D223B" w:rsidRPr="00C34E1B" w:rsidRDefault="000D223B" w:rsidP="006C308E">
      <w:pPr>
        <w:pStyle w:val="ListParagraph"/>
        <w:rPr>
          <w:rFonts w:asciiTheme="majorHAnsi" w:eastAsia="Arial Unicode MS" w:hAnsiTheme="majorHAnsi" w:cstheme="majorHAnsi"/>
          <w:szCs w:val="20"/>
        </w:rPr>
      </w:pPr>
    </w:p>
    <w:p w:rsidR="00933038" w:rsidRPr="00C34E1B" w:rsidRDefault="00933038" w:rsidP="006C308E">
      <w:pPr>
        <w:numPr>
          <w:ilvl w:val="0"/>
          <w:numId w:val="29"/>
        </w:numPr>
        <w:shd w:val="clear" w:color="auto" w:fill="FFFFFF"/>
        <w:jc w:val="both"/>
        <w:rPr>
          <w:rFonts w:asciiTheme="majorHAnsi" w:eastAsia="Arial Unicode MS" w:hAnsiTheme="majorHAnsi" w:cstheme="majorHAnsi"/>
          <w:sz w:val="20"/>
          <w:szCs w:val="20"/>
        </w:rPr>
      </w:pPr>
      <w:bookmarkStart w:id="114" w:name="D18_6"/>
      <w:r w:rsidRPr="00C34E1B">
        <w:rPr>
          <w:rFonts w:asciiTheme="majorHAnsi" w:eastAsia="Arial Unicode MS" w:hAnsiTheme="majorHAnsi" w:cstheme="majorHAnsi"/>
          <w:sz w:val="20"/>
          <w:szCs w:val="20"/>
        </w:rPr>
        <w:t xml:space="preserve">Provide links to handbooks or webpages that contain the full list of policies and procedures governing production and assessment of the final research project or paper for each degree school. </w:t>
      </w:r>
      <w:bookmarkEnd w:id="114"/>
    </w:p>
    <w:p w:rsidR="00933038" w:rsidRPr="00C34E1B" w:rsidRDefault="00933038" w:rsidP="006C308E">
      <w:pPr>
        <w:shd w:val="clear" w:color="auto" w:fill="FFFFFF"/>
        <w:ind w:left="360"/>
        <w:jc w:val="both"/>
        <w:rPr>
          <w:rFonts w:asciiTheme="majorHAnsi" w:eastAsia="Arial Unicode MS" w:hAnsiTheme="majorHAnsi" w:cstheme="majorHAnsi"/>
          <w:sz w:val="20"/>
          <w:szCs w:val="20"/>
        </w:rPr>
      </w:pPr>
    </w:p>
    <w:p w:rsidR="003B2FE7" w:rsidRPr="00C34E1B" w:rsidRDefault="003B2FE7" w:rsidP="003B2FE7">
      <w:pPr>
        <w:shd w:val="clear" w:color="auto" w:fill="FFFFFF"/>
        <w:ind w:left="720"/>
        <w:jc w:val="both"/>
        <w:rPr>
          <w:rFonts w:asciiTheme="majorHAnsi" w:hAnsiTheme="majorHAnsi" w:cstheme="majorHAnsi"/>
          <w:sz w:val="20"/>
          <w:szCs w:val="20"/>
        </w:rPr>
      </w:pPr>
      <w:r w:rsidRPr="00C34E1B">
        <w:rPr>
          <w:rFonts w:asciiTheme="majorHAnsi" w:hAnsiTheme="majorHAnsi" w:cstheme="majorHAnsi"/>
          <w:sz w:val="20"/>
          <w:szCs w:val="20"/>
        </w:rPr>
        <w:t>Associated documents in the electronic resource file:</w:t>
      </w:r>
    </w:p>
    <w:p w:rsidR="00161E69" w:rsidRPr="00C34E1B" w:rsidRDefault="00161E69" w:rsidP="00161E69">
      <w:pPr>
        <w:pStyle w:val="ListParagraph"/>
        <w:numPr>
          <w:ilvl w:val="0"/>
          <w:numId w:val="138"/>
        </w:numPr>
        <w:shd w:val="clear" w:color="auto" w:fill="FFFFFF"/>
        <w:jc w:val="both"/>
        <w:rPr>
          <w:rFonts w:asciiTheme="majorHAnsi" w:eastAsia="Arial Unicode MS" w:hAnsiTheme="majorHAnsi" w:cstheme="majorHAnsi"/>
          <w:i/>
          <w:szCs w:val="20"/>
        </w:rPr>
      </w:pPr>
      <w:r w:rsidRPr="00C34E1B">
        <w:rPr>
          <w:rFonts w:asciiTheme="majorHAnsi" w:eastAsia="Arial Unicode MS" w:hAnsiTheme="majorHAnsi" w:cstheme="majorHAnsi"/>
          <w:i/>
          <w:szCs w:val="20"/>
        </w:rPr>
        <w:t>D18.5. Policies and Procedures for Assessment of Final Research Dissertation</w:t>
      </w:r>
    </w:p>
    <w:p w:rsidR="00161E69" w:rsidRPr="00C34E1B" w:rsidRDefault="00161E69" w:rsidP="00161E69">
      <w:pPr>
        <w:pStyle w:val="ListParagraph"/>
        <w:numPr>
          <w:ilvl w:val="1"/>
          <w:numId w:val="138"/>
        </w:numPr>
        <w:shd w:val="clear" w:color="auto" w:fill="FFFFFF"/>
        <w:jc w:val="both"/>
        <w:rPr>
          <w:rFonts w:asciiTheme="majorHAnsi" w:eastAsia="Arial Unicode MS" w:hAnsiTheme="majorHAnsi" w:cstheme="majorHAnsi"/>
          <w:i/>
          <w:szCs w:val="20"/>
        </w:rPr>
      </w:pPr>
      <w:r w:rsidRPr="00C34E1B">
        <w:rPr>
          <w:rFonts w:asciiTheme="majorHAnsi" w:hAnsiTheme="majorHAnsi" w:cstheme="majorHAnsi"/>
          <w:bCs/>
          <w:i/>
          <w:szCs w:val="20"/>
        </w:rPr>
        <w:t>PhD Dissertation Research Guide</w:t>
      </w:r>
    </w:p>
    <w:p w:rsidR="00161E69" w:rsidRPr="00C34E1B" w:rsidRDefault="00161E69" w:rsidP="00161E69">
      <w:pPr>
        <w:pStyle w:val="ListParagraph"/>
        <w:numPr>
          <w:ilvl w:val="1"/>
          <w:numId w:val="138"/>
        </w:numPr>
        <w:shd w:val="clear" w:color="auto" w:fill="FFFFFF"/>
        <w:jc w:val="both"/>
        <w:rPr>
          <w:rFonts w:asciiTheme="majorHAnsi" w:eastAsia="Arial Unicode MS" w:hAnsiTheme="majorHAnsi" w:cstheme="majorHAnsi"/>
          <w:i/>
          <w:szCs w:val="20"/>
        </w:rPr>
      </w:pPr>
      <w:r w:rsidRPr="00C34E1B">
        <w:rPr>
          <w:rFonts w:asciiTheme="majorHAnsi" w:hAnsiTheme="majorHAnsi" w:cstheme="majorHAnsi"/>
          <w:bCs/>
          <w:i/>
          <w:szCs w:val="20"/>
        </w:rPr>
        <w:t>Doctoral Dissertation Statement of Completion</w:t>
      </w:r>
    </w:p>
    <w:p w:rsidR="00161E69" w:rsidRPr="00C34E1B" w:rsidRDefault="00161E69" w:rsidP="00161E69">
      <w:pPr>
        <w:pStyle w:val="ListParagraph"/>
        <w:numPr>
          <w:ilvl w:val="1"/>
          <w:numId w:val="138"/>
        </w:numPr>
        <w:shd w:val="clear" w:color="auto" w:fill="FFFFFF"/>
        <w:rPr>
          <w:rStyle w:val="Hyperlink"/>
          <w:rFonts w:asciiTheme="majorHAnsi" w:eastAsia="Arial Unicode MS" w:hAnsiTheme="majorHAnsi" w:cstheme="majorHAnsi"/>
          <w:i/>
          <w:color w:val="auto"/>
          <w:szCs w:val="20"/>
          <w:u w:val="none"/>
        </w:rPr>
      </w:pPr>
      <w:r w:rsidRPr="00C34E1B">
        <w:rPr>
          <w:rFonts w:asciiTheme="majorHAnsi" w:hAnsiTheme="majorHAnsi" w:cstheme="majorHAnsi"/>
          <w:bCs/>
          <w:i/>
          <w:szCs w:val="20"/>
        </w:rPr>
        <w:t>Policy 102, Doctoral Committee Structure</w:t>
      </w:r>
    </w:p>
    <w:p w:rsidR="00161E69" w:rsidRPr="00C34E1B" w:rsidRDefault="00161E69" w:rsidP="00161E69">
      <w:pPr>
        <w:pStyle w:val="ListParagraph"/>
        <w:numPr>
          <w:ilvl w:val="1"/>
          <w:numId w:val="138"/>
        </w:numPr>
        <w:shd w:val="clear" w:color="auto" w:fill="FFFFFF"/>
        <w:jc w:val="both"/>
        <w:rPr>
          <w:rStyle w:val="Hyperlink"/>
          <w:rFonts w:asciiTheme="majorHAnsi" w:eastAsia="Arial Unicode MS" w:hAnsiTheme="majorHAnsi" w:cstheme="majorHAnsi"/>
          <w:i/>
          <w:color w:val="auto"/>
          <w:szCs w:val="20"/>
          <w:u w:val="none"/>
        </w:rPr>
      </w:pPr>
      <w:r w:rsidRPr="00C34E1B">
        <w:rPr>
          <w:rFonts w:asciiTheme="majorHAnsi" w:hAnsiTheme="majorHAnsi" w:cstheme="majorHAnsi"/>
          <w:bCs/>
          <w:i/>
          <w:szCs w:val="20"/>
        </w:rPr>
        <w:t>Policy 106, Thesis and Dissertation Data &amp; Publication Authorship</w:t>
      </w:r>
    </w:p>
    <w:p w:rsidR="00161E69" w:rsidRPr="00C34E1B" w:rsidRDefault="00161E69" w:rsidP="00161E69">
      <w:pPr>
        <w:pStyle w:val="ListParagraph"/>
        <w:numPr>
          <w:ilvl w:val="1"/>
          <w:numId w:val="138"/>
        </w:numPr>
        <w:shd w:val="clear" w:color="auto" w:fill="FFFFFF"/>
        <w:jc w:val="both"/>
        <w:rPr>
          <w:rFonts w:asciiTheme="majorHAnsi" w:eastAsia="Arial Unicode MS" w:hAnsiTheme="majorHAnsi" w:cstheme="majorHAnsi"/>
          <w:i/>
          <w:szCs w:val="20"/>
        </w:rPr>
      </w:pPr>
      <w:r w:rsidRPr="00C34E1B">
        <w:rPr>
          <w:rFonts w:asciiTheme="majorHAnsi" w:hAnsiTheme="majorHAnsi" w:cstheme="majorHAnsi"/>
          <w:bCs/>
          <w:i/>
          <w:szCs w:val="20"/>
        </w:rPr>
        <w:t>Policy 109 Student Research Thesis and Dissertation Proposal</w:t>
      </w:r>
    </w:p>
    <w:p w:rsidR="001B4E88" w:rsidRPr="00C34E1B" w:rsidRDefault="001B4E88" w:rsidP="006C308E">
      <w:pPr>
        <w:pStyle w:val="ListParagraph"/>
        <w:rPr>
          <w:rFonts w:asciiTheme="majorHAnsi" w:eastAsia="Arial Unicode MS" w:hAnsiTheme="majorHAnsi" w:cstheme="majorHAnsi"/>
          <w:szCs w:val="20"/>
        </w:rPr>
      </w:pPr>
    </w:p>
    <w:p w:rsidR="00933038" w:rsidRPr="00C34E1B" w:rsidRDefault="00933038" w:rsidP="006C308E">
      <w:pPr>
        <w:numPr>
          <w:ilvl w:val="0"/>
          <w:numId w:val="29"/>
        </w:numPr>
        <w:shd w:val="clear" w:color="auto" w:fill="FFFFFF"/>
        <w:jc w:val="both"/>
        <w:rPr>
          <w:rFonts w:asciiTheme="majorHAnsi" w:eastAsia="Arial Unicode MS" w:hAnsiTheme="majorHAnsi" w:cstheme="majorHAnsi"/>
          <w:sz w:val="20"/>
          <w:szCs w:val="20"/>
        </w:rPr>
      </w:pPr>
      <w:bookmarkStart w:id="115" w:name="D18_7"/>
      <w:r w:rsidRPr="00C34E1B">
        <w:rPr>
          <w:rFonts w:asciiTheme="majorHAnsi" w:eastAsia="Arial Unicode MS" w:hAnsiTheme="majorHAnsi" w:cstheme="majorHAnsi"/>
          <w:sz w:val="20"/>
          <w:szCs w:val="20"/>
        </w:rPr>
        <w:t>Include completed, graded samples of deliverables associated with the advanced research project. The school must provide at least 10% of the number produced in the last three years or five examples, whichever is greater.</w:t>
      </w:r>
      <w:bookmarkEnd w:id="115"/>
      <w:r w:rsidRPr="00C34E1B">
        <w:rPr>
          <w:rFonts w:asciiTheme="majorHAnsi" w:eastAsia="Arial Unicode MS" w:hAnsiTheme="majorHAnsi" w:cstheme="majorHAnsi"/>
          <w:sz w:val="20"/>
          <w:szCs w:val="20"/>
        </w:rPr>
        <w:t xml:space="preserve"> </w:t>
      </w:r>
    </w:p>
    <w:p w:rsidR="00933038" w:rsidRPr="00C34E1B" w:rsidRDefault="00933038" w:rsidP="006C308E">
      <w:pPr>
        <w:shd w:val="clear" w:color="auto" w:fill="FFFFFF"/>
        <w:jc w:val="both"/>
        <w:rPr>
          <w:rFonts w:asciiTheme="majorHAnsi" w:eastAsia="Arial Unicode MS" w:hAnsiTheme="majorHAnsi" w:cstheme="majorHAnsi"/>
          <w:sz w:val="20"/>
          <w:szCs w:val="20"/>
        </w:rPr>
      </w:pPr>
    </w:p>
    <w:p w:rsidR="000454A5" w:rsidRPr="00C34E1B" w:rsidRDefault="000454A5" w:rsidP="000454A5">
      <w:pPr>
        <w:ind w:left="720"/>
        <w:rPr>
          <w:rFonts w:asciiTheme="majorHAnsi" w:eastAsia="Arial Unicode MS" w:hAnsiTheme="majorHAnsi" w:cstheme="majorHAnsi"/>
          <w:sz w:val="20"/>
          <w:szCs w:val="20"/>
        </w:rPr>
      </w:pPr>
      <w:r w:rsidRPr="00C34E1B">
        <w:rPr>
          <w:rFonts w:asciiTheme="majorHAnsi" w:eastAsia="Arial Unicode MS" w:hAnsiTheme="majorHAnsi" w:cstheme="majorHAnsi"/>
          <w:sz w:val="20"/>
          <w:szCs w:val="20"/>
        </w:rPr>
        <w:t xml:space="preserve">Samples of PhD dissertations </w:t>
      </w:r>
      <w:r w:rsidR="008C31AD">
        <w:rPr>
          <w:rFonts w:asciiTheme="majorHAnsi" w:eastAsia="Arial Unicode MS" w:hAnsiTheme="majorHAnsi" w:cstheme="majorHAnsi"/>
          <w:sz w:val="20"/>
          <w:szCs w:val="20"/>
        </w:rPr>
        <w:t>are available in the electronic resource file</w:t>
      </w:r>
      <w:r w:rsidRPr="00C34E1B">
        <w:rPr>
          <w:rFonts w:asciiTheme="majorHAnsi" w:eastAsia="Arial Unicode MS" w:hAnsiTheme="majorHAnsi" w:cstheme="majorHAnsi"/>
          <w:sz w:val="20"/>
          <w:szCs w:val="20"/>
        </w:rPr>
        <w:t xml:space="preserve"> (</w:t>
      </w:r>
      <w:r w:rsidRPr="00C34E1B">
        <w:rPr>
          <w:rFonts w:asciiTheme="majorHAnsi" w:eastAsia="Arial Unicode MS" w:hAnsiTheme="majorHAnsi" w:cstheme="majorHAnsi"/>
          <w:i/>
          <w:sz w:val="20"/>
          <w:szCs w:val="20"/>
        </w:rPr>
        <w:t>ERF, D18.7. PhD Dissertation Examples</w:t>
      </w:r>
      <w:r w:rsidRPr="00C34E1B">
        <w:rPr>
          <w:rFonts w:asciiTheme="majorHAnsi" w:eastAsia="Arial Unicode MS" w:hAnsiTheme="majorHAnsi" w:cstheme="majorHAnsi"/>
          <w:sz w:val="20"/>
          <w:szCs w:val="20"/>
        </w:rPr>
        <w:t xml:space="preserve">). </w:t>
      </w:r>
    </w:p>
    <w:p w:rsidR="000454A5" w:rsidRPr="00C34E1B" w:rsidRDefault="000454A5" w:rsidP="006C308E">
      <w:pPr>
        <w:shd w:val="clear" w:color="auto" w:fill="FFFFFF"/>
        <w:jc w:val="both"/>
        <w:rPr>
          <w:rFonts w:asciiTheme="majorHAnsi" w:eastAsia="Arial Unicode MS" w:hAnsiTheme="majorHAnsi" w:cstheme="majorHAnsi"/>
          <w:sz w:val="20"/>
          <w:szCs w:val="20"/>
        </w:rPr>
      </w:pPr>
    </w:p>
    <w:p w:rsidR="00933038" w:rsidRPr="0012136D" w:rsidRDefault="001B4E88" w:rsidP="006C308E">
      <w:pPr>
        <w:shd w:val="clear" w:color="auto" w:fill="FFFFFF"/>
        <w:ind w:left="720"/>
        <w:jc w:val="both"/>
        <w:rPr>
          <w:rFonts w:asciiTheme="majorHAnsi" w:eastAsia="Arial Unicode MS" w:hAnsiTheme="majorHAnsi" w:cstheme="majorHAnsi"/>
          <w:sz w:val="20"/>
          <w:szCs w:val="20"/>
        </w:rPr>
      </w:pPr>
      <w:r w:rsidRPr="0012136D">
        <w:rPr>
          <w:rFonts w:asciiTheme="majorHAnsi" w:eastAsia="Arial Unicode MS" w:hAnsiTheme="majorHAnsi" w:cstheme="majorHAnsi"/>
          <w:sz w:val="20"/>
          <w:szCs w:val="20"/>
        </w:rPr>
        <w:t>Associated documents in the electronic resource file:</w:t>
      </w:r>
    </w:p>
    <w:p w:rsidR="001B4E88" w:rsidRPr="0012136D" w:rsidRDefault="003C2DDA" w:rsidP="006C308E">
      <w:pPr>
        <w:pStyle w:val="ListParagraph"/>
        <w:numPr>
          <w:ilvl w:val="0"/>
          <w:numId w:val="130"/>
        </w:numPr>
        <w:shd w:val="clear" w:color="auto" w:fill="FFFFFF"/>
        <w:jc w:val="both"/>
        <w:rPr>
          <w:rFonts w:asciiTheme="majorHAnsi" w:eastAsia="Arial Unicode MS" w:hAnsiTheme="majorHAnsi" w:cstheme="majorHAnsi"/>
          <w:i/>
          <w:szCs w:val="20"/>
        </w:rPr>
      </w:pPr>
      <w:r w:rsidRPr="0012136D">
        <w:rPr>
          <w:rFonts w:asciiTheme="majorHAnsi" w:eastAsia="Arial Unicode MS" w:hAnsiTheme="majorHAnsi" w:cstheme="majorHAnsi"/>
          <w:i/>
          <w:szCs w:val="20"/>
        </w:rPr>
        <w:t>D18.7. PhD Dissertation Examples</w:t>
      </w:r>
    </w:p>
    <w:p w:rsidR="001B4E88" w:rsidRPr="0012136D" w:rsidRDefault="001B4E88" w:rsidP="006C308E">
      <w:pPr>
        <w:shd w:val="clear" w:color="auto" w:fill="FFFFFF"/>
        <w:ind w:left="720"/>
        <w:jc w:val="both"/>
        <w:rPr>
          <w:rFonts w:asciiTheme="majorHAnsi" w:eastAsia="Arial Unicode MS" w:hAnsiTheme="majorHAnsi" w:cstheme="majorHAnsi"/>
          <w:sz w:val="20"/>
          <w:szCs w:val="20"/>
        </w:rPr>
      </w:pPr>
    </w:p>
    <w:p w:rsidR="00933038" w:rsidRPr="0012136D" w:rsidRDefault="00933038" w:rsidP="006C308E">
      <w:pPr>
        <w:numPr>
          <w:ilvl w:val="0"/>
          <w:numId w:val="29"/>
        </w:numPr>
        <w:shd w:val="clear" w:color="auto" w:fill="FFFFFF"/>
        <w:jc w:val="both"/>
        <w:rPr>
          <w:rFonts w:asciiTheme="majorHAnsi" w:eastAsia="Arial Unicode MS" w:hAnsiTheme="majorHAnsi" w:cstheme="majorHAnsi"/>
          <w:sz w:val="20"/>
          <w:szCs w:val="20"/>
        </w:rPr>
      </w:pPr>
      <w:r w:rsidRPr="0012136D">
        <w:rPr>
          <w:rFonts w:asciiTheme="majorHAnsi" w:eastAsia="Arial Unicode MS" w:hAnsiTheme="majorHAnsi" w:cstheme="majorHAnsi"/>
          <w:sz w:val="20"/>
          <w:szCs w:val="20"/>
        </w:rPr>
        <w:t xml:space="preserve">Briefly explain how the school ensures that the instruction and assessment in introductory public health knowledge is generally equivalent to the instruction and assessment typically associated with a three semester-credit course. </w:t>
      </w:r>
    </w:p>
    <w:p w:rsidR="00933038" w:rsidRPr="0012136D" w:rsidRDefault="00933038" w:rsidP="006C308E">
      <w:pPr>
        <w:shd w:val="clear" w:color="auto" w:fill="FFFFFF"/>
        <w:jc w:val="both"/>
        <w:rPr>
          <w:rFonts w:asciiTheme="majorHAnsi" w:eastAsia="Arial Unicode MS" w:hAnsiTheme="majorHAnsi" w:cstheme="majorHAnsi"/>
          <w:sz w:val="20"/>
          <w:szCs w:val="20"/>
        </w:rPr>
      </w:pPr>
    </w:p>
    <w:p w:rsidR="001B6D24" w:rsidRPr="0012136D" w:rsidRDefault="001B6D24" w:rsidP="006C308E">
      <w:pPr>
        <w:shd w:val="clear" w:color="auto" w:fill="FFFFFF"/>
        <w:ind w:left="720"/>
        <w:rPr>
          <w:rFonts w:asciiTheme="majorHAnsi" w:hAnsiTheme="majorHAnsi" w:cstheme="majorHAnsi"/>
          <w:sz w:val="20"/>
          <w:szCs w:val="20"/>
        </w:rPr>
      </w:pPr>
      <w:r w:rsidRPr="0012136D">
        <w:rPr>
          <w:rFonts w:asciiTheme="majorHAnsi" w:hAnsiTheme="majorHAnsi" w:cstheme="majorHAnsi"/>
          <w:sz w:val="20"/>
          <w:szCs w:val="20"/>
        </w:rPr>
        <w:t xml:space="preserve">All </w:t>
      </w:r>
      <w:r w:rsidR="00AA057E" w:rsidRPr="0012136D">
        <w:rPr>
          <w:rFonts w:asciiTheme="majorHAnsi" w:hAnsiTheme="majorHAnsi" w:cstheme="majorHAnsi"/>
          <w:sz w:val="20"/>
          <w:szCs w:val="20"/>
        </w:rPr>
        <w:t xml:space="preserve">PhD </w:t>
      </w:r>
      <w:r w:rsidRPr="0012136D">
        <w:rPr>
          <w:rFonts w:asciiTheme="majorHAnsi" w:hAnsiTheme="majorHAnsi" w:cstheme="majorHAnsi"/>
          <w:sz w:val="20"/>
          <w:szCs w:val="20"/>
        </w:rPr>
        <w:t xml:space="preserve">students are required to demonstrate mastery of public health foundational knowledge objectives through completion of PH101 Foundations in Public Health, an online, not-for-credit course (equivalent to three credit hours) that consists of nine online modules. </w:t>
      </w:r>
      <w:r w:rsidRPr="0012136D">
        <w:rPr>
          <w:rFonts w:asciiTheme="majorHAnsi" w:hAnsiTheme="majorHAnsi" w:cstheme="majorHAnsi"/>
          <w:i/>
          <w:sz w:val="20"/>
          <w:szCs w:val="20"/>
        </w:rPr>
        <w:t xml:space="preserve">See </w:t>
      </w:r>
      <w:hyperlink w:anchor="_D1._MPH_&amp;" w:history="1">
        <w:r w:rsidR="00AA057E" w:rsidRPr="0012136D">
          <w:rPr>
            <w:rStyle w:val="Hyperlink"/>
            <w:rFonts w:asciiTheme="majorHAnsi" w:hAnsiTheme="majorHAnsi" w:cstheme="majorHAnsi"/>
            <w:i/>
            <w:sz w:val="20"/>
            <w:szCs w:val="20"/>
          </w:rPr>
          <w:t>Criterion D1 Foundational Public Health Knowledge</w:t>
        </w:r>
      </w:hyperlink>
      <w:r w:rsidRPr="0012136D">
        <w:rPr>
          <w:rFonts w:asciiTheme="majorHAnsi" w:hAnsiTheme="majorHAnsi" w:cstheme="majorHAnsi"/>
          <w:i/>
          <w:sz w:val="20"/>
          <w:szCs w:val="20"/>
        </w:rPr>
        <w:t xml:space="preserve"> and the electronic resource file (</w:t>
      </w:r>
      <w:r w:rsidR="009E37E5" w:rsidRPr="0012136D">
        <w:rPr>
          <w:rFonts w:asciiTheme="majorHAnsi" w:hAnsiTheme="majorHAnsi" w:cstheme="majorHAnsi"/>
          <w:i/>
          <w:sz w:val="20"/>
          <w:szCs w:val="20"/>
        </w:rPr>
        <w:t xml:space="preserve">ERF, </w:t>
      </w:r>
      <w:r w:rsidR="009E37E5" w:rsidRPr="0012136D">
        <w:rPr>
          <w:rFonts w:asciiTheme="majorHAnsi" w:hAnsiTheme="majorHAnsi" w:cstheme="majorHAnsi"/>
          <w:sz w:val="20"/>
          <w:szCs w:val="20"/>
        </w:rPr>
        <w:t>D18.2. Content Coverage for Academic Public Health Doctoral Degrees</w:t>
      </w:r>
      <w:r w:rsidRPr="0012136D">
        <w:rPr>
          <w:rFonts w:asciiTheme="majorHAnsi" w:hAnsiTheme="majorHAnsi" w:cstheme="majorHAnsi"/>
          <w:i/>
          <w:sz w:val="20"/>
          <w:szCs w:val="20"/>
        </w:rPr>
        <w:t>) for more information.</w:t>
      </w:r>
      <w:r w:rsidRPr="0012136D">
        <w:rPr>
          <w:rFonts w:asciiTheme="majorHAnsi" w:hAnsiTheme="majorHAnsi" w:cstheme="majorHAnsi"/>
          <w:sz w:val="20"/>
          <w:szCs w:val="20"/>
        </w:rPr>
        <w:t xml:space="preserve"> </w:t>
      </w:r>
    </w:p>
    <w:p w:rsidR="007B53B7" w:rsidRPr="0012136D" w:rsidRDefault="007B53B7" w:rsidP="006C308E">
      <w:pPr>
        <w:shd w:val="clear" w:color="auto" w:fill="FFFFFF"/>
        <w:ind w:left="720"/>
        <w:jc w:val="both"/>
        <w:rPr>
          <w:rFonts w:asciiTheme="majorHAnsi" w:hAnsiTheme="majorHAnsi" w:cstheme="majorHAnsi"/>
          <w:sz w:val="20"/>
          <w:szCs w:val="20"/>
        </w:rPr>
      </w:pPr>
    </w:p>
    <w:p w:rsidR="00933038" w:rsidRPr="0012136D" w:rsidRDefault="00933038" w:rsidP="006C308E">
      <w:pPr>
        <w:numPr>
          <w:ilvl w:val="0"/>
          <w:numId w:val="29"/>
        </w:numPr>
        <w:shd w:val="clear" w:color="auto" w:fill="FFFFFF"/>
        <w:jc w:val="both"/>
        <w:rPr>
          <w:rFonts w:asciiTheme="majorHAnsi" w:eastAsia="Arial Unicode MS" w:hAnsiTheme="majorHAnsi" w:cstheme="majorHAnsi"/>
          <w:sz w:val="20"/>
          <w:szCs w:val="20"/>
        </w:rPr>
      </w:pPr>
      <w:r w:rsidRPr="0012136D">
        <w:rPr>
          <w:rFonts w:asciiTheme="majorHAnsi" w:eastAsia="Arial Unicode MS" w:hAnsiTheme="majorHAnsi" w:cstheme="majorHAnsi"/>
          <w:sz w:val="20"/>
          <w:szCs w:val="20"/>
        </w:rPr>
        <w:t xml:space="preserve">Include the most recent syllabus for any course listed in the documentation requests above, or written guidelines for any required elements that do not have a syllabus. </w:t>
      </w:r>
    </w:p>
    <w:p w:rsidR="00933038" w:rsidRPr="0012136D" w:rsidRDefault="00933038" w:rsidP="006C308E">
      <w:pPr>
        <w:shd w:val="clear" w:color="auto" w:fill="FFFFFF"/>
        <w:jc w:val="both"/>
        <w:rPr>
          <w:rFonts w:asciiTheme="majorHAnsi" w:eastAsia="Arial Unicode MS" w:hAnsiTheme="majorHAnsi" w:cstheme="majorHAnsi"/>
          <w:sz w:val="20"/>
          <w:szCs w:val="20"/>
        </w:rPr>
      </w:pPr>
    </w:p>
    <w:p w:rsidR="001B4E88" w:rsidRPr="0012136D" w:rsidRDefault="001B4E88" w:rsidP="006C308E">
      <w:pPr>
        <w:shd w:val="clear" w:color="auto" w:fill="FFFFFF"/>
        <w:ind w:left="720"/>
        <w:jc w:val="both"/>
        <w:rPr>
          <w:rFonts w:asciiTheme="majorHAnsi" w:eastAsia="Arial Unicode MS" w:hAnsiTheme="majorHAnsi" w:cstheme="majorHAnsi"/>
          <w:sz w:val="20"/>
          <w:szCs w:val="20"/>
        </w:rPr>
      </w:pPr>
      <w:r w:rsidRPr="0012136D">
        <w:rPr>
          <w:rFonts w:asciiTheme="majorHAnsi" w:eastAsia="Arial Unicode MS" w:hAnsiTheme="majorHAnsi" w:cstheme="majorHAnsi"/>
          <w:sz w:val="20"/>
          <w:szCs w:val="20"/>
        </w:rPr>
        <w:t>Associated documents in the electronic resource file:</w:t>
      </w:r>
    </w:p>
    <w:p w:rsidR="001B4E88" w:rsidRPr="0012136D" w:rsidRDefault="00C81E4F" w:rsidP="00C81E4F">
      <w:pPr>
        <w:pStyle w:val="ListParagraph"/>
        <w:numPr>
          <w:ilvl w:val="0"/>
          <w:numId w:val="130"/>
        </w:numPr>
        <w:shd w:val="clear" w:color="auto" w:fill="FFFFFF"/>
        <w:rPr>
          <w:rFonts w:asciiTheme="majorHAnsi" w:eastAsia="Arial Unicode MS" w:hAnsiTheme="majorHAnsi" w:cstheme="majorHAnsi"/>
          <w:i/>
          <w:szCs w:val="20"/>
        </w:rPr>
      </w:pPr>
      <w:r w:rsidRPr="0012136D">
        <w:rPr>
          <w:rFonts w:asciiTheme="majorHAnsi" w:eastAsia="Arial Unicode MS" w:hAnsiTheme="majorHAnsi" w:cstheme="majorHAnsi"/>
          <w:i/>
          <w:szCs w:val="20"/>
        </w:rPr>
        <w:t>D18.2. Content Coverage for Academic Public Health Doctoral Degrees, Syllabi and Assessments</w:t>
      </w:r>
    </w:p>
    <w:p w:rsidR="001B4E88" w:rsidRPr="0012136D" w:rsidRDefault="00C81E4F" w:rsidP="00C81E4F">
      <w:pPr>
        <w:pStyle w:val="ListParagraph"/>
        <w:numPr>
          <w:ilvl w:val="0"/>
          <w:numId w:val="130"/>
        </w:numPr>
        <w:shd w:val="clear" w:color="auto" w:fill="FFFFFF"/>
        <w:rPr>
          <w:rFonts w:asciiTheme="majorHAnsi" w:eastAsia="Arial Unicode MS" w:hAnsiTheme="majorHAnsi" w:cstheme="majorHAnsi"/>
          <w:i/>
          <w:szCs w:val="20"/>
        </w:rPr>
      </w:pPr>
      <w:r w:rsidRPr="0012136D">
        <w:rPr>
          <w:rFonts w:asciiTheme="majorHAnsi" w:eastAsia="Arial Unicode MS" w:hAnsiTheme="majorHAnsi" w:cstheme="majorHAnsi"/>
          <w:i/>
          <w:szCs w:val="20"/>
        </w:rPr>
        <w:t>D18.3. PhD in Behavioral Science and Health Promotion, Syllabi and Assessments</w:t>
      </w:r>
    </w:p>
    <w:p w:rsidR="001B4E88" w:rsidRPr="0012136D" w:rsidRDefault="00C81E4F" w:rsidP="00C81E4F">
      <w:pPr>
        <w:pStyle w:val="ListParagraph"/>
        <w:numPr>
          <w:ilvl w:val="0"/>
          <w:numId w:val="130"/>
        </w:numPr>
        <w:shd w:val="clear" w:color="auto" w:fill="FFFFFF"/>
        <w:rPr>
          <w:rFonts w:asciiTheme="majorHAnsi" w:eastAsia="Arial Unicode MS" w:hAnsiTheme="majorHAnsi" w:cstheme="majorHAnsi"/>
          <w:i/>
          <w:szCs w:val="20"/>
        </w:rPr>
      </w:pPr>
      <w:r w:rsidRPr="0012136D">
        <w:rPr>
          <w:rFonts w:asciiTheme="majorHAnsi" w:eastAsia="Arial Unicode MS" w:hAnsiTheme="majorHAnsi" w:cstheme="majorHAnsi"/>
          <w:i/>
          <w:szCs w:val="20"/>
        </w:rPr>
        <w:t>D18.3. PhD in Biostatistics, Syllabi and Assessments</w:t>
      </w:r>
    </w:p>
    <w:p w:rsidR="00C81E4F" w:rsidRPr="0012136D" w:rsidRDefault="00C81E4F" w:rsidP="00C81E4F">
      <w:pPr>
        <w:pStyle w:val="ListParagraph"/>
        <w:numPr>
          <w:ilvl w:val="0"/>
          <w:numId w:val="130"/>
        </w:numPr>
        <w:shd w:val="clear" w:color="auto" w:fill="FFFFFF"/>
        <w:rPr>
          <w:rFonts w:asciiTheme="majorHAnsi" w:eastAsia="Arial Unicode MS" w:hAnsiTheme="majorHAnsi" w:cstheme="majorHAnsi"/>
          <w:szCs w:val="20"/>
        </w:rPr>
      </w:pPr>
      <w:r w:rsidRPr="0012136D">
        <w:rPr>
          <w:rFonts w:asciiTheme="majorHAnsi" w:eastAsia="Arial Unicode MS" w:hAnsiTheme="majorHAnsi" w:cstheme="majorHAnsi"/>
          <w:szCs w:val="20"/>
        </w:rPr>
        <w:t>D18.3. PhD in Environmental Health, Environmental Disease Prevention Track, Syllabi and Assessments</w:t>
      </w:r>
    </w:p>
    <w:p w:rsidR="001B4E88" w:rsidRPr="0012136D" w:rsidRDefault="00C81E4F" w:rsidP="00C81E4F">
      <w:pPr>
        <w:pStyle w:val="ListParagraph"/>
        <w:numPr>
          <w:ilvl w:val="0"/>
          <w:numId w:val="130"/>
        </w:numPr>
        <w:shd w:val="clear" w:color="auto" w:fill="FFFFFF"/>
        <w:rPr>
          <w:rFonts w:asciiTheme="majorHAnsi" w:eastAsia="Arial Unicode MS" w:hAnsiTheme="majorHAnsi" w:cstheme="majorHAnsi"/>
          <w:i/>
          <w:szCs w:val="20"/>
        </w:rPr>
      </w:pPr>
      <w:r w:rsidRPr="0012136D">
        <w:rPr>
          <w:rFonts w:asciiTheme="majorHAnsi" w:eastAsia="Arial Unicode MS" w:hAnsiTheme="majorHAnsi" w:cstheme="majorHAnsi"/>
          <w:i/>
          <w:szCs w:val="20"/>
        </w:rPr>
        <w:t>D18.3. PhD in Environmental Health, Total Worker Health Track, Syllabi and Assessments</w:t>
      </w:r>
    </w:p>
    <w:p w:rsidR="001B4E88" w:rsidRPr="0012136D" w:rsidRDefault="00C81E4F" w:rsidP="00C81E4F">
      <w:pPr>
        <w:pStyle w:val="ListParagraph"/>
        <w:numPr>
          <w:ilvl w:val="0"/>
          <w:numId w:val="130"/>
        </w:numPr>
        <w:shd w:val="clear" w:color="auto" w:fill="FFFFFF"/>
        <w:rPr>
          <w:rFonts w:asciiTheme="majorHAnsi" w:eastAsia="Arial Unicode MS" w:hAnsiTheme="majorHAnsi" w:cstheme="majorHAnsi"/>
          <w:i/>
          <w:szCs w:val="20"/>
        </w:rPr>
      </w:pPr>
      <w:r w:rsidRPr="0012136D">
        <w:rPr>
          <w:rFonts w:asciiTheme="majorHAnsi" w:eastAsia="Arial Unicode MS" w:hAnsiTheme="majorHAnsi" w:cstheme="majorHAnsi"/>
          <w:i/>
          <w:szCs w:val="20"/>
        </w:rPr>
        <w:t>D18.3. PhD in Epidemiology, Syllabi and Assessments</w:t>
      </w:r>
    </w:p>
    <w:p w:rsidR="001B4E88" w:rsidRPr="0012136D" w:rsidRDefault="00C81E4F" w:rsidP="00C81E4F">
      <w:pPr>
        <w:pStyle w:val="ListParagraph"/>
        <w:numPr>
          <w:ilvl w:val="0"/>
          <w:numId w:val="130"/>
        </w:numPr>
        <w:shd w:val="clear" w:color="auto" w:fill="FFFFFF"/>
        <w:rPr>
          <w:rFonts w:asciiTheme="majorHAnsi" w:eastAsia="Arial Unicode MS" w:hAnsiTheme="majorHAnsi" w:cstheme="majorHAnsi"/>
          <w:i/>
          <w:szCs w:val="20"/>
        </w:rPr>
      </w:pPr>
      <w:r w:rsidRPr="0012136D">
        <w:rPr>
          <w:rFonts w:asciiTheme="majorHAnsi" w:eastAsia="Arial Unicode MS" w:hAnsiTheme="majorHAnsi" w:cstheme="majorHAnsi"/>
          <w:i/>
          <w:szCs w:val="20"/>
        </w:rPr>
        <w:t>D18.3. PhD in Health Economics and Health Services Research, Syllabi and Assessments</w:t>
      </w:r>
    </w:p>
    <w:p w:rsidR="001B4E88" w:rsidRPr="0012136D" w:rsidRDefault="00C81E4F" w:rsidP="00C81E4F">
      <w:pPr>
        <w:pStyle w:val="ListParagraph"/>
        <w:numPr>
          <w:ilvl w:val="0"/>
          <w:numId w:val="130"/>
        </w:numPr>
        <w:shd w:val="clear" w:color="auto" w:fill="FFFFFF"/>
        <w:rPr>
          <w:rFonts w:asciiTheme="majorHAnsi" w:eastAsia="Arial Unicode MS" w:hAnsiTheme="majorHAnsi" w:cstheme="majorHAnsi"/>
          <w:i/>
          <w:szCs w:val="20"/>
        </w:rPr>
      </w:pPr>
      <w:r w:rsidRPr="0012136D">
        <w:rPr>
          <w:rFonts w:asciiTheme="majorHAnsi" w:eastAsia="Arial Unicode MS" w:hAnsiTheme="majorHAnsi" w:cstheme="majorHAnsi"/>
          <w:i/>
          <w:szCs w:val="20"/>
        </w:rPr>
        <w:t>D18.3. PhD in Healthcare Management and Health Policy, Syllabi and Assessments</w:t>
      </w:r>
    </w:p>
    <w:p w:rsidR="00933038" w:rsidRPr="0012136D" w:rsidRDefault="00933038" w:rsidP="006C308E">
      <w:pPr>
        <w:shd w:val="clear" w:color="auto" w:fill="FFFFFF"/>
        <w:ind w:left="720"/>
        <w:jc w:val="both"/>
        <w:rPr>
          <w:rFonts w:asciiTheme="majorHAnsi" w:eastAsia="Arial Unicode MS" w:hAnsiTheme="majorHAnsi" w:cstheme="majorHAnsi"/>
          <w:sz w:val="20"/>
          <w:szCs w:val="20"/>
        </w:rPr>
      </w:pPr>
    </w:p>
    <w:p w:rsidR="00933038" w:rsidRPr="0012136D" w:rsidRDefault="00933038" w:rsidP="006C308E">
      <w:pPr>
        <w:numPr>
          <w:ilvl w:val="0"/>
          <w:numId w:val="29"/>
        </w:numPr>
        <w:shd w:val="clear" w:color="auto" w:fill="FFFFFF"/>
        <w:contextualSpacing/>
        <w:jc w:val="both"/>
        <w:rPr>
          <w:rFonts w:asciiTheme="majorHAnsi" w:hAnsiTheme="majorHAnsi" w:cstheme="majorHAnsi"/>
          <w:sz w:val="20"/>
          <w:szCs w:val="20"/>
        </w:rPr>
      </w:pPr>
      <w:r w:rsidRPr="0012136D">
        <w:rPr>
          <w:rFonts w:asciiTheme="majorHAnsi" w:eastAsia="Arial Unicode MS" w:hAnsiTheme="majorHAnsi" w:cstheme="majorHAnsi"/>
          <w:sz w:val="20"/>
          <w:szCs w:val="20"/>
        </w:rPr>
        <w:t xml:space="preserve">If applicable, assess strengths and weaknesses related to this criterion and plans for improvement in this area. </w:t>
      </w:r>
    </w:p>
    <w:p w:rsidR="00933038" w:rsidRPr="0012136D" w:rsidRDefault="00933038" w:rsidP="006C308E">
      <w:pPr>
        <w:shd w:val="clear" w:color="auto" w:fill="FFFFFF"/>
        <w:contextualSpacing/>
        <w:jc w:val="both"/>
        <w:rPr>
          <w:rFonts w:asciiTheme="majorHAnsi" w:eastAsia="Arial Unicode MS" w:hAnsiTheme="majorHAnsi" w:cstheme="majorHAnsi"/>
          <w:sz w:val="20"/>
          <w:szCs w:val="20"/>
        </w:rPr>
      </w:pPr>
    </w:p>
    <w:p w:rsidR="001B4E88" w:rsidRPr="0012136D" w:rsidRDefault="00012CB3" w:rsidP="006C308E">
      <w:pPr>
        <w:keepNext/>
        <w:ind w:left="720"/>
        <w:jc w:val="both"/>
        <w:rPr>
          <w:rFonts w:asciiTheme="majorHAnsi" w:eastAsia="Calibri" w:hAnsiTheme="majorHAnsi" w:cstheme="majorHAnsi"/>
          <w:i/>
          <w:sz w:val="20"/>
          <w:szCs w:val="20"/>
        </w:rPr>
      </w:pPr>
      <w:bookmarkStart w:id="116" w:name="_Toc464487885"/>
      <w:bookmarkStart w:id="117" w:name="_Toc7118218"/>
      <w:r w:rsidRPr="0012136D">
        <w:rPr>
          <w:rFonts w:asciiTheme="majorHAnsi" w:hAnsiTheme="majorHAnsi" w:cstheme="majorHAnsi"/>
          <w:i/>
          <w:sz w:val="20"/>
          <w:szCs w:val="20"/>
        </w:rPr>
        <w:t xml:space="preserve">Not applicable. </w:t>
      </w:r>
    </w:p>
    <w:p w:rsidR="008262CC" w:rsidRPr="0012136D" w:rsidRDefault="008262CC" w:rsidP="006C308E">
      <w:pPr>
        <w:rPr>
          <w:rFonts w:asciiTheme="majorHAnsi" w:eastAsia="Arial Unicode MS" w:hAnsiTheme="majorHAnsi" w:cstheme="majorHAnsi"/>
          <w:b/>
          <w:bCs/>
          <w:kern w:val="32"/>
          <w:sz w:val="20"/>
          <w:szCs w:val="20"/>
          <w:lang w:eastAsia="x-none"/>
        </w:rPr>
      </w:pPr>
      <w:r w:rsidRPr="0012136D">
        <w:rPr>
          <w:rFonts w:asciiTheme="majorHAnsi" w:hAnsiTheme="majorHAnsi" w:cstheme="majorHAnsi"/>
          <w:sz w:val="20"/>
          <w:szCs w:val="20"/>
        </w:rPr>
        <w:br w:type="page"/>
      </w:r>
    </w:p>
    <w:p w:rsidR="00933038" w:rsidRPr="00C34E1B" w:rsidRDefault="00933038" w:rsidP="007A68BE">
      <w:pPr>
        <w:pStyle w:val="Heading1"/>
      </w:pPr>
      <w:r w:rsidRPr="00C34E1B">
        <w:t>D19. All Remaining Degrees</w:t>
      </w:r>
      <w:bookmarkEnd w:id="116"/>
      <w:bookmarkEnd w:id="117"/>
    </w:p>
    <w:p w:rsidR="000E7A85" w:rsidRPr="00C34E1B" w:rsidRDefault="000E7A85" w:rsidP="006C308E">
      <w:pPr>
        <w:rPr>
          <w:rFonts w:asciiTheme="majorHAnsi" w:hAnsiTheme="majorHAnsi" w:cstheme="majorHAnsi"/>
          <w:sz w:val="20"/>
          <w:szCs w:val="20"/>
          <w:lang w:eastAsia="x-none"/>
        </w:rPr>
      </w:pPr>
    </w:p>
    <w:p w:rsidR="000D223B" w:rsidRPr="00C34E1B" w:rsidRDefault="000D223B" w:rsidP="006C308E">
      <w:pPr>
        <w:jc w:val="both"/>
        <w:rPr>
          <w:rFonts w:asciiTheme="majorHAnsi" w:hAnsiTheme="majorHAnsi" w:cstheme="majorHAnsi"/>
          <w:i/>
          <w:sz w:val="20"/>
          <w:szCs w:val="20"/>
        </w:rPr>
      </w:pPr>
      <w:r w:rsidRPr="00C34E1B">
        <w:rPr>
          <w:rFonts w:asciiTheme="majorHAnsi" w:hAnsiTheme="majorHAnsi" w:cstheme="majorHAnsi"/>
          <w:i/>
          <w:sz w:val="20"/>
          <w:szCs w:val="20"/>
        </w:rPr>
        <w:t xml:space="preserve">Not applicable. </w:t>
      </w:r>
    </w:p>
    <w:p w:rsidR="00933038" w:rsidRPr="00C34E1B" w:rsidRDefault="00933038" w:rsidP="006C308E">
      <w:pPr>
        <w:rPr>
          <w:rFonts w:asciiTheme="majorHAnsi" w:hAnsiTheme="majorHAnsi" w:cstheme="majorHAnsi"/>
          <w:sz w:val="20"/>
          <w:szCs w:val="20"/>
          <w:lang w:eastAsia="x-none"/>
        </w:rPr>
      </w:pPr>
    </w:p>
    <w:p w:rsidR="00933038" w:rsidRPr="00C34E1B" w:rsidRDefault="00933038" w:rsidP="006C308E">
      <w:pPr>
        <w:shd w:val="clear" w:color="auto" w:fill="FFFFFF"/>
        <w:contextualSpacing/>
        <w:jc w:val="both"/>
        <w:rPr>
          <w:rFonts w:asciiTheme="majorHAnsi" w:hAnsiTheme="majorHAnsi" w:cstheme="majorHAnsi"/>
          <w:sz w:val="20"/>
          <w:szCs w:val="20"/>
        </w:rPr>
      </w:pPr>
    </w:p>
    <w:p w:rsidR="00933038" w:rsidRPr="00C34E1B" w:rsidRDefault="00933038" w:rsidP="006C308E">
      <w:pPr>
        <w:rPr>
          <w:rFonts w:asciiTheme="majorHAnsi" w:eastAsia="Arial Unicode MS" w:hAnsiTheme="majorHAnsi" w:cstheme="majorHAnsi"/>
          <w:b/>
          <w:bCs/>
          <w:kern w:val="32"/>
          <w:sz w:val="20"/>
          <w:szCs w:val="20"/>
          <w:lang w:eastAsia="x-none"/>
        </w:rPr>
      </w:pPr>
      <w:r w:rsidRPr="00C34E1B">
        <w:rPr>
          <w:rFonts w:asciiTheme="majorHAnsi" w:hAnsiTheme="majorHAnsi" w:cstheme="majorHAnsi"/>
          <w:sz w:val="20"/>
          <w:szCs w:val="20"/>
        </w:rPr>
        <w:br w:type="page"/>
      </w:r>
    </w:p>
    <w:p w:rsidR="00933038" w:rsidRPr="00C34E1B" w:rsidRDefault="00933038" w:rsidP="007A68BE">
      <w:pPr>
        <w:pStyle w:val="Heading1"/>
      </w:pPr>
      <w:bookmarkStart w:id="118" w:name="_Toc7118219"/>
      <w:r w:rsidRPr="00C34E1B">
        <w:t>D20. Dis</w:t>
      </w:r>
      <w:r w:rsidR="00E4250B" w:rsidRPr="00C34E1B">
        <w:t>tance Education</w:t>
      </w:r>
      <w:bookmarkEnd w:id="118"/>
    </w:p>
    <w:p w:rsidR="00933038" w:rsidRPr="00C34E1B" w:rsidRDefault="00933038" w:rsidP="006C308E">
      <w:pPr>
        <w:shd w:val="clear" w:color="auto" w:fill="FFFFFF"/>
        <w:jc w:val="both"/>
        <w:rPr>
          <w:rFonts w:asciiTheme="majorHAnsi" w:eastAsia="Arial Unicode MS" w:hAnsiTheme="majorHAnsi" w:cstheme="majorHAnsi"/>
          <w:b/>
          <w:sz w:val="20"/>
          <w:szCs w:val="20"/>
        </w:rPr>
      </w:pPr>
    </w:p>
    <w:p w:rsidR="00933038" w:rsidRPr="00C34E1B" w:rsidRDefault="00933038" w:rsidP="006C308E">
      <w:pPr>
        <w:shd w:val="clear" w:color="auto" w:fill="FFFFFF"/>
        <w:jc w:val="both"/>
        <w:rPr>
          <w:rFonts w:asciiTheme="majorHAnsi" w:eastAsia="Arial Unicode MS" w:hAnsiTheme="majorHAnsi" w:cstheme="majorHAnsi"/>
          <w:b/>
          <w:sz w:val="20"/>
          <w:szCs w:val="20"/>
        </w:rPr>
      </w:pPr>
      <w:r w:rsidRPr="00C34E1B">
        <w:rPr>
          <w:rFonts w:asciiTheme="majorHAnsi" w:eastAsia="Arial Unicode MS" w:hAnsiTheme="majorHAnsi" w:cstheme="majorHAnsi"/>
          <w:b/>
          <w:sz w:val="20"/>
          <w:szCs w:val="20"/>
        </w:rPr>
        <w:t>The university provides needed support for the school, including administrative, communication, information technology and student services.</w:t>
      </w:r>
    </w:p>
    <w:p w:rsidR="00933038" w:rsidRPr="00C34E1B" w:rsidRDefault="00933038" w:rsidP="006C308E">
      <w:pPr>
        <w:shd w:val="clear" w:color="auto" w:fill="FFFFFF"/>
        <w:jc w:val="both"/>
        <w:rPr>
          <w:rFonts w:asciiTheme="majorHAnsi" w:eastAsia="Arial Unicode MS" w:hAnsiTheme="majorHAnsi" w:cstheme="majorHAnsi"/>
          <w:b/>
          <w:sz w:val="20"/>
          <w:szCs w:val="20"/>
        </w:rPr>
      </w:pPr>
    </w:p>
    <w:p w:rsidR="00933038" w:rsidRPr="00C34E1B" w:rsidRDefault="00933038" w:rsidP="006C308E">
      <w:pPr>
        <w:shd w:val="clear" w:color="auto" w:fill="FFFFFF"/>
        <w:jc w:val="both"/>
        <w:rPr>
          <w:rFonts w:asciiTheme="majorHAnsi" w:eastAsia="Arial Unicode MS" w:hAnsiTheme="majorHAnsi" w:cstheme="majorHAnsi"/>
          <w:b/>
          <w:sz w:val="20"/>
          <w:szCs w:val="20"/>
        </w:rPr>
      </w:pPr>
      <w:r w:rsidRPr="00C34E1B">
        <w:rPr>
          <w:rFonts w:asciiTheme="majorHAnsi" w:eastAsia="Arial Unicode MS" w:hAnsiTheme="majorHAnsi" w:cstheme="majorHAnsi"/>
          <w:b/>
          <w:sz w:val="20"/>
          <w:szCs w:val="20"/>
        </w:rPr>
        <w:t xml:space="preserve">There is an ongoing effort to evaluate the academic effectiveness of the format, to assess learning methods and to systematically use this information to stimulate school improvements. Evaluation of student outcomes and of the learning model are especially important in institutions that offer distance learning but do not offer a comparable in-residence school. </w:t>
      </w:r>
    </w:p>
    <w:p w:rsidR="00933038" w:rsidRPr="00C34E1B" w:rsidRDefault="00933038" w:rsidP="006C308E">
      <w:pPr>
        <w:shd w:val="clear" w:color="auto" w:fill="FFFFFF"/>
        <w:jc w:val="both"/>
        <w:rPr>
          <w:rFonts w:asciiTheme="majorHAnsi" w:eastAsia="Arial Unicode MS" w:hAnsiTheme="majorHAnsi" w:cstheme="majorHAnsi"/>
          <w:sz w:val="20"/>
          <w:szCs w:val="20"/>
        </w:rPr>
      </w:pPr>
    </w:p>
    <w:p w:rsidR="00933038" w:rsidRPr="00C34E1B" w:rsidRDefault="00933038" w:rsidP="006C308E">
      <w:pPr>
        <w:numPr>
          <w:ilvl w:val="0"/>
          <w:numId w:val="30"/>
        </w:numPr>
        <w:shd w:val="clear" w:color="auto" w:fill="FFFFFF"/>
        <w:jc w:val="both"/>
        <w:rPr>
          <w:rFonts w:asciiTheme="majorHAnsi" w:eastAsia="Arial Unicode MS" w:hAnsiTheme="majorHAnsi" w:cstheme="majorHAnsi"/>
          <w:sz w:val="20"/>
          <w:szCs w:val="20"/>
        </w:rPr>
      </w:pPr>
      <w:r w:rsidRPr="00C34E1B">
        <w:rPr>
          <w:rFonts w:asciiTheme="majorHAnsi" w:eastAsia="Arial Unicode MS" w:hAnsiTheme="majorHAnsi" w:cstheme="majorHAnsi"/>
          <w:sz w:val="20"/>
          <w:szCs w:val="20"/>
        </w:rPr>
        <w:t xml:space="preserve">Identify all public health distance education degree </w:t>
      </w:r>
      <w:r w:rsidR="00121982" w:rsidRPr="00C34E1B">
        <w:rPr>
          <w:rFonts w:asciiTheme="majorHAnsi" w:eastAsia="Arial Unicode MS" w:hAnsiTheme="majorHAnsi" w:cstheme="majorHAnsi"/>
          <w:sz w:val="20"/>
          <w:szCs w:val="20"/>
        </w:rPr>
        <w:t>programs</w:t>
      </w:r>
      <w:r w:rsidRPr="00C34E1B">
        <w:rPr>
          <w:rFonts w:asciiTheme="majorHAnsi" w:eastAsia="Arial Unicode MS" w:hAnsiTheme="majorHAnsi" w:cstheme="majorHAnsi"/>
          <w:sz w:val="20"/>
          <w:szCs w:val="20"/>
        </w:rPr>
        <w:t xml:space="preserve"> and/or concentrations that offer a curriculum or course of study that can be obtained via distance education. Template Intro</w:t>
      </w:r>
      <w:r w:rsidRPr="00C34E1B">
        <w:rPr>
          <w:rFonts w:asciiTheme="majorHAnsi" w:eastAsia="Arial Unicode MS" w:hAnsiTheme="majorHAnsi" w:cstheme="majorHAnsi"/>
          <w:sz w:val="20"/>
          <w:szCs w:val="20"/>
        </w:rPr>
        <w:noBreakHyphen/>
        <w:t>1 may be referenced for this purpose.</w:t>
      </w:r>
    </w:p>
    <w:p w:rsidR="00933038" w:rsidRPr="00C34E1B" w:rsidRDefault="00933038" w:rsidP="006C308E">
      <w:pPr>
        <w:shd w:val="clear" w:color="auto" w:fill="FFFFFF"/>
        <w:jc w:val="both"/>
        <w:rPr>
          <w:rFonts w:asciiTheme="majorHAnsi" w:eastAsia="Arial Unicode MS" w:hAnsiTheme="majorHAnsi" w:cstheme="majorHAnsi"/>
          <w:sz w:val="20"/>
          <w:szCs w:val="20"/>
        </w:rPr>
      </w:pPr>
    </w:p>
    <w:p w:rsidR="00AF3786" w:rsidRPr="00C34E1B" w:rsidRDefault="00AF3786" w:rsidP="006C308E">
      <w:pPr>
        <w:shd w:val="clear" w:color="auto" w:fill="FFFFFF"/>
        <w:ind w:left="720"/>
        <w:jc w:val="both"/>
        <w:rPr>
          <w:rFonts w:asciiTheme="majorHAnsi" w:hAnsiTheme="majorHAnsi" w:cstheme="majorHAnsi"/>
          <w:iCs/>
          <w:sz w:val="20"/>
          <w:szCs w:val="20"/>
        </w:rPr>
      </w:pPr>
      <w:r w:rsidRPr="00C34E1B">
        <w:rPr>
          <w:rFonts w:asciiTheme="majorHAnsi" w:hAnsiTheme="majorHAnsi" w:cstheme="majorHAnsi"/>
          <w:iCs/>
          <w:sz w:val="20"/>
          <w:szCs w:val="20"/>
        </w:rPr>
        <w:t>UTHealth SPH is offering an online MPH degree in epidemiology beginning fall 2019. The degree planner, required credi</w:t>
      </w:r>
      <w:r w:rsidR="004F72C7" w:rsidRPr="00C34E1B">
        <w:rPr>
          <w:rFonts w:asciiTheme="majorHAnsi" w:hAnsiTheme="majorHAnsi" w:cstheme="majorHAnsi"/>
          <w:iCs/>
          <w:sz w:val="20"/>
          <w:szCs w:val="20"/>
        </w:rPr>
        <w:t>ts, and required courses mirror</w:t>
      </w:r>
      <w:r w:rsidRPr="00C34E1B">
        <w:rPr>
          <w:rFonts w:asciiTheme="majorHAnsi" w:hAnsiTheme="majorHAnsi" w:cstheme="majorHAnsi"/>
          <w:iCs/>
          <w:sz w:val="20"/>
          <w:szCs w:val="20"/>
        </w:rPr>
        <w:t xml:space="preserve"> the in-person MPH degree in epidemiology</w:t>
      </w:r>
      <w:r w:rsidR="004F72C7" w:rsidRPr="00C34E1B">
        <w:rPr>
          <w:rFonts w:asciiTheme="majorHAnsi" w:hAnsiTheme="majorHAnsi" w:cstheme="majorHAnsi"/>
          <w:iCs/>
          <w:sz w:val="20"/>
          <w:szCs w:val="20"/>
        </w:rPr>
        <w:t xml:space="preserve"> (see </w:t>
      </w:r>
      <w:hyperlink w:anchor="_D4._MPH_&amp;_1" w:history="1">
        <w:r w:rsidR="00612335" w:rsidRPr="006E28EE">
          <w:rPr>
            <w:rStyle w:val="Hyperlink"/>
            <w:rFonts w:asciiTheme="majorHAnsi" w:hAnsiTheme="majorHAnsi" w:cstheme="majorHAnsi"/>
            <w:i/>
            <w:iCs/>
            <w:sz w:val="20"/>
            <w:szCs w:val="20"/>
          </w:rPr>
          <w:t>Criterion D4 MPH Concentration Competencies</w:t>
        </w:r>
      </w:hyperlink>
      <w:r w:rsidR="004F72C7" w:rsidRPr="00C34E1B">
        <w:rPr>
          <w:rFonts w:asciiTheme="majorHAnsi" w:hAnsiTheme="majorHAnsi" w:cstheme="majorHAnsi"/>
          <w:iCs/>
          <w:sz w:val="20"/>
          <w:szCs w:val="20"/>
        </w:rPr>
        <w:t>)</w:t>
      </w:r>
      <w:r w:rsidRPr="00C34E1B">
        <w:rPr>
          <w:rFonts w:asciiTheme="majorHAnsi" w:hAnsiTheme="majorHAnsi" w:cstheme="majorHAnsi"/>
          <w:iCs/>
          <w:sz w:val="20"/>
          <w:szCs w:val="20"/>
        </w:rPr>
        <w:t xml:space="preserve">. </w:t>
      </w:r>
    </w:p>
    <w:p w:rsidR="00933038" w:rsidRPr="00C34E1B" w:rsidRDefault="00933038" w:rsidP="006C308E">
      <w:pPr>
        <w:shd w:val="clear" w:color="auto" w:fill="FFFFFF"/>
        <w:ind w:left="720"/>
        <w:jc w:val="both"/>
        <w:rPr>
          <w:rFonts w:asciiTheme="majorHAnsi" w:eastAsia="Arial Unicode MS" w:hAnsiTheme="majorHAnsi" w:cstheme="majorHAnsi"/>
          <w:sz w:val="20"/>
          <w:szCs w:val="20"/>
        </w:rPr>
      </w:pPr>
    </w:p>
    <w:p w:rsidR="00C10DCA" w:rsidRPr="00C34E1B" w:rsidRDefault="00933038" w:rsidP="006C308E">
      <w:pPr>
        <w:numPr>
          <w:ilvl w:val="0"/>
          <w:numId w:val="30"/>
        </w:numPr>
        <w:shd w:val="clear" w:color="auto" w:fill="FFFFFF"/>
        <w:jc w:val="both"/>
        <w:rPr>
          <w:rFonts w:asciiTheme="majorHAnsi" w:eastAsia="Arial Unicode MS" w:hAnsiTheme="majorHAnsi" w:cstheme="majorHAnsi"/>
          <w:sz w:val="20"/>
          <w:szCs w:val="20"/>
        </w:rPr>
      </w:pPr>
      <w:r w:rsidRPr="00C34E1B">
        <w:rPr>
          <w:rFonts w:asciiTheme="majorHAnsi" w:eastAsia="Arial Unicode MS" w:hAnsiTheme="majorHAnsi" w:cstheme="majorHAnsi"/>
          <w:sz w:val="20"/>
          <w:szCs w:val="20"/>
        </w:rPr>
        <w:t xml:space="preserve">Describe the public health distance education </w:t>
      </w:r>
      <w:r w:rsidR="00F03B35" w:rsidRPr="00C34E1B">
        <w:rPr>
          <w:rFonts w:asciiTheme="majorHAnsi" w:eastAsia="Arial Unicode MS" w:hAnsiTheme="majorHAnsi" w:cstheme="majorHAnsi"/>
          <w:sz w:val="20"/>
          <w:szCs w:val="20"/>
        </w:rPr>
        <w:t>programs</w:t>
      </w:r>
      <w:r w:rsidRPr="00C34E1B">
        <w:rPr>
          <w:rFonts w:asciiTheme="majorHAnsi" w:eastAsia="Arial Unicode MS" w:hAnsiTheme="majorHAnsi" w:cstheme="majorHAnsi"/>
          <w:sz w:val="20"/>
          <w:szCs w:val="20"/>
        </w:rPr>
        <w:t xml:space="preserve">, including </w:t>
      </w:r>
    </w:p>
    <w:p w:rsidR="00C10DCA" w:rsidRPr="00C34E1B" w:rsidRDefault="00C10DCA" w:rsidP="006C308E">
      <w:pPr>
        <w:shd w:val="clear" w:color="auto" w:fill="FFFFFF"/>
        <w:ind w:left="720"/>
        <w:jc w:val="both"/>
        <w:rPr>
          <w:rFonts w:asciiTheme="majorHAnsi" w:eastAsia="Arial Unicode MS" w:hAnsiTheme="majorHAnsi" w:cstheme="majorHAnsi"/>
          <w:sz w:val="20"/>
          <w:szCs w:val="20"/>
        </w:rPr>
      </w:pPr>
    </w:p>
    <w:p w:rsidR="00C10DCA" w:rsidRPr="00C34E1B" w:rsidRDefault="00933038" w:rsidP="006C308E">
      <w:pPr>
        <w:pStyle w:val="ListParagraph"/>
        <w:numPr>
          <w:ilvl w:val="0"/>
          <w:numId w:val="52"/>
        </w:numPr>
        <w:shd w:val="clear" w:color="auto" w:fill="FFFFFF"/>
        <w:ind w:left="1260"/>
        <w:jc w:val="both"/>
        <w:rPr>
          <w:rFonts w:asciiTheme="majorHAnsi" w:eastAsia="Arial Unicode MS" w:hAnsiTheme="majorHAnsi" w:cstheme="majorHAnsi"/>
          <w:szCs w:val="20"/>
        </w:rPr>
      </w:pPr>
      <w:r w:rsidRPr="00C34E1B">
        <w:rPr>
          <w:rFonts w:asciiTheme="majorHAnsi" w:eastAsia="Arial Unicode MS" w:hAnsiTheme="majorHAnsi" w:cstheme="majorHAnsi"/>
          <w:szCs w:val="20"/>
        </w:rPr>
        <w:t>an explanatio</w:t>
      </w:r>
      <w:r w:rsidR="00E4250B" w:rsidRPr="00C34E1B">
        <w:rPr>
          <w:rFonts w:asciiTheme="majorHAnsi" w:eastAsia="Arial Unicode MS" w:hAnsiTheme="majorHAnsi" w:cstheme="majorHAnsi"/>
          <w:szCs w:val="20"/>
        </w:rPr>
        <w:t>n of the model or methods used,</w:t>
      </w:r>
    </w:p>
    <w:p w:rsidR="00E4250B" w:rsidRPr="00C34E1B" w:rsidRDefault="00E4250B" w:rsidP="006C308E">
      <w:pPr>
        <w:pStyle w:val="ListParagraph"/>
        <w:shd w:val="clear" w:color="auto" w:fill="FFFFFF"/>
        <w:ind w:left="1260"/>
        <w:jc w:val="both"/>
        <w:rPr>
          <w:rFonts w:asciiTheme="majorHAnsi" w:eastAsia="Arial Unicode MS" w:hAnsiTheme="majorHAnsi" w:cstheme="majorHAnsi"/>
          <w:szCs w:val="20"/>
        </w:rPr>
      </w:pPr>
    </w:p>
    <w:p w:rsidR="00AF3786" w:rsidRPr="00C34E1B" w:rsidRDefault="00AF3786" w:rsidP="006C308E">
      <w:pPr>
        <w:ind w:left="1440" w:hanging="180"/>
        <w:rPr>
          <w:rFonts w:asciiTheme="majorHAnsi" w:hAnsiTheme="majorHAnsi" w:cstheme="majorHAnsi"/>
          <w:iCs/>
          <w:sz w:val="20"/>
          <w:szCs w:val="20"/>
        </w:rPr>
      </w:pPr>
      <w:r w:rsidRPr="00C34E1B">
        <w:rPr>
          <w:rFonts w:asciiTheme="majorHAnsi" w:eastAsia="Times New Roman" w:hAnsiTheme="majorHAnsi" w:cstheme="majorHAnsi"/>
          <w:sz w:val="20"/>
          <w:szCs w:val="20"/>
        </w:rPr>
        <w:t>The online program will be the exact program already offered and accredited by CEPH:</w:t>
      </w:r>
    </w:p>
    <w:p w:rsidR="00AF3786" w:rsidRPr="00C34E1B" w:rsidRDefault="00AF3786" w:rsidP="006C308E">
      <w:pPr>
        <w:pStyle w:val="ListParagraph"/>
        <w:numPr>
          <w:ilvl w:val="0"/>
          <w:numId w:val="136"/>
        </w:numPr>
        <w:shd w:val="clear" w:color="auto" w:fill="FFFFFF"/>
        <w:rPr>
          <w:rFonts w:asciiTheme="majorHAnsi" w:hAnsiTheme="majorHAnsi" w:cstheme="majorHAnsi"/>
          <w:iCs/>
          <w:szCs w:val="20"/>
        </w:rPr>
      </w:pPr>
      <w:r w:rsidRPr="00C34E1B">
        <w:rPr>
          <w:rFonts w:asciiTheme="majorHAnsi" w:hAnsiTheme="majorHAnsi" w:cstheme="majorHAnsi"/>
          <w:iCs/>
          <w:szCs w:val="20"/>
        </w:rPr>
        <w:t>The application process for this program is the same as the in-person program</w:t>
      </w:r>
    </w:p>
    <w:p w:rsidR="00AF3786" w:rsidRPr="00C34E1B" w:rsidRDefault="00AF3786" w:rsidP="006C308E">
      <w:pPr>
        <w:pStyle w:val="ListParagraph"/>
        <w:numPr>
          <w:ilvl w:val="0"/>
          <w:numId w:val="136"/>
        </w:numPr>
        <w:shd w:val="clear" w:color="auto" w:fill="FFFFFF"/>
        <w:rPr>
          <w:rFonts w:asciiTheme="majorHAnsi" w:hAnsiTheme="majorHAnsi" w:cstheme="majorHAnsi"/>
          <w:iCs/>
          <w:szCs w:val="20"/>
        </w:rPr>
      </w:pPr>
      <w:r w:rsidRPr="00C34E1B">
        <w:rPr>
          <w:rFonts w:asciiTheme="majorHAnsi" w:hAnsiTheme="majorHAnsi" w:cstheme="majorHAnsi"/>
          <w:iCs/>
          <w:szCs w:val="20"/>
        </w:rPr>
        <w:t>The admissions requirements are the same as the in-person program</w:t>
      </w:r>
    </w:p>
    <w:p w:rsidR="00AF3786" w:rsidRPr="00C34E1B" w:rsidRDefault="00AF3786" w:rsidP="006C308E">
      <w:pPr>
        <w:pStyle w:val="ListParagraph"/>
        <w:numPr>
          <w:ilvl w:val="0"/>
          <w:numId w:val="136"/>
        </w:numPr>
        <w:shd w:val="clear" w:color="auto" w:fill="FFFFFF"/>
        <w:rPr>
          <w:rFonts w:asciiTheme="majorHAnsi" w:hAnsiTheme="majorHAnsi" w:cstheme="majorHAnsi"/>
          <w:iCs/>
          <w:szCs w:val="20"/>
        </w:rPr>
      </w:pPr>
      <w:r w:rsidRPr="00C34E1B">
        <w:rPr>
          <w:rFonts w:asciiTheme="majorHAnsi" w:hAnsiTheme="majorHAnsi" w:cstheme="majorHAnsi"/>
          <w:iCs/>
          <w:szCs w:val="20"/>
        </w:rPr>
        <w:t>Class registration timeline and processes are the same as the in-person program</w:t>
      </w:r>
    </w:p>
    <w:p w:rsidR="00AF3786" w:rsidRPr="00C34E1B" w:rsidRDefault="00AF3786" w:rsidP="006C308E">
      <w:pPr>
        <w:pStyle w:val="ListParagraph"/>
        <w:numPr>
          <w:ilvl w:val="0"/>
          <w:numId w:val="136"/>
        </w:numPr>
        <w:shd w:val="clear" w:color="auto" w:fill="FFFFFF"/>
        <w:rPr>
          <w:rFonts w:asciiTheme="majorHAnsi" w:hAnsiTheme="majorHAnsi" w:cstheme="majorHAnsi"/>
          <w:iCs/>
          <w:szCs w:val="20"/>
        </w:rPr>
      </w:pPr>
      <w:r w:rsidRPr="00C34E1B">
        <w:rPr>
          <w:rFonts w:asciiTheme="majorHAnsi" w:hAnsiTheme="majorHAnsi" w:cstheme="majorHAnsi"/>
          <w:iCs/>
          <w:szCs w:val="20"/>
        </w:rPr>
        <w:t>The course objectives, learning outcomes, and rigor are the same as the in-person program</w:t>
      </w:r>
    </w:p>
    <w:p w:rsidR="00AF3786" w:rsidRPr="00C34E1B" w:rsidRDefault="00AF3786" w:rsidP="006C308E">
      <w:pPr>
        <w:pStyle w:val="ListParagraph"/>
        <w:numPr>
          <w:ilvl w:val="0"/>
          <w:numId w:val="136"/>
        </w:numPr>
        <w:shd w:val="clear" w:color="auto" w:fill="FFFFFF"/>
        <w:rPr>
          <w:rFonts w:asciiTheme="majorHAnsi" w:hAnsiTheme="majorHAnsi" w:cstheme="majorHAnsi"/>
          <w:iCs/>
          <w:szCs w:val="20"/>
        </w:rPr>
      </w:pPr>
      <w:r w:rsidRPr="00C34E1B">
        <w:rPr>
          <w:rFonts w:asciiTheme="majorHAnsi" w:hAnsiTheme="majorHAnsi" w:cstheme="majorHAnsi"/>
          <w:iCs/>
          <w:szCs w:val="20"/>
        </w:rPr>
        <w:t>Course assessments are the same or very similar as the in-person program</w:t>
      </w:r>
    </w:p>
    <w:p w:rsidR="00AF3786" w:rsidRPr="00C34E1B" w:rsidRDefault="00AF3786" w:rsidP="006C308E">
      <w:pPr>
        <w:pStyle w:val="ListParagraph"/>
        <w:numPr>
          <w:ilvl w:val="0"/>
          <w:numId w:val="136"/>
        </w:numPr>
        <w:shd w:val="clear" w:color="auto" w:fill="FFFFFF"/>
        <w:rPr>
          <w:rFonts w:asciiTheme="majorHAnsi" w:hAnsiTheme="majorHAnsi" w:cstheme="majorHAnsi"/>
          <w:iCs/>
          <w:szCs w:val="20"/>
        </w:rPr>
      </w:pPr>
      <w:r w:rsidRPr="00C34E1B">
        <w:rPr>
          <w:rFonts w:asciiTheme="majorHAnsi" w:hAnsiTheme="majorHAnsi" w:cstheme="majorHAnsi"/>
          <w:iCs/>
          <w:szCs w:val="20"/>
        </w:rPr>
        <w:t>The learning management system, Canvas, used for the online program is the same as the in-person program</w:t>
      </w:r>
    </w:p>
    <w:p w:rsidR="00AF3786" w:rsidRPr="00C34E1B" w:rsidRDefault="00AF3786" w:rsidP="006C308E">
      <w:pPr>
        <w:shd w:val="clear" w:color="auto" w:fill="FFFFFF"/>
        <w:ind w:left="1260"/>
        <w:rPr>
          <w:rFonts w:asciiTheme="majorHAnsi" w:hAnsiTheme="majorHAnsi" w:cstheme="majorHAnsi"/>
          <w:iCs/>
          <w:sz w:val="20"/>
          <w:szCs w:val="20"/>
        </w:rPr>
      </w:pPr>
    </w:p>
    <w:p w:rsidR="00AF3786" w:rsidRPr="00C34E1B" w:rsidRDefault="00AF3786" w:rsidP="006C308E">
      <w:pPr>
        <w:shd w:val="clear" w:color="auto" w:fill="FFFFFF"/>
        <w:ind w:left="1260"/>
        <w:rPr>
          <w:rFonts w:asciiTheme="majorHAnsi" w:hAnsiTheme="majorHAnsi" w:cstheme="majorHAnsi"/>
          <w:iCs/>
          <w:sz w:val="20"/>
          <w:szCs w:val="20"/>
        </w:rPr>
      </w:pPr>
      <w:r w:rsidRPr="00C34E1B">
        <w:rPr>
          <w:rFonts w:asciiTheme="majorHAnsi" w:hAnsiTheme="majorHAnsi" w:cstheme="majorHAnsi"/>
          <w:iCs/>
          <w:sz w:val="20"/>
          <w:szCs w:val="20"/>
        </w:rPr>
        <w:t>Student</w:t>
      </w:r>
      <w:r w:rsidR="00382EA3" w:rsidRPr="00C34E1B">
        <w:rPr>
          <w:rFonts w:asciiTheme="majorHAnsi" w:hAnsiTheme="majorHAnsi" w:cstheme="majorHAnsi"/>
          <w:iCs/>
          <w:sz w:val="20"/>
          <w:szCs w:val="20"/>
        </w:rPr>
        <w:t>s</w:t>
      </w:r>
      <w:r w:rsidRPr="00C34E1B">
        <w:rPr>
          <w:rFonts w:asciiTheme="majorHAnsi" w:hAnsiTheme="majorHAnsi" w:cstheme="majorHAnsi"/>
          <w:iCs/>
          <w:sz w:val="20"/>
          <w:szCs w:val="20"/>
        </w:rPr>
        <w:t xml:space="preserve"> enrolled in the online program will be taking online classes with students who are enrolled in in-person degree programs.</w:t>
      </w:r>
    </w:p>
    <w:p w:rsidR="00E4250B" w:rsidRPr="00C34E1B" w:rsidRDefault="00E4250B" w:rsidP="006C308E">
      <w:pPr>
        <w:pStyle w:val="ListParagraph"/>
        <w:shd w:val="clear" w:color="auto" w:fill="FFFFFF"/>
        <w:ind w:left="1260"/>
        <w:rPr>
          <w:rFonts w:asciiTheme="majorHAnsi" w:eastAsia="Arial Unicode MS" w:hAnsiTheme="majorHAnsi" w:cstheme="majorHAnsi"/>
          <w:szCs w:val="20"/>
        </w:rPr>
      </w:pPr>
    </w:p>
    <w:p w:rsidR="00C10DCA" w:rsidRPr="00C34E1B" w:rsidRDefault="00933038" w:rsidP="006C308E">
      <w:pPr>
        <w:pStyle w:val="ListParagraph"/>
        <w:numPr>
          <w:ilvl w:val="0"/>
          <w:numId w:val="52"/>
        </w:numPr>
        <w:shd w:val="clear" w:color="auto" w:fill="FFFFFF"/>
        <w:ind w:left="1260"/>
        <w:rPr>
          <w:rFonts w:asciiTheme="majorHAnsi" w:eastAsia="Arial Unicode MS" w:hAnsiTheme="majorHAnsi" w:cstheme="majorHAnsi"/>
          <w:szCs w:val="20"/>
        </w:rPr>
      </w:pPr>
      <w:r w:rsidRPr="00C34E1B">
        <w:rPr>
          <w:rFonts w:asciiTheme="majorHAnsi" w:eastAsia="Arial Unicode MS" w:hAnsiTheme="majorHAnsi" w:cstheme="majorHAnsi"/>
          <w:szCs w:val="20"/>
        </w:rPr>
        <w:t xml:space="preserve">the school’s rationale for offering these </w:t>
      </w:r>
      <w:r w:rsidR="00F03B35" w:rsidRPr="00C34E1B">
        <w:rPr>
          <w:rFonts w:asciiTheme="majorHAnsi" w:eastAsia="Arial Unicode MS" w:hAnsiTheme="majorHAnsi" w:cstheme="majorHAnsi"/>
          <w:szCs w:val="20"/>
        </w:rPr>
        <w:t>programs</w:t>
      </w:r>
      <w:r w:rsidR="00E4250B" w:rsidRPr="00C34E1B">
        <w:rPr>
          <w:rFonts w:asciiTheme="majorHAnsi" w:eastAsia="Arial Unicode MS" w:hAnsiTheme="majorHAnsi" w:cstheme="majorHAnsi"/>
          <w:szCs w:val="20"/>
        </w:rPr>
        <w:t>,</w:t>
      </w:r>
    </w:p>
    <w:p w:rsidR="00E4250B" w:rsidRPr="00C34E1B" w:rsidRDefault="00E4250B" w:rsidP="006C308E">
      <w:pPr>
        <w:pStyle w:val="ListParagraph"/>
        <w:shd w:val="clear" w:color="auto" w:fill="FFFFFF"/>
        <w:ind w:left="1260"/>
        <w:rPr>
          <w:rFonts w:asciiTheme="majorHAnsi" w:eastAsia="Arial Unicode MS" w:hAnsiTheme="majorHAnsi" w:cstheme="majorHAnsi"/>
          <w:szCs w:val="20"/>
        </w:rPr>
      </w:pPr>
    </w:p>
    <w:p w:rsidR="00E4250B" w:rsidRPr="00C34E1B" w:rsidRDefault="00AF3786" w:rsidP="006C308E">
      <w:pPr>
        <w:shd w:val="clear" w:color="auto" w:fill="FFFFFF"/>
        <w:ind w:left="1260"/>
        <w:rPr>
          <w:rFonts w:asciiTheme="majorHAnsi" w:hAnsiTheme="majorHAnsi" w:cstheme="majorHAnsi"/>
          <w:sz w:val="20"/>
          <w:szCs w:val="20"/>
        </w:rPr>
      </w:pPr>
      <w:r w:rsidRPr="00C34E1B">
        <w:rPr>
          <w:rFonts w:asciiTheme="majorHAnsi" w:hAnsiTheme="majorHAnsi" w:cstheme="majorHAnsi"/>
          <w:sz w:val="20"/>
          <w:szCs w:val="20"/>
        </w:rPr>
        <w:t>This program was designed for health professionals as the primary audience who are busy and in need of a more flexible class schedule. This program provides exceptional rigor and affords students to interact with student enrolled in all programs.</w:t>
      </w:r>
    </w:p>
    <w:p w:rsidR="00AF3786" w:rsidRPr="00C34E1B" w:rsidRDefault="00AF3786" w:rsidP="006C308E">
      <w:pPr>
        <w:shd w:val="clear" w:color="auto" w:fill="FFFFFF"/>
        <w:ind w:left="1080"/>
        <w:rPr>
          <w:rFonts w:asciiTheme="majorHAnsi" w:eastAsia="Arial Unicode MS" w:hAnsiTheme="majorHAnsi" w:cstheme="majorHAnsi"/>
          <w:sz w:val="20"/>
          <w:szCs w:val="20"/>
        </w:rPr>
      </w:pPr>
    </w:p>
    <w:p w:rsidR="00C10DCA" w:rsidRPr="00C34E1B" w:rsidRDefault="00933038" w:rsidP="006C308E">
      <w:pPr>
        <w:pStyle w:val="ListParagraph"/>
        <w:numPr>
          <w:ilvl w:val="0"/>
          <w:numId w:val="52"/>
        </w:numPr>
        <w:shd w:val="clear" w:color="auto" w:fill="FFFFFF"/>
        <w:ind w:left="1260"/>
        <w:rPr>
          <w:rFonts w:asciiTheme="majorHAnsi" w:eastAsia="Arial Unicode MS" w:hAnsiTheme="majorHAnsi" w:cstheme="majorHAnsi"/>
          <w:szCs w:val="20"/>
        </w:rPr>
      </w:pPr>
      <w:r w:rsidRPr="00C34E1B">
        <w:rPr>
          <w:rFonts w:asciiTheme="majorHAnsi" w:eastAsia="Arial Unicode MS" w:hAnsiTheme="majorHAnsi" w:cstheme="majorHAnsi"/>
          <w:szCs w:val="20"/>
        </w:rPr>
        <w:t>the manner in which it provides necessary administrative, information technolog</w:t>
      </w:r>
      <w:r w:rsidR="00E4250B" w:rsidRPr="00C34E1B">
        <w:rPr>
          <w:rFonts w:asciiTheme="majorHAnsi" w:eastAsia="Arial Unicode MS" w:hAnsiTheme="majorHAnsi" w:cstheme="majorHAnsi"/>
          <w:szCs w:val="20"/>
        </w:rPr>
        <w:t>y and student support services,</w:t>
      </w:r>
    </w:p>
    <w:p w:rsidR="00E4250B" w:rsidRPr="00C34E1B" w:rsidRDefault="00E4250B" w:rsidP="006C308E">
      <w:pPr>
        <w:pStyle w:val="ListParagraph"/>
        <w:shd w:val="clear" w:color="auto" w:fill="FFFFFF"/>
        <w:ind w:left="1260"/>
        <w:rPr>
          <w:rFonts w:asciiTheme="majorHAnsi" w:eastAsia="Arial Unicode MS" w:hAnsiTheme="majorHAnsi" w:cstheme="majorHAnsi"/>
          <w:szCs w:val="20"/>
        </w:rPr>
      </w:pPr>
    </w:p>
    <w:p w:rsidR="00AF3786" w:rsidRPr="00C34E1B" w:rsidRDefault="00AF3786" w:rsidP="006C308E">
      <w:pPr>
        <w:shd w:val="clear" w:color="auto" w:fill="FFFFFF"/>
        <w:ind w:left="1260"/>
        <w:rPr>
          <w:rFonts w:asciiTheme="majorHAnsi" w:hAnsiTheme="majorHAnsi" w:cstheme="majorHAnsi"/>
          <w:iCs/>
          <w:sz w:val="20"/>
          <w:szCs w:val="20"/>
        </w:rPr>
      </w:pPr>
      <w:r w:rsidRPr="00C34E1B">
        <w:rPr>
          <w:rFonts w:asciiTheme="majorHAnsi" w:hAnsiTheme="majorHAnsi" w:cstheme="majorHAnsi"/>
          <w:iCs/>
          <w:sz w:val="20"/>
          <w:szCs w:val="20"/>
        </w:rPr>
        <w:t xml:space="preserve">All courses are delivered asynchronously through Canvas, which is used as a collaborative tool for group projects, online discussion, individual assignments, recorded lectures with annotated PowerPoint capabilities, and exams. </w:t>
      </w:r>
    </w:p>
    <w:p w:rsidR="00AF3786" w:rsidRPr="00C34E1B" w:rsidRDefault="00AF3786" w:rsidP="006C308E">
      <w:pPr>
        <w:shd w:val="clear" w:color="auto" w:fill="FFFFFF"/>
        <w:ind w:left="1260"/>
        <w:rPr>
          <w:rFonts w:asciiTheme="majorHAnsi" w:hAnsiTheme="majorHAnsi" w:cstheme="majorHAnsi"/>
          <w:iCs/>
          <w:sz w:val="20"/>
          <w:szCs w:val="20"/>
        </w:rPr>
      </w:pPr>
    </w:p>
    <w:p w:rsidR="00AF3786" w:rsidRPr="00C34E1B" w:rsidRDefault="00AF3786" w:rsidP="006C308E">
      <w:pPr>
        <w:ind w:left="1260"/>
        <w:rPr>
          <w:rFonts w:asciiTheme="majorHAnsi" w:eastAsia="Times New Roman" w:hAnsiTheme="majorHAnsi" w:cstheme="majorHAnsi"/>
          <w:sz w:val="20"/>
          <w:szCs w:val="20"/>
        </w:rPr>
      </w:pPr>
      <w:r w:rsidRPr="00C34E1B">
        <w:rPr>
          <w:rFonts w:asciiTheme="majorHAnsi" w:eastAsia="Times New Roman" w:hAnsiTheme="majorHAnsi" w:cstheme="majorHAnsi"/>
          <w:sz w:val="20"/>
          <w:szCs w:val="20"/>
        </w:rPr>
        <w:t xml:space="preserve">The same administrative structure and support services are available across each of the six campuses already and will be for online students as well. Student support, advising, mental health and other academic services have been designed to meet student needs in distance education. Library services are electronic and available to students anywhere. </w:t>
      </w:r>
    </w:p>
    <w:p w:rsidR="00AF3786" w:rsidRPr="00C34E1B" w:rsidRDefault="00AF3786" w:rsidP="006C308E">
      <w:pPr>
        <w:shd w:val="clear" w:color="auto" w:fill="FFFFFF"/>
        <w:ind w:left="1260"/>
        <w:rPr>
          <w:rFonts w:asciiTheme="majorHAnsi" w:hAnsiTheme="majorHAnsi" w:cstheme="majorHAnsi"/>
          <w:iCs/>
          <w:sz w:val="20"/>
          <w:szCs w:val="20"/>
        </w:rPr>
      </w:pPr>
    </w:p>
    <w:p w:rsidR="00E4250B" w:rsidRPr="00C34E1B" w:rsidRDefault="00AF3786" w:rsidP="006C308E">
      <w:pPr>
        <w:shd w:val="clear" w:color="auto" w:fill="FFFFFF"/>
        <w:ind w:left="1260"/>
        <w:rPr>
          <w:rFonts w:asciiTheme="majorHAnsi" w:eastAsia="Arial Unicode MS" w:hAnsiTheme="majorHAnsi" w:cstheme="majorHAnsi"/>
          <w:i/>
          <w:sz w:val="20"/>
          <w:szCs w:val="20"/>
        </w:rPr>
      </w:pPr>
      <w:r w:rsidRPr="00C34E1B">
        <w:rPr>
          <w:rFonts w:asciiTheme="majorHAnsi" w:hAnsiTheme="majorHAnsi" w:cstheme="majorHAnsi"/>
          <w:iCs/>
          <w:sz w:val="20"/>
          <w:szCs w:val="20"/>
        </w:rPr>
        <w:t xml:space="preserve">Advising </w:t>
      </w:r>
      <w:r w:rsidR="004A78F0" w:rsidRPr="00C34E1B">
        <w:rPr>
          <w:rFonts w:asciiTheme="majorHAnsi" w:hAnsiTheme="majorHAnsi" w:cstheme="majorHAnsi"/>
          <w:iCs/>
          <w:sz w:val="20"/>
          <w:szCs w:val="20"/>
        </w:rPr>
        <w:t>is</w:t>
      </w:r>
      <w:r w:rsidRPr="00C34E1B">
        <w:rPr>
          <w:rFonts w:asciiTheme="majorHAnsi" w:hAnsiTheme="majorHAnsi" w:cstheme="majorHAnsi"/>
          <w:iCs/>
          <w:sz w:val="20"/>
          <w:szCs w:val="20"/>
        </w:rPr>
        <w:t xml:space="preserve"> conducted through Cisco Webex a tool for video conferencing, online meetings, and sharing screen. The department chair in epidemiology and the curriculum coordinator </w:t>
      </w:r>
      <w:r w:rsidR="00056AE8" w:rsidRPr="00C34E1B">
        <w:rPr>
          <w:rFonts w:asciiTheme="majorHAnsi" w:hAnsiTheme="majorHAnsi" w:cstheme="majorHAnsi"/>
          <w:iCs/>
          <w:sz w:val="20"/>
          <w:szCs w:val="20"/>
        </w:rPr>
        <w:t>serve</w:t>
      </w:r>
      <w:r w:rsidRPr="00C34E1B">
        <w:rPr>
          <w:rFonts w:asciiTheme="majorHAnsi" w:hAnsiTheme="majorHAnsi" w:cstheme="majorHAnsi"/>
          <w:iCs/>
          <w:sz w:val="20"/>
          <w:szCs w:val="20"/>
        </w:rPr>
        <w:t xml:space="preserve"> as the primary advisors for students enrolled in the program.</w:t>
      </w:r>
    </w:p>
    <w:p w:rsidR="00E4250B" w:rsidRPr="00C34E1B" w:rsidRDefault="00E4250B" w:rsidP="006C308E">
      <w:pPr>
        <w:pStyle w:val="ListParagraph"/>
        <w:shd w:val="clear" w:color="auto" w:fill="FFFFFF"/>
        <w:ind w:left="1260"/>
        <w:rPr>
          <w:rFonts w:asciiTheme="majorHAnsi" w:eastAsia="Arial Unicode MS" w:hAnsiTheme="majorHAnsi" w:cstheme="majorHAnsi"/>
          <w:szCs w:val="20"/>
        </w:rPr>
      </w:pPr>
    </w:p>
    <w:p w:rsidR="00C10DCA" w:rsidRPr="00C34E1B" w:rsidRDefault="00933038" w:rsidP="006C308E">
      <w:pPr>
        <w:pStyle w:val="ListParagraph"/>
        <w:numPr>
          <w:ilvl w:val="0"/>
          <w:numId w:val="52"/>
        </w:numPr>
        <w:shd w:val="clear" w:color="auto" w:fill="FFFFFF"/>
        <w:ind w:left="1260"/>
        <w:rPr>
          <w:rFonts w:asciiTheme="majorHAnsi" w:eastAsia="Arial Unicode MS" w:hAnsiTheme="majorHAnsi" w:cstheme="majorHAnsi"/>
          <w:szCs w:val="20"/>
        </w:rPr>
      </w:pPr>
      <w:r w:rsidRPr="00C34E1B">
        <w:rPr>
          <w:rFonts w:asciiTheme="majorHAnsi" w:eastAsia="Arial Unicode MS" w:hAnsiTheme="majorHAnsi" w:cstheme="majorHAnsi"/>
          <w:szCs w:val="20"/>
        </w:rPr>
        <w:t xml:space="preserve">the manner in which it monitors the academic rigor of the </w:t>
      </w:r>
      <w:r w:rsidR="00F03B35" w:rsidRPr="00C34E1B">
        <w:rPr>
          <w:rFonts w:asciiTheme="majorHAnsi" w:eastAsia="Arial Unicode MS" w:hAnsiTheme="majorHAnsi" w:cstheme="majorHAnsi"/>
          <w:szCs w:val="20"/>
        </w:rPr>
        <w:t>programs</w:t>
      </w:r>
      <w:r w:rsidRPr="00C34E1B">
        <w:rPr>
          <w:rFonts w:asciiTheme="majorHAnsi" w:eastAsia="Arial Unicode MS" w:hAnsiTheme="majorHAnsi" w:cstheme="majorHAnsi"/>
          <w:szCs w:val="20"/>
        </w:rPr>
        <w:t xml:space="preserve"> and their equivalence (or comparability) to other degree </w:t>
      </w:r>
      <w:r w:rsidR="00F03B35" w:rsidRPr="00C34E1B">
        <w:rPr>
          <w:rFonts w:asciiTheme="majorHAnsi" w:eastAsia="Arial Unicode MS" w:hAnsiTheme="majorHAnsi" w:cstheme="majorHAnsi"/>
          <w:szCs w:val="20"/>
        </w:rPr>
        <w:t>programs</w:t>
      </w:r>
      <w:r w:rsidR="00E4250B" w:rsidRPr="00C34E1B">
        <w:rPr>
          <w:rFonts w:asciiTheme="majorHAnsi" w:eastAsia="Arial Unicode MS" w:hAnsiTheme="majorHAnsi" w:cstheme="majorHAnsi"/>
          <w:szCs w:val="20"/>
        </w:rPr>
        <w:t xml:space="preserve"> offered by the university, and</w:t>
      </w:r>
    </w:p>
    <w:p w:rsidR="00E4250B" w:rsidRPr="00C34E1B" w:rsidRDefault="00E4250B" w:rsidP="006C308E">
      <w:pPr>
        <w:pStyle w:val="ListParagraph"/>
        <w:shd w:val="clear" w:color="auto" w:fill="FFFFFF"/>
        <w:ind w:left="1260"/>
        <w:rPr>
          <w:rFonts w:asciiTheme="majorHAnsi" w:eastAsia="Arial Unicode MS" w:hAnsiTheme="majorHAnsi" w:cstheme="majorHAnsi"/>
          <w:szCs w:val="20"/>
        </w:rPr>
      </w:pPr>
    </w:p>
    <w:p w:rsidR="00E4250B" w:rsidRPr="00C34E1B" w:rsidRDefault="00AF3786" w:rsidP="006C308E">
      <w:pPr>
        <w:shd w:val="clear" w:color="auto" w:fill="FFFFFF"/>
        <w:ind w:left="1260"/>
        <w:rPr>
          <w:rFonts w:asciiTheme="majorHAnsi" w:eastAsia="Arial Unicode MS" w:hAnsiTheme="majorHAnsi" w:cstheme="majorHAnsi"/>
          <w:i/>
          <w:sz w:val="20"/>
          <w:szCs w:val="20"/>
        </w:rPr>
      </w:pPr>
      <w:r w:rsidRPr="00C34E1B">
        <w:rPr>
          <w:rFonts w:asciiTheme="majorHAnsi" w:hAnsiTheme="majorHAnsi" w:cstheme="majorHAnsi"/>
          <w:iCs/>
          <w:sz w:val="20"/>
          <w:szCs w:val="20"/>
        </w:rPr>
        <w:t xml:space="preserve">Students enrolled in </w:t>
      </w:r>
      <w:r w:rsidR="00A77995" w:rsidRPr="00C34E1B">
        <w:rPr>
          <w:rFonts w:asciiTheme="majorHAnsi" w:hAnsiTheme="majorHAnsi" w:cstheme="majorHAnsi"/>
          <w:iCs/>
          <w:sz w:val="20"/>
          <w:szCs w:val="20"/>
        </w:rPr>
        <w:t xml:space="preserve">the </w:t>
      </w:r>
      <w:r w:rsidRPr="00C34E1B">
        <w:rPr>
          <w:rFonts w:asciiTheme="majorHAnsi" w:hAnsiTheme="majorHAnsi" w:cstheme="majorHAnsi"/>
          <w:iCs/>
          <w:sz w:val="20"/>
          <w:szCs w:val="20"/>
        </w:rPr>
        <w:t xml:space="preserve">online program will </w:t>
      </w:r>
      <w:r w:rsidR="003B4E29" w:rsidRPr="00C34E1B">
        <w:rPr>
          <w:rFonts w:asciiTheme="majorHAnsi" w:hAnsiTheme="majorHAnsi" w:cstheme="majorHAnsi"/>
          <w:iCs/>
          <w:sz w:val="20"/>
          <w:szCs w:val="20"/>
        </w:rPr>
        <w:t>take</w:t>
      </w:r>
      <w:r w:rsidR="001C0DAD" w:rsidRPr="00C34E1B">
        <w:rPr>
          <w:rFonts w:asciiTheme="majorHAnsi" w:hAnsiTheme="majorHAnsi" w:cstheme="majorHAnsi"/>
          <w:iCs/>
          <w:sz w:val="20"/>
          <w:szCs w:val="20"/>
        </w:rPr>
        <w:t xml:space="preserve"> </w:t>
      </w:r>
      <w:r w:rsidRPr="00C34E1B">
        <w:rPr>
          <w:rFonts w:asciiTheme="majorHAnsi" w:hAnsiTheme="majorHAnsi" w:cstheme="majorHAnsi"/>
          <w:iCs/>
          <w:sz w:val="20"/>
          <w:szCs w:val="20"/>
        </w:rPr>
        <w:t>online courses that are offered to all of our students. Course objectives, learning outcomes and rigor are the same as the in-person program.</w:t>
      </w:r>
    </w:p>
    <w:p w:rsidR="00E4250B" w:rsidRPr="00C34E1B" w:rsidRDefault="00E4250B" w:rsidP="006C308E">
      <w:pPr>
        <w:pStyle w:val="ListParagraph"/>
        <w:shd w:val="clear" w:color="auto" w:fill="FFFFFF"/>
        <w:ind w:left="1260"/>
        <w:rPr>
          <w:rFonts w:asciiTheme="majorHAnsi" w:eastAsia="Arial Unicode MS" w:hAnsiTheme="majorHAnsi" w:cstheme="majorHAnsi"/>
          <w:szCs w:val="20"/>
        </w:rPr>
      </w:pPr>
    </w:p>
    <w:p w:rsidR="00933038" w:rsidRPr="00C34E1B" w:rsidRDefault="00933038" w:rsidP="006C308E">
      <w:pPr>
        <w:pStyle w:val="ListParagraph"/>
        <w:numPr>
          <w:ilvl w:val="0"/>
          <w:numId w:val="52"/>
        </w:numPr>
        <w:shd w:val="clear" w:color="auto" w:fill="FFFFFF"/>
        <w:ind w:left="1260"/>
        <w:rPr>
          <w:rFonts w:asciiTheme="majorHAnsi" w:eastAsia="Arial Unicode MS" w:hAnsiTheme="majorHAnsi" w:cstheme="majorHAnsi"/>
          <w:szCs w:val="20"/>
        </w:rPr>
      </w:pPr>
      <w:r w:rsidRPr="00C34E1B">
        <w:rPr>
          <w:rFonts w:asciiTheme="majorHAnsi" w:eastAsia="Arial Unicode MS" w:hAnsiTheme="majorHAnsi" w:cstheme="majorHAnsi"/>
          <w:szCs w:val="20"/>
        </w:rPr>
        <w:t xml:space="preserve">the manner in which it evaluates the educational outcomes, as well as the format and methods. </w:t>
      </w:r>
    </w:p>
    <w:p w:rsidR="00933038" w:rsidRPr="00C34E1B" w:rsidRDefault="00933038" w:rsidP="006C308E">
      <w:pPr>
        <w:shd w:val="clear" w:color="auto" w:fill="FFFFFF"/>
        <w:ind w:left="1260"/>
        <w:rPr>
          <w:rFonts w:asciiTheme="majorHAnsi" w:eastAsia="Arial Unicode MS" w:hAnsiTheme="majorHAnsi" w:cstheme="majorHAnsi"/>
          <w:sz w:val="20"/>
          <w:szCs w:val="20"/>
        </w:rPr>
      </w:pPr>
    </w:p>
    <w:p w:rsidR="00933038" w:rsidRPr="00C34E1B" w:rsidRDefault="00AF3786" w:rsidP="006C308E">
      <w:pPr>
        <w:shd w:val="clear" w:color="auto" w:fill="FFFFFF"/>
        <w:ind w:left="1260"/>
        <w:rPr>
          <w:rFonts w:asciiTheme="majorHAnsi" w:eastAsia="Arial Unicode MS" w:hAnsiTheme="majorHAnsi" w:cstheme="majorHAnsi"/>
          <w:i/>
          <w:sz w:val="20"/>
          <w:szCs w:val="20"/>
        </w:rPr>
      </w:pPr>
      <w:r w:rsidRPr="00C34E1B">
        <w:rPr>
          <w:rFonts w:asciiTheme="majorHAnsi" w:hAnsiTheme="majorHAnsi" w:cstheme="majorHAnsi"/>
          <w:sz w:val="20"/>
          <w:szCs w:val="20"/>
        </w:rPr>
        <w:t>Academic rigor and evaluating educational outcomes are priorities for all of our programs. The online MPH program is taught by the same faculty who teach in-person courses, and outcomes are evaluated in the same fashion as in-person courses. As we launch the online MPH in epidemiology, we will conduct additional monitoring of student satisfaction and student outcomes by producing reports and implementing surveys.</w:t>
      </w:r>
    </w:p>
    <w:p w:rsidR="00933038" w:rsidRPr="00C34E1B" w:rsidRDefault="00933038" w:rsidP="006C308E">
      <w:pPr>
        <w:shd w:val="clear" w:color="auto" w:fill="FFFFFF"/>
        <w:jc w:val="both"/>
        <w:rPr>
          <w:rFonts w:asciiTheme="majorHAnsi" w:eastAsia="Arial Unicode MS" w:hAnsiTheme="majorHAnsi" w:cstheme="majorHAnsi"/>
          <w:sz w:val="20"/>
          <w:szCs w:val="20"/>
        </w:rPr>
      </w:pPr>
    </w:p>
    <w:p w:rsidR="00933038" w:rsidRPr="00C34E1B" w:rsidRDefault="00933038" w:rsidP="006C308E">
      <w:pPr>
        <w:numPr>
          <w:ilvl w:val="0"/>
          <w:numId w:val="30"/>
        </w:numPr>
        <w:shd w:val="clear" w:color="auto" w:fill="FFFFFF"/>
        <w:rPr>
          <w:rFonts w:asciiTheme="majorHAnsi" w:eastAsia="Arial Unicode MS" w:hAnsiTheme="majorHAnsi" w:cstheme="majorHAnsi"/>
          <w:sz w:val="20"/>
          <w:szCs w:val="20"/>
        </w:rPr>
      </w:pPr>
      <w:r w:rsidRPr="00C34E1B">
        <w:rPr>
          <w:rFonts w:asciiTheme="majorHAnsi" w:eastAsia="Arial Unicode MS" w:hAnsiTheme="majorHAnsi" w:cstheme="majorHAnsi"/>
          <w:sz w:val="20"/>
          <w:szCs w:val="20"/>
        </w:rPr>
        <w:t xml:space="preserve">Describe the processes that the university uses to verify that the student who registers in a distance education course (as part of a distance-based degree) or a fully distance-based degree is the same student who participates in and completes the course or degree and receives the academic credit. </w:t>
      </w:r>
    </w:p>
    <w:p w:rsidR="00933038" w:rsidRPr="00C34E1B" w:rsidRDefault="00933038" w:rsidP="006C308E">
      <w:pPr>
        <w:shd w:val="clear" w:color="auto" w:fill="FFFFFF"/>
        <w:rPr>
          <w:rFonts w:asciiTheme="majorHAnsi" w:eastAsia="Arial Unicode MS" w:hAnsiTheme="majorHAnsi" w:cstheme="majorHAnsi"/>
          <w:sz w:val="20"/>
          <w:szCs w:val="20"/>
        </w:rPr>
      </w:pPr>
    </w:p>
    <w:p w:rsidR="00AF3786" w:rsidRPr="00C34E1B" w:rsidRDefault="00AF3786" w:rsidP="006C308E">
      <w:pPr>
        <w:shd w:val="clear" w:color="auto" w:fill="FFFFFF"/>
        <w:ind w:left="720"/>
        <w:rPr>
          <w:rFonts w:asciiTheme="majorHAnsi" w:hAnsiTheme="majorHAnsi" w:cstheme="majorHAnsi"/>
          <w:iCs/>
          <w:sz w:val="20"/>
          <w:szCs w:val="20"/>
        </w:rPr>
      </w:pPr>
      <w:r w:rsidRPr="00C34E1B">
        <w:rPr>
          <w:rFonts w:asciiTheme="majorHAnsi" w:hAnsiTheme="majorHAnsi" w:cstheme="majorHAnsi"/>
          <w:iCs/>
          <w:sz w:val="20"/>
          <w:szCs w:val="20"/>
        </w:rPr>
        <w:t>Upon admittance,</w:t>
      </w:r>
      <w:r w:rsidR="00331C04" w:rsidRPr="00C34E1B">
        <w:rPr>
          <w:rFonts w:asciiTheme="majorHAnsi" w:hAnsiTheme="majorHAnsi" w:cstheme="majorHAnsi"/>
          <w:iCs/>
          <w:sz w:val="20"/>
          <w:szCs w:val="20"/>
        </w:rPr>
        <w:t xml:space="preserve"> all</w:t>
      </w:r>
      <w:r w:rsidRPr="00C34E1B">
        <w:rPr>
          <w:rFonts w:asciiTheme="majorHAnsi" w:hAnsiTheme="majorHAnsi" w:cstheme="majorHAnsi"/>
          <w:iCs/>
          <w:sz w:val="20"/>
          <w:szCs w:val="20"/>
        </w:rPr>
        <w:t xml:space="preserve"> students</w:t>
      </w:r>
      <w:r w:rsidR="00331C04" w:rsidRPr="00C34E1B">
        <w:rPr>
          <w:rFonts w:asciiTheme="majorHAnsi" w:hAnsiTheme="majorHAnsi" w:cstheme="majorHAnsi"/>
          <w:iCs/>
          <w:sz w:val="20"/>
          <w:szCs w:val="20"/>
        </w:rPr>
        <w:t xml:space="preserve"> at the UTHealth School of Public Health </w:t>
      </w:r>
      <w:r w:rsidRPr="00C34E1B">
        <w:rPr>
          <w:rFonts w:asciiTheme="majorHAnsi" w:hAnsiTheme="majorHAnsi" w:cstheme="majorHAnsi"/>
          <w:iCs/>
          <w:sz w:val="20"/>
          <w:szCs w:val="20"/>
        </w:rPr>
        <w:t>undergo an identity verification process as part of the required background check. Online course examinations are conducted through a proctoring service</w:t>
      </w:r>
      <w:r w:rsidR="0012136D">
        <w:rPr>
          <w:rFonts w:asciiTheme="majorHAnsi" w:hAnsiTheme="majorHAnsi" w:cstheme="majorHAnsi"/>
          <w:iCs/>
          <w:sz w:val="20"/>
          <w:szCs w:val="20"/>
        </w:rPr>
        <w:t>,</w:t>
      </w:r>
      <w:r w:rsidRPr="00C34E1B">
        <w:rPr>
          <w:rFonts w:asciiTheme="majorHAnsi" w:hAnsiTheme="majorHAnsi" w:cstheme="majorHAnsi"/>
          <w:iCs/>
          <w:sz w:val="20"/>
          <w:szCs w:val="20"/>
        </w:rPr>
        <w:t xml:space="preserve"> which verifies identity prior to each assessment. </w:t>
      </w:r>
    </w:p>
    <w:p w:rsidR="00933038" w:rsidRPr="00C34E1B" w:rsidRDefault="00933038" w:rsidP="006C308E">
      <w:pPr>
        <w:pStyle w:val="ListParagraph"/>
        <w:rPr>
          <w:rFonts w:asciiTheme="majorHAnsi" w:eastAsia="Arial Unicode MS" w:hAnsiTheme="majorHAnsi" w:cstheme="majorHAnsi"/>
          <w:szCs w:val="20"/>
        </w:rPr>
      </w:pPr>
    </w:p>
    <w:p w:rsidR="00933038" w:rsidRPr="00C34E1B" w:rsidRDefault="00933038" w:rsidP="006C308E">
      <w:pPr>
        <w:numPr>
          <w:ilvl w:val="0"/>
          <w:numId w:val="30"/>
        </w:numPr>
        <w:shd w:val="clear" w:color="auto" w:fill="FFFFFF"/>
        <w:rPr>
          <w:rFonts w:asciiTheme="majorHAnsi" w:eastAsia="Arial Unicode MS" w:hAnsiTheme="majorHAnsi" w:cstheme="majorHAnsi"/>
          <w:sz w:val="20"/>
          <w:szCs w:val="20"/>
        </w:rPr>
      </w:pPr>
      <w:r w:rsidRPr="00C34E1B">
        <w:rPr>
          <w:rFonts w:asciiTheme="majorHAnsi" w:eastAsia="Arial Unicode MS" w:hAnsiTheme="majorHAnsi" w:cstheme="majorHAnsi"/>
          <w:sz w:val="20"/>
          <w:szCs w:val="20"/>
        </w:rPr>
        <w:t xml:space="preserve">If applicable, assess strengths and weaknesses related to this criterion and plans for improvement in this area. </w:t>
      </w:r>
    </w:p>
    <w:p w:rsidR="00933038" w:rsidRPr="00C34E1B" w:rsidRDefault="00933038" w:rsidP="006C308E">
      <w:pPr>
        <w:shd w:val="clear" w:color="auto" w:fill="FFFFFF"/>
        <w:rPr>
          <w:rFonts w:asciiTheme="majorHAnsi" w:eastAsia="Arial Unicode MS" w:hAnsiTheme="majorHAnsi" w:cstheme="majorHAnsi"/>
          <w:sz w:val="20"/>
          <w:szCs w:val="20"/>
        </w:rPr>
      </w:pPr>
    </w:p>
    <w:p w:rsidR="00AF3786" w:rsidRPr="00C34E1B" w:rsidRDefault="00D81FE1" w:rsidP="006C308E">
      <w:pPr>
        <w:keepNext/>
        <w:ind w:left="720"/>
        <w:rPr>
          <w:rFonts w:asciiTheme="majorHAnsi" w:eastAsia="Calibri" w:hAnsiTheme="majorHAnsi" w:cstheme="majorHAnsi"/>
          <w:i/>
          <w:sz w:val="20"/>
          <w:szCs w:val="20"/>
        </w:rPr>
      </w:pPr>
      <w:bookmarkStart w:id="119" w:name="_Toc464487887"/>
      <w:bookmarkStart w:id="120" w:name="_Toc7118220"/>
      <w:r w:rsidRPr="00C34E1B">
        <w:rPr>
          <w:rFonts w:asciiTheme="majorHAnsi" w:hAnsiTheme="majorHAnsi" w:cstheme="majorHAnsi"/>
          <w:i/>
          <w:sz w:val="20"/>
          <w:szCs w:val="20"/>
        </w:rPr>
        <w:t>Not applicable.</w:t>
      </w:r>
    </w:p>
    <w:p w:rsidR="00AF3786" w:rsidRPr="00C34E1B" w:rsidRDefault="00AF3786" w:rsidP="006C308E">
      <w:pPr>
        <w:rPr>
          <w:rStyle w:val="Heading1Char"/>
          <w:bCs w:val="0"/>
        </w:rPr>
      </w:pPr>
      <w:r w:rsidRPr="00C34E1B">
        <w:rPr>
          <w:rStyle w:val="Heading1Char"/>
          <w:b w:val="0"/>
        </w:rPr>
        <w:br w:type="page"/>
      </w:r>
    </w:p>
    <w:p w:rsidR="00933038" w:rsidRPr="00C34E1B" w:rsidRDefault="00933038" w:rsidP="007A68BE">
      <w:pPr>
        <w:pStyle w:val="Heading1"/>
      </w:pPr>
      <w:r w:rsidRPr="00C34E1B">
        <w:rPr>
          <w:rStyle w:val="Heading1Char"/>
          <w:b/>
        </w:rPr>
        <w:t>E1. Faculty Alignment with Degrees Offered</w:t>
      </w:r>
      <w:bookmarkEnd w:id="119"/>
      <w:bookmarkEnd w:id="120"/>
      <w:r w:rsidRPr="00C34E1B">
        <w:t xml:space="preserve"> </w:t>
      </w:r>
    </w:p>
    <w:p w:rsidR="00933038" w:rsidRPr="00C34E1B" w:rsidRDefault="00933038" w:rsidP="006C308E">
      <w:pPr>
        <w:jc w:val="both"/>
        <w:rPr>
          <w:rFonts w:asciiTheme="majorHAnsi" w:hAnsiTheme="majorHAnsi" w:cstheme="majorHAnsi"/>
          <w:b/>
          <w:sz w:val="20"/>
          <w:szCs w:val="20"/>
        </w:rPr>
      </w:pPr>
    </w:p>
    <w:p w:rsidR="00933038" w:rsidRPr="00C34E1B" w:rsidRDefault="00933038" w:rsidP="006C308E">
      <w:pPr>
        <w:jc w:val="both"/>
        <w:rPr>
          <w:rFonts w:asciiTheme="majorHAnsi" w:hAnsiTheme="majorHAnsi" w:cstheme="majorHAnsi"/>
          <w:b/>
          <w:sz w:val="20"/>
          <w:szCs w:val="20"/>
        </w:rPr>
      </w:pPr>
      <w:r w:rsidRPr="00C34E1B">
        <w:rPr>
          <w:rFonts w:asciiTheme="majorHAnsi" w:hAnsiTheme="majorHAnsi" w:cstheme="majorHAnsi"/>
          <w:b/>
          <w:sz w:val="20"/>
          <w:szCs w:val="20"/>
        </w:rPr>
        <w:t xml:space="preserve">Faculty teach and supervise students in areas of knowledge with which they are thoroughly familiar and qualified by the totality of their education and experience. </w:t>
      </w:r>
    </w:p>
    <w:p w:rsidR="00933038" w:rsidRPr="00C34E1B" w:rsidRDefault="00933038" w:rsidP="006C308E">
      <w:pPr>
        <w:jc w:val="both"/>
        <w:rPr>
          <w:rFonts w:asciiTheme="majorHAnsi" w:hAnsiTheme="majorHAnsi" w:cstheme="majorHAnsi"/>
          <w:b/>
          <w:sz w:val="20"/>
          <w:szCs w:val="20"/>
        </w:rPr>
      </w:pPr>
    </w:p>
    <w:p w:rsidR="00933038" w:rsidRPr="00C34E1B" w:rsidRDefault="00933038" w:rsidP="006C308E">
      <w:pPr>
        <w:jc w:val="both"/>
        <w:rPr>
          <w:rFonts w:asciiTheme="majorHAnsi" w:hAnsiTheme="majorHAnsi" w:cstheme="majorHAnsi"/>
          <w:b/>
          <w:sz w:val="20"/>
          <w:szCs w:val="20"/>
        </w:rPr>
      </w:pPr>
      <w:r w:rsidRPr="00C34E1B">
        <w:rPr>
          <w:rFonts w:asciiTheme="majorHAnsi" w:hAnsiTheme="majorHAnsi" w:cstheme="majorHAnsi"/>
          <w:b/>
          <w:sz w:val="20"/>
          <w:szCs w:val="20"/>
        </w:rPr>
        <w:t>Faculty education and experience is appropriate for the degree level (bachelor’s, master’s, doctoral) and the nature of the degree (research, professional practice, etc.) with which they are associated.</w:t>
      </w:r>
    </w:p>
    <w:p w:rsidR="00933038" w:rsidRPr="00C34E1B" w:rsidRDefault="00933038" w:rsidP="006C308E">
      <w:pPr>
        <w:jc w:val="both"/>
        <w:rPr>
          <w:rFonts w:asciiTheme="majorHAnsi" w:hAnsiTheme="majorHAnsi" w:cstheme="majorHAnsi"/>
          <w:sz w:val="20"/>
          <w:szCs w:val="20"/>
        </w:rPr>
      </w:pPr>
    </w:p>
    <w:p w:rsidR="00933038" w:rsidRPr="00C34E1B" w:rsidRDefault="00933038" w:rsidP="006C308E">
      <w:pPr>
        <w:numPr>
          <w:ilvl w:val="0"/>
          <w:numId w:val="31"/>
        </w:numPr>
        <w:contextualSpacing/>
        <w:jc w:val="both"/>
        <w:rPr>
          <w:rFonts w:asciiTheme="majorHAnsi" w:hAnsiTheme="majorHAnsi" w:cstheme="majorHAnsi"/>
          <w:sz w:val="20"/>
          <w:szCs w:val="20"/>
        </w:rPr>
      </w:pPr>
      <w:r w:rsidRPr="00C34E1B">
        <w:rPr>
          <w:rFonts w:asciiTheme="majorHAnsi" w:hAnsiTheme="majorHAnsi" w:cstheme="majorHAnsi"/>
          <w:sz w:val="20"/>
          <w:szCs w:val="20"/>
        </w:rPr>
        <w:t>Provide a table showing the school’s primary instructional faculty in the format of Template E1-1. The template presents data effective at the beginning of the academic year in which the final self-study is submitted to CEPH and must be updated at the beginning of the site visit if any changes have occurred since final self-study submission. The identification of instructional areas must correspond to the data presented in Template C2-1.</w:t>
      </w:r>
    </w:p>
    <w:p w:rsidR="00933038" w:rsidRPr="00C34E1B" w:rsidRDefault="00933038" w:rsidP="006C308E">
      <w:pPr>
        <w:ind w:left="720"/>
        <w:contextualSpacing/>
        <w:jc w:val="both"/>
        <w:rPr>
          <w:rFonts w:asciiTheme="majorHAnsi" w:hAnsiTheme="majorHAnsi" w:cstheme="majorHAnsi"/>
          <w:sz w:val="20"/>
          <w:szCs w:val="20"/>
        </w:rPr>
      </w:pPr>
    </w:p>
    <w:p w:rsidR="00AE3CF3" w:rsidRPr="00791F3B" w:rsidRDefault="00AE3CF3" w:rsidP="006C308E">
      <w:pPr>
        <w:ind w:left="720"/>
        <w:contextualSpacing/>
        <w:rPr>
          <w:rFonts w:asciiTheme="majorHAnsi" w:eastAsia="Arial" w:hAnsiTheme="majorHAnsi" w:cstheme="majorHAnsi"/>
          <w:sz w:val="20"/>
          <w:szCs w:val="20"/>
        </w:rPr>
      </w:pPr>
      <w:r w:rsidRPr="00791F3B">
        <w:rPr>
          <w:rFonts w:asciiTheme="majorHAnsi" w:hAnsiTheme="majorHAnsi"/>
          <w:sz w:val="20"/>
          <w:szCs w:val="20"/>
        </w:rPr>
        <w:t>Table E</w:t>
      </w:r>
      <w:r w:rsidR="002A54E8" w:rsidRPr="00791F3B">
        <w:rPr>
          <w:rFonts w:asciiTheme="majorHAnsi" w:hAnsiTheme="majorHAnsi"/>
          <w:sz w:val="20"/>
          <w:szCs w:val="20"/>
        </w:rPr>
        <w:t>.</w:t>
      </w:r>
      <w:r w:rsidR="00AB13EB">
        <w:rPr>
          <w:rFonts w:asciiTheme="majorHAnsi" w:hAnsiTheme="majorHAnsi"/>
          <w:sz w:val="20"/>
          <w:szCs w:val="20"/>
        </w:rPr>
        <w:t xml:space="preserve">1.1. </w:t>
      </w:r>
      <w:r w:rsidRPr="00791F3B">
        <w:rPr>
          <w:rFonts w:asciiTheme="majorHAnsi" w:hAnsiTheme="majorHAnsi"/>
          <w:sz w:val="20"/>
          <w:szCs w:val="20"/>
        </w:rPr>
        <w:t>Primary Instructional Faculty Alignment with Degrees Offered</w:t>
      </w:r>
      <w:r w:rsidR="00403F3F" w:rsidRPr="00791F3B">
        <w:rPr>
          <w:rFonts w:asciiTheme="majorHAnsi" w:eastAsia="Arial" w:hAnsiTheme="majorHAnsi" w:cstheme="majorHAnsi"/>
          <w:sz w:val="20"/>
          <w:szCs w:val="20"/>
        </w:rPr>
        <w:t xml:space="preserve"> (</w:t>
      </w:r>
      <w:r w:rsidR="00403F3F" w:rsidRPr="00791F3B">
        <w:rPr>
          <w:rFonts w:asciiTheme="majorHAnsi" w:eastAsia="Arial" w:hAnsiTheme="majorHAnsi" w:cstheme="majorHAnsi"/>
          <w:i/>
          <w:sz w:val="20"/>
          <w:szCs w:val="20"/>
        </w:rPr>
        <w:t>ERF, E1. Faculty Alignment with Degrees Offered, E1.1. Faculty CVs</w:t>
      </w:r>
      <w:r w:rsidR="00403F3F" w:rsidRPr="00791F3B">
        <w:rPr>
          <w:rFonts w:asciiTheme="majorHAnsi" w:eastAsia="Arial" w:hAnsiTheme="majorHAnsi" w:cstheme="majorHAnsi"/>
          <w:sz w:val="20"/>
          <w:szCs w:val="20"/>
        </w:rPr>
        <w:t xml:space="preserve">) </w:t>
      </w:r>
    </w:p>
    <w:tbl>
      <w:tblPr>
        <w:tblW w:w="476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902"/>
        <w:gridCol w:w="1171"/>
        <w:gridCol w:w="902"/>
        <w:gridCol w:w="1531"/>
        <w:gridCol w:w="1258"/>
        <w:gridCol w:w="1618"/>
      </w:tblGrid>
      <w:tr w:rsidR="006F6C43" w:rsidRPr="0012136D" w:rsidTr="006E04D2">
        <w:trPr>
          <w:cantSplit/>
          <w:trHeight w:val="600"/>
          <w:tblHeader/>
        </w:trPr>
        <w:tc>
          <w:tcPr>
            <w:tcW w:w="858" w:type="pct"/>
            <w:shd w:val="clear" w:color="auto" w:fill="BFBFBF" w:themeFill="background1" w:themeFillShade="BF"/>
            <w:tcMar>
              <w:left w:w="29" w:type="dxa"/>
              <w:right w:w="29" w:type="dxa"/>
            </w:tcMar>
            <w:vAlign w:val="center"/>
            <w:hideMark/>
          </w:tcPr>
          <w:p w:rsidR="00AE3CF3" w:rsidRPr="0012136D" w:rsidRDefault="00AE3CF3" w:rsidP="006C308E">
            <w:pPr>
              <w:jc w:val="center"/>
              <w:rPr>
                <w:rFonts w:asciiTheme="majorHAnsi" w:eastAsia="Times New Roman" w:hAnsiTheme="majorHAnsi" w:cstheme="majorHAnsi"/>
                <w:b/>
                <w:bCs/>
                <w:color w:val="000000"/>
                <w:sz w:val="20"/>
                <w:szCs w:val="20"/>
              </w:rPr>
            </w:pPr>
            <w:r w:rsidRPr="0012136D">
              <w:rPr>
                <w:rFonts w:asciiTheme="majorHAnsi" w:eastAsia="Times New Roman" w:hAnsiTheme="majorHAnsi" w:cstheme="majorHAnsi"/>
                <w:b/>
                <w:bCs/>
                <w:color w:val="000000"/>
                <w:sz w:val="20"/>
                <w:szCs w:val="20"/>
              </w:rPr>
              <w:t>Name</w:t>
            </w:r>
          </w:p>
        </w:tc>
        <w:tc>
          <w:tcPr>
            <w:tcW w:w="506" w:type="pct"/>
            <w:shd w:val="clear" w:color="auto" w:fill="BFBFBF" w:themeFill="background1" w:themeFillShade="BF"/>
            <w:tcMar>
              <w:left w:w="29" w:type="dxa"/>
              <w:right w:w="29" w:type="dxa"/>
            </w:tcMar>
            <w:vAlign w:val="center"/>
            <w:hideMark/>
          </w:tcPr>
          <w:p w:rsidR="00AE3CF3" w:rsidRPr="0012136D" w:rsidRDefault="00AE3CF3" w:rsidP="006C308E">
            <w:pPr>
              <w:jc w:val="center"/>
              <w:rPr>
                <w:rFonts w:asciiTheme="majorHAnsi" w:eastAsia="Times New Roman" w:hAnsiTheme="majorHAnsi" w:cstheme="majorHAnsi"/>
                <w:b/>
                <w:bCs/>
                <w:color w:val="000000"/>
                <w:sz w:val="20"/>
                <w:szCs w:val="20"/>
              </w:rPr>
            </w:pPr>
            <w:r w:rsidRPr="0012136D">
              <w:rPr>
                <w:rFonts w:asciiTheme="majorHAnsi" w:eastAsia="Times New Roman" w:hAnsiTheme="majorHAnsi" w:cstheme="majorHAnsi"/>
                <w:b/>
                <w:bCs/>
                <w:color w:val="000000"/>
                <w:sz w:val="20"/>
                <w:szCs w:val="20"/>
              </w:rPr>
              <w:t>Title/ Academic Rank</w:t>
            </w:r>
          </w:p>
        </w:tc>
        <w:tc>
          <w:tcPr>
            <w:tcW w:w="657" w:type="pct"/>
            <w:shd w:val="clear" w:color="auto" w:fill="BFBFBF" w:themeFill="background1" w:themeFillShade="BF"/>
            <w:tcMar>
              <w:left w:w="29" w:type="dxa"/>
              <w:right w:w="29" w:type="dxa"/>
            </w:tcMar>
            <w:vAlign w:val="center"/>
            <w:hideMark/>
          </w:tcPr>
          <w:p w:rsidR="00AE3CF3" w:rsidRPr="0012136D" w:rsidRDefault="00AE3CF3" w:rsidP="006C308E">
            <w:pPr>
              <w:jc w:val="center"/>
              <w:rPr>
                <w:rFonts w:asciiTheme="majorHAnsi" w:eastAsia="Times New Roman" w:hAnsiTheme="majorHAnsi" w:cstheme="majorHAnsi"/>
                <w:b/>
                <w:bCs/>
                <w:color w:val="000000"/>
                <w:sz w:val="20"/>
                <w:szCs w:val="20"/>
              </w:rPr>
            </w:pPr>
            <w:r w:rsidRPr="0012136D">
              <w:rPr>
                <w:rFonts w:asciiTheme="majorHAnsi" w:eastAsia="Times New Roman" w:hAnsiTheme="majorHAnsi" w:cstheme="majorHAnsi"/>
                <w:b/>
                <w:bCs/>
                <w:color w:val="000000"/>
                <w:sz w:val="20"/>
                <w:szCs w:val="20"/>
              </w:rPr>
              <w:t>Tenure Status or Classification</w:t>
            </w:r>
          </w:p>
        </w:tc>
        <w:tc>
          <w:tcPr>
            <w:tcW w:w="506" w:type="pct"/>
            <w:shd w:val="clear" w:color="auto" w:fill="BFBFBF" w:themeFill="background1" w:themeFillShade="BF"/>
            <w:tcMar>
              <w:left w:w="29" w:type="dxa"/>
              <w:right w:w="29" w:type="dxa"/>
            </w:tcMar>
            <w:vAlign w:val="center"/>
            <w:hideMark/>
          </w:tcPr>
          <w:p w:rsidR="00AE3CF3" w:rsidRPr="0012136D" w:rsidRDefault="00AE3CF3" w:rsidP="006C308E">
            <w:pPr>
              <w:jc w:val="center"/>
              <w:rPr>
                <w:rFonts w:asciiTheme="majorHAnsi" w:eastAsia="Times New Roman" w:hAnsiTheme="majorHAnsi" w:cstheme="majorHAnsi"/>
                <w:b/>
                <w:bCs/>
                <w:color w:val="000000"/>
                <w:sz w:val="20"/>
                <w:szCs w:val="20"/>
              </w:rPr>
            </w:pPr>
            <w:r w:rsidRPr="0012136D">
              <w:rPr>
                <w:rFonts w:asciiTheme="majorHAnsi" w:eastAsia="Times New Roman" w:hAnsiTheme="majorHAnsi" w:cstheme="majorHAnsi"/>
                <w:b/>
                <w:bCs/>
                <w:color w:val="000000"/>
                <w:sz w:val="20"/>
                <w:szCs w:val="20"/>
              </w:rPr>
              <w:t>Graduate Degrees Earned</w:t>
            </w:r>
          </w:p>
        </w:tc>
        <w:tc>
          <w:tcPr>
            <w:tcW w:w="859" w:type="pct"/>
            <w:shd w:val="clear" w:color="auto" w:fill="BFBFBF" w:themeFill="background1" w:themeFillShade="BF"/>
            <w:tcMar>
              <w:left w:w="29" w:type="dxa"/>
              <w:right w:w="29" w:type="dxa"/>
            </w:tcMar>
            <w:vAlign w:val="center"/>
            <w:hideMark/>
          </w:tcPr>
          <w:p w:rsidR="00AE3CF3" w:rsidRPr="0012136D" w:rsidRDefault="00AE3CF3" w:rsidP="006C308E">
            <w:pPr>
              <w:jc w:val="center"/>
              <w:rPr>
                <w:rFonts w:asciiTheme="majorHAnsi" w:eastAsia="Times New Roman" w:hAnsiTheme="majorHAnsi" w:cstheme="majorHAnsi"/>
                <w:b/>
                <w:bCs/>
                <w:color w:val="000000"/>
                <w:sz w:val="20"/>
                <w:szCs w:val="20"/>
              </w:rPr>
            </w:pPr>
            <w:r w:rsidRPr="0012136D">
              <w:rPr>
                <w:rFonts w:asciiTheme="majorHAnsi" w:eastAsia="Times New Roman" w:hAnsiTheme="majorHAnsi" w:cstheme="majorHAnsi"/>
                <w:b/>
                <w:bCs/>
                <w:color w:val="000000"/>
                <w:sz w:val="20"/>
                <w:szCs w:val="20"/>
              </w:rPr>
              <w:t>Institution(s) from which degree(s) were earned</w:t>
            </w:r>
          </w:p>
        </w:tc>
        <w:tc>
          <w:tcPr>
            <w:tcW w:w="706" w:type="pct"/>
            <w:shd w:val="clear" w:color="auto" w:fill="BFBFBF" w:themeFill="background1" w:themeFillShade="BF"/>
            <w:tcMar>
              <w:left w:w="29" w:type="dxa"/>
              <w:right w:w="29" w:type="dxa"/>
            </w:tcMar>
            <w:vAlign w:val="center"/>
            <w:hideMark/>
          </w:tcPr>
          <w:p w:rsidR="00AE3CF3" w:rsidRPr="0012136D" w:rsidRDefault="00AE3CF3" w:rsidP="006C308E">
            <w:pPr>
              <w:jc w:val="center"/>
              <w:rPr>
                <w:rFonts w:asciiTheme="majorHAnsi" w:eastAsia="Times New Roman" w:hAnsiTheme="majorHAnsi" w:cstheme="majorHAnsi"/>
                <w:b/>
                <w:bCs/>
                <w:color w:val="000000"/>
                <w:sz w:val="20"/>
                <w:szCs w:val="20"/>
              </w:rPr>
            </w:pPr>
            <w:r w:rsidRPr="0012136D">
              <w:rPr>
                <w:rFonts w:asciiTheme="majorHAnsi" w:eastAsia="Times New Roman" w:hAnsiTheme="majorHAnsi" w:cstheme="majorHAnsi"/>
                <w:b/>
                <w:bCs/>
                <w:color w:val="000000"/>
                <w:sz w:val="20"/>
                <w:szCs w:val="20"/>
              </w:rPr>
              <w:t>Discipline in which degrees were earned</w:t>
            </w:r>
          </w:p>
        </w:tc>
        <w:tc>
          <w:tcPr>
            <w:tcW w:w="908" w:type="pct"/>
            <w:shd w:val="clear" w:color="auto" w:fill="BFBFBF" w:themeFill="background1" w:themeFillShade="BF"/>
            <w:tcMar>
              <w:left w:w="29" w:type="dxa"/>
              <w:right w:w="29" w:type="dxa"/>
            </w:tcMar>
            <w:vAlign w:val="center"/>
            <w:hideMark/>
          </w:tcPr>
          <w:p w:rsidR="00AE3CF3" w:rsidRPr="0012136D" w:rsidRDefault="00AE7BD6" w:rsidP="006C308E">
            <w:pPr>
              <w:jc w:val="center"/>
              <w:rPr>
                <w:rFonts w:asciiTheme="majorHAnsi" w:eastAsia="Times New Roman" w:hAnsiTheme="majorHAnsi" w:cstheme="majorHAnsi"/>
                <w:b/>
                <w:bCs/>
                <w:color w:val="000000"/>
                <w:sz w:val="20"/>
                <w:szCs w:val="20"/>
              </w:rPr>
            </w:pPr>
            <w:r w:rsidRPr="0012136D">
              <w:rPr>
                <w:rFonts w:asciiTheme="majorHAnsi" w:eastAsia="Times New Roman" w:hAnsiTheme="majorHAnsi" w:cstheme="majorHAnsi"/>
                <w:b/>
                <w:bCs/>
                <w:color w:val="000000"/>
                <w:sz w:val="20"/>
                <w:szCs w:val="20"/>
              </w:rPr>
              <w:t xml:space="preserve">Concentration affiliated with in </w:t>
            </w:r>
            <w:hyperlink w:anchor="tablec21" w:history="1">
              <w:r w:rsidR="00403F3F" w:rsidRPr="0058195A">
                <w:rPr>
                  <w:rStyle w:val="Hyperlink"/>
                  <w:rFonts w:asciiTheme="majorHAnsi" w:hAnsiTheme="majorHAnsi" w:cstheme="majorHAnsi"/>
                  <w:b/>
                  <w:sz w:val="20"/>
                  <w:szCs w:val="20"/>
                </w:rPr>
                <w:t xml:space="preserve">Table </w:t>
              </w:r>
              <w:r w:rsidRPr="0058195A">
                <w:rPr>
                  <w:rStyle w:val="Hyperlink"/>
                  <w:rFonts w:asciiTheme="majorHAnsi" w:hAnsiTheme="majorHAnsi" w:cstheme="majorHAnsi"/>
                  <w:b/>
                  <w:sz w:val="20"/>
                  <w:szCs w:val="20"/>
                </w:rPr>
                <w:t>C2-1</w:t>
              </w:r>
            </w:hyperlink>
          </w:p>
        </w:tc>
      </w:tr>
      <w:tr w:rsidR="006F6C43" w:rsidRPr="0012136D" w:rsidTr="006E04D2">
        <w:trPr>
          <w:cantSplit/>
          <w:trHeight w:val="900"/>
        </w:trPr>
        <w:tc>
          <w:tcPr>
            <w:tcW w:w="858" w:type="pct"/>
            <w:shd w:val="clear" w:color="auto" w:fill="auto"/>
            <w:tcMar>
              <w:left w:w="29" w:type="dxa"/>
              <w:right w:w="29" w:type="dxa"/>
            </w:tcMar>
            <w:vAlign w:val="center"/>
            <w:hideMark/>
          </w:tcPr>
          <w:p w:rsidR="00AE3CF3" w:rsidRPr="0012136D" w:rsidRDefault="00AE3CF3"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Agopian, A.J.</w:t>
            </w:r>
          </w:p>
        </w:tc>
        <w:tc>
          <w:tcPr>
            <w:tcW w:w="506" w:type="pct"/>
            <w:shd w:val="clear" w:color="auto" w:fill="auto"/>
            <w:tcMar>
              <w:left w:w="29" w:type="dxa"/>
              <w:right w:w="29" w:type="dxa"/>
            </w:tcMar>
            <w:vAlign w:val="center"/>
            <w:hideMark/>
          </w:tcPr>
          <w:p w:rsidR="00AE3CF3" w:rsidRPr="0012136D" w:rsidRDefault="00AE3CF3"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E3CF3" w:rsidRPr="0012136D" w:rsidRDefault="002166B9"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w:t>
            </w:r>
            <w:r w:rsidR="002705FD" w:rsidRPr="0012136D">
              <w:rPr>
                <w:rFonts w:asciiTheme="majorHAnsi" w:eastAsia="Times New Roman" w:hAnsiTheme="majorHAnsi" w:cstheme="majorHAnsi"/>
                <w:color w:val="000000"/>
                <w:sz w:val="20"/>
                <w:szCs w:val="20"/>
              </w:rPr>
              <w:t>d</w:t>
            </w:r>
          </w:p>
        </w:tc>
        <w:tc>
          <w:tcPr>
            <w:tcW w:w="506" w:type="pct"/>
            <w:shd w:val="clear" w:color="auto" w:fill="auto"/>
            <w:tcMar>
              <w:left w:w="29" w:type="dxa"/>
              <w:right w:w="29" w:type="dxa"/>
            </w:tcMar>
            <w:vAlign w:val="center"/>
            <w:hideMark/>
          </w:tcPr>
          <w:p w:rsidR="00AE3CF3" w:rsidRPr="0012136D" w:rsidRDefault="00AE3CF3"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E3CF3" w:rsidRPr="0012136D" w:rsidRDefault="00AE3CF3"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E3CF3" w:rsidRPr="0012136D" w:rsidRDefault="00AE3CF3"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w:t>
            </w:r>
            <w:r w:rsidR="00536CEA" w:rsidRPr="0012136D">
              <w:rPr>
                <w:rFonts w:asciiTheme="majorHAnsi" w:eastAsia="Times New Roman" w:hAnsiTheme="majorHAnsi" w:cstheme="majorHAnsi"/>
                <w:color w:val="000000"/>
                <w:sz w:val="20"/>
                <w:szCs w:val="20"/>
              </w:rPr>
              <w:t>Epidemiology</w:t>
            </w:r>
          </w:p>
        </w:tc>
        <w:tc>
          <w:tcPr>
            <w:tcW w:w="908" w:type="pct"/>
            <w:shd w:val="clear" w:color="auto" w:fill="auto"/>
            <w:tcMar>
              <w:left w:w="29" w:type="dxa"/>
              <w:right w:w="29" w:type="dxa"/>
            </w:tcMar>
            <w:vAlign w:val="center"/>
            <w:hideMark/>
          </w:tcPr>
          <w:p w:rsidR="00AE3CF3" w:rsidRPr="0012136D" w:rsidRDefault="00AE3CF3"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600"/>
        </w:trPr>
        <w:tc>
          <w:tcPr>
            <w:tcW w:w="858" w:type="pct"/>
            <w:shd w:val="clear" w:color="auto" w:fill="auto"/>
            <w:tcMar>
              <w:left w:w="29" w:type="dxa"/>
              <w:right w:w="29" w:type="dxa"/>
            </w:tcMar>
            <w:vAlign w:val="center"/>
            <w:hideMark/>
          </w:tcPr>
          <w:p w:rsidR="00AE3CF3" w:rsidRPr="0012136D" w:rsidRDefault="00AE3CF3"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Allicock, Marlyn</w:t>
            </w:r>
          </w:p>
        </w:tc>
        <w:tc>
          <w:tcPr>
            <w:tcW w:w="506" w:type="pct"/>
            <w:shd w:val="clear" w:color="auto" w:fill="auto"/>
            <w:tcMar>
              <w:left w:w="29" w:type="dxa"/>
              <w:right w:w="29" w:type="dxa"/>
            </w:tcMar>
            <w:vAlign w:val="center"/>
            <w:hideMark/>
          </w:tcPr>
          <w:p w:rsidR="00AE3CF3" w:rsidRPr="0012136D" w:rsidRDefault="00AE3CF3"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E3CF3" w:rsidRPr="0012136D" w:rsidRDefault="00AE3CF3"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E3CF3" w:rsidRPr="0012136D" w:rsidRDefault="00AE3CF3"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E3CF3" w:rsidRPr="0012136D" w:rsidRDefault="00AE3CF3"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North Carolina at Chapel Hill</w:t>
            </w:r>
          </w:p>
        </w:tc>
        <w:tc>
          <w:tcPr>
            <w:tcW w:w="706" w:type="pct"/>
            <w:shd w:val="clear" w:color="auto" w:fill="auto"/>
            <w:tcMar>
              <w:left w:w="29" w:type="dxa"/>
              <w:right w:w="29" w:type="dxa"/>
            </w:tcMar>
            <w:vAlign w:val="center"/>
            <w:hideMark/>
          </w:tcPr>
          <w:p w:rsidR="00AE3CF3" w:rsidRPr="0012136D" w:rsidRDefault="00AE3CF3"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Behavior</w:t>
            </w:r>
          </w:p>
        </w:tc>
        <w:tc>
          <w:tcPr>
            <w:tcW w:w="908" w:type="pct"/>
            <w:shd w:val="clear" w:color="auto" w:fill="auto"/>
            <w:tcMar>
              <w:left w:w="29" w:type="dxa"/>
              <w:right w:w="29" w:type="dxa"/>
            </w:tcMar>
            <w:vAlign w:val="center"/>
            <w:hideMark/>
          </w:tcPr>
          <w:p w:rsidR="00AE3CF3" w:rsidRPr="0012136D" w:rsidRDefault="00AE3CF3"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w:t>
            </w:r>
            <w:r w:rsidR="00086F23" w:rsidRPr="0012136D">
              <w:rPr>
                <w:rFonts w:asciiTheme="majorHAnsi" w:eastAsia="Times New Roman" w:hAnsiTheme="majorHAnsi" w:cstheme="majorHAnsi"/>
                <w:color w:val="000000"/>
                <w:sz w:val="20"/>
                <w:szCs w:val="20"/>
              </w:rPr>
              <w:t xml:space="preserve"> </w:t>
            </w:r>
            <w:r w:rsidRPr="0012136D">
              <w:rPr>
                <w:rFonts w:asciiTheme="majorHAnsi" w:eastAsia="Times New Roman" w:hAnsiTheme="majorHAnsi" w:cstheme="majorHAnsi"/>
                <w:color w:val="000000"/>
                <w:sz w:val="20"/>
                <w:szCs w:val="20"/>
              </w:rPr>
              <w:t>Health Education, Behavioral Sciences</w:t>
            </w:r>
            <w:r w:rsidR="00816A0F" w:rsidRPr="0012136D">
              <w:rPr>
                <w:rFonts w:asciiTheme="majorHAnsi" w:eastAsia="Times New Roman" w:hAnsiTheme="majorHAnsi" w:cstheme="majorHAnsi"/>
                <w:color w:val="000000"/>
                <w:sz w:val="20"/>
                <w:szCs w:val="20"/>
              </w:rPr>
              <w:t xml:space="preserve"> and Health Promotion</w:t>
            </w:r>
          </w:p>
        </w:tc>
      </w:tr>
      <w:tr w:rsidR="006F6C43" w:rsidRPr="0012136D" w:rsidTr="006E04D2">
        <w:trPr>
          <w:cantSplit/>
          <w:trHeight w:val="300"/>
        </w:trPr>
        <w:tc>
          <w:tcPr>
            <w:tcW w:w="858" w:type="pct"/>
            <w:shd w:val="clear" w:color="auto" w:fill="auto"/>
            <w:tcMar>
              <w:left w:w="29" w:type="dxa"/>
              <w:right w:w="29" w:type="dxa"/>
            </w:tcMar>
            <w:vAlign w:val="center"/>
            <w:hideMark/>
          </w:tcPr>
          <w:p w:rsidR="00AE3CF3" w:rsidRPr="0012136D" w:rsidRDefault="00AE3CF3"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Atem, Folefac D.</w:t>
            </w:r>
          </w:p>
        </w:tc>
        <w:tc>
          <w:tcPr>
            <w:tcW w:w="506" w:type="pct"/>
            <w:shd w:val="clear" w:color="auto" w:fill="auto"/>
            <w:tcMar>
              <w:left w:w="29" w:type="dxa"/>
              <w:right w:w="29" w:type="dxa"/>
            </w:tcMar>
            <w:vAlign w:val="center"/>
            <w:hideMark/>
          </w:tcPr>
          <w:p w:rsidR="00AE3CF3" w:rsidRPr="0012136D" w:rsidRDefault="00AE3CF3"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E3CF3" w:rsidRPr="0012136D" w:rsidRDefault="00AE3CF3"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E3CF3" w:rsidRPr="0012136D" w:rsidRDefault="00AE3CF3"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E3CF3" w:rsidRPr="0012136D" w:rsidRDefault="00AE3CF3"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Pittsburgh</w:t>
            </w:r>
          </w:p>
        </w:tc>
        <w:tc>
          <w:tcPr>
            <w:tcW w:w="706" w:type="pct"/>
            <w:shd w:val="clear" w:color="auto" w:fill="auto"/>
            <w:tcMar>
              <w:left w:w="29" w:type="dxa"/>
              <w:right w:w="29" w:type="dxa"/>
            </w:tcMar>
            <w:vAlign w:val="center"/>
            <w:hideMark/>
          </w:tcPr>
          <w:p w:rsidR="00AE3CF3" w:rsidRPr="0012136D" w:rsidRDefault="00AE3CF3"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w:t>
            </w:r>
            <w:r w:rsidR="00283E4C" w:rsidRPr="0012136D">
              <w:rPr>
                <w:rFonts w:asciiTheme="majorHAnsi" w:eastAsia="Times New Roman" w:hAnsiTheme="majorHAnsi" w:cstheme="majorHAnsi"/>
                <w:color w:val="000000"/>
                <w:sz w:val="20"/>
                <w:szCs w:val="20"/>
              </w:rPr>
              <w:t>Biostatistics</w:t>
            </w:r>
          </w:p>
        </w:tc>
        <w:tc>
          <w:tcPr>
            <w:tcW w:w="908" w:type="pct"/>
            <w:shd w:val="clear" w:color="auto" w:fill="auto"/>
            <w:tcMar>
              <w:left w:w="29" w:type="dxa"/>
              <w:right w:w="29" w:type="dxa"/>
            </w:tcMar>
            <w:vAlign w:val="center"/>
            <w:hideMark/>
          </w:tcPr>
          <w:p w:rsidR="00AE3CF3" w:rsidRPr="0012136D" w:rsidRDefault="00AE3CF3"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Biostatistics</w:t>
            </w:r>
          </w:p>
        </w:tc>
      </w:tr>
      <w:tr w:rsidR="006F6C43" w:rsidRPr="0012136D" w:rsidTr="006E04D2">
        <w:trPr>
          <w:cantSplit/>
          <w:trHeight w:val="300"/>
        </w:trPr>
        <w:tc>
          <w:tcPr>
            <w:tcW w:w="858"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sz w:val="20"/>
                <w:szCs w:val="20"/>
              </w:rPr>
            </w:pPr>
            <w:r w:rsidRPr="0012136D">
              <w:rPr>
                <w:rFonts w:asciiTheme="majorHAnsi" w:hAnsiTheme="majorHAnsi" w:cstheme="majorHAnsi"/>
                <w:sz w:val="20"/>
                <w:szCs w:val="20"/>
              </w:rPr>
              <w:t>Baker, Kimberly</w:t>
            </w:r>
          </w:p>
        </w:tc>
        <w:tc>
          <w:tcPr>
            <w:tcW w:w="506"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Non-tenured track</w:t>
            </w:r>
          </w:p>
        </w:tc>
        <w:tc>
          <w:tcPr>
            <w:tcW w:w="506"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DrPH</w:t>
            </w:r>
          </w:p>
        </w:tc>
        <w:tc>
          <w:tcPr>
            <w:tcW w:w="859"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tcPr>
          <w:p w:rsidR="003157F8"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w:t>
            </w:r>
          </w:p>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Education</w:t>
            </w:r>
          </w:p>
        </w:tc>
        <w:tc>
          <w:tcPr>
            <w:tcW w:w="908" w:type="pct"/>
            <w:shd w:val="clear" w:color="auto" w:fill="auto"/>
            <w:tcMar>
              <w:left w:w="29" w:type="dxa"/>
              <w:right w:w="29" w:type="dxa"/>
            </w:tcMar>
            <w:vAlign w:val="center"/>
          </w:tcPr>
          <w:p w:rsidR="00A14142" w:rsidRPr="0012136D" w:rsidRDefault="00816A0F"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Promotion/Health Education, Behavioral Sciences and Health Promotion</w:t>
            </w:r>
          </w:p>
        </w:tc>
      </w:tr>
      <w:tr w:rsidR="006F6C43" w:rsidRPr="0012136D" w:rsidTr="006E04D2">
        <w:trPr>
          <w:cantSplit/>
          <w:trHeight w:val="300"/>
        </w:trPr>
        <w:tc>
          <w:tcPr>
            <w:tcW w:w="858" w:type="pct"/>
            <w:vMerge w:val="restar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Balasubramanian, Bijal</w:t>
            </w:r>
          </w:p>
        </w:tc>
        <w:tc>
          <w:tcPr>
            <w:tcW w:w="506" w:type="pct"/>
            <w:vMerge w:val="restar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vMerge w:val="restar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Rutgers School of Public Health</w:t>
            </w:r>
          </w:p>
        </w:tc>
        <w:tc>
          <w:tcPr>
            <w:tcW w:w="706" w:type="pct"/>
            <w:vMerge w:val="restar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c>
          <w:tcPr>
            <w:tcW w:w="908" w:type="pct"/>
            <w:vMerge w:val="restar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300"/>
        </w:trPr>
        <w:tc>
          <w:tcPr>
            <w:tcW w:w="858" w:type="pct"/>
            <w:vMerge/>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p>
        </w:tc>
        <w:tc>
          <w:tcPr>
            <w:tcW w:w="506" w:type="pct"/>
            <w:vMerge/>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p>
        </w:tc>
        <w:tc>
          <w:tcPr>
            <w:tcW w:w="657" w:type="pct"/>
            <w:vMerge/>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MBBS</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Pune, India</w:t>
            </w:r>
          </w:p>
        </w:tc>
        <w:tc>
          <w:tcPr>
            <w:tcW w:w="706" w:type="pct"/>
            <w:vMerge/>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p>
        </w:tc>
        <w:tc>
          <w:tcPr>
            <w:tcW w:w="908" w:type="pct"/>
            <w:vMerge/>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Bauer, Cici</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Washington, Seattle</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Statistics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Biostatistics</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Boerwinkle, Eric</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Michigan</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Human Genetics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Bressler, Jan</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Non-tenure 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Baylor College of Medicine</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Molecular Genetics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Brown, Eric</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M.D. Anderson Cancer Center</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Immunology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Brown, Louis</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Wichita State University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Community Psychology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 Health Education</w:t>
            </w:r>
            <w:r w:rsidR="00DA4422" w:rsidRPr="0012136D">
              <w:rPr>
                <w:rFonts w:asciiTheme="majorHAnsi" w:eastAsia="Times New Roman" w:hAnsiTheme="majorHAnsi" w:cstheme="majorHAnsi"/>
                <w:color w:val="000000"/>
                <w:sz w:val="20"/>
                <w:szCs w:val="20"/>
              </w:rPr>
              <w:t>; Health Promotion/Health Education,</w:t>
            </w:r>
            <w:r w:rsidRPr="0012136D">
              <w:rPr>
                <w:rFonts w:asciiTheme="majorHAnsi" w:eastAsia="Times New Roman" w:hAnsiTheme="majorHAnsi" w:cstheme="majorHAnsi"/>
                <w:color w:val="000000"/>
                <w:sz w:val="20"/>
                <w:szCs w:val="20"/>
              </w:rPr>
              <w:t xml:space="preserve"> Dietetic Internship </w:t>
            </w:r>
            <w:r w:rsidR="00DA4422" w:rsidRPr="0012136D">
              <w:rPr>
                <w:rFonts w:asciiTheme="majorHAnsi" w:eastAsia="Times New Roman" w:hAnsiTheme="majorHAnsi" w:cstheme="majorHAnsi"/>
                <w:color w:val="000000"/>
                <w:sz w:val="20"/>
                <w:szCs w:val="20"/>
              </w:rPr>
              <w:t>Track;</w:t>
            </w:r>
            <w:r w:rsidRPr="0012136D">
              <w:rPr>
                <w:rFonts w:asciiTheme="majorHAnsi" w:eastAsia="Times New Roman" w:hAnsiTheme="majorHAnsi" w:cstheme="majorHAnsi"/>
                <w:color w:val="000000"/>
                <w:sz w:val="20"/>
                <w:szCs w:val="20"/>
              </w:rPr>
              <w:t xml:space="preserve"> Behavioral Sciences</w:t>
            </w:r>
            <w:r w:rsidR="00DA4422" w:rsidRPr="0012136D">
              <w:rPr>
                <w:rFonts w:asciiTheme="majorHAnsi" w:eastAsia="Times New Roman" w:hAnsiTheme="majorHAnsi" w:cstheme="majorHAnsi"/>
                <w:color w:val="000000"/>
                <w:sz w:val="20"/>
                <w:szCs w:val="20"/>
              </w:rPr>
              <w:t xml:space="preserve"> and Health Promotion</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Brown III, Henry S.</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Vanderbilt University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Economics</w:t>
            </w:r>
          </w:p>
        </w:tc>
        <w:tc>
          <w:tcPr>
            <w:tcW w:w="908" w:type="pct"/>
            <w:shd w:val="clear" w:color="auto" w:fill="auto"/>
            <w:tcMar>
              <w:left w:w="29" w:type="dxa"/>
              <w:right w:w="29" w:type="dxa"/>
            </w:tcMar>
            <w:vAlign w:val="center"/>
            <w:hideMark/>
          </w:tcPr>
          <w:p w:rsidR="00A14142" w:rsidRPr="0012136D" w:rsidRDefault="00F57B07"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Community Health Practice, </w:t>
            </w:r>
            <w:r w:rsidR="00A14142" w:rsidRPr="0012136D">
              <w:rPr>
                <w:rFonts w:asciiTheme="majorHAnsi" w:eastAsia="Times New Roman" w:hAnsiTheme="majorHAnsi" w:cstheme="majorHAnsi"/>
                <w:color w:val="000000"/>
                <w:sz w:val="20"/>
                <w:szCs w:val="20"/>
              </w:rPr>
              <w:t>Health Services Organization, Health Economics/ Health Services Research</w:t>
            </w:r>
            <w:r w:rsidR="00E610D5" w:rsidRPr="0012136D">
              <w:rPr>
                <w:rFonts w:asciiTheme="majorHAnsi" w:eastAsia="Times New Roman" w:hAnsiTheme="majorHAnsi" w:cstheme="majorHAnsi"/>
                <w:color w:val="000000"/>
                <w:sz w:val="20"/>
                <w:szCs w:val="20"/>
              </w:rPr>
              <w:t>,  Healthcare Management</w:t>
            </w:r>
          </w:p>
        </w:tc>
      </w:tr>
      <w:tr w:rsidR="006F6C43" w:rsidRPr="0012136D" w:rsidTr="006E04D2">
        <w:trPr>
          <w:cantSplit/>
          <w:trHeight w:val="600"/>
        </w:trPr>
        <w:tc>
          <w:tcPr>
            <w:tcW w:w="858"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sz w:val="20"/>
                <w:szCs w:val="20"/>
              </w:rPr>
            </w:pPr>
            <w:r w:rsidRPr="0012136D">
              <w:rPr>
                <w:rFonts w:asciiTheme="majorHAnsi" w:hAnsiTheme="majorHAnsi" w:cstheme="majorHAnsi"/>
                <w:sz w:val="20"/>
                <w:szCs w:val="20"/>
              </w:rPr>
              <w:t>Buu, Yuh-Pey</w:t>
            </w:r>
          </w:p>
        </w:tc>
        <w:tc>
          <w:tcPr>
            <w:tcW w:w="506"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tcPr>
          <w:p w:rsidR="00A14142" w:rsidRPr="0012136D" w:rsidRDefault="00242A3A"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p w:rsidR="00242A3A" w:rsidRPr="0012136D" w:rsidRDefault="00242A3A"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tcPr>
          <w:p w:rsidR="00A14142" w:rsidRPr="0012136D" w:rsidRDefault="00242A3A"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Indiana University;</w:t>
            </w:r>
          </w:p>
          <w:p w:rsidR="00242A3A" w:rsidRPr="0012136D" w:rsidRDefault="00242A3A"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Florida</w:t>
            </w:r>
          </w:p>
        </w:tc>
        <w:tc>
          <w:tcPr>
            <w:tcW w:w="706" w:type="pct"/>
            <w:shd w:val="clear" w:color="auto" w:fill="auto"/>
            <w:tcMar>
              <w:left w:w="29" w:type="dxa"/>
              <w:right w:w="29" w:type="dxa"/>
            </w:tcMar>
            <w:vAlign w:val="center"/>
          </w:tcPr>
          <w:p w:rsidR="00A14142" w:rsidRPr="0012136D" w:rsidRDefault="00242A3A"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Educational Psychology;</w:t>
            </w:r>
          </w:p>
          <w:p w:rsidR="00242A3A" w:rsidRPr="0012136D" w:rsidRDefault="00242A3A"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Statistics</w:t>
            </w:r>
          </w:p>
        </w:tc>
        <w:tc>
          <w:tcPr>
            <w:tcW w:w="908" w:type="pct"/>
            <w:shd w:val="clear" w:color="auto" w:fill="auto"/>
            <w:tcMar>
              <w:left w:w="29" w:type="dxa"/>
              <w:right w:w="29" w:type="dxa"/>
            </w:tcMar>
            <w:vAlign w:val="center"/>
          </w:tcPr>
          <w:p w:rsidR="00A14142" w:rsidRPr="0012136D" w:rsidRDefault="00B07677"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Health Promotion/Health Education, </w:t>
            </w:r>
            <w:r w:rsidR="00242A3A" w:rsidRPr="0012136D">
              <w:rPr>
                <w:rFonts w:asciiTheme="majorHAnsi" w:eastAsia="Times New Roman" w:hAnsiTheme="majorHAnsi" w:cstheme="majorHAnsi"/>
                <w:color w:val="000000"/>
                <w:sz w:val="20"/>
                <w:szCs w:val="20"/>
              </w:rPr>
              <w:t>Behavioral Sciences and Health Promotion</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Byrd-Williams, Courtney</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Southern California</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Preventive Medicine, Health Behavior Research</w:t>
            </w:r>
          </w:p>
        </w:tc>
        <w:tc>
          <w:tcPr>
            <w:tcW w:w="908" w:type="pct"/>
            <w:shd w:val="clear" w:color="auto" w:fill="auto"/>
            <w:tcMar>
              <w:left w:w="29" w:type="dxa"/>
              <w:right w:w="29" w:type="dxa"/>
            </w:tcMar>
            <w:vAlign w:val="center"/>
            <w:hideMark/>
          </w:tcPr>
          <w:p w:rsidR="00A14142" w:rsidRPr="0012136D" w:rsidRDefault="004C4BB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Promotion/Health Education, Behavioral Sciences and Health Promotion</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Cannell, Michael</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Florida</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Chan, Wenyaw</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Ohio State University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Statistics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Biostatistics</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Chavarria, Enmanuel</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Florida</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and Human Performance</w:t>
            </w:r>
          </w:p>
        </w:tc>
        <w:tc>
          <w:tcPr>
            <w:tcW w:w="908" w:type="pct"/>
            <w:shd w:val="clear" w:color="auto" w:fill="auto"/>
            <w:tcMar>
              <w:left w:w="29" w:type="dxa"/>
              <w:right w:w="29" w:type="dxa"/>
            </w:tcMar>
            <w:vAlign w:val="center"/>
            <w:hideMark/>
          </w:tcPr>
          <w:p w:rsidR="00A14142" w:rsidRPr="0012136D" w:rsidRDefault="004C4BB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Promotion/Health Education, Behavioral Sciences and Health Promotion</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Chen, Baojiang</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Waterloo</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Statistics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Biostatistics</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Chen, Han</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Boston University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Biostatistics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Choh, Audrey</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Non-tenure 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Albany - SUNY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Anthropology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Cuccaro, Paula</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Non-tenure 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Houston</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Developmental Psychology</w:t>
            </w:r>
          </w:p>
        </w:tc>
        <w:tc>
          <w:tcPr>
            <w:tcW w:w="908" w:type="pct"/>
            <w:shd w:val="clear" w:color="auto" w:fill="auto"/>
            <w:tcMar>
              <w:left w:w="29" w:type="dxa"/>
              <w:right w:w="29" w:type="dxa"/>
            </w:tcMar>
            <w:vAlign w:val="center"/>
            <w:hideMark/>
          </w:tcPr>
          <w:p w:rsidR="00A14142" w:rsidRPr="0012136D" w:rsidRDefault="004C4BB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Promotion/Health Education, Behavioral Sciences and Health Promotion</w:t>
            </w:r>
            <w:r w:rsidR="00C26D55" w:rsidRPr="0012136D">
              <w:rPr>
                <w:rFonts w:asciiTheme="majorHAnsi" w:eastAsia="Times New Roman" w:hAnsiTheme="majorHAnsi" w:cstheme="majorHAnsi"/>
                <w:color w:val="000000"/>
                <w:sz w:val="20"/>
                <w:szCs w:val="20"/>
              </w:rPr>
              <w:t>,   Community Health Practice</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Czerwinski, Stefan</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Albany - SUNY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Biological Anthropology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Daiger, Stephen P.</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Stanford University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Human population genetics &amp; biochemical genetics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179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Darkoh, Charles</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Texas MD Anderson Cancer Center</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Molecular Pathology, Microbiology and Molecular Genetics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300"/>
        </w:trPr>
        <w:tc>
          <w:tcPr>
            <w:tcW w:w="858" w:type="pct"/>
            <w:vMerge w:val="restar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Davis, Barry R.</w:t>
            </w:r>
          </w:p>
        </w:tc>
        <w:tc>
          <w:tcPr>
            <w:tcW w:w="506" w:type="pct"/>
            <w:vMerge w:val="restar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vMerge w:val="restar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Brown University</w:t>
            </w:r>
          </w:p>
        </w:tc>
        <w:tc>
          <w:tcPr>
            <w:tcW w:w="706" w:type="pct"/>
            <w:shd w:val="clear" w:color="auto" w:fill="auto"/>
            <w:tcMar>
              <w:left w:w="29" w:type="dxa"/>
              <w:right w:w="29" w:type="dxa"/>
            </w:tcMar>
            <w:vAlign w:val="center"/>
            <w:hideMark/>
          </w:tcPr>
          <w:p w:rsidR="0022506B" w:rsidRPr="0012136D" w:rsidRDefault="0022506B"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Medicine</w:t>
            </w:r>
          </w:p>
        </w:tc>
        <w:tc>
          <w:tcPr>
            <w:tcW w:w="908" w:type="pct"/>
            <w:vMerge w:val="restar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Biostatistics</w:t>
            </w:r>
          </w:p>
        </w:tc>
      </w:tr>
      <w:tr w:rsidR="006F6C43" w:rsidRPr="0012136D" w:rsidTr="006E04D2">
        <w:trPr>
          <w:cantSplit/>
          <w:trHeight w:val="300"/>
        </w:trPr>
        <w:tc>
          <w:tcPr>
            <w:tcW w:w="858" w:type="pct"/>
            <w:vMerge/>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p>
        </w:tc>
        <w:tc>
          <w:tcPr>
            <w:tcW w:w="506" w:type="pct"/>
            <w:vMerge/>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p>
        </w:tc>
        <w:tc>
          <w:tcPr>
            <w:tcW w:w="657" w:type="pct"/>
            <w:vMerge/>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MD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California San Diego</w:t>
            </w:r>
          </w:p>
        </w:tc>
        <w:tc>
          <w:tcPr>
            <w:tcW w:w="706" w:type="pct"/>
            <w:shd w:val="clear" w:color="auto" w:fill="auto"/>
            <w:tcMar>
              <w:left w:w="29" w:type="dxa"/>
              <w:right w:w="29" w:type="dxa"/>
            </w:tcMar>
            <w:vAlign w:val="center"/>
            <w:hideMark/>
          </w:tcPr>
          <w:p w:rsidR="0022506B" w:rsidRPr="0012136D" w:rsidRDefault="0022506B"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Applied Mathematics; </w:t>
            </w:r>
          </w:p>
          <w:p w:rsidR="00A14142" w:rsidRPr="0012136D" w:rsidRDefault="00A14142" w:rsidP="006C308E">
            <w:pPr>
              <w:rPr>
                <w:rFonts w:asciiTheme="majorHAnsi" w:eastAsia="Times New Roman" w:hAnsiTheme="majorHAnsi" w:cstheme="majorHAnsi"/>
                <w:color w:val="000000"/>
                <w:sz w:val="20"/>
                <w:szCs w:val="20"/>
              </w:rPr>
            </w:pPr>
          </w:p>
        </w:tc>
        <w:tc>
          <w:tcPr>
            <w:tcW w:w="908" w:type="pct"/>
            <w:vMerge/>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Day, R. Sue</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r w:rsidR="004C4BB2" w:rsidRPr="0012136D">
              <w:rPr>
                <w:rFonts w:asciiTheme="majorHAnsi" w:eastAsia="Times New Roman" w:hAnsiTheme="majorHAnsi" w:cstheme="majorHAnsi"/>
                <w:color w:val="000000"/>
                <w:sz w:val="20"/>
                <w:szCs w:val="20"/>
              </w:rPr>
              <w:t>; Health Promotion/Health Education, Dietetic Internship Track; Total Worker Health</w:t>
            </w:r>
          </w:p>
        </w:tc>
      </w:tr>
      <w:tr w:rsidR="006F6C43" w:rsidRPr="0012136D" w:rsidTr="006E04D2">
        <w:trPr>
          <w:cantSplit/>
          <w:trHeight w:val="300"/>
        </w:trPr>
        <w:tc>
          <w:tcPr>
            <w:tcW w:w="858" w:type="pct"/>
            <w:vMerge w:val="restar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Delclos, George P</w:t>
            </w:r>
            <w:r w:rsidRPr="0012136D">
              <w:rPr>
                <w:rFonts w:asciiTheme="majorHAnsi" w:eastAsia="Times New Roman" w:hAnsiTheme="majorHAnsi" w:cstheme="majorHAnsi"/>
                <w:sz w:val="20"/>
                <w:szCs w:val="20"/>
              </w:rPr>
              <w:t>.</w:t>
            </w:r>
          </w:p>
        </w:tc>
        <w:tc>
          <w:tcPr>
            <w:tcW w:w="506" w:type="pct"/>
            <w:vMerge w:val="restar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vMerge w:val="restar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Universitat Pompeu Fabra</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and Life Sciences</w:t>
            </w:r>
          </w:p>
        </w:tc>
        <w:tc>
          <w:tcPr>
            <w:tcW w:w="908" w:type="pct"/>
            <w:vMerge w:val="restart"/>
            <w:shd w:val="clear" w:color="auto" w:fill="auto"/>
            <w:tcMar>
              <w:left w:w="29" w:type="dxa"/>
              <w:right w:w="29" w:type="dxa"/>
            </w:tcMar>
            <w:vAlign w:val="center"/>
            <w:hideMark/>
          </w:tcPr>
          <w:p w:rsidR="00A14142" w:rsidRPr="0012136D" w:rsidRDefault="00280679"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Environmental Health,</w:t>
            </w:r>
            <w:r w:rsidR="00A14142" w:rsidRPr="0012136D">
              <w:rPr>
                <w:rFonts w:asciiTheme="majorHAnsi" w:eastAsia="Times New Roman" w:hAnsiTheme="majorHAnsi" w:cstheme="majorHAnsi"/>
                <w:color w:val="000000"/>
                <w:sz w:val="20"/>
                <w:szCs w:val="20"/>
              </w:rPr>
              <w:t xml:space="preserve"> Total Worker Health</w:t>
            </w:r>
          </w:p>
        </w:tc>
      </w:tr>
      <w:tr w:rsidR="006F6C43" w:rsidRPr="0012136D" w:rsidTr="006E04D2">
        <w:trPr>
          <w:cantSplit/>
          <w:trHeight w:val="600"/>
        </w:trPr>
        <w:tc>
          <w:tcPr>
            <w:tcW w:w="858" w:type="pct"/>
            <w:vMerge/>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p>
        </w:tc>
        <w:tc>
          <w:tcPr>
            <w:tcW w:w="506" w:type="pct"/>
            <w:vMerge/>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p>
        </w:tc>
        <w:tc>
          <w:tcPr>
            <w:tcW w:w="657" w:type="pct"/>
            <w:vMerge/>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MD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Barcelona School of Medicine</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Internal Medicine</w:t>
            </w:r>
          </w:p>
        </w:tc>
        <w:tc>
          <w:tcPr>
            <w:tcW w:w="908" w:type="pct"/>
            <w:vMerge/>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DeSantis, Stacia</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Harvard University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Biostatistics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Biostatistics</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Deshmukh, Ashish</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Economics</w:t>
            </w:r>
          </w:p>
        </w:tc>
        <w:tc>
          <w:tcPr>
            <w:tcW w:w="908" w:type="pct"/>
            <w:shd w:val="clear" w:color="auto" w:fill="auto"/>
            <w:tcMar>
              <w:left w:w="29" w:type="dxa"/>
              <w:right w:w="29" w:type="dxa"/>
            </w:tcMar>
            <w:vAlign w:val="center"/>
            <w:hideMark/>
          </w:tcPr>
          <w:p w:rsidR="00A14142" w:rsidRPr="0012136D" w:rsidRDefault="00280679"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Services Organizations, Health Economics/Health Services Research</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De Vries, Paul Stefan</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Erasmus Medical Center</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Molecular Epidemiology </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Douphrate, David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Colorado State University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Environmental Health</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Environmental Health</w:t>
            </w:r>
            <w:r w:rsidR="001D7443" w:rsidRPr="0012136D">
              <w:rPr>
                <w:rFonts w:asciiTheme="majorHAnsi" w:eastAsia="Times New Roman" w:hAnsiTheme="majorHAnsi" w:cstheme="majorHAnsi"/>
                <w:color w:val="000000"/>
                <w:sz w:val="20"/>
                <w:szCs w:val="20"/>
              </w:rPr>
              <w:t>, Environmental Disease Prevention</w:t>
            </w:r>
            <w:r w:rsidRPr="0012136D">
              <w:rPr>
                <w:rFonts w:asciiTheme="majorHAnsi" w:eastAsia="Times New Roman" w:hAnsiTheme="majorHAnsi" w:cstheme="majorHAnsi"/>
                <w:color w:val="000000"/>
                <w:sz w:val="20"/>
                <w:szCs w:val="20"/>
              </w:rPr>
              <w:t>, Total Worker Health</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Du, Xianglin L.</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Manchester Medical School</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r w:rsidR="001D7443" w:rsidRPr="0012136D">
              <w:rPr>
                <w:rFonts w:asciiTheme="majorHAnsi" w:eastAsia="Times New Roman" w:hAnsiTheme="majorHAnsi" w:cstheme="majorHAnsi"/>
                <w:color w:val="000000"/>
                <w:sz w:val="20"/>
                <w:szCs w:val="20"/>
              </w:rPr>
              <w:t>, Health Economics/Health Services Research</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Durand, Casey</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Non-tenure 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Southern California</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Preventive Medicine</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Promotion/Health Education, Behavioral Sciences</w:t>
            </w:r>
            <w:r w:rsidR="00A673F9" w:rsidRPr="0012136D">
              <w:rPr>
                <w:rFonts w:asciiTheme="majorHAnsi" w:eastAsia="Times New Roman" w:hAnsiTheme="majorHAnsi" w:cstheme="majorHAnsi"/>
                <w:color w:val="000000"/>
                <w:sz w:val="20"/>
                <w:szCs w:val="20"/>
              </w:rPr>
              <w:t xml:space="preserve"> and Health Promotion</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Fernandez, Maria E.</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Maryland</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Education</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 Health Education</w:t>
            </w:r>
            <w:r w:rsidR="00C42F5B" w:rsidRPr="0012136D">
              <w:rPr>
                <w:rFonts w:asciiTheme="majorHAnsi" w:eastAsia="Times New Roman" w:hAnsiTheme="majorHAnsi" w:cstheme="majorHAnsi"/>
                <w:color w:val="000000"/>
                <w:sz w:val="20"/>
                <w:szCs w:val="20"/>
              </w:rPr>
              <w:t>;</w:t>
            </w:r>
            <w:r w:rsidRPr="0012136D">
              <w:rPr>
                <w:rFonts w:asciiTheme="majorHAnsi" w:eastAsia="Times New Roman" w:hAnsiTheme="majorHAnsi" w:cstheme="majorHAnsi"/>
                <w:color w:val="000000"/>
                <w:sz w:val="20"/>
                <w:szCs w:val="20"/>
              </w:rPr>
              <w:t xml:space="preserve"> </w:t>
            </w:r>
            <w:r w:rsidR="00C42F5B" w:rsidRPr="0012136D">
              <w:rPr>
                <w:rFonts w:asciiTheme="majorHAnsi" w:eastAsia="Times New Roman" w:hAnsiTheme="majorHAnsi" w:cstheme="majorHAnsi"/>
                <w:color w:val="000000"/>
                <w:sz w:val="20"/>
                <w:szCs w:val="20"/>
              </w:rPr>
              <w:t xml:space="preserve">Health Promotion/ Health Education, </w:t>
            </w:r>
            <w:r w:rsidRPr="0012136D">
              <w:rPr>
                <w:rFonts w:asciiTheme="majorHAnsi" w:eastAsia="Times New Roman" w:hAnsiTheme="majorHAnsi" w:cstheme="majorHAnsi"/>
                <w:color w:val="000000"/>
                <w:sz w:val="20"/>
                <w:szCs w:val="20"/>
              </w:rPr>
              <w:t xml:space="preserve">Dietetic Internship </w:t>
            </w:r>
            <w:r w:rsidR="00C42F5B" w:rsidRPr="0012136D">
              <w:rPr>
                <w:rFonts w:asciiTheme="majorHAnsi" w:eastAsia="Times New Roman" w:hAnsiTheme="majorHAnsi" w:cstheme="majorHAnsi"/>
                <w:color w:val="000000"/>
                <w:sz w:val="20"/>
                <w:szCs w:val="20"/>
              </w:rPr>
              <w:t>Track;</w:t>
            </w:r>
            <w:r w:rsidRPr="0012136D">
              <w:rPr>
                <w:rFonts w:asciiTheme="majorHAnsi" w:eastAsia="Times New Roman" w:hAnsiTheme="majorHAnsi" w:cstheme="majorHAnsi"/>
                <w:color w:val="000000"/>
                <w:sz w:val="20"/>
                <w:szCs w:val="20"/>
              </w:rPr>
              <w:t xml:space="preserve"> Behavioral Sciences</w:t>
            </w:r>
            <w:r w:rsidR="00C42F5B" w:rsidRPr="0012136D">
              <w:rPr>
                <w:rFonts w:asciiTheme="majorHAnsi" w:eastAsia="Times New Roman" w:hAnsiTheme="majorHAnsi" w:cstheme="majorHAnsi"/>
                <w:color w:val="000000"/>
                <w:sz w:val="20"/>
                <w:szCs w:val="20"/>
              </w:rPr>
              <w:t xml:space="preserve"> and Health Promotion</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Fernandez-Esquer, Maria E.</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Arizona</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Psychology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Promotion/Health Education, Behavioral Sciences</w:t>
            </w:r>
            <w:r w:rsidR="009B3A9B" w:rsidRPr="0012136D">
              <w:rPr>
                <w:rFonts w:asciiTheme="majorHAnsi" w:eastAsia="Times New Roman" w:hAnsiTheme="majorHAnsi" w:cstheme="majorHAnsi"/>
                <w:color w:val="000000"/>
                <w:sz w:val="20"/>
                <w:szCs w:val="20"/>
              </w:rPr>
              <w:t xml:space="preserve"> and Health Promotion</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Fisher-Hoch, Susan P.</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Non-tenure 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MD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London</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Fu, Yun-Xin</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Reading, England</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Statistics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Biostatistics</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Fujimoto, Kayo</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Pittsburgh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 Sociology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 Health Education, Behavioral Sciences</w:t>
            </w:r>
            <w:r w:rsidR="00D32BD6" w:rsidRPr="0012136D">
              <w:rPr>
                <w:rFonts w:asciiTheme="majorHAnsi" w:eastAsia="Times New Roman" w:hAnsiTheme="majorHAnsi" w:cstheme="majorHAnsi"/>
                <w:color w:val="000000"/>
                <w:sz w:val="20"/>
                <w:szCs w:val="20"/>
              </w:rPr>
              <w:t xml:space="preserve"> and Health Promotion</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Gabriel, Kelley Pettee</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Pittsburgh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1313"/>
        </w:trPr>
        <w:tc>
          <w:tcPr>
            <w:tcW w:w="858" w:type="pct"/>
            <w:vMerge w:val="restar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Ganduglia Cazaban, Cecilia</w:t>
            </w:r>
          </w:p>
        </w:tc>
        <w:tc>
          <w:tcPr>
            <w:tcW w:w="506" w:type="pct"/>
            <w:vMerge w:val="restar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vMerge w:val="restar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DrPH</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Services Research</w:t>
            </w:r>
          </w:p>
        </w:tc>
        <w:tc>
          <w:tcPr>
            <w:tcW w:w="908" w:type="pct"/>
            <w:vMerge w:val="restart"/>
            <w:shd w:val="clear" w:color="auto" w:fill="auto"/>
            <w:tcMar>
              <w:left w:w="29" w:type="dxa"/>
              <w:right w:w="29" w:type="dxa"/>
            </w:tcMar>
            <w:vAlign w:val="center"/>
            <w:hideMark/>
          </w:tcPr>
          <w:p w:rsidR="00A14142" w:rsidRPr="0012136D" w:rsidRDefault="00C95C40"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Healthcare Management, </w:t>
            </w:r>
            <w:r w:rsidR="00A14142" w:rsidRPr="0012136D">
              <w:rPr>
                <w:rFonts w:asciiTheme="majorHAnsi" w:eastAsia="Times New Roman" w:hAnsiTheme="majorHAnsi" w:cstheme="majorHAnsi"/>
                <w:color w:val="000000"/>
                <w:sz w:val="20"/>
                <w:szCs w:val="20"/>
              </w:rPr>
              <w:t>Health Services Organization</w:t>
            </w:r>
            <w:r w:rsidRPr="0012136D">
              <w:rPr>
                <w:rFonts w:asciiTheme="majorHAnsi" w:eastAsia="Times New Roman" w:hAnsiTheme="majorHAnsi" w:cstheme="majorHAnsi"/>
                <w:color w:val="000000"/>
                <w:sz w:val="20"/>
                <w:szCs w:val="20"/>
              </w:rPr>
              <w:t>, Health Economics/Health Services Research</w:t>
            </w:r>
          </w:p>
        </w:tc>
      </w:tr>
      <w:tr w:rsidR="006F6C43" w:rsidRPr="0012136D" w:rsidTr="006E04D2">
        <w:trPr>
          <w:cantSplit/>
          <w:trHeight w:val="300"/>
        </w:trPr>
        <w:tc>
          <w:tcPr>
            <w:tcW w:w="858" w:type="pct"/>
            <w:vMerge/>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p>
        </w:tc>
        <w:tc>
          <w:tcPr>
            <w:tcW w:w="506" w:type="pct"/>
            <w:vMerge/>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p>
        </w:tc>
        <w:tc>
          <w:tcPr>
            <w:tcW w:w="657" w:type="pct"/>
            <w:vMerge/>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MD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Universidad del Salvador, Argentina</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Medicine </w:t>
            </w:r>
          </w:p>
        </w:tc>
        <w:tc>
          <w:tcPr>
            <w:tcW w:w="908" w:type="pct"/>
            <w:vMerge/>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Gemeinhardt, Gretchen L.</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Non-tenure 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Houston</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Organizational Behavior &amp; Management</w:t>
            </w:r>
          </w:p>
        </w:tc>
        <w:tc>
          <w:tcPr>
            <w:tcW w:w="908" w:type="pct"/>
            <w:shd w:val="clear" w:color="auto" w:fill="auto"/>
            <w:tcMar>
              <w:left w:w="29" w:type="dxa"/>
              <w:right w:w="29" w:type="dxa"/>
            </w:tcMar>
            <w:vAlign w:val="center"/>
            <w:hideMark/>
          </w:tcPr>
          <w:p w:rsidR="00A14142" w:rsidRPr="0012136D" w:rsidRDefault="002205E3"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Community Health Practice, </w:t>
            </w:r>
            <w:r w:rsidR="00A14142" w:rsidRPr="0012136D">
              <w:rPr>
                <w:rFonts w:asciiTheme="majorHAnsi" w:eastAsia="Times New Roman" w:hAnsiTheme="majorHAnsi" w:cstheme="majorHAnsi"/>
                <w:color w:val="000000"/>
                <w:sz w:val="20"/>
                <w:szCs w:val="20"/>
              </w:rPr>
              <w:t>Healthcare Management,</w:t>
            </w:r>
            <w:r w:rsidRPr="0012136D">
              <w:rPr>
                <w:rFonts w:asciiTheme="majorHAnsi" w:eastAsia="Times New Roman" w:hAnsiTheme="majorHAnsi" w:cstheme="majorHAnsi"/>
                <w:color w:val="000000"/>
                <w:sz w:val="20"/>
                <w:szCs w:val="20"/>
              </w:rPr>
              <w:t xml:space="preserve"> Health Services Organizations, </w:t>
            </w:r>
            <w:r w:rsidR="00A14142" w:rsidRPr="0012136D">
              <w:rPr>
                <w:rFonts w:asciiTheme="majorHAnsi" w:eastAsia="Times New Roman" w:hAnsiTheme="majorHAnsi" w:cstheme="majorHAnsi"/>
                <w:color w:val="000000"/>
                <w:sz w:val="20"/>
                <w:szCs w:val="20"/>
              </w:rPr>
              <w:t xml:space="preserve"> Healthcare Management and Health Policy</w:t>
            </w:r>
            <w:r w:rsidRPr="0012136D">
              <w:rPr>
                <w:rFonts w:asciiTheme="majorHAnsi" w:eastAsia="Times New Roman" w:hAnsiTheme="majorHAnsi" w:cstheme="majorHAnsi"/>
                <w:color w:val="000000"/>
                <w:sz w:val="20"/>
                <w:szCs w:val="20"/>
              </w:rPr>
              <w:t>, Health Economics/Health Services Research</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Gimeno, David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Universitat Pompeu Fabra, Barcelona</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Public Health – Health and Life Sciences Program</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Environmental Health, </w:t>
            </w:r>
            <w:r w:rsidR="003E0108" w:rsidRPr="0012136D">
              <w:rPr>
                <w:rFonts w:asciiTheme="majorHAnsi" w:eastAsia="Times New Roman" w:hAnsiTheme="majorHAnsi" w:cstheme="majorHAnsi"/>
                <w:color w:val="000000"/>
                <w:sz w:val="20"/>
                <w:szCs w:val="20"/>
              </w:rPr>
              <w:t xml:space="preserve">Environmental Disease Prevention, </w:t>
            </w:r>
            <w:r w:rsidRPr="0012136D">
              <w:rPr>
                <w:rFonts w:asciiTheme="majorHAnsi" w:eastAsia="Times New Roman" w:hAnsiTheme="majorHAnsi" w:cstheme="majorHAnsi"/>
                <w:color w:val="000000"/>
                <w:sz w:val="20"/>
                <w:szCs w:val="20"/>
              </w:rPr>
              <w:t>Total Worker Health,</w:t>
            </w:r>
            <w:r w:rsidR="003E0108" w:rsidRPr="0012136D">
              <w:rPr>
                <w:rFonts w:asciiTheme="majorHAnsi" w:eastAsia="Times New Roman" w:hAnsiTheme="majorHAnsi" w:cstheme="majorHAnsi"/>
                <w:color w:val="000000"/>
                <w:sz w:val="20"/>
                <w:szCs w:val="20"/>
              </w:rPr>
              <w:t xml:space="preserve"> Epidemiology</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Gonzalez, Jennifer M.</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Florida</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Han, Inkyu</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State University of New Jersey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Environmental and Occupational Health</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Environmental Health, Environmental Disease Prevention</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Hanis, Craig L.</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Michigan</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Human Genetics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Harrell, Melissa</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Minnesota</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Behavioral Epidemiology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Hernandez, Belinda Flores</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Non-tenure 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Behavioral Science</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 Health Education</w:t>
            </w:r>
            <w:r w:rsidR="000B4634" w:rsidRPr="0012136D">
              <w:rPr>
                <w:rFonts w:asciiTheme="majorHAnsi" w:eastAsia="Times New Roman" w:hAnsiTheme="majorHAnsi" w:cstheme="majorHAnsi"/>
                <w:color w:val="000000"/>
                <w:sz w:val="20"/>
                <w:szCs w:val="20"/>
              </w:rPr>
              <w:t>; Health Promotion/Health Education,</w:t>
            </w:r>
            <w:r w:rsidR="00977C38" w:rsidRPr="0012136D">
              <w:rPr>
                <w:rFonts w:asciiTheme="majorHAnsi" w:eastAsia="Times New Roman" w:hAnsiTheme="majorHAnsi" w:cstheme="majorHAnsi"/>
                <w:color w:val="000000"/>
                <w:sz w:val="20"/>
                <w:szCs w:val="20"/>
              </w:rPr>
              <w:t xml:space="preserve"> </w:t>
            </w:r>
            <w:r w:rsidRPr="0012136D">
              <w:rPr>
                <w:rFonts w:asciiTheme="majorHAnsi" w:eastAsia="Times New Roman" w:hAnsiTheme="majorHAnsi" w:cstheme="majorHAnsi"/>
                <w:color w:val="000000"/>
                <w:sz w:val="20"/>
                <w:szCs w:val="20"/>
              </w:rPr>
              <w:t xml:space="preserve">Dietetic Internship </w:t>
            </w:r>
            <w:r w:rsidR="000B4634" w:rsidRPr="0012136D">
              <w:rPr>
                <w:rFonts w:asciiTheme="majorHAnsi" w:eastAsia="Times New Roman" w:hAnsiTheme="majorHAnsi" w:cstheme="majorHAnsi"/>
                <w:color w:val="000000"/>
                <w:sz w:val="20"/>
                <w:szCs w:val="20"/>
              </w:rPr>
              <w:t>Track;</w:t>
            </w:r>
            <w:r w:rsidRPr="0012136D">
              <w:rPr>
                <w:rFonts w:asciiTheme="majorHAnsi" w:eastAsia="Times New Roman" w:hAnsiTheme="majorHAnsi" w:cstheme="majorHAnsi"/>
                <w:color w:val="000000"/>
                <w:sz w:val="20"/>
                <w:szCs w:val="20"/>
              </w:rPr>
              <w:t xml:space="preserve"> Behavioral Sciences</w:t>
            </w:r>
            <w:r w:rsidR="000B4634" w:rsidRPr="0012136D">
              <w:rPr>
                <w:rFonts w:asciiTheme="majorHAnsi" w:eastAsia="Times New Roman" w:hAnsiTheme="majorHAnsi" w:cstheme="majorHAnsi"/>
                <w:color w:val="000000"/>
                <w:sz w:val="20"/>
                <w:szCs w:val="20"/>
              </w:rPr>
              <w:t xml:space="preserve"> and Health Promotion</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Highfield, Linda</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Texas A&amp;M University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Community Health Practice</w:t>
            </w:r>
            <w:r w:rsidR="00F344B3" w:rsidRPr="0012136D">
              <w:rPr>
                <w:rFonts w:asciiTheme="majorHAnsi" w:eastAsia="Times New Roman" w:hAnsiTheme="majorHAnsi" w:cstheme="majorHAnsi"/>
                <w:color w:val="000000"/>
                <w:sz w:val="20"/>
                <w:szCs w:val="20"/>
              </w:rPr>
              <w:t>, Healthcare Management/Health Policy, Health Economics/Health Services Research, Health Promotion/Health Education</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Hixson, James E.</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Michigan</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Human Genetics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Hoelscher, Deanna M.</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Texas</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Biological Sciences</w:t>
            </w:r>
          </w:p>
        </w:tc>
        <w:tc>
          <w:tcPr>
            <w:tcW w:w="908" w:type="pct"/>
            <w:shd w:val="clear" w:color="auto" w:fill="auto"/>
            <w:tcMar>
              <w:left w:w="29" w:type="dxa"/>
              <w:right w:w="29" w:type="dxa"/>
            </w:tcMar>
            <w:vAlign w:val="center"/>
            <w:hideMark/>
          </w:tcPr>
          <w:p w:rsidR="00A14142" w:rsidRPr="0012136D" w:rsidRDefault="00977C38"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 Health Education; Health Promotion/Health Education, Dietetic Internship Track; Behavioral Sciences and Health Promotion</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Hwang, Lu-Yu</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MD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National Taiwan University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Pediatrics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Jetalina, Katelyn</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CD37A1"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w:t>
            </w:r>
            <w:r w:rsidR="00A14142" w:rsidRPr="0012136D">
              <w:rPr>
                <w:rFonts w:asciiTheme="majorHAnsi" w:eastAsia="Times New Roman" w:hAnsiTheme="majorHAnsi" w:cstheme="majorHAnsi"/>
                <w:color w:val="000000"/>
                <w:sz w:val="20"/>
                <w:szCs w:val="20"/>
              </w:rPr>
              <w:t xml:space="preserve"> 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Epidemiology </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1313"/>
        </w:trPr>
        <w:tc>
          <w:tcPr>
            <w:tcW w:w="858" w:type="pct"/>
            <w:vMerge w:val="restar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Jiang, Zhi-Dong</w:t>
            </w:r>
          </w:p>
        </w:tc>
        <w:tc>
          <w:tcPr>
            <w:tcW w:w="506" w:type="pct"/>
            <w:vMerge w:val="restar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vMerge w:val="restar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Non-tenure 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DrPH</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Disease Control </w:t>
            </w:r>
          </w:p>
        </w:tc>
        <w:tc>
          <w:tcPr>
            <w:tcW w:w="908" w:type="pct"/>
            <w:vMerge w:val="restar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300"/>
        </w:trPr>
        <w:tc>
          <w:tcPr>
            <w:tcW w:w="858" w:type="pct"/>
            <w:vMerge/>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p>
        </w:tc>
        <w:tc>
          <w:tcPr>
            <w:tcW w:w="506" w:type="pct"/>
            <w:vMerge/>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p>
        </w:tc>
        <w:tc>
          <w:tcPr>
            <w:tcW w:w="657" w:type="pct"/>
            <w:vMerge/>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MD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Beijing Medical University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Medicine </w:t>
            </w:r>
          </w:p>
        </w:tc>
        <w:tc>
          <w:tcPr>
            <w:tcW w:w="908" w:type="pct"/>
            <w:vMerge/>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Jones, Eric C.</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Georgia</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Ecological and Environmental Anthropology, </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Jun, Goo</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Austin</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Electrical and Computer Engineering</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Kelder, Steven H.</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Minnesota</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Cardiovascular Behavioral Epidemiology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300"/>
        </w:trPr>
        <w:tc>
          <w:tcPr>
            <w:tcW w:w="858"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sz w:val="20"/>
                <w:szCs w:val="20"/>
              </w:rPr>
            </w:pPr>
            <w:r w:rsidRPr="0012136D">
              <w:rPr>
                <w:rFonts w:asciiTheme="majorHAnsi" w:hAnsiTheme="majorHAnsi" w:cstheme="majorHAnsi"/>
                <w:sz w:val="20"/>
                <w:szCs w:val="20"/>
              </w:rPr>
              <w:t>Knell, Gregory</w:t>
            </w:r>
          </w:p>
        </w:tc>
        <w:tc>
          <w:tcPr>
            <w:tcW w:w="506"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tcPr>
          <w:p w:rsidR="00A14142" w:rsidRPr="0012136D" w:rsidRDefault="007D4894"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tcPr>
          <w:p w:rsidR="00A14142" w:rsidRPr="0012136D" w:rsidRDefault="007D4894"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Texas Health Science Center at Houston School of Public Health</w:t>
            </w:r>
          </w:p>
        </w:tc>
        <w:tc>
          <w:tcPr>
            <w:tcW w:w="706" w:type="pct"/>
            <w:shd w:val="clear" w:color="auto" w:fill="auto"/>
            <w:tcMar>
              <w:left w:w="29" w:type="dxa"/>
              <w:right w:w="29" w:type="dxa"/>
            </w:tcMar>
            <w:vAlign w:val="center"/>
          </w:tcPr>
          <w:p w:rsidR="00A14142" w:rsidRPr="0012136D" w:rsidRDefault="007D4894"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c>
          <w:tcPr>
            <w:tcW w:w="908" w:type="pct"/>
            <w:shd w:val="clear" w:color="auto" w:fill="auto"/>
            <w:tcMar>
              <w:left w:w="29" w:type="dxa"/>
              <w:right w:w="29" w:type="dxa"/>
            </w:tcMar>
            <w:vAlign w:val="center"/>
          </w:tcPr>
          <w:p w:rsidR="00A14142" w:rsidRPr="0012136D" w:rsidRDefault="00872E5A"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Kohl III, Harol</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Community Health Studies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Krause, Trudy</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Non-tenure 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DrPH</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Occupational Health and Aerospace Medicine and Behavioral Health</w:t>
            </w:r>
          </w:p>
        </w:tc>
        <w:tc>
          <w:tcPr>
            <w:tcW w:w="908" w:type="pct"/>
            <w:shd w:val="clear" w:color="auto" w:fill="auto"/>
            <w:tcMar>
              <w:left w:w="29" w:type="dxa"/>
              <w:right w:w="29" w:type="dxa"/>
            </w:tcMar>
            <w:vAlign w:val="center"/>
            <w:hideMark/>
          </w:tcPr>
          <w:p w:rsidR="00A14142" w:rsidRPr="0012136D" w:rsidRDefault="00977C38"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Healthcare Management, Health Services Organizations,  Healthcare Management and Health Policy, Health Economics/Health Services Research</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Lai, Dejian</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Texas at Dallas</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Statistics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Biostatistics</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Lairson, David R.</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Kentucky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Economics</w:t>
            </w:r>
          </w:p>
        </w:tc>
        <w:tc>
          <w:tcPr>
            <w:tcW w:w="908" w:type="pct"/>
            <w:shd w:val="clear" w:color="auto" w:fill="auto"/>
            <w:tcMar>
              <w:left w:w="29" w:type="dxa"/>
              <w:right w:w="29" w:type="dxa"/>
            </w:tcMar>
            <w:vAlign w:val="center"/>
            <w:hideMark/>
          </w:tcPr>
          <w:p w:rsidR="00A14142" w:rsidRPr="0012136D" w:rsidRDefault="00977C38"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Health Services Organizations, </w:t>
            </w:r>
            <w:r w:rsidR="00A14142" w:rsidRPr="0012136D">
              <w:rPr>
                <w:rFonts w:asciiTheme="majorHAnsi" w:eastAsia="Times New Roman" w:hAnsiTheme="majorHAnsi" w:cstheme="majorHAnsi"/>
                <w:color w:val="000000"/>
                <w:sz w:val="20"/>
                <w:szCs w:val="20"/>
              </w:rPr>
              <w:t>Health Economics and Health Services Research</w:t>
            </w:r>
            <w:r w:rsidRPr="0012136D">
              <w:rPr>
                <w:rFonts w:asciiTheme="majorHAnsi" w:eastAsia="Times New Roman" w:hAnsiTheme="majorHAnsi" w:cstheme="majorHAnsi"/>
                <w:color w:val="000000"/>
                <w:sz w:val="20"/>
                <w:szCs w:val="20"/>
              </w:rPr>
              <w:t>, Healthcare Management/Health Policy</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Lee, Miryoung</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Pittsburgh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Epidemiology </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Leon Novelo, Luis</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Rice University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Statistics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Biostatistics</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Li, Ruosha</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Emory University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Biostatistics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Biostatistics</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Linder, Stephen H.</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Iowa</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Political Science</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Healthcare Management and Health Policy, Health Economics and Health Services Research </w:t>
            </w:r>
          </w:p>
        </w:tc>
      </w:tr>
      <w:tr w:rsidR="006F6C43" w:rsidRPr="0012136D" w:rsidTr="006E04D2">
        <w:trPr>
          <w:cantSplit/>
          <w:trHeight w:val="600"/>
        </w:trPr>
        <w:tc>
          <w:tcPr>
            <w:tcW w:w="858"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sz w:val="20"/>
                <w:szCs w:val="20"/>
              </w:rPr>
            </w:pPr>
            <w:r w:rsidRPr="0012136D">
              <w:rPr>
                <w:rFonts w:asciiTheme="majorHAnsi" w:hAnsiTheme="majorHAnsi" w:cstheme="majorHAnsi"/>
                <w:sz w:val="20"/>
                <w:szCs w:val="20"/>
              </w:rPr>
              <w:t>Luo, Xi</w:t>
            </w:r>
          </w:p>
        </w:tc>
        <w:tc>
          <w:tcPr>
            <w:tcW w:w="506"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Yale University</w:t>
            </w:r>
          </w:p>
        </w:tc>
        <w:tc>
          <w:tcPr>
            <w:tcW w:w="706"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Statistics</w:t>
            </w:r>
          </w:p>
        </w:tc>
        <w:tc>
          <w:tcPr>
            <w:tcW w:w="908"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Biostatistics</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Markham, Christine</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Behavioral Science</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 Health Education</w:t>
            </w:r>
            <w:r w:rsidR="000C442C" w:rsidRPr="0012136D">
              <w:rPr>
                <w:rFonts w:asciiTheme="majorHAnsi" w:eastAsia="Times New Roman" w:hAnsiTheme="majorHAnsi" w:cstheme="majorHAnsi"/>
                <w:color w:val="000000"/>
                <w:sz w:val="20"/>
                <w:szCs w:val="20"/>
              </w:rPr>
              <w:t xml:space="preserve">; Health Promotion/Health Education, </w:t>
            </w:r>
            <w:r w:rsidRPr="0012136D">
              <w:rPr>
                <w:rFonts w:asciiTheme="majorHAnsi" w:eastAsia="Times New Roman" w:hAnsiTheme="majorHAnsi" w:cstheme="majorHAnsi"/>
                <w:color w:val="000000"/>
                <w:sz w:val="20"/>
                <w:szCs w:val="20"/>
              </w:rPr>
              <w:t xml:space="preserve">Dietetic Internship </w:t>
            </w:r>
            <w:r w:rsidR="000C442C" w:rsidRPr="0012136D">
              <w:rPr>
                <w:rFonts w:asciiTheme="majorHAnsi" w:eastAsia="Times New Roman" w:hAnsiTheme="majorHAnsi" w:cstheme="majorHAnsi"/>
                <w:color w:val="000000"/>
                <w:sz w:val="20"/>
                <w:szCs w:val="20"/>
              </w:rPr>
              <w:t>Track;</w:t>
            </w:r>
            <w:r w:rsidRPr="0012136D">
              <w:rPr>
                <w:rFonts w:asciiTheme="majorHAnsi" w:eastAsia="Times New Roman" w:hAnsiTheme="majorHAnsi" w:cstheme="majorHAnsi"/>
                <w:color w:val="000000"/>
                <w:sz w:val="20"/>
                <w:szCs w:val="20"/>
              </w:rPr>
              <w:t xml:space="preserve"> Behavioral Sciences</w:t>
            </w:r>
            <w:r w:rsidR="000C442C" w:rsidRPr="0012136D">
              <w:rPr>
                <w:rFonts w:asciiTheme="majorHAnsi" w:eastAsia="Times New Roman" w:hAnsiTheme="majorHAnsi" w:cstheme="majorHAnsi"/>
                <w:color w:val="000000"/>
                <w:sz w:val="20"/>
                <w:szCs w:val="20"/>
              </w:rPr>
              <w:t xml:space="preserve"> and Health Promotion; Community Health Practice</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Maroufy, Vahed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Waterloo, Ontario, Canada</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Statistics and Actuarial Science</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Biostatistics</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McCormick, Joseph B.</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Non-tenure 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MD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Duke University Medical School</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Medicine </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McCurdy, Sheryl A.</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Columbia University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Sociomedical Sciences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 Health Education, Behavioral Sciences</w:t>
            </w:r>
            <w:r w:rsidR="00E8731F" w:rsidRPr="0012136D">
              <w:rPr>
                <w:rFonts w:asciiTheme="majorHAnsi" w:eastAsia="Times New Roman" w:hAnsiTheme="majorHAnsi" w:cstheme="majorHAnsi"/>
                <w:color w:val="000000"/>
                <w:sz w:val="20"/>
                <w:szCs w:val="20"/>
              </w:rPr>
              <w:t xml:space="preserve"> and Health Promotion, Community Health Practice</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McKieran, Laura</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Non-tenure 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DrPH</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Services Organization</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Health Services Organization, </w:t>
            </w:r>
            <w:r w:rsidR="00B60CC7" w:rsidRPr="0012136D">
              <w:rPr>
                <w:rFonts w:asciiTheme="majorHAnsi" w:eastAsia="Times New Roman" w:hAnsiTheme="majorHAnsi" w:cstheme="majorHAnsi"/>
                <w:color w:val="000000"/>
                <w:sz w:val="20"/>
                <w:szCs w:val="20"/>
              </w:rPr>
              <w:t>Health Economics/Health Services Research</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Mena, Kristina</w:t>
            </w:r>
            <w:r w:rsidRPr="0012136D">
              <w:rPr>
                <w:rFonts w:asciiTheme="majorHAnsi" w:eastAsia="Times New Roman" w:hAnsiTheme="majorHAnsi" w:cstheme="majorHAnsi"/>
                <w:sz w:val="20"/>
                <w:szCs w:val="20"/>
              </w:rPr>
              <w:t xml:space="preserve"> </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Arizona</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Environmental Science</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Environmental Health, Environmental Disease Prevention</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Messiah, Sarah</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Miami</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Epidemiology </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Miao, Hongyu</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Rochester</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Mechanical Engineering</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Biostatistics</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Mitchell, Laura</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Yale University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12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Morgan, Robert</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Texas at Austin</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Educational Psychology</w:t>
            </w:r>
          </w:p>
        </w:tc>
        <w:tc>
          <w:tcPr>
            <w:tcW w:w="908" w:type="pct"/>
            <w:shd w:val="clear" w:color="auto" w:fill="auto"/>
            <w:tcMar>
              <w:left w:w="29" w:type="dxa"/>
              <w:right w:w="29" w:type="dxa"/>
            </w:tcMar>
            <w:vAlign w:val="center"/>
            <w:hideMark/>
          </w:tcPr>
          <w:p w:rsidR="00A14142" w:rsidRPr="0012136D" w:rsidRDefault="002048C8"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Community Health Practice, Healthcare Management, Health Services Organizations,  Healthcare Management and Health Policy, Health Economics/Health Services Research</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Morrison, Alanna C.</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Human and Molecular Genetics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Mullen, Patricia Dolan</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DrPH</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California, Berkeley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Education</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 Health Education, Behavioral Sciences</w:t>
            </w:r>
            <w:r w:rsidR="002048C8" w:rsidRPr="0012136D">
              <w:rPr>
                <w:rFonts w:asciiTheme="majorHAnsi" w:eastAsia="Times New Roman" w:hAnsiTheme="majorHAnsi" w:cstheme="majorHAnsi"/>
                <w:color w:val="000000"/>
                <w:sz w:val="20"/>
                <w:szCs w:val="20"/>
              </w:rPr>
              <w:t xml:space="preserve"> and Health Promotion</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Ness, Roberta</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MD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Cornell University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Medicine </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Otto, Marcia C. de Oliveira</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Non-tenure 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Environmental Sciences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Perez, Adriana</w:t>
            </w:r>
            <w:r w:rsidRPr="0012136D">
              <w:rPr>
                <w:rFonts w:asciiTheme="majorHAnsi" w:eastAsia="Times New Roman" w:hAnsiTheme="majorHAnsi" w:cstheme="majorHAnsi"/>
                <w:color w:val="000000"/>
                <w:sz w:val="20"/>
                <w:szCs w:val="20"/>
              </w:rPr>
              <w:t xml:space="preserve"> </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Tulane University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Biostatistics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Biostatistics</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Perkison, William</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MD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Medical Branch in Galveston</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Medicine </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Environmental Health, Total Worker Health</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Peskin, Melissa Fleschler</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 Health Education, Behavioral Sciences</w:t>
            </w:r>
            <w:r w:rsidR="00EB225E" w:rsidRPr="0012136D">
              <w:rPr>
                <w:rFonts w:asciiTheme="majorHAnsi" w:eastAsia="Times New Roman" w:hAnsiTheme="majorHAnsi" w:cstheme="majorHAnsi"/>
                <w:color w:val="000000"/>
                <w:sz w:val="20"/>
                <w:szCs w:val="20"/>
              </w:rPr>
              <w:t xml:space="preserve"> and Health Promotion, Community Health Practice</w:t>
            </w:r>
          </w:p>
        </w:tc>
      </w:tr>
      <w:tr w:rsidR="006F6C43" w:rsidRPr="0012136D" w:rsidTr="006E04D2">
        <w:trPr>
          <w:cantSplit/>
          <w:trHeight w:val="1232"/>
        </w:trPr>
        <w:tc>
          <w:tcPr>
            <w:tcW w:w="858" w:type="pct"/>
            <w:shd w:val="clear" w:color="auto" w:fill="auto"/>
            <w:tcMar>
              <w:left w:w="29" w:type="dxa"/>
              <w:right w:w="29" w:type="dxa"/>
            </w:tcMar>
            <w:vAlign w:val="center"/>
            <w:hideMark/>
          </w:tcPr>
          <w:p w:rsidR="00A14142" w:rsidRPr="0012136D" w:rsidRDefault="0016682B"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Phelps, Mark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Non-tenure 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JD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South Texas College of Law</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Law </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Healthcare Management</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FF0000"/>
                <w:sz w:val="20"/>
                <w:szCs w:val="20"/>
              </w:rPr>
            </w:pPr>
            <w:r w:rsidRPr="0012136D">
              <w:rPr>
                <w:rFonts w:asciiTheme="majorHAnsi" w:hAnsiTheme="majorHAnsi" w:cstheme="majorHAnsi"/>
                <w:sz w:val="20"/>
                <w:szCs w:val="20"/>
              </w:rPr>
              <w:t>Piga-Plunkett, Jeanne M</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sz w:val="20"/>
                <w:szCs w:val="20"/>
              </w:rPr>
            </w:pPr>
            <w:r w:rsidRPr="0012136D">
              <w:rPr>
                <w:rFonts w:asciiTheme="majorHAnsi" w:eastAsia="Times New Roman" w:hAnsiTheme="majorHAnsi" w:cstheme="majorHAnsi"/>
                <w:sz w:val="20"/>
                <w:szCs w:val="20"/>
              </w:rPr>
              <w:t>Dietetic Specialist</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sz w:val="20"/>
                <w:szCs w:val="20"/>
              </w:rPr>
            </w:pPr>
            <w:r w:rsidRPr="0012136D">
              <w:rPr>
                <w:rFonts w:asciiTheme="majorHAnsi" w:eastAsia="Times New Roman" w:hAnsiTheme="majorHAnsi" w:cstheme="majorHAnsi"/>
                <w:sz w:val="20"/>
                <w:szCs w:val="20"/>
              </w:rPr>
              <w:t>Non-tenure 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sz w:val="20"/>
                <w:szCs w:val="20"/>
              </w:rPr>
            </w:pPr>
            <w:r w:rsidRPr="0012136D">
              <w:rPr>
                <w:rFonts w:asciiTheme="majorHAnsi" w:eastAsia="Times New Roman" w:hAnsiTheme="majorHAnsi" w:cstheme="majorHAnsi"/>
                <w:sz w:val="20"/>
                <w:szCs w:val="20"/>
              </w:rPr>
              <w:t>MS, RDN, LD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sz w:val="20"/>
                <w:szCs w:val="20"/>
              </w:rPr>
            </w:pPr>
            <w:r w:rsidRPr="0012136D">
              <w:rPr>
                <w:rFonts w:asciiTheme="majorHAnsi" w:eastAsia="Times New Roman" w:hAnsiTheme="majorHAnsi" w:cstheme="majorHAnsi"/>
                <w:sz w:val="20"/>
                <w:szCs w:val="20"/>
              </w:rPr>
              <w:t>Texas Women's University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sz w:val="20"/>
                <w:szCs w:val="20"/>
              </w:rPr>
            </w:pPr>
            <w:r w:rsidRPr="0012136D">
              <w:rPr>
                <w:rFonts w:asciiTheme="majorHAnsi" w:eastAsia="Times New Roman" w:hAnsiTheme="majorHAnsi" w:cstheme="majorHAnsi"/>
                <w:sz w:val="20"/>
                <w:szCs w:val="20"/>
              </w:rPr>
              <w:t xml:space="preserve">Clinical Nutrition </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sz w:val="20"/>
                <w:szCs w:val="20"/>
              </w:rPr>
            </w:pPr>
            <w:r w:rsidRPr="0012136D">
              <w:rPr>
                <w:rFonts w:asciiTheme="majorHAnsi" w:eastAsia="Times New Roman" w:hAnsiTheme="majorHAnsi" w:cstheme="majorHAnsi"/>
                <w:sz w:val="20"/>
                <w:szCs w:val="20"/>
              </w:rPr>
              <w:t xml:space="preserve">Health Promotion/ Health Education, Dietetic Internship </w:t>
            </w:r>
            <w:r w:rsidR="00EF03CA" w:rsidRPr="0012136D">
              <w:rPr>
                <w:rFonts w:asciiTheme="majorHAnsi" w:eastAsia="Times New Roman" w:hAnsiTheme="majorHAnsi" w:cstheme="majorHAnsi"/>
                <w:sz w:val="20"/>
                <w:szCs w:val="20"/>
              </w:rPr>
              <w:t>Track</w:t>
            </w:r>
          </w:p>
        </w:tc>
      </w:tr>
      <w:tr w:rsidR="006F6C43" w:rsidRPr="0012136D" w:rsidTr="006E04D2">
        <w:trPr>
          <w:cantSplit/>
          <w:trHeight w:val="600"/>
        </w:trPr>
        <w:tc>
          <w:tcPr>
            <w:tcW w:w="858"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sz w:val="20"/>
                <w:szCs w:val="20"/>
              </w:rPr>
            </w:pPr>
            <w:r w:rsidRPr="0012136D">
              <w:rPr>
                <w:rFonts w:asciiTheme="majorHAnsi" w:hAnsiTheme="majorHAnsi" w:cstheme="majorHAnsi"/>
                <w:sz w:val="20"/>
                <w:szCs w:val="20"/>
              </w:rPr>
              <w:t>Piller, Linda</w:t>
            </w:r>
          </w:p>
        </w:tc>
        <w:tc>
          <w:tcPr>
            <w:tcW w:w="506"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sz w:val="20"/>
                <w:szCs w:val="20"/>
              </w:rPr>
            </w:pPr>
            <w:r w:rsidRPr="0012136D">
              <w:rPr>
                <w:rFonts w:asciiTheme="majorHAnsi" w:eastAsia="Times New Roman" w:hAnsiTheme="majorHAnsi" w:cstheme="majorHAnsi"/>
                <w:sz w:val="20"/>
                <w:szCs w:val="20"/>
              </w:rPr>
              <w:t>Associate Professor</w:t>
            </w:r>
          </w:p>
        </w:tc>
        <w:tc>
          <w:tcPr>
            <w:tcW w:w="657"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sz w:val="20"/>
                <w:szCs w:val="20"/>
              </w:rPr>
            </w:pPr>
            <w:r w:rsidRPr="0012136D">
              <w:rPr>
                <w:rFonts w:asciiTheme="majorHAnsi" w:eastAsia="Times New Roman" w:hAnsiTheme="majorHAnsi" w:cstheme="majorHAnsi"/>
                <w:sz w:val="20"/>
                <w:szCs w:val="20"/>
              </w:rPr>
              <w:t>Non-tenure track</w:t>
            </w:r>
          </w:p>
        </w:tc>
        <w:tc>
          <w:tcPr>
            <w:tcW w:w="506"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sz w:val="20"/>
                <w:szCs w:val="20"/>
              </w:rPr>
            </w:pPr>
            <w:r w:rsidRPr="0012136D">
              <w:rPr>
                <w:rFonts w:asciiTheme="majorHAnsi" w:eastAsia="Times New Roman" w:hAnsiTheme="majorHAnsi" w:cstheme="majorHAnsi"/>
                <w:sz w:val="20"/>
                <w:szCs w:val="20"/>
              </w:rPr>
              <w:t>MD</w:t>
            </w:r>
          </w:p>
        </w:tc>
        <w:tc>
          <w:tcPr>
            <w:tcW w:w="859"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sz w:val="20"/>
                <w:szCs w:val="20"/>
              </w:rPr>
            </w:pPr>
            <w:r w:rsidRPr="0012136D">
              <w:rPr>
                <w:rFonts w:asciiTheme="majorHAnsi" w:eastAsia="Times New Roman" w:hAnsiTheme="majorHAnsi" w:cstheme="majorHAnsi"/>
                <w:sz w:val="20"/>
                <w:szCs w:val="20"/>
              </w:rPr>
              <w:t>The University of Texas Health Science Center at Houston (UTHealth) McGovern Medical School</w:t>
            </w:r>
          </w:p>
        </w:tc>
        <w:tc>
          <w:tcPr>
            <w:tcW w:w="706"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sz w:val="20"/>
                <w:szCs w:val="20"/>
              </w:rPr>
            </w:pPr>
            <w:r w:rsidRPr="0012136D">
              <w:rPr>
                <w:rFonts w:asciiTheme="majorHAnsi" w:eastAsia="Times New Roman" w:hAnsiTheme="majorHAnsi" w:cstheme="majorHAnsi"/>
                <w:sz w:val="20"/>
                <w:szCs w:val="20"/>
              </w:rPr>
              <w:t>Medicine</w:t>
            </w:r>
          </w:p>
        </w:tc>
        <w:tc>
          <w:tcPr>
            <w:tcW w:w="908" w:type="pct"/>
            <w:shd w:val="clear" w:color="auto" w:fill="auto"/>
            <w:tcMar>
              <w:left w:w="29" w:type="dxa"/>
              <w:right w:w="29" w:type="dxa"/>
            </w:tcMar>
            <w:vAlign w:val="center"/>
          </w:tcPr>
          <w:p w:rsidR="00B975B6" w:rsidRPr="0012136D" w:rsidRDefault="00B975B6" w:rsidP="006C308E">
            <w:pPr>
              <w:rPr>
                <w:rFonts w:asciiTheme="majorHAnsi" w:eastAsia="Times New Roman" w:hAnsiTheme="majorHAnsi" w:cstheme="majorHAnsi"/>
                <w:sz w:val="20"/>
                <w:szCs w:val="20"/>
              </w:rPr>
            </w:pPr>
            <w:r w:rsidRPr="0012136D">
              <w:rPr>
                <w:rFonts w:asciiTheme="majorHAnsi" w:eastAsia="Times New Roman" w:hAnsiTheme="majorHAnsi" w:cstheme="majorHAnsi"/>
                <w:sz w:val="20"/>
                <w:szCs w:val="20"/>
              </w:rPr>
              <w:t>Epidemiology</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Rajan, Suja S.</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North Carolina at Chapel Hill</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Economics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Services Organization, Health Economics and Health Services Research</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Ranjit, Nalini</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Non-tenure 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Cornell University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Demography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 Health Education</w:t>
            </w:r>
            <w:r w:rsidR="00EF03CA" w:rsidRPr="0012136D">
              <w:rPr>
                <w:rFonts w:asciiTheme="majorHAnsi" w:eastAsia="Times New Roman" w:hAnsiTheme="majorHAnsi" w:cstheme="majorHAnsi"/>
                <w:color w:val="000000"/>
                <w:sz w:val="20"/>
                <w:szCs w:val="20"/>
              </w:rPr>
              <w:t xml:space="preserve">; Health Promotion/Health Education, </w:t>
            </w:r>
            <w:r w:rsidRPr="0012136D">
              <w:rPr>
                <w:rFonts w:asciiTheme="majorHAnsi" w:eastAsia="Times New Roman" w:hAnsiTheme="majorHAnsi" w:cstheme="majorHAnsi"/>
                <w:color w:val="000000"/>
                <w:sz w:val="20"/>
                <w:szCs w:val="20"/>
              </w:rPr>
              <w:t xml:space="preserve">Dietetic Internship </w:t>
            </w:r>
            <w:r w:rsidR="00EF03CA" w:rsidRPr="0012136D">
              <w:rPr>
                <w:rFonts w:asciiTheme="majorHAnsi" w:eastAsia="Times New Roman" w:hAnsiTheme="majorHAnsi" w:cstheme="majorHAnsi"/>
                <w:color w:val="000000"/>
                <w:sz w:val="20"/>
                <w:szCs w:val="20"/>
              </w:rPr>
              <w:t>Track;</w:t>
            </w:r>
            <w:r w:rsidRPr="0012136D">
              <w:rPr>
                <w:rFonts w:asciiTheme="majorHAnsi" w:eastAsia="Times New Roman" w:hAnsiTheme="majorHAnsi" w:cstheme="majorHAnsi"/>
                <w:color w:val="000000"/>
                <w:sz w:val="20"/>
                <w:szCs w:val="20"/>
              </w:rPr>
              <w:t xml:space="preserve"> Behavioral Sciences</w:t>
            </w:r>
            <w:r w:rsidR="00EF03CA" w:rsidRPr="0012136D">
              <w:rPr>
                <w:rFonts w:asciiTheme="majorHAnsi" w:eastAsia="Times New Roman" w:hAnsiTheme="majorHAnsi" w:cstheme="majorHAnsi"/>
                <w:color w:val="000000"/>
                <w:sz w:val="20"/>
                <w:szCs w:val="20"/>
              </w:rPr>
              <w:t xml:space="preserve"> and Health Promotion</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Reininger, Belinda M.</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DrPH</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 and Health Education</w:t>
            </w:r>
          </w:p>
        </w:tc>
        <w:tc>
          <w:tcPr>
            <w:tcW w:w="908" w:type="pct"/>
            <w:shd w:val="clear" w:color="auto" w:fill="auto"/>
            <w:tcMar>
              <w:left w:w="29" w:type="dxa"/>
              <w:right w:w="29" w:type="dxa"/>
            </w:tcMar>
            <w:vAlign w:val="center"/>
            <w:hideMark/>
          </w:tcPr>
          <w:p w:rsidR="00A14142" w:rsidRPr="0012136D" w:rsidRDefault="00EF03CA"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 Health Education; Health Promotion/Health Education, Dietetic Internship Track; Behavioral Sciences and Health Promotion</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Restrepo, Blanca I.</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Microbiology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Revere, F</w:t>
            </w:r>
            <w:r w:rsidR="00CF4CA8" w:rsidRPr="0012136D">
              <w:rPr>
                <w:rFonts w:asciiTheme="majorHAnsi" w:hAnsiTheme="majorHAnsi" w:cstheme="majorHAnsi"/>
                <w:sz w:val="20"/>
                <w:szCs w:val="20"/>
              </w:rPr>
              <w:t>. Lee</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South Florida</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Policy &amp; Management</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Healthcare Management, Healthcare Management and Health Policy </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Rowan, Paul</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Alabama</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Clinical Psychology</w:t>
            </w:r>
          </w:p>
        </w:tc>
        <w:tc>
          <w:tcPr>
            <w:tcW w:w="908" w:type="pct"/>
            <w:shd w:val="clear" w:color="auto" w:fill="auto"/>
            <w:tcMar>
              <w:left w:w="29" w:type="dxa"/>
              <w:right w:w="29" w:type="dxa"/>
            </w:tcMar>
            <w:vAlign w:val="center"/>
            <w:hideMark/>
          </w:tcPr>
          <w:p w:rsidR="00A14142" w:rsidRPr="0012136D" w:rsidRDefault="00EF03CA"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Healthcare Management, </w:t>
            </w:r>
            <w:r w:rsidR="00A14142" w:rsidRPr="0012136D">
              <w:rPr>
                <w:rFonts w:asciiTheme="majorHAnsi" w:eastAsia="Times New Roman" w:hAnsiTheme="majorHAnsi" w:cstheme="majorHAnsi"/>
                <w:color w:val="000000"/>
                <w:sz w:val="20"/>
                <w:szCs w:val="20"/>
              </w:rPr>
              <w:t xml:space="preserve">Health Services Organization, </w:t>
            </w:r>
            <w:r w:rsidR="00230668" w:rsidRPr="0012136D">
              <w:rPr>
                <w:rFonts w:asciiTheme="majorHAnsi" w:eastAsia="Times New Roman" w:hAnsiTheme="majorHAnsi" w:cstheme="majorHAnsi"/>
                <w:color w:val="000000"/>
                <w:sz w:val="20"/>
                <w:szCs w:val="20"/>
              </w:rPr>
              <w:t xml:space="preserve">Healthcare Management/Health Policy, </w:t>
            </w:r>
            <w:r w:rsidR="00A14142" w:rsidRPr="0012136D">
              <w:rPr>
                <w:rFonts w:asciiTheme="majorHAnsi" w:eastAsia="Times New Roman" w:hAnsiTheme="majorHAnsi" w:cstheme="majorHAnsi"/>
                <w:color w:val="000000"/>
                <w:sz w:val="20"/>
                <w:szCs w:val="20"/>
              </w:rPr>
              <w:t>Health Economics and Health Services Research</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Savas, Lara Staub</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 Health Education, Behavioral Sciences</w:t>
            </w:r>
            <w:r w:rsidR="00DD7338" w:rsidRPr="0012136D">
              <w:rPr>
                <w:rFonts w:asciiTheme="majorHAnsi" w:eastAsia="Times New Roman" w:hAnsiTheme="majorHAnsi" w:cstheme="majorHAnsi"/>
                <w:color w:val="000000"/>
                <w:sz w:val="20"/>
                <w:szCs w:val="20"/>
              </w:rPr>
              <w:t xml:space="preserve"> and Health Promotion</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Schick, Vanessa</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George Washington University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Applied Social Psychology </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Community Health Practice, Health Economics and Health Services Research</w:t>
            </w:r>
            <w:r w:rsidR="005C689D" w:rsidRPr="0012136D">
              <w:rPr>
                <w:rFonts w:asciiTheme="majorHAnsi" w:eastAsia="Times New Roman" w:hAnsiTheme="majorHAnsi" w:cstheme="majorHAnsi"/>
                <w:color w:val="000000"/>
                <w:sz w:val="20"/>
                <w:szCs w:val="20"/>
              </w:rPr>
              <w:t>; Health Promotion/Health Education</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Sharma, Shreela V.</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r w:rsidR="00B10502" w:rsidRPr="0012136D">
              <w:rPr>
                <w:rFonts w:asciiTheme="majorHAnsi" w:eastAsia="Times New Roman" w:hAnsiTheme="majorHAnsi" w:cstheme="majorHAnsi"/>
                <w:color w:val="000000"/>
                <w:sz w:val="20"/>
                <w:szCs w:val="20"/>
              </w:rPr>
              <w:t>; Health Promotion/Health Education, Dietetic Internship Track</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Shay, Laura Aubree</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Virginia Commonwealth University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Social and Behavioral Health </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 Health Education, Behavioral Sciences</w:t>
            </w:r>
            <w:r w:rsidR="00B45BC0" w:rsidRPr="0012136D">
              <w:rPr>
                <w:rFonts w:asciiTheme="majorHAnsi" w:eastAsia="Times New Roman" w:hAnsiTheme="majorHAnsi" w:cstheme="majorHAnsi"/>
                <w:color w:val="000000"/>
                <w:sz w:val="20"/>
                <w:szCs w:val="20"/>
              </w:rPr>
              <w:t xml:space="preserve"> and Health Promotion</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Shegog, Ross</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Behavioral Science</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 Health Education, Behavioral Sciences</w:t>
            </w:r>
            <w:r w:rsidR="001312A7" w:rsidRPr="0012136D">
              <w:rPr>
                <w:rFonts w:asciiTheme="majorHAnsi" w:eastAsia="Times New Roman" w:hAnsiTheme="majorHAnsi" w:cstheme="majorHAnsi"/>
                <w:color w:val="000000"/>
                <w:sz w:val="20"/>
                <w:szCs w:val="20"/>
              </w:rPr>
              <w:t xml:space="preserve"> and Health Promotion</w:t>
            </w:r>
          </w:p>
        </w:tc>
      </w:tr>
      <w:tr w:rsidR="006F6C43" w:rsidRPr="0012136D" w:rsidTr="006E04D2">
        <w:trPr>
          <w:cantSplit/>
          <w:trHeight w:val="900"/>
        </w:trPr>
        <w:tc>
          <w:tcPr>
            <w:tcW w:w="858"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sz w:val="20"/>
                <w:szCs w:val="20"/>
              </w:rPr>
            </w:pPr>
            <w:r w:rsidRPr="0012136D">
              <w:rPr>
                <w:rFonts w:asciiTheme="majorHAnsi" w:hAnsiTheme="majorHAnsi" w:cstheme="majorHAnsi"/>
                <w:sz w:val="20"/>
                <w:szCs w:val="20"/>
              </w:rPr>
              <w:t>Shen, Gordon</w:t>
            </w:r>
          </w:p>
        </w:tc>
        <w:tc>
          <w:tcPr>
            <w:tcW w:w="506"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Assistant Professor</w:t>
            </w:r>
          </w:p>
        </w:tc>
        <w:tc>
          <w:tcPr>
            <w:tcW w:w="657"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 xml:space="preserve">Tenure-track </w:t>
            </w:r>
          </w:p>
        </w:tc>
        <w:tc>
          <w:tcPr>
            <w:tcW w:w="506"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Ph</w:t>
            </w:r>
            <w:r w:rsidR="00D56E24" w:rsidRPr="0012136D">
              <w:rPr>
                <w:rFonts w:asciiTheme="majorHAnsi" w:hAnsiTheme="majorHAnsi" w:cstheme="majorHAnsi"/>
                <w:sz w:val="20"/>
                <w:szCs w:val="20"/>
              </w:rPr>
              <w:t>D</w:t>
            </w:r>
          </w:p>
        </w:tc>
        <w:tc>
          <w:tcPr>
            <w:tcW w:w="859"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 xml:space="preserve">U.C. Berkeley </w:t>
            </w:r>
          </w:p>
        </w:tc>
        <w:tc>
          <w:tcPr>
            <w:tcW w:w="706"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Health Services and Policy Analysis</w:t>
            </w:r>
          </w:p>
        </w:tc>
        <w:tc>
          <w:tcPr>
            <w:tcW w:w="908"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Healthcare Management, Healthcare Management and Health Policy</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Smith, Mary Ann</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Non-tenure 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at Austin</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Pharmacology &amp; Toxicology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Environmental Health, Environmental Disease Prevention</w:t>
            </w:r>
          </w:p>
        </w:tc>
      </w:tr>
      <w:tr w:rsidR="006F6C43" w:rsidRPr="0012136D" w:rsidTr="006E04D2">
        <w:trPr>
          <w:cantSplit/>
          <w:trHeight w:val="600"/>
        </w:trPr>
        <w:tc>
          <w:tcPr>
            <w:tcW w:w="858" w:type="pct"/>
            <w:shd w:val="clear" w:color="auto" w:fill="auto"/>
            <w:tcMar>
              <w:left w:w="29" w:type="dxa"/>
              <w:right w:w="29" w:type="dxa"/>
            </w:tcMar>
            <w:vAlign w:val="center"/>
          </w:tcPr>
          <w:p w:rsidR="00DF683B" w:rsidRPr="0012136D" w:rsidRDefault="00DF683B" w:rsidP="006C308E">
            <w:pPr>
              <w:rPr>
                <w:rFonts w:asciiTheme="majorHAnsi" w:eastAsia="Times New Roman" w:hAnsiTheme="majorHAnsi" w:cstheme="majorHAnsi"/>
                <w:sz w:val="20"/>
                <w:szCs w:val="20"/>
              </w:rPr>
            </w:pPr>
            <w:r w:rsidRPr="0012136D">
              <w:rPr>
                <w:rFonts w:asciiTheme="majorHAnsi" w:hAnsiTheme="majorHAnsi" w:cstheme="majorHAnsi"/>
                <w:sz w:val="20"/>
                <w:szCs w:val="20"/>
              </w:rPr>
              <w:t>Sonawane, Kalyani</w:t>
            </w:r>
          </w:p>
        </w:tc>
        <w:tc>
          <w:tcPr>
            <w:tcW w:w="506" w:type="pct"/>
            <w:shd w:val="clear" w:color="auto" w:fill="auto"/>
            <w:tcMar>
              <w:left w:w="29" w:type="dxa"/>
              <w:right w:w="29" w:type="dxa"/>
            </w:tcMar>
            <w:vAlign w:val="center"/>
          </w:tcPr>
          <w:p w:rsidR="00DF683B" w:rsidRPr="0012136D" w:rsidRDefault="00DF683B"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tcPr>
          <w:p w:rsidR="00DF683B" w:rsidRPr="0012136D" w:rsidRDefault="00DF683B"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tcPr>
          <w:p w:rsidR="00DF683B" w:rsidRPr="0012136D" w:rsidRDefault="00DF683B"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tcPr>
          <w:p w:rsidR="00DF683B" w:rsidRPr="0012136D" w:rsidRDefault="00DF683B" w:rsidP="006C308E">
            <w:pPr>
              <w:rPr>
                <w:rFonts w:asciiTheme="majorHAnsi" w:eastAsia="Times New Roman" w:hAnsiTheme="majorHAnsi" w:cstheme="majorHAnsi"/>
                <w:color w:val="000000"/>
                <w:sz w:val="20"/>
                <w:szCs w:val="20"/>
              </w:rPr>
            </w:pPr>
            <w:r w:rsidRPr="0012136D">
              <w:rPr>
                <w:rFonts w:asciiTheme="majorHAnsi" w:hAnsiTheme="majorHAnsi" w:cstheme="majorHAnsi"/>
                <w:color w:val="000000"/>
                <w:sz w:val="20"/>
                <w:szCs w:val="20"/>
              </w:rPr>
              <w:t>Auburn University</w:t>
            </w:r>
          </w:p>
        </w:tc>
        <w:tc>
          <w:tcPr>
            <w:tcW w:w="706" w:type="pct"/>
            <w:shd w:val="clear" w:color="auto" w:fill="auto"/>
            <w:tcMar>
              <w:left w:w="29" w:type="dxa"/>
              <w:right w:w="29" w:type="dxa"/>
            </w:tcMar>
            <w:vAlign w:val="center"/>
          </w:tcPr>
          <w:p w:rsidR="00DF683B" w:rsidRPr="0012136D" w:rsidRDefault="00DF683B" w:rsidP="006C308E">
            <w:pPr>
              <w:rPr>
                <w:rFonts w:asciiTheme="majorHAnsi" w:eastAsia="Times New Roman" w:hAnsiTheme="majorHAnsi" w:cstheme="majorHAnsi"/>
                <w:color w:val="000000"/>
                <w:sz w:val="20"/>
                <w:szCs w:val="20"/>
              </w:rPr>
            </w:pPr>
            <w:r w:rsidRPr="0012136D">
              <w:rPr>
                <w:rFonts w:asciiTheme="majorHAnsi" w:hAnsiTheme="majorHAnsi" w:cstheme="majorHAnsi"/>
                <w:color w:val="000000"/>
                <w:sz w:val="20"/>
                <w:szCs w:val="20"/>
              </w:rPr>
              <w:t>Health Outcomes and Policy</w:t>
            </w:r>
          </w:p>
        </w:tc>
        <w:tc>
          <w:tcPr>
            <w:tcW w:w="908" w:type="pct"/>
            <w:shd w:val="clear" w:color="auto" w:fill="auto"/>
            <w:tcMar>
              <w:left w:w="29" w:type="dxa"/>
              <w:right w:w="29" w:type="dxa"/>
            </w:tcMar>
            <w:vAlign w:val="center"/>
          </w:tcPr>
          <w:p w:rsidR="00DF683B" w:rsidRPr="0012136D" w:rsidRDefault="00656EE0"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Healthcare Management, Health Services Organizations, Health Econ</w:t>
            </w:r>
            <w:r w:rsidR="002842AE" w:rsidRPr="0012136D">
              <w:rPr>
                <w:rFonts w:asciiTheme="majorHAnsi" w:eastAsia="Times New Roman" w:hAnsiTheme="majorHAnsi" w:cstheme="majorHAnsi"/>
                <w:color w:val="000000"/>
                <w:sz w:val="20"/>
                <w:szCs w:val="20"/>
              </w:rPr>
              <w:t>omics/Health Services Research</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Springer, Andrew E.</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DrPH</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 and Health Education</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Promotion/Health Education</w:t>
            </w:r>
            <w:r w:rsidR="00CE6223" w:rsidRPr="0012136D">
              <w:rPr>
                <w:rFonts w:asciiTheme="majorHAnsi" w:eastAsia="Times New Roman" w:hAnsiTheme="majorHAnsi" w:cstheme="majorHAnsi"/>
                <w:color w:val="000000"/>
                <w:sz w:val="20"/>
                <w:szCs w:val="20"/>
              </w:rPr>
              <w:t xml:space="preserve">; Health Promotion/Health Education, </w:t>
            </w:r>
            <w:r w:rsidRPr="0012136D">
              <w:rPr>
                <w:rFonts w:asciiTheme="majorHAnsi" w:eastAsia="Times New Roman" w:hAnsiTheme="majorHAnsi" w:cstheme="majorHAnsi"/>
                <w:color w:val="000000"/>
                <w:sz w:val="20"/>
                <w:szCs w:val="20"/>
              </w:rPr>
              <w:t xml:space="preserve">Dietetic Internship </w:t>
            </w:r>
            <w:r w:rsidR="00CE6223" w:rsidRPr="0012136D">
              <w:rPr>
                <w:rFonts w:asciiTheme="majorHAnsi" w:eastAsia="Times New Roman" w:hAnsiTheme="majorHAnsi" w:cstheme="majorHAnsi"/>
                <w:color w:val="000000"/>
                <w:sz w:val="20"/>
                <w:szCs w:val="20"/>
              </w:rPr>
              <w:t>Track;</w:t>
            </w:r>
            <w:r w:rsidRPr="0012136D">
              <w:rPr>
                <w:rFonts w:asciiTheme="majorHAnsi" w:eastAsia="Times New Roman" w:hAnsiTheme="majorHAnsi" w:cstheme="majorHAnsi"/>
                <w:color w:val="000000"/>
                <w:sz w:val="20"/>
                <w:szCs w:val="20"/>
              </w:rPr>
              <w:t xml:space="preserve"> Behavioral Sciences</w:t>
            </w:r>
            <w:r w:rsidR="00CE6223" w:rsidRPr="0012136D">
              <w:rPr>
                <w:rFonts w:asciiTheme="majorHAnsi" w:eastAsia="Times New Roman" w:hAnsiTheme="majorHAnsi" w:cstheme="majorHAnsi"/>
                <w:color w:val="000000"/>
                <w:sz w:val="20"/>
                <w:szCs w:val="20"/>
              </w:rPr>
              <w:t xml:space="preserve"> and Health Promotion;</w:t>
            </w:r>
            <w:r w:rsidRPr="0012136D">
              <w:rPr>
                <w:rFonts w:asciiTheme="majorHAnsi" w:eastAsia="Times New Roman" w:hAnsiTheme="majorHAnsi" w:cstheme="majorHAnsi"/>
                <w:color w:val="000000"/>
                <w:sz w:val="20"/>
                <w:szCs w:val="20"/>
              </w:rPr>
              <w:t xml:space="preserve"> Community Health Practice</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Sterling, Kymberly</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DrPH</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Community Health Sciences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Health Promotion/ Health Education, Behavioral Sciences </w:t>
            </w:r>
            <w:r w:rsidR="00F81265" w:rsidRPr="0012136D">
              <w:rPr>
                <w:rFonts w:asciiTheme="majorHAnsi" w:eastAsia="Times New Roman" w:hAnsiTheme="majorHAnsi" w:cstheme="majorHAnsi"/>
                <w:color w:val="000000"/>
                <w:sz w:val="20"/>
                <w:szCs w:val="20"/>
              </w:rPr>
              <w:t>and Health Promotion</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Su, Wei-Chung</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Michigan</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Environmental Health Sciences</w:t>
            </w:r>
          </w:p>
        </w:tc>
        <w:tc>
          <w:tcPr>
            <w:tcW w:w="908" w:type="pct"/>
            <w:shd w:val="clear" w:color="auto" w:fill="auto"/>
            <w:tcMar>
              <w:left w:w="29" w:type="dxa"/>
              <w:right w:w="29" w:type="dxa"/>
            </w:tcMar>
            <w:vAlign w:val="center"/>
            <w:hideMark/>
          </w:tcPr>
          <w:p w:rsidR="00A14142" w:rsidRPr="0012136D" w:rsidRDefault="00F41E35"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Environmental Health, Environmental Disease Prevention </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Swartz, Michael</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Rice University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Statistics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Biostatistics</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Swint, J. Michael</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Rice University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Economics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Services Organization, Health Economics and Health Services Research</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Symanski, Elaine</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North Carolina at Chapel Hill</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Environmental Sciences and Engineering</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Epidemiology, </w:t>
            </w:r>
            <w:r w:rsidR="00F41E35" w:rsidRPr="0012136D">
              <w:rPr>
                <w:rFonts w:asciiTheme="majorHAnsi" w:eastAsia="Times New Roman" w:hAnsiTheme="majorHAnsi" w:cstheme="majorHAnsi"/>
                <w:color w:val="000000"/>
                <w:sz w:val="20"/>
                <w:szCs w:val="20"/>
              </w:rPr>
              <w:t>Total Worker Health</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Taylor, Wendell</w:t>
            </w:r>
            <w:r w:rsidRPr="0012136D">
              <w:rPr>
                <w:rFonts w:asciiTheme="majorHAnsi" w:eastAsia="Times New Roman" w:hAnsiTheme="majorHAnsi" w:cstheme="majorHAnsi"/>
                <w:sz w:val="20"/>
                <w:szCs w:val="20"/>
              </w:rPr>
              <w:t xml:space="preserve"> </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Arizona State University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Social Psychology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 Health Education, Behavioral Sciences</w:t>
            </w:r>
            <w:r w:rsidR="008A4D22" w:rsidRPr="0012136D">
              <w:rPr>
                <w:rFonts w:asciiTheme="majorHAnsi" w:eastAsia="Times New Roman" w:hAnsiTheme="majorHAnsi" w:cstheme="majorHAnsi"/>
                <w:color w:val="000000"/>
                <w:sz w:val="20"/>
                <w:szCs w:val="20"/>
              </w:rPr>
              <w:t xml:space="preserve"> and Health Promotion</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Tortolero Emery, Susan</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 Health Education, Behavioral Sciences</w:t>
            </w:r>
            <w:r w:rsidR="00794ADD" w:rsidRPr="0012136D">
              <w:rPr>
                <w:rFonts w:asciiTheme="majorHAnsi" w:eastAsia="Times New Roman" w:hAnsiTheme="majorHAnsi" w:cstheme="majorHAnsi"/>
                <w:color w:val="000000"/>
                <w:sz w:val="20"/>
                <w:szCs w:val="20"/>
              </w:rPr>
              <w:t xml:space="preserve"> and Health Promotion</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Troisi, Catherine L.</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Michigan</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Epidemiological Sciences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Community Health Practice</w:t>
            </w:r>
            <w:r w:rsidR="00A0003D" w:rsidRPr="0012136D">
              <w:rPr>
                <w:rFonts w:asciiTheme="majorHAnsi" w:eastAsia="Times New Roman" w:hAnsiTheme="majorHAnsi" w:cstheme="majorHAnsi"/>
                <w:color w:val="000000"/>
                <w:sz w:val="20"/>
                <w:szCs w:val="20"/>
              </w:rPr>
              <w:t>, Epidemiology, Health Promotion/Health Education</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Valerio-Shewmaker, Melissa</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Michigan</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Behavior and Health Education</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 Health Education</w:t>
            </w:r>
            <w:r w:rsidR="00CC33F6" w:rsidRPr="0012136D">
              <w:rPr>
                <w:rFonts w:asciiTheme="majorHAnsi" w:eastAsia="Times New Roman" w:hAnsiTheme="majorHAnsi" w:cstheme="majorHAnsi"/>
                <w:color w:val="000000"/>
                <w:sz w:val="20"/>
                <w:szCs w:val="20"/>
              </w:rPr>
              <w:t xml:space="preserve">; Health Promotion/Health </w:t>
            </w:r>
            <w:r w:rsidR="007E0631" w:rsidRPr="0012136D">
              <w:rPr>
                <w:rFonts w:asciiTheme="majorHAnsi" w:eastAsia="Times New Roman" w:hAnsiTheme="majorHAnsi" w:cstheme="majorHAnsi"/>
                <w:color w:val="000000"/>
                <w:sz w:val="20"/>
                <w:szCs w:val="20"/>
              </w:rPr>
              <w:t>Education, Dietetic</w:t>
            </w:r>
            <w:r w:rsidRPr="0012136D">
              <w:rPr>
                <w:rFonts w:asciiTheme="majorHAnsi" w:eastAsia="Times New Roman" w:hAnsiTheme="majorHAnsi" w:cstheme="majorHAnsi"/>
                <w:color w:val="000000"/>
                <w:sz w:val="20"/>
                <w:szCs w:val="20"/>
              </w:rPr>
              <w:t xml:space="preserve"> Internship </w:t>
            </w:r>
            <w:r w:rsidR="00CC33F6" w:rsidRPr="0012136D">
              <w:rPr>
                <w:rFonts w:asciiTheme="majorHAnsi" w:eastAsia="Times New Roman" w:hAnsiTheme="majorHAnsi" w:cstheme="majorHAnsi"/>
                <w:color w:val="000000"/>
                <w:sz w:val="20"/>
                <w:szCs w:val="20"/>
              </w:rPr>
              <w:t>Track;</w:t>
            </w:r>
            <w:r w:rsidRPr="0012136D">
              <w:rPr>
                <w:rFonts w:asciiTheme="majorHAnsi" w:eastAsia="Times New Roman" w:hAnsiTheme="majorHAnsi" w:cstheme="majorHAnsi"/>
                <w:color w:val="000000"/>
                <w:sz w:val="20"/>
                <w:szCs w:val="20"/>
              </w:rPr>
              <w:t xml:space="preserve"> Behavioral Sciences</w:t>
            </w:r>
            <w:r w:rsidR="00CC33F6" w:rsidRPr="0012136D">
              <w:rPr>
                <w:rFonts w:asciiTheme="majorHAnsi" w:eastAsia="Times New Roman" w:hAnsiTheme="majorHAnsi" w:cstheme="majorHAnsi"/>
                <w:color w:val="000000"/>
                <w:sz w:val="20"/>
                <w:szCs w:val="20"/>
              </w:rPr>
              <w:t xml:space="preserve"> and Health Promotion;</w:t>
            </w:r>
            <w:r w:rsidRPr="0012136D">
              <w:rPr>
                <w:rFonts w:asciiTheme="majorHAnsi" w:eastAsia="Times New Roman" w:hAnsiTheme="majorHAnsi" w:cstheme="majorHAnsi"/>
                <w:color w:val="000000"/>
                <w:sz w:val="20"/>
                <w:szCs w:val="20"/>
              </w:rPr>
              <w:t xml:space="preserve"> Community Health Practice</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Van Den Berg, Alexandra</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Texas at Austin</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Kinesiology and Health Education</w:t>
            </w:r>
          </w:p>
        </w:tc>
        <w:tc>
          <w:tcPr>
            <w:tcW w:w="908" w:type="pct"/>
            <w:shd w:val="clear" w:color="auto" w:fill="auto"/>
            <w:tcMar>
              <w:left w:w="29" w:type="dxa"/>
              <w:right w:w="29" w:type="dxa"/>
            </w:tcMar>
            <w:vAlign w:val="center"/>
            <w:hideMark/>
          </w:tcPr>
          <w:p w:rsidR="00A14142" w:rsidRPr="0012136D" w:rsidRDefault="003233AC"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 Health Education; Health Promotion/Health Education, Dietetic Internship Track; Behavioral Sciences and Health Promotion</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Vernon, Sally W.</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Community Health Sciences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 Health Education, Behavioral Sciences</w:t>
            </w:r>
            <w:r w:rsidR="003233AC" w:rsidRPr="0012136D">
              <w:rPr>
                <w:rFonts w:asciiTheme="majorHAnsi" w:eastAsia="Times New Roman" w:hAnsiTheme="majorHAnsi" w:cstheme="majorHAnsi"/>
                <w:color w:val="000000"/>
                <w:sz w:val="20"/>
                <w:szCs w:val="20"/>
              </w:rPr>
              <w:t xml:space="preserve"> and Health Promotion</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Walker, Timothy</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Non-tenure 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 and Behavioral Sciences</w:t>
            </w:r>
          </w:p>
        </w:tc>
        <w:tc>
          <w:tcPr>
            <w:tcW w:w="908" w:type="pct"/>
            <w:shd w:val="clear" w:color="auto" w:fill="auto"/>
            <w:tcMar>
              <w:left w:w="29" w:type="dxa"/>
              <w:right w:w="29" w:type="dxa"/>
            </w:tcMar>
            <w:vAlign w:val="center"/>
            <w:hideMark/>
          </w:tcPr>
          <w:p w:rsidR="00A14142" w:rsidRPr="0012136D" w:rsidRDefault="004B7B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 Health Education, Behavioral Sciences and Health Promotion</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Waller, Kim</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California at Berkeley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Walton, Gretchen</w:t>
            </w:r>
          </w:p>
        </w:tc>
        <w:tc>
          <w:tcPr>
            <w:tcW w:w="506" w:type="pct"/>
            <w:shd w:val="clear" w:color="auto" w:fill="auto"/>
            <w:tcMar>
              <w:left w:w="29" w:type="dxa"/>
              <w:right w:w="29" w:type="dxa"/>
            </w:tcMar>
            <w:vAlign w:val="center"/>
            <w:hideMark/>
          </w:tcPr>
          <w:p w:rsidR="00A14142" w:rsidRPr="0012136D" w:rsidRDefault="00CE7BCC"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Non-tenure 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JD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Saint Louis University School of Law</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Law</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Community Health Practice</w:t>
            </w:r>
            <w:r w:rsidR="00FC60DD" w:rsidRPr="0012136D">
              <w:rPr>
                <w:rFonts w:asciiTheme="majorHAnsi" w:eastAsia="Times New Roman" w:hAnsiTheme="majorHAnsi" w:cstheme="majorHAnsi"/>
                <w:color w:val="000000"/>
                <w:sz w:val="20"/>
                <w:szCs w:val="20"/>
              </w:rPr>
              <w:t xml:space="preserve">, Healthcare Management, Health Services Organizations, Healthcare Management/Health Policy, Health </w:t>
            </w:r>
            <w:r w:rsidR="00FF1D90" w:rsidRPr="0012136D">
              <w:rPr>
                <w:rFonts w:asciiTheme="majorHAnsi" w:eastAsia="Times New Roman" w:hAnsiTheme="majorHAnsi" w:cstheme="majorHAnsi"/>
                <w:color w:val="000000"/>
                <w:sz w:val="20"/>
                <w:szCs w:val="20"/>
              </w:rPr>
              <w:t>Education/Health Promotion</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Wells, Rebecca</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Michigan</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Services Organization and Policy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Healthcare Management, Healthcare Management and Health Policy </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Wermuth, Paige Padgett</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Non-tenure 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Behavioral Sciences</w:t>
            </w:r>
          </w:p>
        </w:tc>
        <w:tc>
          <w:tcPr>
            <w:tcW w:w="908" w:type="pct"/>
            <w:shd w:val="clear" w:color="auto" w:fill="auto"/>
            <w:tcMar>
              <w:left w:w="29" w:type="dxa"/>
              <w:right w:w="29" w:type="dxa"/>
            </w:tcMar>
            <w:vAlign w:val="center"/>
            <w:hideMark/>
          </w:tcPr>
          <w:p w:rsidR="00A14142" w:rsidRPr="0012136D" w:rsidRDefault="001C46DE"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Community Health Practice, Healthcare Management, Health Services Organizations, Health Education/Health Promotion</w:t>
            </w:r>
          </w:p>
        </w:tc>
      </w:tr>
      <w:tr w:rsidR="006F6C43" w:rsidRPr="0012136D" w:rsidTr="006E04D2">
        <w:trPr>
          <w:cantSplit/>
          <w:trHeight w:val="900"/>
        </w:trPr>
        <w:tc>
          <w:tcPr>
            <w:tcW w:w="858"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sz w:val="20"/>
                <w:szCs w:val="20"/>
              </w:rPr>
            </w:pPr>
            <w:r w:rsidRPr="0012136D">
              <w:rPr>
                <w:rFonts w:asciiTheme="majorHAnsi" w:hAnsiTheme="majorHAnsi" w:cstheme="majorHAnsi"/>
                <w:sz w:val="20"/>
                <w:szCs w:val="20"/>
              </w:rPr>
              <w:t>Whigham, Leah</w:t>
            </w:r>
          </w:p>
        </w:tc>
        <w:tc>
          <w:tcPr>
            <w:tcW w:w="506"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sz w:val="20"/>
                <w:szCs w:val="20"/>
              </w:rPr>
            </w:pPr>
            <w:r w:rsidRPr="0012136D">
              <w:rPr>
                <w:rFonts w:asciiTheme="majorHAnsi" w:eastAsia="Times New Roman" w:hAnsiTheme="majorHAnsi" w:cstheme="majorHAnsi"/>
                <w:sz w:val="20"/>
                <w:szCs w:val="20"/>
              </w:rPr>
              <w:t>Tenure-track</w:t>
            </w:r>
          </w:p>
        </w:tc>
        <w:tc>
          <w:tcPr>
            <w:tcW w:w="506"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sz w:val="20"/>
                <w:szCs w:val="20"/>
              </w:rPr>
            </w:pPr>
            <w:r w:rsidRPr="0012136D">
              <w:rPr>
                <w:rFonts w:asciiTheme="majorHAnsi" w:eastAsia="Times New Roman" w:hAnsiTheme="majorHAnsi" w:cstheme="majorHAnsi"/>
                <w:sz w:val="20"/>
                <w:szCs w:val="20"/>
              </w:rPr>
              <w:t>PhD</w:t>
            </w:r>
          </w:p>
        </w:tc>
        <w:tc>
          <w:tcPr>
            <w:tcW w:w="859"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sz w:val="20"/>
                <w:szCs w:val="20"/>
              </w:rPr>
            </w:pPr>
            <w:r w:rsidRPr="0012136D">
              <w:rPr>
                <w:rFonts w:asciiTheme="majorHAnsi" w:eastAsia="Times New Roman" w:hAnsiTheme="majorHAnsi" w:cstheme="majorHAnsi"/>
                <w:sz w:val="20"/>
                <w:szCs w:val="20"/>
              </w:rPr>
              <w:t>University of Wisconsin, Madison</w:t>
            </w:r>
          </w:p>
        </w:tc>
        <w:tc>
          <w:tcPr>
            <w:tcW w:w="706"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sz w:val="20"/>
                <w:szCs w:val="20"/>
              </w:rPr>
            </w:pPr>
            <w:r w:rsidRPr="0012136D">
              <w:rPr>
                <w:rFonts w:asciiTheme="majorHAnsi" w:eastAsia="Times New Roman" w:hAnsiTheme="majorHAnsi" w:cstheme="majorHAnsi"/>
                <w:sz w:val="20"/>
                <w:szCs w:val="20"/>
              </w:rPr>
              <w:t>Nutritional Sciences</w:t>
            </w:r>
          </w:p>
        </w:tc>
        <w:tc>
          <w:tcPr>
            <w:tcW w:w="908" w:type="pct"/>
            <w:shd w:val="clear" w:color="auto" w:fill="auto"/>
            <w:tcMar>
              <w:left w:w="29" w:type="dxa"/>
              <w:right w:w="29" w:type="dxa"/>
            </w:tcMar>
            <w:vAlign w:val="center"/>
          </w:tcPr>
          <w:p w:rsidR="00A14142" w:rsidRPr="0012136D" w:rsidRDefault="009A07E7" w:rsidP="006C308E">
            <w:pPr>
              <w:rPr>
                <w:rFonts w:asciiTheme="majorHAnsi" w:eastAsia="Times New Roman" w:hAnsiTheme="majorHAnsi" w:cstheme="majorHAnsi"/>
                <w:color w:val="000000"/>
                <w:sz w:val="20"/>
                <w:szCs w:val="20"/>
                <w:highlight w:val="yellow"/>
              </w:rPr>
            </w:pPr>
            <w:r w:rsidRPr="0012136D">
              <w:rPr>
                <w:rFonts w:asciiTheme="majorHAnsi" w:eastAsia="Times New Roman" w:hAnsiTheme="majorHAnsi" w:cstheme="majorHAnsi"/>
                <w:color w:val="000000"/>
                <w:sz w:val="20"/>
                <w:szCs w:val="20"/>
              </w:rPr>
              <w:t xml:space="preserve">Health Promotion/Health Education; Behavioral Sciences </w:t>
            </w:r>
            <w:r w:rsidR="009F2BC6" w:rsidRPr="0012136D">
              <w:rPr>
                <w:rFonts w:asciiTheme="majorHAnsi" w:eastAsia="Times New Roman" w:hAnsiTheme="majorHAnsi" w:cstheme="majorHAnsi"/>
                <w:color w:val="000000"/>
                <w:sz w:val="20"/>
                <w:szCs w:val="20"/>
              </w:rPr>
              <w:t>and Health Promotion</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Whitehead, Lawrence W.</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Community Health Sciences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Environmental Health, </w:t>
            </w:r>
            <w:r w:rsidR="001C46DE" w:rsidRPr="0012136D">
              <w:rPr>
                <w:rFonts w:asciiTheme="majorHAnsi" w:eastAsia="Times New Roman" w:hAnsiTheme="majorHAnsi" w:cstheme="majorHAnsi"/>
                <w:color w:val="000000"/>
                <w:sz w:val="20"/>
                <w:szCs w:val="20"/>
              </w:rPr>
              <w:t xml:space="preserve">Environmental Disease Prevention, </w:t>
            </w:r>
            <w:r w:rsidRPr="0012136D">
              <w:rPr>
                <w:rFonts w:asciiTheme="majorHAnsi" w:eastAsia="Times New Roman" w:hAnsiTheme="majorHAnsi" w:cstheme="majorHAnsi"/>
                <w:color w:val="000000"/>
                <w:sz w:val="20"/>
                <w:szCs w:val="20"/>
              </w:rPr>
              <w:t>Total Worker Health</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Whitworth, Kristina Walker</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Wilkerson, J. Michael</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Texas State University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Adult, Professional, &amp; Community Education</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Health Promotion/ Health Education, Behavioral Sciences</w:t>
            </w:r>
            <w:r w:rsidR="00341B1E" w:rsidRPr="0012136D">
              <w:rPr>
                <w:rFonts w:asciiTheme="majorHAnsi" w:eastAsia="Times New Roman" w:hAnsiTheme="majorHAnsi" w:cstheme="majorHAnsi"/>
                <w:color w:val="000000"/>
                <w:sz w:val="20"/>
                <w:szCs w:val="20"/>
              </w:rPr>
              <w:t xml:space="preserve"> and Health Promotion, Community Health Practice</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Wilkinson, Anna</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at Austin</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Community Psychology</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Wu, Hulin</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Florida State University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Statistics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Biostatistics</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Xiong, Momiao</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Georgia</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Statistics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Biostatistics, Epidemiology</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Yamal, Jose-Miguel</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Rice University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Statistics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Biostatistics</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Yaseen, Ashraf</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Old Dominion University</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Computer Science</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Biostatistics</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Yu, Bing</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Tenured</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Health Science Center at Houston School of Public Health</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 xml:space="preserve">Epidemiology </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6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Zhang, Kai</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Michigan</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Environmental Health Sciences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Environmental Health, Environmental Disease Prevention</w:t>
            </w:r>
            <w:r w:rsidR="00FD48DF" w:rsidRPr="0012136D">
              <w:rPr>
                <w:rFonts w:asciiTheme="majorHAnsi" w:eastAsia="Times New Roman" w:hAnsiTheme="majorHAnsi" w:cstheme="majorHAnsi"/>
                <w:color w:val="000000"/>
                <w:sz w:val="20"/>
                <w:szCs w:val="20"/>
              </w:rPr>
              <w:t>, Epidemiology</w:t>
            </w:r>
          </w:p>
        </w:tc>
      </w:tr>
      <w:tr w:rsidR="006F6C43" w:rsidRPr="0012136D" w:rsidTr="006E04D2">
        <w:trPr>
          <w:cantSplit/>
          <w:trHeight w:val="600"/>
        </w:trPr>
        <w:tc>
          <w:tcPr>
            <w:tcW w:w="858"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sz w:val="20"/>
                <w:szCs w:val="20"/>
              </w:rPr>
            </w:pPr>
            <w:r w:rsidRPr="0012136D">
              <w:rPr>
                <w:rFonts w:asciiTheme="majorHAnsi" w:hAnsiTheme="majorHAnsi" w:cstheme="majorHAnsi"/>
                <w:sz w:val="20"/>
                <w:szCs w:val="20"/>
              </w:rPr>
              <w:t>Zhang, Wei</w:t>
            </w:r>
          </w:p>
        </w:tc>
        <w:tc>
          <w:tcPr>
            <w:tcW w:w="506"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Assistant Professor</w:t>
            </w:r>
          </w:p>
        </w:tc>
        <w:tc>
          <w:tcPr>
            <w:tcW w:w="657"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Non-tenure track</w:t>
            </w:r>
          </w:p>
        </w:tc>
        <w:tc>
          <w:tcPr>
            <w:tcW w:w="506" w:type="pct"/>
            <w:shd w:val="clear" w:color="auto" w:fill="auto"/>
            <w:tcMar>
              <w:left w:w="29" w:type="dxa"/>
              <w:right w:w="29" w:type="dxa"/>
            </w:tcMar>
            <w:vAlign w:val="center"/>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tcPr>
          <w:p w:rsidR="00A14142" w:rsidRPr="0012136D" w:rsidRDefault="0075677D"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Tufts University</w:t>
            </w:r>
          </w:p>
        </w:tc>
        <w:tc>
          <w:tcPr>
            <w:tcW w:w="706" w:type="pct"/>
            <w:shd w:val="clear" w:color="auto" w:fill="auto"/>
            <w:tcMar>
              <w:left w:w="29" w:type="dxa"/>
              <w:right w:w="29" w:type="dxa"/>
            </w:tcMar>
            <w:vAlign w:val="center"/>
          </w:tcPr>
          <w:p w:rsidR="00A14142" w:rsidRPr="0012136D" w:rsidRDefault="0075677D"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Mathematics</w:t>
            </w:r>
          </w:p>
        </w:tc>
        <w:tc>
          <w:tcPr>
            <w:tcW w:w="908" w:type="pct"/>
            <w:shd w:val="clear" w:color="auto" w:fill="auto"/>
            <w:tcMar>
              <w:left w:w="29" w:type="dxa"/>
              <w:right w:w="29" w:type="dxa"/>
            </w:tcMar>
            <w:vAlign w:val="center"/>
          </w:tcPr>
          <w:p w:rsidR="00A14142" w:rsidRPr="0012136D" w:rsidRDefault="00F017F9"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Biostatistics</w:t>
            </w:r>
          </w:p>
        </w:tc>
      </w:tr>
      <w:tr w:rsidR="006F6C43" w:rsidRPr="0012136D" w:rsidTr="006E04D2">
        <w:trPr>
          <w:cantSplit/>
          <w:trHeight w:val="9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Zhao, Zhongming</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The University of Texas MD Anderson Cancer Center Graduate School of Biomedical Sciences</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Human and Molecular Genetics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Zhi, Degui</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California, San Diego</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Bioinformatics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Epidemiology</w:t>
            </w:r>
          </w:p>
        </w:tc>
      </w:tr>
      <w:tr w:rsidR="006F6C43" w:rsidRPr="0012136D" w:rsidTr="006E04D2">
        <w:trPr>
          <w:cantSplit/>
          <w:trHeight w:val="300"/>
        </w:trPr>
        <w:tc>
          <w:tcPr>
            <w:tcW w:w="85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hAnsiTheme="majorHAnsi" w:cstheme="majorHAnsi"/>
                <w:sz w:val="20"/>
                <w:szCs w:val="20"/>
              </w:rPr>
              <w:t>Zhu, Hongjian</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Associate  Professor</w:t>
            </w:r>
          </w:p>
        </w:tc>
        <w:tc>
          <w:tcPr>
            <w:tcW w:w="657"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Tenure-track</w:t>
            </w:r>
          </w:p>
        </w:tc>
        <w:tc>
          <w:tcPr>
            <w:tcW w:w="5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PhD</w:t>
            </w:r>
          </w:p>
        </w:tc>
        <w:tc>
          <w:tcPr>
            <w:tcW w:w="859"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University of Virginia</w:t>
            </w:r>
          </w:p>
        </w:tc>
        <w:tc>
          <w:tcPr>
            <w:tcW w:w="706"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Statistics</w:t>
            </w:r>
          </w:p>
        </w:tc>
        <w:tc>
          <w:tcPr>
            <w:tcW w:w="908" w:type="pct"/>
            <w:shd w:val="clear" w:color="auto" w:fill="auto"/>
            <w:tcMar>
              <w:left w:w="29" w:type="dxa"/>
              <w:right w:w="29" w:type="dxa"/>
            </w:tcMar>
            <w:vAlign w:val="center"/>
            <w:hideMark/>
          </w:tcPr>
          <w:p w:rsidR="00A14142" w:rsidRPr="0012136D" w:rsidRDefault="00A14142" w:rsidP="006C308E">
            <w:pPr>
              <w:rPr>
                <w:rFonts w:asciiTheme="majorHAnsi" w:eastAsia="Times New Roman" w:hAnsiTheme="majorHAnsi" w:cstheme="majorHAnsi"/>
                <w:color w:val="000000"/>
                <w:sz w:val="20"/>
                <w:szCs w:val="20"/>
              </w:rPr>
            </w:pPr>
            <w:r w:rsidRPr="0012136D">
              <w:rPr>
                <w:rFonts w:asciiTheme="majorHAnsi" w:eastAsia="Times New Roman" w:hAnsiTheme="majorHAnsi" w:cstheme="majorHAnsi"/>
                <w:color w:val="000000"/>
                <w:sz w:val="20"/>
                <w:szCs w:val="20"/>
              </w:rPr>
              <w:t>Biostatistics</w:t>
            </w:r>
          </w:p>
        </w:tc>
      </w:tr>
    </w:tbl>
    <w:p w:rsidR="00AE3CF3" w:rsidRPr="00C34E1B" w:rsidRDefault="00AE3CF3" w:rsidP="006C308E">
      <w:pPr>
        <w:ind w:left="720"/>
        <w:contextualSpacing/>
        <w:rPr>
          <w:rFonts w:asciiTheme="majorHAnsi" w:eastAsia="Arial" w:hAnsiTheme="majorHAnsi" w:cstheme="majorHAnsi"/>
          <w:sz w:val="20"/>
          <w:szCs w:val="20"/>
        </w:rPr>
      </w:pPr>
    </w:p>
    <w:p w:rsidR="00933038" w:rsidRPr="00C34E1B" w:rsidRDefault="00933038" w:rsidP="006C308E">
      <w:pPr>
        <w:ind w:left="720"/>
        <w:contextualSpacing/>
        <w:jc w:val="both"/>
        <w:rPr>
          <w:rFonts w:asciiTheme="majorHAnsi" w:hAnsiTheme="majorHAnsi" w:cstheme="majorHAnsi"/>
          <w:sz w:val="20"/>
          <w:szCs w:val="20"/>
        </w:rPr>
      </w:pPr>
    </w:p>
    <w:p w:rsidR="00933038" w:rsidRPr="00C34E1B" w:rsidRDefault="00933038" w:rsidP="006C308E">
      <w:pPr>
        <w:numPr>
          <w:ilvl w:val="0"/>
          <w:numId w:val="31"/>
        </w:numPr>
        <w:contextualSpacing/>
        <w:jc w:val="both"/>
        <w:rPr>
          <w:rFonts w:asciiTheme="majorHAnsi" w:hAnsiTheme="majorHAnsi" w:cstheme="majorHAnsi"/>
          <w:sz w:val="20"/>
          <w:szCs w:val="20"/>
        </w:rPr>
      </w:pPr>
      <w:r w:rsidRPr="00C34E1B">
        <w:rPr>
          <w:rFonts w:asciiTheme="majorHAnsi" w:hAnsiTheme="majorHAnsi" w:cstheme="majorHAnsi"/>
          <w:sz w:val="20"/>
          <w:szCs w:val="20"/>
        </w:rPr>
        <w:t xml:space="preserve">Provide summary data on the qualifications of any other faculty with significant involvement in the school’s public health instruction in the format of Template E1-2. Schools define “significant” in their own contexts but, at a minimum, include any individuals who regularly provide instruction or supervision for required courses and other experiences listed in the criterion on Curriculum. Reporting on individuals who supervise individual students’ practice experience (preceptors, etc.) is not required. The identification of instructional areas must correspond to the data presented in Template C2-1. </w:t>
      </w:r>
    </w:p>
    <w:p w:rsidR="00933038" w:rsidRPr="00C34E1B" w:rsidRDefault="00933038" w:rsidP="006C308E">
      <w:pPr>
        <w:contextualSpacing/>
        <w:jc w:val="both"/>
        <w:rPr>
          <w:rFonts w:asciiTheme="majorHAnsi" w:hAnsiTheme="majorHAnsi" w:cstheme="majorHAnsi"/>
          <w:sz w:val="20"/>
          <w:szCs w:val="20"/>
        </w:rPr>
      </w:pPr>
    </w:p>
    <w:p w:rsidR="00933038" w:rsidRPr="0012136D" w:rsidRDefault="00FC4B0E" w:rsidP="006C308E">
      <w:pPr>
        <w:ind w:left="720"/>
        <w:contextualSpacing/>
        <w:jc w:val="both"/>
        <w:rPr>
          <w:rFonts w:asciiTheme="majorHAnsi" w:eastAsia="Arial" w:hAnsiTheme="majorHAnsi" w:cstheme="majorHAnsi"/>
          <w:sz w:val="20"/>
          <w:szCs w:val="20"/>
        </w:rPr>
      </w:pPr>
      <w:r w:rsidRPr="0012136D">
        <w:rPr>
          <w:rFonts w:asciiTheme="majorHAnsi" w:hAnsiTheme="majorHAnsi" w:cstheme="majorHAnsi"/>
          <w:sz w:val="20"/>
          <w:szCs w:val="20"/>
        </w:rPr>
        <w:t>Table E</w:t>
      </w:r>
      <w:r w:rsidR="008F1E8E" w:rsidRPr="0012136D">
        <w:rPr>
          <w:rFonts w:asciiTheme="majorHAnsi" w:hAnsiTheme="majorHAnsi" w:cstheme="majorHAnsi"/>
          <w:sz w:val="20"/>
          <w:szCs w:val="20"/>
        </w:rPr>
        <w:t>.</w:t>
      </w:r>
      <w:r w:rsidRPr="0012136D">
        <w:rPr>
          <w:rFonts w:asciiTheme="majorHAnsi" w:hAnsiTheme="majorHAnsi" w:cstheme="majorHAnsi"/>
          <w:sz w:val="20"/>
          <w:szCs w:val="20"/>
        </w:rPr>
        <w:t>1.2. -  Non-Primary Instructional Faculty Regularly Involved in Instruction</w:t>
      </w:r>
      <w:r w:rsidR="007C37AD" w:rsidRPr="0012136D">
        <w:rPr>
          <w:rStyle w:val="Hyperlink"/>
          <w:rFonts w:asciiTheme="majorHAnsi" w:eastAsia="Arial" w:hAnsiTheme="majorHAnsi" w:cstheme="majorHAnsi"/>
          <w:sz w:val="20"/>
          <w:szCs w:val="20"/>
        </w:rPr>
        <w:t xml:space="preserve"> </w:t>
      </w:r>
      <w:r w:rsidR="007C37AD" w:rsidRPr="0012136D">
        <w:rPr>
          <w:rFonts w:asciiTheme="majorHAnsi" w:eastAsia="Arial" w:hAnsiTheme="majorHAnsi" w:cstheme="majorHAnsi"/>
          <w:sz w:val="20"/>
          <w:szCs w:val="20"/>
        </w:rPr>
        <w:t>(</w:t>
      </w:r>
      <w:r w:rsidR="007C37AD" w:rsidRPr="0012136D">
        <w:rPr>
          <w:rFonts w:asciiTheme="majorHAnsi" w:eastAsia="Arial" w:hAnsiTheme="majorHAnsi" w:cstheme="majorHAnsi"/>
          <w:i/>
          <w:sz w:val="20"/>
          <w:szCs w:val="20"/>
        </w:rPr>
        <w:t>ERF, E1. Faculty Alignment with Degrees Offered, E1.2. Non-PIF Faculty CVs</w:t>
      </w:r>
      <w:r w:rsidR="007C37AD" w:rsidRPr="0012136D">
        <w:rPr>
          <w:rFonts w:asciiTheme="majorHAnsi" w:eastAsia="Arial" w:hAnsiTheme="majorHAnsi" w:cstheme="majorHAnsi"/>
          <w:sz w:val="20"/>
          <w:szCs w:val="20"/>
        </w:rPr>
        <w:t>)</w:t>
      </w:r>
    </w:p>
    <w:tbl>
      <w:tblPr>
        <w:tblW w:w="9000" w:type="dxa"/>
        <w:tblInd w:w="715" w:type="dxa"/>
        <w:tblLayout w:type="fixed"/>
        <w:tblLook w:val="04A0" w:firstRow="1" w:lastRow="0" w:firstColumn="1" w:lastColumn="0" w:noHBand="0" w:noVBand="1"/>
      </w:tblPr>
      <w:tblGrid>
        <w:gridCol w:w="1350"/>
        <w:gridCol w:w="990"/>
        <w:gridCol w:w="1350"/>
        <w:gridCol w:w="810"/>
        <w:gridCol w:w="873"/>
        <w:gridCol w:w="1107"/>
        <w:gridCol w:w="1170"/>
        <w:gridCol w:w="1350"/>
      </w:tblGrid>
      <w:tr w:rsidR="00340464" w:rsidRPr="00B71114" w:rsidTr="00331B1A">
        <w:trPr>
          <w:cantSplit/>
          <w:trHeight w:val="1020"/>
          <w:tblHeader/>
        </w:trPr>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4" w:type="dxa"/>
              <w:right w:w="14" w:type="dxa"/>
            </w:tcMar>
            <w:vAlign w:val="center"/>
            <w:hideMark/>
          </w:tcPr>
          <w:p w:rsidR="00340464" w:rsidRPr="00B71114" w:rsidRDefault="00037AA7" w:rsidP="00037AA7">
            <w:pPr>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Name</w:t>
            </w:r>
          </w:p>
        </w:tc>
        <w:tc>
          <w:tcPr>
            <w:tcW w:w="990" w:type="dxa"/>
            <w:tcBorders>
              <w:top w:val="single" w:sz="4" w:space="0" w:color="auto"/>
              <w:left w:val="nil"/>
              <w:bottom w:val="single" w:sz="4" w:space="0" w:color="auto"/>
              <w:right w:val="single" w:sz="4" w:space="0" w:color="auto"/>
            </w:tcBorders>
            <w:shd w:val="clear" w:color="auto" w:fill="BFBFBF" w:themeFill="background1" w:themeFillShade="BF"/>
            <w:tcMar>
              <w:left w:w="14" w:type="dxa"/>
              <w:right w:w="14" w:type="dxa"/>
            </w:tcMar>
            <w:vAlign w:val="center"/>
            <w:hideMark/>
          </w:tcPr>
          <w:p w:rsidR="00340464" w:rsidRPr="00B71114" w:rsidRDefault="00037AA7" w:rsidP="00037AA7">
            <w:pPr>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Academic Rank</w:t>
            </w:r>
          </w:p>
        </w:tc>
        <w:tc>
          <w:tcPr>
            <w:tcW w:w="1350" w:type="dxa"/>
            <w:tcBorders>
              <w:top w:val="single" w:sz="4" w:space="0" w:color="auto"/>
              <w:left w:val="nil"/>
              <w:bottom w:val="single" w:sz="4" w:space="0" w:color="auto"/>
              <w:right w:val="single" w:sz="4" w:space="0" w:color="auto"/>
            </w:tcBorders>
            <w:shd w:val="clear" w:color="auto" w:fill="BFBFBF" w:themeFill="background1" w:themeFillShade="BF"/>
            <w:tcMar>
              <w:left w:w="14" w:type="dxa"/>
              <w:right w:w="14" w:type="dxa"/>
            </w:tcMar>
            <w:vAlign w:val="center"/>
            <w:hideMark/>
          </w:tcPr>
          <w:p w:rsidR="00340464" w:rsidRPr="00B71114" w:rsidRDefault="00340464" w:rsidP="00037AA7">
            <w:pPr>
              <w:jc w:val="center"/>
              <w:rPr>
                <w:rFonts w:asciiTheme="majorHAnsi" w:eastAsia="Times New Roman" w:hAnsiTheme="majorHAnsi" w:cstheme="majorHAnsi"/>
                <w:b/>
                <w:bCs/>
                <w:color w:val="000000"/>
                <w:sz w:val="20"/>
                <w:szCs w:val="20"/>
              </w:rPr>
            </w:pPr>
            <w:r w:rsidRPr="00B71114">
              <w:rPr>
                <w:rFonts w:asciiTheme="majorHAnsi" w:eastAsia="Times New Roman" w:hAnsiTheme="majorHAnsi" w:cstheme="majorHAnsi"/>
                <w:b/>
                <w:bCs/>
                <w:color w:val="000000"/>
                <w:sz w:val="20"/>
                <w:szCs w:val="20"/>
              </w:rPr>
              <w:t>Title and Current Employment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Mar>
              <w:left w:w="14" w:type="dxa"/>
              <w:right w:w="14" w:type="dxa"/>
            </w:tcMar>
            <w:vAlign w:val="center"/>
            <w:hideMark/>
          </w:tcPr>
          <w:p w:rsidR="00340464" w:rsidRPr="00B71114" w:rsidRDefault="00340464" w:rsidP="00037AA7">
            <w:pPr>
              <w:jc w:val="center"/>
              <w:rPr>
                <w:rFonts w:asciiTheme="majorHAnsi" w:eastAsia="Times New Roman" w:hAnsiTheme="majorHAnsi" w:cstheme="majorHAnsi"/>
                <w:b/>
                <w:bCs/>
                <w:color w:val="000000"/>
                <w:sz w:val="20"/>
                <w:szCs w:val="20"/>
              </w:rPr>
            </w:pPr>
            <w:r w:rsidRPr="00B71114">
              <w:rPr>
                <w:rFonts w:asciiTheme="majorHAnsi" w:eastAsia="Times New Roman" w:hAnsiTheme="majorHAnsi" w:cstheme="majorHAnsi"/>
                <w:b/>
                <w:bCs/>
                <w:color w:val="000000"/>
                <w:sz w:val="20"/>
                <w:szCs w:val="20"/>
              </w:rPr>
              <w:t>FTE or % Time Allocated</w:t>
            </w:r>
          </w:p>
        </w:tc>
        <w:tc>
          <w:tcPr>
            <w:tcW w:w="873" w:type="dxa"/>
            <w:tcBorders>
              <w:top w:val="single" w:sz="4" w:space="0" w:color="auto"/>
              <w:left w:val="nil"/>
              <w:bottom w:val="single" w:sz="4" w:space="0" w:color="auto"/>
              <w:right w:val="single" w:sz="4" w:space="0" w:color="auto"/>
            </w:tcBorders>
            <w:shd w:val="clear" w:color="auto" w:fill="BFBFBF" w:themeFill="background1" w:themeFillShade="BF"/>
            <w:tcMar>
              <w:left w:w="14" w:type="dxa"/>
              <w:right w:w="14" w:type="dxa"/>
            </w:tcMar>
            <w:vAlign w:val="center"/>
            <w:hideMark/>
          </w:tcPr>
          <w:p w:rsidR="00340464" w:rsidRPr="00B71114" w:rsidRDefault="00340464" w:rsidP="00037AA7">
            <w:pPr>
              <w:jc w:val="center"/>
              <w:rPr>
                <w:rFonts w:asciiTheme="majorHAnsi" w:eastAsia="Times New Roman" w:hAnsiTheme="majorHAnsi" w:cstheme="majorHAnsi"/>
                <w:b/>
                <w:bCs/>
                <w:color w:val="000000"/>
                <w:sz w:val="20"/>
                <w:szCs w:val="20"/>
              </w:rPr>
            </w:pPr>
            <w:r w:rsidRPr="00B71114">
              <w:rPr>
                <w:rFonts w:asciiTheme="majorHAnsi" w:eastAsia="Times New Roman" w:hAnsiTheme="majorHAnsi" w:cstheme="majorHAnsi"/>
                <w:b/>
                <w:bCs/>
                <w:color w:val="000000"/>
                <w:sz w:val="20"/>
                <w:szCs w:val="20"/>
              </w:rPr>
              <w:t>Graduate Degrees Earned</w:t>
            </w:r>
          </w:p>
        </w:tc>
        <w:tc>
          <w:tcPr>
            <w:tcW w:w="1107" w:type="dxa"/>
            <w:tcBorders>
              <w:top w:val="single" w:sz="4" w:space="0" w:color="auto"/>
              <w:left w:val="nil"/>
              <w:bottom w:val="single" w:sz="4" w:space="0" w:color="auto"/>
              <w:right w:val="single" w:sz="4" w:space="0" w:color="auto"/>
            </w:tcBorders>
            <w:shd w:val="clear" w:color="auto" w:fill="BFBFBF" w:themeFill="background1" w:themeFillShade="BF"/>
            <w:tcMar>
              <w:left w:w="14" w:type="dxa"/>
              <w:right w:w="14" w:type="dxa"/>
            </w:tcMar>
            <w:vAlign w:val="center"/>
            <w:hideMark/>
          </w:tcPr>
          <w:p w:rsidR="00340464" w:rsidRPr="00B71114" w:rsidRDefault="00340464" w:rsidP="00037AA7">
            <w:pPr>
              <w:jc w:val="center"/>
              <w:rPr>
                <w:rFonts w:asciiTheme="majorHAnsi" w:eastAsia="Times New Roman" w:hAnsiTheme="majorHAnsi" w:cstheme="majorHAnsi"/>
                <w:b/>
                <w:bCs/>
                <w:color w:val="000000"/>
                <w:sz w:val="20"/>
                <w:szCs w:val="20"/>
              </w:rPr>
            </w:pPr>
            <w:r w:rsidRPr="00B71114">
              <w:rPr>
                <w:rFonts w:asciiTheme="majorHAnsi" w:eastAsia="Times New Roman" w:hAnsiTheme="majorHAnsi" w:cstheme="majorHAnsi"/>
                <w:b/>
                <w:bCs/>
                <w:color w:val="000000"/>
                <w:sz w:val="20"/>
                <w:szCs w:val="20"/>
              </w:rPr>
              <w:t>Institution(s) from which degree(s) were earned</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tcMar>
              <w:left w:w="14" w:type="dxa"/>
              <w:right w:w="14" w:type="dxa"/>
            </w:tcMar>
            <w:vAlign w:val="center"/>
            <w:hideMark/>
          </w:tcPr>
          <w:p w:rsidR="00340464" w:rsidRPr="00B71114" w:rsidRDefault="00340464" w:rsidP="00037AA7">
            <w:pPr>
              <w:jc w:val="center"/>
              <w:rPr>
                <w:rFonts w:asciiTheme="majorHAnsi" w:eastAsia="Times New Roman" w:hAnsiTheme="majorHAnsi" w:cstheme="majorHAnsi"/>
                <w:b/>
                <w:bCs/>
                <w:color w:val="000000"/>
                <w:sz w:val="20"/>
                <w:szCs w:val="20"/>
              </w:rPr>
            </w:pPr>
            <w:r w:rsidRPr="00B71114">
              <w:rPr>
                <w:rFonts w:asciiTheme="majorHAnsi" w:eastAsia="Times New Roman" w:hAnsiTheme="majorHAnsi" w:cstheme="majorHAnsi"/>
                <w:b/>
                <w:bCs/>
                <w:color w:val="000000"/>
                <w:sz w:val="20"/>
                <w:szCs w:val="20"/>
              </w:rPr>
              <w:t>Discipline in which degrees were earned</w:t>
            </w:r>
          </w:p>
        </w:tc>
        <w:tc>
          <w:tcPr>
            <w:tcW w:w="1350" w:type="dxa"/>
            <w:tcBorders>
              <w:top w:val="single" w:sz="4" w:space="0" w:color="auto"/>
              <w:left w:val="nil"/>
              <w:bottom w:val="single" w:sz="4" w:space="0" w:color="auto"/>
              <w:right w:val="single" w:sz="4" w:space="0" w:color="auto"/>
            </w:tcBorders>
            <w:shd w:val="clear" w:color="auto" w:fill="BFBFBF" w:themeFill="background1" w:themeFillShade="BF"/>
            <w:tcMar>
              <w:left w:w="14" w:type="dxa"/>
              <w:right w:w="14" w:type="dxa"/>
            </w:tcMar>
            <w:vAlign w:val="center"/>
            <w:hideMark/>
          </w:tcPr>
          <w:p w:rsidR="00340464" w:rsidRPr="00B71114" w:rsidRDefault="00037AA7" w:rsidP="00037AA7">
            <w:pPr>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 xml:space="preserve">Concentrations Affiliated with in </w:t>
            </w:r>
            <w:hyperlink w:anchor="tablec21" w:history="1">
              <w:r w:rsidRPr="00037AA7">
                <w:rPr>
                  <w:rStyle w:val="Hyperlink"/>
                  <w:rFonts w:asciiTheme="majorHAnsi" w:eastAsia="Times New Roman" w:hAnsiTheme="majorHAnsi" w:cstheme="majorHAnsi"/>
                  <w:b/>
                  <w:bCs/>
                  <w:sz w:val="20"/>
                  <w:szCs w:val="20"/>
                </w:rPr>
                <w:t>Table C2-1</w:t>
              </w:r>
            </w:hyperlink>
          </w:p>
        </w:tc>
      </w:tr>
      <w:tr w:rsidR="00340464" w:rsidRPr="00B71114" w:rsidTr="00331B1A">
        <w:trPr>
          <w:cantSplit/>
          <w:trHeight w:val="300"/>
        </w:trPr>
        <w:tc>
          <w:tcPr>
            <w:tcW w:w="1350"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bCs/>
                <w:color w:val="000000"/>
                <w:sz w:val="20"/>
                <w:szCs w:val="20"/>
              </w:rPr>
            </w:pPr>
            <w:r w:rsidRPr="00B71114">
              <w:rPr>
                <w:rFonts w:asciiTheme="majorHAnsi" w:hAnsiTheme="majorHAnsi" w:cstheme="majorHAnsi"/>
                <w:sz w:val="20"/>
                <w:szCs w:val="20"/>
              </w:rPr>
              <w:t>Addy, Robert C.</w:t>
            </w:r>
            <w:r w:rsidRPr="00B71114">
              <w:rPr>
                <w:rFonts w:asciiTheme="majorHAnsi" w:eastAsia="Times New Roman" w:hAnsiTheme="majorHAnsi" w:cstheme="majorHAnsi"/>
                <w:bCs/>
                <w:color w:val="000000"/>
                <w:sz w:val="20"/>
                <w:szCs w:val="20"/>
              </w:rPr>
              <w:t xml:space="preserve"> </w:t>
            </w:r>
          </w:p>
        </w:tc>
        <w:tc>
          <w:tcPr>
            <w:tcW w:w="99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Faculty Associate</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0A2A4E"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Faculty Associate</w:t>
            </w:r>
            <w:r w:rsidR="00E84EEE" w:rsidRPr="00B71114">
              <w:rPr>
                <w:rFonts w:asciiTheme="majorHAnsi" w:eastAsia="Times New Roman" w:hAnsiTheme="majorHAnsi" w:cstheme="majorHAnsi"/>
                <w:color w:val="000000"/>
                <w:sz w:val="20"/>
                <w:szCs w:val="20"/>
              </w:rPr>
              <w:t>, UTHealth School of Public Health</w:t>
            </w:r>
          </w:p>
        </w:tc>
        <w:tc>
          <w:tcPr>
            <w:tcW w:w="81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1</w:t>
            </w:r>
          </w:p>
        </w:tc>
        <w:tc>
          <w:tcPr>
            <w:tcW w:w="873"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E60DE"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PhD</w:t>
            </w:r>
          </w:p>
        </w:tc>
        <w:tc>
          <w:tcPr>
            <w:tcW w:w="1107"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E60DE"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University of Houston</w:t>
            </w:r>
          </w:p>
        </w:tc>
        <w:tc>
          <w:tcPr>
            <w:tcW w:w="117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6B61AC"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Behavioral Sciences</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Health Promotion/ Health Education, Behavioral Sciences</w:t>
            </w:r>
            <w:r w:rsidR="007D4DE0" w:rsidRPr="00B71114">
              <w:rPr>
                <w:rFonts w:asciiTheme="majorHAnsi" w:eastAsia="Times New Roman" w:hAnsiTheme="majorHAnsi" w:cstheme="majorHAnsi"/>
                <w:color w:val="000000"/>
                <w:sz w:val="20"/>
                <w:szCs w:val="20"/>
              </w:rPr>
              <w:t xml:space="preserve"> and Health Promotion</w:t>
            </w:r>
          </w:p>
        </w:tc>
      </w:tr>
      <w:tr w:rsidR="00340464" w:rsidRPr="00B71114" w:rsidTr="00331B1A">
        <w:trPr>
          <w:cantSplit/>
          <w:trHeight w:val="1275"/>
        </w:trPr>
        <w:tc>
          <w:tcPr>
            <w:tcW w:w="1350"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bCs/>
                <w:color w:val="000000"/>
                <w:sz w:val="20"/>
                <w:szCs w:val="20"/>
              </w:rPr>
            </w:pPr>
            <w:r w:rsidRPr="00B71114">
              <w:rPr>
                <w:rFonts w:asciiTheme="majorHAnsi" w:hAnsiTheme="majorHAnsi" w:cstheme="majorHAnsi"/>
                <w:sz w:val="20"/>
                <w:szCs w:val="20"/>
              </w:rPr>
              <w:t>Aguilar, David</w:t>
            </w:r>
          </w:p>
        </w:tc>
        <w:tc>
          <w:tcPr>
            <w:tcW w:w="99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Associate Professor</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 xml:space="preserve">Associate Professor of Medicine, UTHealth McGovern Medical School; Department of Epidemiology, Human Genetics and Environmental Sciences </w:t>
            </w:r>
          </w:p>
        </w:tc>
        <w:tc>
          <w:tcPr>
            <w:tcW w:w="81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F004A0" w:rsidP="006C308E">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0</w:t>
            </w:r>
            <w:r w:rsidR="00340464" w:rsidRPr="00B71114">
              <w:rPr>
                <w:rFonts w:asciiTheme="majorHAnsi" w:eastAsia="Times New Roman" w:hAnsiTheme="majorHAnsi" w:cstheme="majorHAnsi"/>
                <w:color w:val="000000"/>
                <w:sz w:val="20"/>
                <w:szCs w:val="20"/>
              </w:rPr>
              <w:t>.7</w:t>
            </w:r>
          </w:p>
        </w:tc>
        <w:tc>
          <w:tcPr>
            <w:tcW w:w="873"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MD</w:t>
            </w:r>
          </w:p>
        </w:tc>
        <w:tc>
          <w:tcPr>
            <w:tcW w:w="1107"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Baylor College of Medicine</w:t>
            </w:r>
          </w:p>
        </w:tc>
        <w:tc>
          <w:tcPr>
            <w:tcW w:w="117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Medicine</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 xml:space="preserve">Epidemiology </w:t>
            </w:r>
          </w:p>
        </w:tc>
      </w:tr>
      <w:tr w:rsidR="00340464" w:rsidRPr="00B71114" w:rsidTr="00331B1A">
        <w:trPr>
          <w:cantSplit/>
          <w:trHeight w:val="510"/>
        </w:trPr>
        <w:tc>
          <w:tcPr>
            <w:tcW w:w="1350"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bCs/>
                <w:color w:val="000000"/>
                <w:sz w:val="20"/>
                <w:szCs w:val="20"/>
              </w:rPr>
            </w:pPr>
            <w:r w:rsidRPr="00B71114">
              <w:rPr>
                <w:rFonts w:asciiTheme="majorHAnsi" w:hAnsiTheme="majorHAnsi" w:cstheme="majorHAnsi"/>
                <w:sz w:val="20"/>
                <w:szCs w:val="20"/>
              </w:rPr>
              <w:t>Andrulis, Dennis</w:t>
            </w:r>
          </w:p>
        </w:tc>
        <w:tc>
          <w:tcPr>
            <w:tcW w:w="99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Associate Professor</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Senior Research Scientist, Texas Health Institute</w:t>
            </w:r>
          </w:p>
        </w:tc>
        <w:tc>
          <w:tcPr>
            <w:tcW w:w="81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F004A0" w:rsidP="006C308E">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0</w:t>
            </w:r>
            <w:r w:rsidR="00340464" w:rsidRPr="00B71114">
              <w:rPr>
                <w:rFonts w:asciiTheme="majorHAnsi" w:eastAsia="Times New Roman" w:hAnsiTheme="majorHAnsi" w:cstheme="majorHAnsi"/>
                <w:color w:val="000000"/>
                <w:sz w:val="20"/>
                <w:szCs w:val="20"/>
              </w:rPr>
              <w:t>.1</w:t>
            </w:r>
          </w:p>
        </w:tc>
        <w:tc>
          <w:tcPr>
            <w:tcW w:w="873"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PhD</w:t>
            </w:r>
          </w:p>
        </w:tc>
        <w:tc>
          <w:tcPr>
            <w:tcW w:w="1107"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University of Texas at Austin</w:t>
            </w:r>
          </w:p>
        </w:tc>
        <w:tc>
          <w:tcPr>
            <w:tcW w:w="117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Educational Psychology (Community)</w:t>
            </w:r>
          </w:p>
        </w:tc>
        <w:tc>
          <w:tcPr>
            <w:tcW w:w="1350" w:type="dxa"/>
            <w:tcBorders>
              <w:top w:val="nil"/>
              <w:left w:val="nil"/>
              <w:bottom w:val="single" w:sz="4" w:space="0" w:color="auto"/>
              <w:right w:val="single" w:sz="4" w:space="0" w:color="auto"/>
            </w:tcBorders>
            <w:shd w:val="clear" w:color="000000" w:fill="FFFFFF"/>
            <w:tcMar>
              <w:left w:w="29" w:type="dxa"/>
              <w:right w:w="29" w:type="dxa"/>
            </w:tcMar>
            <w:vAlign w:val="center"/>
            <w:hideMark/>
          </w:tcPr>
          <w:p w:rsidR="00340464" w:rsidRPr="00B71114" w:rsidRDefault="004A7A4C"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Healthcare Management/Health Policy</w:t>
            </w:r>
          </w:p>
        </w:tc>
      </w:tr>
      <w:tr w:rsidR="00EB1EF0" w:rsidRPr="00B71114" w:rsidTr="00331B1A">
        <w:trPr>
          <w:cantSplit/>
          <w:trHeight w:val="510"/>
        </w:trPr>
        <w:tc>
          <w:tcPr>
            <w:tcW w:w="1350"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rsidR="00EB1EF0" w:rsidRPr="00B71114" w:rsidRDefault="00EB1EF0" w:rsidP="006C308E">
            <w:pPr>
              <w:rPr>
                <w:rFonts w:asciiTheme="majorHAnsi" w:eastAsia="Times New Roman" w:hAnsiTheme="majorHAnsi" w:cstheme="majorHAnsi"/>
                <w:bCs/>
                <w:sz w:val="20"/>
                <w:szCs w:val="20"/>
              </w:rPr>
            </w:pPr>
            <w:r w:rsidRPr="00B71114">
              <w:rPr>
                <w:rFonts w:asciiTheme="majorHAnsi" w:hAnsiTheme="majorHAnsi" w:cstheme="majorHAnsi"/>
                <w:sz w:val="20"/>
                <w:szCs w:val="20"/>
              </w:rPr>
              <w:t>Arias, Cesar</w:t>
            </w:r>
          </w:p>
        </w:tc>
        <w:tc>
          <w:tcPr>
            <w:tcW w:w="990" w:type="dxa"/>
            <w:tcBorders>
              <w:top w:val="nil"/>
              <w:left w:val="nil"/>
              <w:bottom w:val="single" w:sz="4" w:space="0" w:color="auto"/>
              <w:right w:val="single" w:sz="4" w:space="0" w:color="auto"/>
            </w:tcBorders>
            <w:shd w:val="clear" w:color="auto" w:fill="auto"/>
            <w:tcMar>
              <w:left w:w="29" w:type="dxa"/>
              <w:right w:w="29" w:type="dxa"/>
            </w:tcMar>
            <w:vAlign w:val="center"/>
          </w:tcPr>
          <w:p w:rsidR="00EB1EF0" w:rsidRPr="00B71114" w:rsidRDefault="00EB1EF0"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Professor</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tcPr>
          <w:p w:rsidR="00EB1EF0" w:rsidRPr="00B71114" w:rsidRDefault="003157F8"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Professor, UTHealth McGovern Medical School</w:t>
            </w:r>
          </w:p>
        </w:tc>
        <w:tc>
          <w:tcPr>
            <w:tcW w:w="810" w:type="dxa"/>
            <w:tcBorders>
              <w:top w:val="nil"/>
              <w:left w:val="nil"/>
              <w:bottom w:val="single" w:sz="4" w:space="0" w:color="auto"/>
              <w:right w:val="single" w:sz="4" w:space="0" w:color="auto"/>
            </w:tcBorders>
            <w:shd w:val="clear" w:color="auto" w:fill="auto"/>
            <w:tcMar>
              <w:left w:w="29" w:type="dxa"/>
              <w:right w:w="29" w:type="dxa"/>
            </w:tcMar>
            <w:vAlign w:val="center"/>
          </w:tcPr>
          <w:p w:rsidR="00EB1EF0" w:rsidRPr="00B71114" w:rsidRDefault="00F004A0" w:rsidP="006C308E">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0</w:t>
            </w:r>
            <w:r w:rsidR="00DC4858" w:rsidRPr="00B71114">
              <w:rPr>
                <w:rFonts w:asciiTheme="majorHAnsi" w:eastAsia="Times New Roman" w:hAnsiTheme="majorHAnsi" w:cstheme="majorHAnsi"/>
                <w:color w:val="000000"/>
                <w:sz w:val="20"/>
                <w:szCs w:val="20"/>
              </w:rPr>
              <w:t>.4</w:t>
            </w:r>
          </w:p>
        </w:tc>
        <w:tc>
          <w:tcPr>
            <w:tcW w:w="873" w:type="dxa"/>
            <w:tcBorders>
              <w:top w:val="nil"/>
              <w:left w:val="nil"/>
              <w:bottom w:val="single" w:sz="4" w:space="0" w:color="auto"/>
              <w:right w:val="single" w:sz="4" w:space="0" w:color="auto"/>
            </w:tcBorders>
            <w:shd w:val="clear" w:color="auto" w:fill="auto"/>
            <w:tcMar>
              <w:left w:w="29" w:type="dxa"/>
              <w:right w:w="29" w:type="dxa"/>
            </w:tcMar>
            <w:vAlign w:val="center"/>
          </w:tcPr>
          <w:p w:rsidR="00EB1EF0" w:rsidRPr="00B71114" w:rsidRDefault="002F648F"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PhD</w:t>
            </w:r>
          </w:p>
        </w:tc>
        <w:tc>
          <w:tcPr>
            <w:tcW w:w="1107" w:type="dxa"/>
            <w:tcBorders>
              <w:top w:val="nil"/>
              <w:left w:val="nil"/>
              <w:bottom w:val="single" w:sz="4" w:space="0" w:color="auto"/>
              <w:right w:val="single" w:sz="4" w:space="0" w:color="auto"/>
            </w:tcBorders>
            <w:shd w:val="clear" w:color="auto" w:fill="auto"/>
            <w:tcMar>
              <w:left w:w="29" w:type="dxa"/>
              <w:right w:w="29" w:type="dxa"/>
            </w:tcMar>
            <w:vAlign w:val="center"/>
          </w:tcPr>
          <w:p w:rsidR="00EB1EF0" w:rsidRPr="00B71114" w:rsidRDefault="002F648F"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University of Cambridge</w:t>
            </w:r>
          </w:p>
        </w:tc>
        <w:tc>
          <w:tcPr>
            <w:tcW w:w="1170" w:type="dxa"/>
            <w:tcBorders>
              <w:top w:val="nil"/>
              <w:left w:val="nil"/>
              <w:bottom w:val="single" w:sz="4" w:space="0" w:color="auto"/>
              <w:right w:val="single" w:sz="4" w:space="0" w:color="auto"/>
            </w:tcBorders>
            <w:shd w:val="clear" w:color="auto" w:fill="auto"/>
            <w:tcMar>
              <w:left w:w="29" w:type="dxa"/>
              <w:right w:w="29" w:type="dxa"/>
            </w:tcMar>
            <w:vAlign w:val="center"/>
          </w:tcPr>
          <w:p w:rsidR="00EB1EF0" w:rsidRPr="00B71114" w:rsidRDefault="002F648F"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Molecular Biology and Microbial Biochemistry</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tcPr>
          <w:p w:rsidR="00EB1EF0" w:rsidRPr="00B71114" w:rsidRDefault="004756A5"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Epidemiology</w:t>
            </w:r>
          </w:p>
        </w:tc>
      </w:tr>
      <w:tr w:rsidR="00340660" w:rsidRPr="00B71114" w:rsidDel="00E14D63" w:rsidTr="00331B1A">
        <w:trPr>
          <w:cantSplit/>
          <w:trHeight w:val="765"/>
        </w:trPr>
        <w:tc>
          <w:tcPr>
            <w:tcW w:w="1350"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rsidR="00340660" w:rsidRPr="00B71114" w:rsidDel="00E14D63" w:rsidRDefault="00340660" w:rsidP="006C308E">
            <w:pPr>
              <w:rPr>
                <w:rFonts w:asciiTheme="majorHAnsi" w:eastAsia="Times New Roman" w:hAnsiTheme="majorHAnsi" w:cstheme="majorHAnsi"/>
                <w:bCs/>
                <w:sz w:val="20"/>
                <w:szCs w:val="20"/>
              </w:rPr>
            </w:pPr>
            <w:r w:rsidRPr="00B71114">
              <w:rPr>
                <w:rFonts w:asciiTheme="majorHAnsi" w:hAnsiTheme="majorHAnsi" w:cstheme="majorHAnsi"/>
                <w:sz w:val="20"/>
                <w:szCs w:val="20"/>
              </w:rPr>
              <w:t>Benoit, Julia</w:t>
            </w:r>
          </w:p>
        </w:tc>
        <w:tc>
          <w:tcPr>
            <w:tcW w:w="990" w:type="dxa"/>
            <w:tcBorders>
              <w:top w:val="nil"/>
              <w:left w:val="nil"/>
              <w:bottom w:val="single" w:sz="4" w:space="0" w:color="auto"/>
              <w:right w:val="single" w:sz="4" w:space="0" w:color="auto"/>
            </w:tcBorders>
            <w:shd w:val="clear" w:color="auto" w:fill="auto"/>
            <w:tcMar>
              <w:left w:w="29" w:type="dxa"/>
              <w:right w:w="29" w:type="dxa"/>
            </w:tcMar>
            <w:vAlign w:val="center"/>
          </w:tcPr>
          <w:p w:rsidR="00340660" w:rsidRPr="00B71114" w:rsidDel="00E14D63" w:rsidRDefault="00340660"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Lecturer</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tcPr>
          <w:p w:rsidR="00340660" w:rsidRPr="00B71114" w:rsidDel="00E14D63" w:rsidRDefault="00340660" w:rsidP="006C308E">
            <w:pPr>
              <w:rPr>
                <w:rFonts w:asciiTheme="majorHAnsi" w:eastAsia="Times New Roman" w:hAnsiTheme="majorHAnsi" w:cstheme="majorHAnsi"/>
                <w:color w:val="000000"/>
                <w:sz w:val="20"/>
                <w:szCs w:val="20"/>
              </w:rPr>
            </w:pPr>
            <w:r w:rsidRPr="00B71114">
              <w:rPr>
                <w:rFonts w:asciiTheme="majorHAnsi" w:hAnsiTheme="majorHAnsi" w:cstheme="majorHAnsi"/>
                <w:color w:val="000000"/>
                <w:sz w:val="20"/>
                <w:szCs w:val="20"/>
              </w:rPr>
              <w:t> Research Assistant Professor University of Houston</w:t>
            </w:r>
          </w:p>
        </w:tc>
        <w:tc>
          <w:tcPr>
            <w:tcW w:w="810" w:type="dxa"/>
            <w:tcBorders>
              <w:top w:val="nil"/>
              <w:left w:val="nil"/>
              <w:bottom w:val="single" w:sz="4" w:space="0" w:color="auto"/>
              <w:right w:val="single" w:sz="4" w:space="0" w:color="auto"/>
            </w:tcBorders>
            <w:shd w:val="clear" w:color="auto" w:fill="auto"/>
            <w:tcMar>
              <w:left w:w="29" w:type="dxa"/>
              <w:right w:w="29" w:type="dxa"/>
            </w:tcMar>
            <w:vAlign w:val="center"/>
          </w:tcPr>
          <w:p w:rsidR="00340660" w:rsidRPr="00B71114" w:rsidDel="00E14D63" w:rsidRDefault="00F004A0" w:rsidP="006C308E">
            <w:pPr>
              <w:rPr>
                <w:rFonts w:asciiTheme="majorHAnsi" w:eastAsia="Times New Roman" w:hAnsiTheme="majorHAnsi" w:cstheme="majorHAnsi"/>
                <w:color w:val="000000"/>
                <w:sz w:val="20"/>
                <w:szCs w:val="20"/>
              </w:rPr>
            </w:pPr>
            <w:r>
              <w:rPr>
                <w:rFonts w:asciiTheme="majorHAnsi" w:hAnsiTheme="majorHAnsi" w:cstheme="majorHAnsi"/>
                <w:color w:val="000000"/>
                <w:sz w:val="20"/>
                <w:szCs w:val="20"/>
              </w:rPr>
              <w:t>0</w:t>
            </w:r>
            <w:r w:rsidR="00340660" w:rsidRPr="00B71114">
              <w:rPr>
                <w:rFonts w:asciiTheme="majorHAnsi" w:hAnsiTheme="majorHAnsi" w:cstheme="majorHAnsi"/>
                <w:color w:val="000000"/>
                <w:sz w:val="20"/>
                <w:szCs w:val="20"/>
              </w:rPr>
              <w:t>.25</w:t>
            </w:r>
          </w:p>
        </w:tc>
        <w:tc>
          <w:tcPr>
            <w:tcW w:w="873" w:type="dxa"/>
            <w:tcBorders>
              <w:top w:val="nil"/>
              <w:left w:val="nil"/>
              <w:bottom w:val="single" w:sz="4" w:space="0" w:color="auto"/>
              <w:right w:val="single" w:sz="4" w:space="0" w:color="auto"/>
            </w:tcBorders>
            <w:shd w:val="clear" w:color="auto" w:fill="auto"/>
            <w:tcMar>
              <w:left w:w="29" w:type="dxa"/>
              <w:right w:w="29" w:type="dxa"/>
            </w:tcMar>
            <w:vAlign w:val="center"/>
          </w:tcPr>
          <w:p w:rsidR="00340660" w:rsidRPr="00B71114" w:rsidDel="00E14D63" w:rsidRDefault="00340660" w:rsidP="006C308E">
            <w:pPr>
              <w:rPr>
                <w:rFonts w:asciiTheme="majorHAnsi" w:eastAsia="Times New Roman" w:hAnsiTheme="majorHAnsi" w:cstheme="majorHAnsi"/>
                <w:color w:val="000000"/>
                <w:sz w:val="20"/>
                <w:szCs w:val="20"/>
              </w:rPr>
            </w:pPr>
            <w:r w:rsidRPr="00B71114">
              <w:rPr>
                <w:rFonts w:asciiTheme="majorHAnsi" w:hAnsiTheme="majorHAnsi" w:cstheme="majorHAnsi"/>
                <w:color w:val="000000"/>
                <w:sz w:val="20"/>
                <w:szCs w:val="20"/>
              </w:rPr>
              <w:t>PhD</w:t>
            </w:r>
          </w:p>
        </w:tc>
        <w:tc>
          <w:tcPr>
            <w:tcW w:w="1107" w:type="dxa"/>
            <w:tcBorders>
              <w:top w:val="nil"/>
              <w:left w:val="nil"/>
              <w:bottom w:val="single" w:sz="4" w:space="0" w:color="auto"/>
              <w:right w:val="single" w:sz="4" w:space="0" w:color="auto"/>
            </w:tcBorders>
            <w:shd w:val="clear" w:color="auto" w:fill="auto"/>
            <w:tcMar>
              <w:left w:w="29" w:type="dxa"/>
              <w:right w:w="29" w:type="dxa"/>
            </w:tcMar>
            <w:vAlign w:val="center"/>
          </w:tcPr>
          <w:p w:rsidR="00340660" w:rsidRPr="00B71114" w:rsidDel="00E14D63" w:rsidRDefault="00340660" w:rsidP="006C308E">
            <w:pPr>
              <w:pStyle w:val="NormalWeb"/>
              <w:rPr>
                <w:rFonts w:asciiTheme="majorHAnsi" w:hAnsiTheme="majorHAnsi" w:cstheme="majorHAnsi"/>
                <w:color w:val="000000"/>
                <w:sz w:val="20"/>
                <w:szCs w:val="20"/>
              </w:rPr>
            </w:pPr>
            <w:r w:rsidRPr="00B71114">
              <w:rPr>
                <w:rFonts w:asciiTheme="majorHAnsi" w:hAnsiTheme="majorHAnsi" w:cstheme="majorHAnsi"/>
                <w:color w:val="000000"/>
                <w:sz w:val="20"/>
                <w:szCs w:val="20"/>
              </w:rPr>
              <w:t>University of Texas Health Science Center-at Houston School of Public Health</w:t>
            </w:r>
          </w:p>
        </w:tc>
        <w:tc>
          <w:tcPr>
            <w:tcW w:w="1170" w:type="dxa"/>
            <w:tcBorders>
              <w:top w:val="nil"/>
              <w:left w:val="nil"/>
              <w:bottom w:val="single" w:sz="4" w:space="0" w:color="auto"/>
              <w:right w:val="single" w:sz="4" w:space="0" w:color="auto"/>
            </w:tcBorders>
            <w:shd w:val="clear" w:color="auto" w:fill="auto"/>
            <w:tcMar>
              <w:left w:w="29" w:type="dxa"/>
              <w:right w:w="29" w:type="dxa"/>
            </w:tcMar>
            <w:vAlign w:val="center"/>
          </w:tcPr>
          <w:p w:rsidR="00340660" w:rsidRPr="00B71114" w:rsidDel="00E14D63" w:rsidRDefault="00340660" w:rsidP="006C308E">
            <w:pPr>
              <w:rPr>
                <w:rFonts w:asciiTheme="majorHAnsi" w:eastAsia="Times New Roman" w:hAnsiTheme="majorHAnsi" w:cstheme="majorHAnsi"/>
                <w:color w:val="000000"/>
                <w:sz w:val="20"/>
                <w:szCs w:val="20"/>
              </w:rPr>
            </w:pPr>
            <w:r w:rsidRPr="00B71114">
              <w:rPr>
                <w:rFonts w:asciiTheme="majorHAnsi" w:hAnsiTheme="majorHAnsi" w:cstheme="majorHAnsi"/>
                <w:color w:val="000000"/>
                <w:sz w:val="20"/>
                <w:szCs w:val="20"/>
              </w:rPr>
              <w:t xml:space="preserve"> Biostatistics </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tcPr>
          <w:p w:rsidR="00340660" w:rsidRPr="00B71114" w:rsidDel="00E14D63" w:rsidRDefault="00340660"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Biostatistics</w:t>
            </w:r>
          </w:p>
        </w:tc>
      </w:tr>
      <w:tr w:rsidR="00340464" w:rsidRPr="00B71114" w:rsidTr="00331B1A">
        <w:trPr>
          <w:cantSplit/>
          <w:trHeight w:val="765"/>
        </w:trPr>
        <w:tc>
          <w:tcPr>
            <w:tcW w:w="1350"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bCs/>
                <w:color w:val="000000"/>
                <w:sz w:val="20"/>
                <w:szCs w:val="20"/>
              </w:rPr>
            </w:pPr>
            <w:r w:rsidRPr="00B71114">
              <w:rPr>
                <w:rFonts w:asciiTheme="majorHAnsi" w:hAnsiTheme="majorHAnsi" w:cstheme="majorHAnsi"/>
                <w:sz w:val="20"/>
                <w:szCs w:val="20"/>
              </w:rPr>
              <w:t>Bhaloo, Tajudaullah</w:t>
            </w:r>
          </w:p>
        </w:tc>
        <w:tc>
          <w:tcPr>
            <w:tcW w:w="99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Assistant Professor</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 xml:space="preserve">Health Care Research and Management </w:t>
            </w:r>
            <w:r w:rsidR="00CD37A1" w:rsidRPr="00B71114">
              <w:rPr>
                <w:rFonts w:asciiTheme="majorHAnsi" w:eastAsia="Times New Roman" w:hAnsiTheme="majorHAnsi" w:cstheme="majorHAnsi"/>
                <w:color w:val="000000"/>
                <w:sz w:val="20"/>
                <w:szCs w:val="20"/>
              </w:rPr>
              <w:t>Consultant</w:t>
            </w:r>
            <w:r w:rsidRPr="00B71114">
              <w:rPr>
                <w:rFonts w:asciiTheme="majorHAnsi" w:eastAsia="Times New Roman" w:hAnsiTheme="majorHAnsi" w:cstheme="majorHAnsi"/>
                <w:color w:val="000000"/>
                <w:sz w:val="20"/>
                <w:szCs w:val="20"/>
              </w:rPr>
              <w:t>, Self-Employer</w:t>
            </w:r>
          </w:p>
        </w:tc>
        <w:tc>
          <w:tcPr>
            <w:tcW w:w="81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F004A0" w:rsidP="006C308E">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0</w:t>
            </w:r>
            <w:r w:rsidR="00340464" w:rsidRPr="00B71114">
              <w:rPr>
                <w:rFonts w:asciiTheme="majorHAnsi" w:eastAsia="Times New Roman" w:hAnsiTheme="majorHAnsi" w:cstheme="majorHAnsi"/>
                <w:color w:val="000000"/>
                <w:sz w:val="20"/>
                <w:szCs w:val="20"/>
              </w:rPr>
              <w:t>.1</w:t>
            </w:r>
          </w:p>
        </w:tc>
        <w:tc>
          <w:tcPr>
            <w:tcW w:w="873"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PhD</w:t>
            </w:r>
          </w:p>
        </w:tc>
        <w:tc>
          <w:tcPr>
            <w:tcW w:w="1107"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The University of Texas Health Science Center at Houston (UTHealth) School of Public Health</w:t>
            </w:r>
          </w:p>
        </w:tc>
        <w:tc>
          <w:tcPr>
            <w:tcW w:w="117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Health Policy and Health Services Research</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 xml:space="preserve">Healthcare Management, Healthcare Management and Health Policy </w:t>
            </w:r>
          </w:p>
        </w:tc>
      </w:tr>
      <w:tr w:rsidR="00340464" w:rsidRPr="00B71114" w:rsidTr="00331B1A">
        <w:trPr>
          <w:cantSplit/>
          <w:trHeight w:val="750"/>
        </w:trPr>
        <w:tc>
          <w:tcPr>
            <w:tcW w:w="1350"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bCs/>
                <w:color w:val="000000"/>
                <w:sz w:val="20"/>
                <w:szCs w:val="20"/>
              </w:rPr>
            </w:pPr>
            <w:r w:rsidRPr="00B71114">
              <w:rPr>
                <w:rFonts w:asciiTheme="majorHAnsi" w:hAnsiTheme="majorHAnsi" w:cstheme="majorHAnsi"/>
                <w:sz w:val="20"/>
                <w:szCs w:val="20"/>
              </w:rPr>
              <w:t>Breckenridge, Ellen</w:t>
            </w:r>
          </w:p>
        </w:tc>
        <w:tc>
          <w:tcPr>
            <w:tcW w:w="99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Faculty Associate</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157F8" w:rsidP="006C308E">
            <w:pPr>
              <w:rPr>
                <w:rFonts w:asciiTheme="majorHAnsi" w:eastAsia="Times New Roman" w:hAnsiTheme="majorHAnsi" w:cstheme="majorHAnsi"/>
                <w:i/>
                <w:color w:val="000000"/>
                <w:sz w:val="20"/>
                <w:szCs w:val="20"/>
              </w:rPr>
            </w:pPr>
            <w:r w:rsidRPr="00B71114">
              <w:rPr>
                <w:rFonts w:asciiTheme="majorHAnsi" w:eastAsia="Times New Roman" w:hAnsiTheme="majorHAnsi" w:cstheme="majorHAnsi"/>
                <w:i/>
                <w:color w:val="000000"/>
                <w:sz w:val="20"/>
                <w:szCs w:val="20"/>
              </w:rPr>
              <w:t>Part-time faculty associate</w:t>
            </w:r>
          </w:p>
        </w:tc>
        <w:tc>
          <w:tcPr>
            <w:tcW w:w="81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F004A0" w:rsidP="006C308E">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0</w:t>
            </w:r>
            <w:r w:rsidR="00CD37A1" w:rsidRPr="00B71114">
              <w:rPr>
                <w:rFonts w:asciiTheme="majorHAnsi" w:eastAsia="Times New Roman" w:hAnsiTheme="majorHAnsi" w:cstheme="majorHAnsi"/>
                <w:color w:val="000000"/>
                <w:sz w:val="20"/>
                <w:szCs w:val="20"/>
              </w:rPr>
              <w:t>.75</w:t>
            </w:r>
          </w:p>
        </w:tc>
        <w:tc>
          <w:tcPr>
            <w:tcW w:w="873"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 </w:t>
            </w:r>
            <w:r w:rsidR="003B09F2" w:rsidRPr="00B71114">
              <w:rPr>
                <w:rFonts w:asciiTheme="majorHAnsi" w:eastAsia="Times New Roman" w:hAnsiTheme="majorHAnsi" w:cstheme="majorHAnsi"/>
                <w:color w:val="000000"/>
                <w:sz w:val="20"/>
                <w:szCs w:val="20"/>
              </w:rPr>
              <w:t>PhD; JD</w:t>
            </w:r>
          </w:p>
        </w:tc>
        <w:tc>
          <w:tcPr>
            <w:tcW w:w="1107"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B09F2"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University of Pennsylvania; University of Houston Law Center</w:t>
            </w:r>
          </w:p>
        </w:tc>
        <w:tc>
          <w:tcPr>
            <w:tcW w:w="117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B09F2"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History and Sociology of Science; Health Care Law</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Community Health Practice, Healthcare Management, Health Services Organizations</w:t>
            </w:r>
            <w:r w:rsidR="00841C8F" w:rsidRPr="00B71114">
              <w:rPr>
                <w:rFonts w:asciiTheme="majorHAnsi" w:eastAsia="Times New Roman" w:hAnsiTheme="majorHAnsi" w:cstheme="majorHAnsi"/>
                <w:color w:val="000000"/>
                <w:sz w:val="20"/>
                <w:szCs w:val="20"/>
              </w:rPr>
              <w:t>, Healthcare Management and Health Policy</w:t>
            </w:r>
          </w:p>
        </w:tc>
      </w:tr>
      <w:tr w:rsidR="00EB1EF0" w:rsidRPr="00B71114" w:rsidTr="00331B1A">
        <w:trPr>
          <w:cantSplit/>
          <w:trHeight w:val="750"/>
        </w:trPr>
        <w:tc>
          <w:tcPr>
            <w:tcW w:w="1350"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rsidR="00EB1EF0" w:rsidRPr="00B71114" w:rsidRDefault="00EB1EF0" w:rsidP="006C308E">
            <w:pPr>
              <w:rPr>
                <w:rFonts w:asciiTheme="majorHAnsi" w:eastAsia="Times New Roman" w:hAnsiTheme="majorHAnsi" w:cstheme="majorHAnsi"/>
                <w:bCs/>
                <w:sz w:val="20"/>
                <w:szCs w:val="20"/>
              </w:rPr>
            </w:pPr>
            <w:r w:rsidRPr="00B71114">
              <w:rPr>
                <w:rFonts w:asciiTheme="majorHAnsi" w:hAnsiTheme="majorHAnsi" w:cstheme="majorHAnsi"/>
                <w:sz w:val="20"/>
                <w:szCs w:val="20"/>
              </w:rPr>
              <w:t>Chappell, Cynthia</w:t>
            </w:r>
          </w:p>
        </w:tc>
        <w:tc>
          <w:tcPr>
            <w:tcW w:w="990" w:type="dxa"/>
            <w:tcBorders>
              <w:top w:val="nil"/>
              <w:left w:val="nil"/>
              <w:bottom w:val="single" w:sz="4" w:space="0" w:color="auto"/>
              <w:right w:val="single" w:sz="4" w:space="0" w:color="auto"/>
            </w:tcBorders>
            <w:shd w:val="clear" w:color="auto" w:fill="auto"/>
            <w:tcMar>
              <w:left w:w="29" w:type="dxa"/>
              <w:right w:w="29" w:type="dxa"/>
            </w:tcMar>
            <w:vAlign w:val="center"/>
          </w:tcPr>
          <w:p w:rsidR="00EB1EF0" w:rsidRPr="00B71114" w:rsidRDefault="00413535"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Professor</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tcPr>
          <w:p w:rsidR="00EB1EF0" w:rsidRPr="00B71114" w:rsidRDefault="00D56E24" w:rsidP="006C308E">
            <w:pPr>
              <w:rPr>
                <w:rFonts w:asciiTheme="majorHAnsi" w:eastAsia="Times New Roman" w:hAnsiTheme="majorHAnsi" w:cstheme="majorHAnsi"/>
                <w:i/>
                <w:color w:val="000000"/>
                <w:sz w:val="20"/>
                <w:szCs w:val="20"/>
              </w:rPr>
            </w:pPr>
            <w:r w:rsidRPr="00B71114">
              <w:rPr>
                <w:rFonts w:asciiTheme="majorHAnsi" w:eastAsia="Times New Roman" w:hAnsiTheme="majorHAnsi" w:cstheme="majorHAnsi"/>
                <w:i/>
                <w:color w:val="000000"/>
                <w:sz w:val="20"/>
                <w:szCs w:val="20"/>
              </w:rPr>
              <w:t>Part-time professo</w:t>
            </w:r>
            <w:r w:rsidR="00E47DB9" w:rsidRPr="00B71114">
              <w:rPr>
                <w:rFonts w:asciiTheme="majorHAnsi" w:eastAsia="Times New Roman" w:hAnsiTheme="majorHAnsi" w:cstheme="majorHAnsi"/>
                <w:i/>
                <w:color w:val="000000"/>
                <w:sz w:val="20"/>
                <w:szCs w:val="20"/>
              </w:rPr>
              <w:t>r</w:t>
            </w:r>
          </w:p>
        </w:tc>
        <w:tc>
          <w:tcPr>
            <w:tcW w:w="810" w:type="dxa"/>
            <w:tcBorders>
              <w:top w:val="nil"/>
              <w:left w:val="nil"/>
              <w:bottom w:val="single" w:sz="4" w:space="0" w:color="auto"/>
              <w:right w:val="single" w:sz="4" w:space="0" w:color="auto"/>
            </w:tcBorders>
            <w:shd w:val="clear" w:color="auto" w:fill="auto"/>
            <w:tcMar>
              <w:left w:w="29" w:type="dxa"/>
              <w:right w:w="29" w:type="dxa"/>
            </w:tcMar>
            <w:vAlign w:val="center"/>
          </w:tcPr>
          <w:p w:rsidR="00413535" w:rsidRPr="00B71114" w:rsidRDefault="00F004A0" w:rsidP="006C308E">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0</w:t>
            </w:r>
            <w:r w:rsidR="00413535" w:rsidRPr="00B71114">
              <w:rPr>
                <w:rFonts w:asciiTheme="majorHAnsi" w:eastAsia="Times New Roman" w:hAnsiTheme="majorHAnsi" w:cstheme="majorHAnsi"/>
                <w:color w:val="000000"/>
                <w:sz w:val="20"/>
                <w:szCs w:val="20"/>
              </w:rPr>
              <w:t>.25</w:t>
            </w:r>
          </w:p>
        </w:tc>
        <w:tc>
          <w:tcPr>
            <w:tcW w:w="873" w:type="dxa"/>
            <w:tcBorders>
              <w:top w:val="nil"/>
              <w:left w:val="nil"/>
              <w:bottom w:val="single" w:sz="4" w:space="0" w:color="auto"/>
              <w:right w:val="single" w:sz="4" w:space="0" w:color="auto"/>
            </w:tcBorders>
            <w:shd w:val="clear" w:color="auto" w:fill="auto"/>
            <w:tcMar>
              <w:left w:w="29" w:type="dxa"/>
              <w:right w:w="29" w:type="dxa"/>
            </w:tcMar>
            <w:vAlign w:val="center"/>
          </w:tcPr>
          <w:p w:rsidR="00EB1EF0" w:rsidRPr="00B71114" w:rsidRDefault="00667D3A"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PhD</w:t>
            </w:r>
          </w:p>
        </w:tc>
        <w:tc>
          <w:tcPr>
            <w:tcW w:w="1107" w:type="dxa"/>
            <w:tcBorders>
              <w:top w:val="nil"/>
              <w:left w:val="nil"/>
              <w:bottom w:val="single" w:sz="4" w:space="0" w:color="auto"/>
              <w:right w:val="single" w:sz="4" w:space="0" w:color="auto"/>
            </w:tcBorders>
            <w:shd w:val="clear" w:color="auto" w:fill="auto"/>
            <w:tcMar>
              <w:left w:w="29" w:type="dxa"/>
              <w:right w:w="29" w:type="dxa"/>
            </w:tcMar>
            <w:vAlign w:val="center"/>
          </w:tcPr>
          <w:p w:rsidR="00EB1EF0" w:rsidRPr="00B71114" w:rsidRDefault="00667D3A"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Baylor College of Medicine</w:t>
            </w:r>
          </w:p>
        </w:tc>
        <w:tc>
          <w:tcPr>
            <w:tcW w:w="1170" w:type="dxa"/>
            <w:tcBorders>
              <w:top w:val="nil"/>
              <w:left w:val="nil"/>
              <w:bottom w:val="single" w:sz="4" w:space="0" w:color="auto"/>
              <w:right w:val="single" w:sz="4" w:space="0" w:color="auto"/>
            </w:tcBorders>
            <w:shd w:val="clear" w:color="auto" w:fill="auto"/>
            <w:tcMar>
              <w:left w:w="29" w:type="dxa"/>
              <w:right w:w="29" w:type="dxa"/>
            </w:tcMar>
            <w:vAlign w:val="center"/>
          </w:tcPr>
          <w:p w:rsidR="00EB1EF0" w:rsidRPr="00B71114" w:rsidRDefault="00667D3A"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Microbiology and Immunology</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tcPr>
          <w:p w:rsidR="00EB1EF0" w:rsidRPr="00B71114" w:rsidRDefault="00841C8F"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Environmental Health, Environmental Disease Prevention</w:t>
            </w:r>
          </w:p>
        </w:tc>
      </w:tr>
      <w:tr w:rsidR="00340464" w:rsidRPr="00B71114" w:rsidTr="00331B1A">
        <w:trPr>
          <w:cantSplit/>
          <w:trHeight w:val="765"/>
        </w:trPr>
        <w:tc>
          <w:tcPr>
            <w:tcW w:w="1350"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bCs/>
                <w:color w:val="000000"/>
                <w:sz w:val="20"/>
                <w:szCs w:val="20"/>
              </w:rPr>
            </w:pPr>
            <w:r w:rsidRPr="00B71114">
              <w:rPr>
                <w:rFonts w:asciiTheme="majorHAnsi" w:hAnsiTheme="majorHAnsi" w:cstheme="majorHAnsi"/>
                <w:sz w:val="20"/>
                <w:szCs w:val="20"/>
              </w:rPr>
              <w:t>DuPont, Herbert L.</w:t>
            </w:r>
          </w:p>
        </w:tc>
        <w:tc>
          <w:tcPr>
            <w:tcW w:w="99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Professor</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Professor; Director, Center for Infectious Disease, UTHealth School of Public Health</w:t>
            </w:r>
          </w:p>
        </w:tc>
        <w:tc>
          <w:tcPr>
            <w:tcW w:w="81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0.25</w:t>
            </w:r>
          </w:p>
        </w:tc>
        <w:tc>
          <w:tcPr>
            <w:tcW w:w="873"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MD</w:t>
            </w:r>
          </w:p>
        </w:tc>
        <w:tc>
          <w:tcPr>
            <w:tcW w:w="1107"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Emory University School of Medicine</w:t>
            </w:r>
          </w:p>
        </w:tc>
        <w:tc>
          <w:tcPr>
            <w:tcW w:w="117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Medicine</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Epidemiology</w:t>
            </w:r>
          </w:p>
        </w:tc>
      </w:tr>
      <w:tr w:rsidR="00340464" w:rsidRPr="00B71114" w:rsidTr="00331B1A">
        <w:trPr>
          <w:cantSplit/>
          <w:trHeight w:val="1020"/>
        </w:trPr>
        <w:tc>
          <w:tcPr>
            <w:tcW w:w="1350"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bCs/>
                <w:color w:val="000000"/>
                <w:sz w:val="20"/>
                <w:szCs w:val="20"/>
              </w:rPr>
            </w:pPr>
            <w:r w:rsidRPr="00B71114">
              <w:rPr>
                <w:rFonts w:asciiTheme="majorHAnsi" w:hAnsiTheme="majorHAnsi" w:cstheme="majorHAnsi"/>
                <w:sz w:val="20"/>
                <w:szCs w:val="20"/>
              </w:rPr>
              <w:t>Emery, Robert John</w:t>
            </w:r>
          </w:p>
        </w:tc>
        <w:tc>
          <w:tcPr>
            <w:tcW w:w="99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Professor</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Vice President for Safety, Health, Environment &amp; Risk Management, University of Texas Health Science Center at Houston (UTHealth)</w:t>
            </w:r>
          </w:p>
        </w:tc>
        <w:tc>
          <w:tcPr>
            <w:tcW w:w="81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0.15</w:t>
            </w:r>
          </w:p>
        </w:tc>
        <w:tc>
          <w:tcPr>
            <w:tcW w:w="873"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DrPH</w:t>
            </w:r>
          </w:p>
        </w:tc>
        <w:tc>
          <w:tcPr>
            <w:tcW w:w="1107"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The University of Texas Health Science Center at Houston</w:t>
            </w:r>
          </w:p>
        </w:tc>
        <w:tc>
          <w:tcPr>
            <w:tcW w:w="117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Occupational Health/Aerospace Medicine Module</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Environmental Health</w:t>
            </w:r>
          </w:p>
        </w:tc>
      </w:tr>
      <w:tr w:rsidR="00340464" w:rsidRPr="00B71114" w:rsidTr="00331B1A">
        <w:trPr>
          <w:cantSplit/>
          <w:trHeight w:val="765"/>
        </w:trPr>
        <w:tc>
          <w:tcPr>
            <w:tcW w:w="1350"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bCs/>
                <w:color w:val="000000"/>
                <w:sz w:val="20"/>
                <w:szCs w:val="20"/>
              </w:rPr>
            </w:pPr>
            <w:r w:rsidRPr="00B71114">
              <w:rPr>
                <w:rFonts w:asciiTheme="majorHAnsi" w:hAnsiTheme="majorHAnsi" w:cstheme="majorHAnsi"/>
                <w:sz w:val="20"/>
                <w:szCs w:val="20"/>
              </w:rPr>
              <w:t>Fornage, Myriam</w:t>
            </w:r>
          </w:p>
        </w:tc>
        <w:tc>
          <w:tcPr>
            <w:tcW w:w="99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Professor</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Professor of Molecular Medicine and Human Genetics at UTHealth McGovern Medical School</w:t>
            </w:r>
          </w:p>
        </w:tc>
        <w:tc>
          <w:tcPr>
            <w:tcW w:w="81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0.1</w:t>
            </w:r>
          </w:p>
        </w:tc>
        <w:tc>
          <w:tcPr>
            <w:tcW w:w="873"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PhD</w:t>
            </w:r>
          </w:p>
        </w:tc>
        <w:tc>
          <w:tcPr>
            <w:tcW w:w="1107"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The University of Texas Health Science Center at Houston</w:t>
            </w:r>
          </w:p>
        </w:tc>
        <w:tc>
          <w:tcPr>
            <w:tcW w:w="117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D37B2C"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Human Genetics</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Epidemiology</w:t>
            </w:r>
          </w:p>
        </w:tc>
      </w:tr>
      <w:tr w:rsidR="00340464" w:rsidRPr="00B71114" w:rsidTr="00331B1A">
        <w:trPr>
          <w:cantSplit/>
          <w:trHeight w:val="660"/>
        </w:trPr>
        <w:tc>
          <w:tcPr>
            <w:tcW w:w="1350"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bCs/>
                <w:color w:val="000000"/>
                <w:sz w:val="20"/>
                <w:szCs w:val="20"/>
              </w:rPr>
            </w:pPr>
            <w:r w:rsidRPr="00B71114">
              <w:rPr>
                <w:rFonts w:asciiTheme="majorHAnsi" w:hAnsiTheme="majorHAnsi" w:cstheme="majorHAnsi"/>
                <w:sz w:val="20"/>
                <w:szCs w:val="20"/>
              </w:rPr>
              <w:t>Galeener, Carol A.</w:t>
            </w:r>
          </w:p>
        </w:tc>
        <w:tc>
          <w:tcPr>
            <w:tcW w:w="99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Assistant Professor</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157F8"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i/>
                <w:color w:val="000000"/>
                <w:sz w:val="20"/>
                <w:szCs w:val="20"/>
              </w:rPr>
              <w:t>Part-time assistant professor</w:t>
            </w:r>
          </w:p>
        </w:tc>
        <w:tc>
          <w:tcPr>
            <w:tcW w:w="81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0.3</w:t>
            </w:r>
          </w:p>
        </w:tc>
        <w:tc>
          <w:tcPr>
            <w:tcW w:w="873"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PhD</w:t>
            </w:r>
          </w:p>
        </w:tc>
        <w:tc>
          <w:tcPr>
            <w:tcW w:w="1107"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The University of Texas Health Science Center at Houston</w:t>
            </w:r>
          </w:p>
        </w:tc>
        <w:tc>
          <w:tcPr>
            <w:tcW w:w="117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Public Health</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F2337C"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 xml:space="preserve">Community Health Practice, Healthcare Management, </w:t>
            </w:r>
            <w:r w:rsidR="00340464" w:rsidRPr="00B71114">
              <w:rPr>
                <w:rFonts w:asciiTheme="majorHAnsi" w:eastAsia="Times New Roman" w:hAnsiTheme="majorHAnsi" w:cstheme="majorHAnsi"/>
                <w:color w:val="000000"/>
                <w:sz w:val="20"/>
                <w:szCs w:val="20"/>
              </w:rPr>
              <w:t>Health Services Organization, Health Economics and Health Services Research</w:t>
            </w:r>
            <w:r w:rsidRPr="00B71114">
              <w:rPr>
                <w:rFonts w:asciiTheme="majorHAnsi" w:eastAsia="Times New Roman" w:hAnsiTheme="majorHAnsi" w:cstheme="majorHAnsi"/>
                <w:color w:val="000000"/>
                <w:sz w:val="20"/>
                <w:szCs w:val="20"/>
              </w:rPr>
              <w:t>, Healthcare Management/Health Policy</w:t>
            </w:r>
          </w:p>
        </w:tc>
      </w:tr>
      <w:tr w:rsidR="00EB1EF0" w:rsidRPr="00B71114" w:rsidTr="00331B1A">
        <w:trPr>
          <w:cantSplit/>
          <w:trHeight w:val="660"/>
        </w:trPr>
        <w:tc>
          <w:tcPr>
            <w:tcW w:w="1350"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rsidR="00126C90" w:rsidRPr="00B71114" w:rsidRDefault="00EB1EF0" w:rsidP="006C308E">
            <w:pPr>
              <w:rPr>
                <w:rFonts w:asciiTheme="majorHAnsi" w:eastAsia="Times New Roman" w:hAnsiTheme="majorHAnsi" w:cstheme="majorHAnsi"/>
                <w:bCs/>
                <w:color w:val="0563C1"/>
                <w:sz w:val="20"/>
                <w:szCs w:val="20"/>
                <w:u w:val="single"/>
              </w:rPr>
            </w:pPr>
            <w:r w:rsidRPr="00B71114">
              <w:rPr>
                <w:rFonts w:asciiTheme="majorHAnsi" w:hAnsiTheme="majorHAnsi" w:cstheme="majorHAnsi"/>
                <w:sz w:val="20"/>
                <w:szCs w:val="20"/>
              </w:rPr>
              <w:t>Hanson, Blake</w:t>
            </w:r>
          </w:p>
        </w:tc>
        <w:tc>
          <w:tcPr>
            <w:tcW w:w="990" w:type="dxa"/>
            <w:tcBorders>
              <w:top w:val="nil"/>
              <w:left w:val="nil"/>
              <w:bottom w:val="single" w:sz="4" w:space="0" w:color="auto"/>
              <w:right w:val="single" w:sz="4" w:space="0" w:color="auto"/>
            </w:tcBorders>
            <w:shd w:val="clear" w:color="auto" w:fill="auto"/>
            <w:tcMar>
              <w:left w:w="29" w:type="dxa"/>
              <w:right w:w="29" w:type="dxa"/>
            </w:tcMar>
            <w:vAlign w:val="center"/>
          </w:tcPr>
          <w:p w:rsidR="00EB1EF0" w:rsidRPr="00B71114" w:rsidRDefault="00626AB8"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Assistant</w:t>
            </w:r>
            <w:r w:rsidR="00834575" w:rsidRPr="00B71114">
              <w:rPr>
                <w:rFonts w:asciiTheme="majorHAnsi" w:eastAsia="Times New Roman" w:hAnsiTheme="majorHAnsi" w:cstheme="majorHAnsi"/>
                <w:color w:val="000000"/>
                <w:sz w:val="20"/>
                <w:szCs w:val="20"/>
              </w:rPr>
              <w:t xml:space="preserve"> Professor</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tcPr>
          <w:p w:rsidR="00EB1EF0" w:rsidRPr="00B71114" w:rsidRDefault="0024776B"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Assistant Professor</w:t>
            </w:r>
            <w:r w:rsidR="00010B4E" w:rsidRPr="00B71114">
              <w:rPr>
                <w:rFonts w:asciiTheme="majorHAnsi" w:eastAsia="Times New Roman" w:hAnsiTheme="majorHAnsi" w:cstheme="majorHAnsi"/>
                <w:color w:val="000000"/>
                <w:sz w:val="20"/>
                <w:szCs w:val="20"/>
              </w:rPr>
              <w:t xml:space="preserve">, Center for Infectious Disease, </w:t>
            </w:r>
            <w:r w:rsidR="004A2D1C" w:rsidRPr="00B71114">
              <w:rPr>
                <w:rFonts w:asciiTheme="majorHAnsi" w:eastAsia="Times New Roman" w:hAnsiTheme="majorHAnsi" w:cstheme="majorHAnsi"/>
                <w:color w:val="000000"/>
                <w:sz w:val="20"/>
                <w:szCs w:val="20"/>
              </w:rPr>
              <w:t>UTHealth</w:t>
            </w:r>
            <w:r w:rsidR="00010B4E" w:rsidRPr="00B71114">
              <w:rPr>
                <w:rFonts w:asciiTheme="majorHAnsi" w:eastAsia="Times New Roman" w:hAnsiTheme="majorHAnsi" w:cstheme="majorHAnsi"/>
                <w:color w:val="000000"/>
                <w:sz w:val="20"/>
                <w:szCs w:val="20"/>
              </w:rPr>
              <w:t xml:space="preserve"> School of </w:t>
            </w:r>
            <w:r w:rsidR="004A2D1C" w:rsidRPr="00B71114">
              <w:rPr>
                <w:rFonts w:asciiTheme="majorHAnsi" w:eastAsia="Times New Roman" w:hAnsiTheme="majorHAnsi" w:cstheme="majorHAnsi"/>
                <w:color w:val="000000"/>
                <w:sz w:val="20"/>
                <w:szCs w:val="20"/>
              </w:rPr>
              <w:t>Public</w:t>
            </w:r>
            <w:r w:rsidR="00010B4E" w:rsidRPr="00B71114">
              <w:rPr>
                <w:rFonts w:asciiTheme="majorHAnsi" w:eastAsia="Times New Roman" w:hAnsiTheme="majorHAnsi" w:cstheme="majorHAnsi"/>
                <w:color w:val="000000"/>
                <w:sz w:val="20"/>
                <w:szCs w:val="20"/>
              </w:rPr>
              <w:t xml:space="preserve"> Health; Assistant Professor, McGovern Medical School; Associate Director of Microbial Genomics, McGovern Medical Center</w:t>
            </w:r>
          </w:p>
        </w:tc>
        <w:tc>
          <w:tcPr>
            <w:tcW w:w="810" w:type="dxa"/>
            <w:tcBorders>
              <w:top w:val="nil"/>
              <w:left w:val="nil"/>
              <w:bottom w:val="single" w:sz="4" w:space="0" w:color="auto"/>
              <w:right w:val="single" w:sz="4" w:space="0" w:color="auto"/>
            </w:tcBorders>
            <w:shd w:val="clear" w:color="auto" w:fill="auto"/>
            <w:tcMar>
              <w:left w:w="29" w:type="dxa"/>
              <w:right w:w="29" w:type="dxa"/>
            </w:tcMar>
            <w:vAlign w:val="center"/>
          </w:tcPr>
          <w:p w:rsidR="00EB1EF0" w:rsidRPr="00B71114" w:rsidRDefault="00F004A0" w:rsidP="006C308E">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0</w:t>
            </w:r>
            <w:r w:rsidR="00834575" w:rsidRPr="00B71114">
              <w:rPr>
                <w:rFonts w:asciiTheme="majorHAnsi" w:eastAsia="Times New Roman" w:hAnsiTheme="majorHAnsi" w:cstheme="majorHAnsi"/>
                <w:color w:val="000000"/>
                <w:sz w:val="20"/>
                <w:szCs w:val="20"/>
              </w:rPr>
              <w:t>.9</w:t>
            </w:r>
          </w:p>
        </w:tc>
        <w:tc>
          <w:tcPr>
            <w:tcW w:w="873" w:type="dxa"/>
            <w:tcBorders>
              <w:top w:val="nil"/>
              <w:left w:val="nil"/>
              <w:bottom w:val="single" w:sz="4" w:space="0" w:color="auto"/>
              <w:right w:val="single" w:sz="4" w:space="0" w:color="auto"/>
            </w:tcBorders>
            <w:shd w:val="clear" w:color="auto" w:fill="auto"/>
            <w:tcMar>
              <w:left w:w="29" w:type="dxa"/>
              <w:right w:w="29" w:type="dxa"/>
            </w:tcMar>
            <w:vAlign w:val="center"/>
          </w:tcPr>
          <w:p w:rsidR="00EB1EF0" w:rsidRPr="00B71114" w:rsidRDefault="00D82EC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PhD</w:t>
            </w:r>
          </w:p>
        </w:tc>
        <w:tc>
          <w:tcPr>
            <w:tcW w:w="1107" w:type="dxa"/>
            <w:tcBorders>
              <w:top w:val="nil"/>
              <w:left w:val="nil"/>
              <w:bottom w:val="single" w:sz="4" w:space="0" w:color="auto"/>
              <w:right w:val="single" w:sz="4" w:space="0" w:color="auto"/>
            </w:tcBorders>
            <w:shd w:val="clear" w:color="auto" w:fill="auto"/>
            <w:tcMar>
              <w:left w:w="29" w:type="dxa"/>
              <w:right w:w="29" w:type="dxa"/>
            </w:tcMar>
            <w:vAlign w:val="center"/>
          </w:tcPr>
          <w:p w:rsidR="00EB1EF0" w:rsidRPr="00B71114" w:rsidRDefault="00D82EC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The University of Iowa</w:t>
            </w:r>
          </w:p>
        </w:tc>
        <w:tc>
          <w:tcPr>
            <w:tcW w:w="1170" w:type="dxa"/>
            <w:tcBorders>
              <w:top w:val="nil"/>
              <w:left w:val="nil"/>
              <w:bottom w:val="single" w:sz="4" w:space="0" w:color="auto"/>
              <w:right w:val="single" w:sz="4" w:space="0" w:color="auto"/>
            </w:tcBorders>
            <w:shd w:val="clear" w:color="auto" w:fill="auto"/>
            <w:tcMar>
              <w:left w:w="29" w:type="dxa"/>
              <w:right w:w="29" w:type="dxa"/>
            </w:tcMar>
            <w:vAlign w:val="center"/>
          </w:tcPr>
          <w:p w:rsidR="00EB1EF0" w:rsidRPr="00B71114" w:rsidRDefault="00D82EC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Epidemiology</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tcPr>
          <w:p w:rsidR="00EB1EF0" w:rsidRPr="00B71114" w:rsidRDefault="00041871"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Epidemiology</w:t>
            </w:r>
          </w:p>
        </w:tc>
      </w:tr>
      <w:tr w:rsidR="00340464" w:rsidRPr="00B71114" w:rsidTr="00331B1A">
        <w:trPr>
          <w:cantSplit/>
          <w:trHeight w:val="300"/>
        </w:trPr>
        <w:tc>
          <w:tcPr>
            <w:tcW w:w="1350" w:type="dxa"/>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bCs/>
                <w:color w:val="000000"/>
                <w:sz w:val="20"/>
                <w:szCs w:val="20"/>
              </w:rPr>
            </w:pPr>
            <w:r w:rsidRPr="00B71114">
              <w:rPr>
                <w:rFonts w:asciiTheme="majorHAnsi" w:hAnsiTheme="majorHAnsi" w:cstheme="majorHAnsi"/>
                <w:sz w:val="20"/>
                <w:szCs w:val="20"/>
              </w:rPr>
              <w:t>Herbold, John R.</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Associate Professor</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340464" w:rsidRPr="00B71114" w:rsidRDefault="00DD3D9D" w:rsidP="006C308E">
            <w:pPr>
              <w:rPr>
                <w:rFonts w:asciiTheme="majorHAnsi" w:eastAsia="Times New Roman" w:hAnsiTheme="majorHAnsi" w:cstheme="majorHAnsi"/>
                <w:i/>
                <w:color w:val="000000"/>
                <w:sz w:val="20"/>
                <w:szCs w:val="20"/>
              </w:rPr>
            </w:pPr>
            <w:r w:rsidRPr="00B71114">
              <w:rPr>
                <w:rFonts w:asciiTheme="majorHAnsi" w:eastAsia="Times New Roman" w:hAnsiTheme="majorHAnsi" w:cstheme="majorHAnsi"/>
                <w:i/>
                <w:color w:val="000000"/>
                <w:sz w:val="20"/>
                <w:szCs w:val="20"/>
              </w:rPr>
              <w:t xml:space="preserve">Part-time associate </w:t>
            </w:r>
            <w:r w:rsidR="00F474CA" w:rsidRPr="00B71114">
              <w:rPr>
                <w:rFonts w:asciiTheme="majorHAnsi" w:eastAsia="Times New Roman" w:hAnsiTheme="majorHAnsi" w:cstheme="majorHAnsi"/>
                <w:i/>
                <w:color w:val="000000"/>
                <w:sz w:val="20"/>
                <w:szCs w:val="20"/>
              </w:rPr>
              <w:t>professor</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0.6</w:t>
            </w:r>
            <w:r w:rsidR="00DF3C31" w:rsidRPr="00B71114">
              <w:rPr>
                <w:rFonts w:asciiTheme="majorHAnsi" w:eastAsia="Times New Roman" w:hAnsiTheme="majorHAnsi" w:cstheme="majorHAnsi"/>
                <w:color w:val="000000"/>
                <w:sz w:val="20"/>
                <w:szCs w:val="20"/>
              </w:rPr>
              <w:t>1</w:t>
            </w:r>
          </w:p>
        </w:tc>
        <w:tc>
          <w:tcPr>
            <w:tcW w:w="873"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PhD</w:t>
            </w:r>
          </w:p>
        </w:tc>
        <w:tc>
          <w:tcPr>
            <w:tcW w:w="1107"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The Ohio State University</w:t>
            </w:r>
          </w:p>
        </w:tc>
        <w:tc>
          <w:tcPr>
            <w:tcW w:w="117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Epidemiology</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Epidemiology</w:t>
            </w:r>
            <w:r w:rsidR="0029291E" w:rsidRPr="00B71114">
              <w:rPr>
                <w:rFonts w:asciiTheme="majorHAnsi" w:eastAsia="Times New Roman" w:hAnsiTheme="majorHAnsi" w:cstheme="majorHAnsi"/>
                <w:color w:val="000000"/>
                <w:sz w:val="20"/>
                <w:szCs w:val="20"/>
              </w:rPr>
              <w:t xml:space="preserve">, Environmental Health </w:t>
            </w:r>
          </w:p>
        </w:tc>
      </w:tr>
      <w:tr w:rsidR="00340464" w:rsidRPr="00B71114" w:rsidTr="00331B1A">
        <w:trPr>
          <w:cantSplit/>
          <w:trHeight w:val="300"/>
        </w:trPr>
        <w:tc>
          <w:tcPr>
            <w:tcW w:w="1350" w:type="dxa"/>
            <w:vMerge/>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rsidR="00340464" w:rsidRPr="00B71114" w:rsidRDefault="00340464" w:rsidP="006C308E">
            <w:pPr>
              <w:rPr>
                <w:rFonts w:asciiTheme="majorHAnsi" w:eastAsia="Times New Roman" w:hAnsiTheme="majorHAnsi" w:cstheme="majorHAnsi"/>
                <w:bCs/>
                <w:color w:val="000000"/>
                <w:sz w:val="20"/>
                <w:szCs w:val="20"/>
              </w:rPr>
            </w:pPr>
          </w:p>
        </w:tc>
        <w:tc>
          <w:tcPr>
            <w:tcW w:w="990" w:type="dxa"/>
            <w:vMerge/>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p>
        </w:tc>
        <w:tc>
          <w:tcPr>
            <w:tcW w:w="1350" w:type="dxa"/>
            <w:vMerge/>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p>
        </w:tc>
        <w:tc>
          <w:tcPr>
            <w:tcW w:w="810" w:type="dxa"/>
            <w:vMerge/>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p>
        </w:tc>
        <w:tc>
          <w:tcPr>
            <w:tcW w:w="873"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DVM</w:t>
            </w:r>
          </w:p>
        </w:tc>
        <w:tc>
          <w:tcPr>
            <w:tcW w:w="1107"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Texas A&amp;M University</w:t>
            </w:r>
          </w:p>
        </w:tc>
        <w:tc>
          <w:tcPr>
            <w:tcW w:w="117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Veterinary Medicine</w:t>
            </w:r>
          </w:p>
        </w:tc>
        <w:tc>
          <w:tcPr>
            <w:tcW w:w="1350" w:type="dxa"/>
            <w:vMerge/>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rsidR="00340464" w:rsidRPr="00B71114" w:rsidRDefault="00340464" w:rsidP="006C308E">
            <w:pPr>
              <w:rPr>
                <w:rFonts w:asciiTheme="majorHAnsi" w:eastAsia="Times New Roman" w:hAnsiTheme="majorHAnsi" w:cstheme="majorHAnsi"/>
                <w:color w:val="000000"/>
                <w:sz w:val="20"/>
                <w:szCs w:val="20"/>
              </w:rPr>
            </w:pPr>
          </w:p>
        </w:tc>
      </w:tr>
      <w:tr w:rsidR="00C93D03" w:rsidRPr="00B71114" w:rsidTr="00331B1A">
        <w:trPr>
          <w:cantSplit/>
          <w:trHeight w:val="300"/>
        </w:trPr>
        <w:tc>
          <w:tcPr>
            <w:tcW w:w="135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93D03" w:rsidRPr="00B71114" w:rsidRDefault="00C93D03" w:rsidP="006C308E">
            <w:pPr>
              <w:rPr>
                <w:rFonts w:asciiTheme="majorHAnsi" w:eastAsia="Times New Roman" w:hAnsiTheme="majorHAnsi" w:cstheme="majorHAnsi"/>
                <w:bCs/>
                <w:color w:val="000000"/>
                <w:sz w:val="20"/>
                <w:szCs w:val="20"/>
              </w:rPr>
            </w:pPr>
            <w:r w:rsidRPr="00B71114">
              <w:rPr>
                <w:rFonts w:asciiTheme="majorHAnsi" w:hAnsiTheme="majorHAnsi" w:cstheme="majorHAnsi"/>
                <w:sz w:val="20"/>
                <w:szCs w:val="20"/>
              </w:rPr>
              <w:t>Koslovsky, Matthew</w:t>
            </w:r>
          </w:p>
        </w:tc>
        <w:tc>
          <w:tcPr>
            <w:tcW w:w="99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Lecturer</w:t>
            </w:r>
          </w:p>
        </w:tc>
        <w:tc>
          <w:tcPr>
            <w:tcW w:w="135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Post-Doctoral Research Associate (Data Science), Rice University</w:t>
            </w:r>
          </w:p>
        </w:tc>
        <w:tc>
          <w:tcPr>
            <w:tcW w:w="8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.25</w:t>
            </w:r>
          </w:p>
        </w:tc>
        <w:tc>
          <w:tcPr>
            <w:tcW w:w="873"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PhD</w:t>
            </w:r>
          </w:p>
        </w:tc>
        <w:tc>
          <w:tcPr>
            <w:tcW w:w="1107"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The University of Texas Health Science Center at Houston School of Public Health</w:t>
            </w:r>
          </w:p>
        </w:tc>
        <w:tc>
          <w:tcPr>
            <w:tcW w:w="117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Biostatistics</w:t>
            </w:r>
          </w:p>
        </w:tc>
        <w:tc>
          <w:tcPr>
            <w:tcW w:w="135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Biostatistics</w:t>
            </w:r>
          </w:p>
        </w:tc>
      </w:tr>
      <w:tr w:rsidR="00C93D03" w:rsidRPr="00B71114" w:rsidTr="00331B1A">
        <w:trPr>
          <w:cantSplit/>
          <w:trHeight w:val="300"/>
        </w:trPr>
        <w:tc>
          <w:tcPr>
            <w:tcW w:w="135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93D03" w:rsidRPr="00B71114" w:rsidRDefault="00C93D03" w:rsidP="006C308E">
            <w:pPr>
              <w:rPr>
                <w:rFonts w:asciiTheme="majorHAnsi" w:eastAsia="Times New Roman" w:hAnsiTheme="majorHAnsi" w:cstheme="majorHAnsi"/>
                <w:bCs/>
                <w:color w:val="000000"/>
                <w:sz w:val="20"/>
                <w:szCs w:val="20"/>
              </w:rPr>
            </w:pPr>
            <w:r w:rsidRPr="00B71114">
              <w:rPr>
                <w:rFonts w:asciiTheme="majorHAnsi" w:hAnsiTheme="majorHAnsi" w:cstheme="majorHAnsi"/>
                <w:sz w:val="20"/>
                <w:szCs w:val="20"/>
              </w:rPr>
              <w:t>McKelvey, Florence</w:t>
            </w:r>
          </w:p>
        </w:tc>
        <w:tc>
          <w:tcPr>
            <w:tcW w:w="99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Associate Professor</w:t>
            </w:r>
          </w:p>
        </w:tc>
        <w:tc>
          <w:tcPr>
            <w:tcW w:w="135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C93D03" w:rsidRPr="00B71114" w:rsidRDefault="00DD3D9D"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Director, Cancer Medicine Administration, MD Anderson Cancer Center</w:t>
            </w:r>
          </w:p>
        </w:tc>
        <w:tc>
          <w:tcPr>
            <w:tcW w:w="8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 xml:space="preserve">.15 </w:t>
            </w:r>
          </w:p>
        </w:tc>
        <w:tc>
          <w:tcPr>
            <w:tcW w:w="873"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PhD</w:t>
            </w:r>
          </w:p>
        </w:tc>
        <w:tc>
          <w:tcPr>
            <w:tcW w:w="1107"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The University of Texas Health Science Center at Houston School of Public Health</w:t>
            </w:r>
          </w:p>
        </w:tc>
        <w:tc>
          <w:tcPr>
            <w:tcW w:w="117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Management and Policy Sciences</w:t>
            </w:r>
          </w:p>
        </w:tc>
        <w:tc>
          <w:tcPr>
            <w:tcW w:w="135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 xml:space="preserve">Healthcare Management, Healthcare Management and Health Policy </w:t>
            </w:r>
          </w:p>
        </w:tc>
      </w:tr>
      <w:tr w:rsidR="00C93D03" w:rsidRPr="00B71114" w:rsidTr="00331B1A">
        <w:trPr>
          <w:cantSplit/>
          <w:trHeight w:val="300"/>
        </w:trPr>
        <w:tc>
          <w:tcPr>
            <w:tcW w:w="135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bCs/>
                <w:color w:val="000000"/>
                <w:sz w:val="20"/>
                <w:szCs w:val="20"/>
              </w:rPr>
            </w:pPr>
            <w:r w:rsidRPr="00B71114">
              <w:rPr>
                <w:rFonts w:asciiTheme="majorHAnsi" w:hAnsiTheme="majorHAnsi" w:cstheme="majorHAnsi"/>
                <w:sz w:val="20"/>
                <w:szCs w:val="20"/>
              </w:rPr>
              <w:t>Mikhail, Osama I.</w:t>
            </w:r>
          </w:p>
        </w:tc>
        <w:tc>
          <w:tcPr>
            <w:tcW w:w="99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Professor</w:t>
            </w:r>
          </w:p>
        </w:tc>
        <w:tc>
          <w:tcPr>
            <w:tcW w:w="135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Retired</w:t>
            </w:r>
          </w:p>
        </w:tc>
        <w:tc>
          <w:tcPr>
            <w:tcW w:w="81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0.5</w:t>
            </w:r>
          </w:p>
        </w:tc>
        <w:tc>
          <w:tcPr>
            <w:tcW w:w="873"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PhD</w:t>
            </w:r>
          </w:p>
        </w:tc>
        <w:tc>
          <w:tcPr>
            <w:tcW w:w="1107"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Carnegie-Mellon University</w:t>
            </w:r>
          </w:p>
        </w:tc>
        <w:tc>
          <w:tcPr>
            <w:tcW w:w="117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Systems Science</w:t>
            </w:r>
          </w:p>
        </w:tc>
        <w:tc>
          <w:tcPr>
            <w:tcW w:w="135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 xml:space="preserve">Healthcare Management, Healthcare Management and Health Policy </w:t>
            </w:r>
          </w:p>
        </w:tc>
      </w:tr>
      <w:tr w:rsidR="00C93D03" w:rsidRPr="00B71114" w:rsidTr="00331B1A">
        <w:trPr>
          <w:cantSplit/>
          <w:trHeight w:val="300"/>
        </w:trPr>
        <w:tc>
          <w:tcPr>
            <w:tcW w:w="135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bCs/>
                <w:sz w:val="20"/>
                <w:szCs w:val="20"/>
              </w:rPr>
            </w:pPr>
            <w:r w:rsidRPr="00B71114">
              <w:rPr>
                <w:rFonts w:asciiTheme="majorHAnsi" w:hAnsiTheme="majorHAnsi" w:cstheme="majorHAnsi"/>
                <w:sz w:val="20"/>
                <w:szCs w:val="20"/>
              </w:rPr>
              <w:t>Moore, Laura</w:t>
            </w:r>
          </w:p>
        </w:tc>
        <w:tc>
          <w:tcPr>
            <w:tcW w:w="99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Dietetic Specialist</w:t>
            </w:r>
          </w:p>
        </w:tc>
        <w:tc>
          <w:tcPr>
            <w:tcW w:w="135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Dietetic Specialist, UTHealth School of Public Health</w:t>
            </w:r>
          </w:p>
        </w:tc>
        <w:tc>
          <w:tcPr>
            <w:tcW w:w="81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F004A0" w:rsidP="006C308E">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0</w:t>
            </w:r>
            <w:r w:rsidR="00C93D03" w:rsidRPr="00B71114">
              <w:rPr>
                <w:rFonts w:asciiTheme="majorHAnsi" w:eastAsia="Times New Roman" w:hAnsiTheme="majorHAnsi" w:cstheme="majorHAnsi"/>
                <w:color w:val="000000"/>
                <w:sz w:val="20"/>
                <w:szCs w:val="20"/>
              </w:rPr>
              <w:t>.5</w:t>
            </w:r>
          </w:p>
        </w:tc>
        <w:tc>
          <w:tcPr>
            <w:tcW w:w="873"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M.</w:t>
            </w:r>
            <w:r w:rsidR="00AD6F36" w:rsidRPr="00B71114">
              <w:rPr>
                <w:rFonts w:asciiTheme="majorHAnsi" w:eastAsia="Times New Roman" w:hAnsiTheme="majorHAnsi" w:cstheme="majorHAnsi"/>
                <w:color w:val="000000"/>
                <w:sz w:val="20"/>
                <w:szCs w:val="20"/>
              </w:rPr>
              <w:t>Ed</w:t>
            </w:r>
            <w:r w:rsidRPr="00B71114">
              <w:rPr>
                <w:rFonts w:asciiTheme="majorHAnsi" w:eastAsia="Times New Roman" w:hAnsiTheme="majorHAnsi" w:cstheme="majorHAnsi"/>
                <w:color w:val="000000"/>
                <w:sz w:val="20"/>
                <w:szCs w:val="20"/>
              </w:rPr>
              <w:t>, RD, LD</w:t>
            </w:r>
          </w:p>
        </w:tc>
        <w:tc>
          <w:tcPr>
            <w:tcW w:w="1107"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University of Houston, Houston</w:t>
            </w:r>
          </w:p>
        </w:tc>
        <w:tc>
          <w:tcPr>
            <w:tcW w:w="117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Physical Education</w:t>
            </w:r>
          </w:p>
        </w:tc>
        <w:tc>
          <w:tcPr>
            <w:tcW w:w="135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 xml:space="preserve">Health Promotion/ Health Education, Dietetic Internship Track </w:t>
            </w:r>
          </w:p>
        </w:tc>
      </w:tr>
      <w:tr w:rsidR="00C93D03" w:rsidRPr="00B71114" w:rsidTr="00331B1A">
        <w:trPr>
          <w:cantSplit/>
          <w:trHeight w:val="300"/>
        </w:trPr>
        <w:tc>
          <w:tcPr>
            <w:tcW w:w="135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bCs/>
                <w:sz w:val="20"/>
                <w:szCs w:val="20"/>
              </w:rPr>
            </w:pPr>
            <w:r w:rsidRPr="00B71114">
              <w:rPr>
                <w:rFonts w:asciiTheme="majorHAnsi" w:hAnsiTheme="majorHAnsi" w:cstheme="majorHAnsi"/>
                <w:sz w:val="20"/>
                <w:szCs w:val="20"/>
              </w:rPr>
              <w:t>Ochoa, Theresa</w:t>
            </w:r>
          </w:p>
        </w:tc>
        <w:tc>
          <w:tcPr>
            <w:tcW w:w="99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Associate Professor</w:t>
            </w:r>
          </w:p>
        </w:tc>
        <w:tc>
          <w:tcPr>
            <w:tcW w:w="135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F474CA"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Assistant Professor of Pediatrics, Alberto Hurtado School of Medicine</w:t>
            </w:r>
          </w:p>
        </w:tc>
        <w:tc>
          <w:tcPr>
            <w:tcW w:w="81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F004A0" w:rsidP="006C308E">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0</w:t>
            </w:r>
            <w:r w:rsidR="00C93D03" w:rsidRPr="00B71114">
              <w:rPr>
                <w:rFonts w:asciiTheme="majorHAnsi" w:eastAsia="Times New Roman" w:hAnsiTheme="majorHAnsi" w:cstheme="majorHAnsi"/>
                <w:color w:val="000000"/>
                <w:sz w:val="20"/>
                <w:szCs w:val="20"/>
              </w:rPr>
              <w:t>.2</w:t>
            </w:r>
          </w:p>
        </w:tc>
        <w:tc>
          <w:tcPr>
            <w:tcW w:w="873"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MD</w:t>
            </w:r>
          </w:p>
        </w:tc>
        <w:tc>
          <w:tcPr>
            <w:tcW w:w="1107"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Universidad Peruana Cayetano Heredia</w:t>
            </w:r>
          </w:p>
        </w:tc>
        <w:tc>
          <w:tcPr>
            <w:tcW w:w="117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Medicine</w:t>
            </w:r>
          </w:p>
        </w:tc>
        <w:tc>
          <w:tcPr>
            <w:tcW w:w="135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Epidemiology</w:t>
            </w:r>
          </w:p>
        </w:tc>
      </w:tr>
      <w:tr w:rsidR="00C93D03" w:rsidRPr="00B71114" w:rsidTr="00331B1A">
        <w:trPr>
          <w:cantSplit/>
          <w:trHeight w:val="300"/>
        </w:trPr>
        <w:tc>
          <w:tcPr>
            <w:tcW w:w="135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bCs/>
                <w:sz w:val="20"/>
                <w:szCs w:val="20"/>
              </w:rPr>
            </w:pPr>
            <w:r w:rsidRPr="00B71114">
              <w:rPr>
                <w:rFonts w:asciiTheme="majorHAnsi" w:hAnsiTheme="majorHAnsi" w:cstheme="majorHAnsi"/>
                <w:sz w:val="20"/>
                <w:szCs w:val="20"/>
              </w:rPr>
              <w:t>Perry, Cheryl</w:t>
            </w:r>
          </w:p>
        </w:tc>
        <w:tc>
          <w:tcPr>
            <w:tcW w:w="99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Professor</w:t>
            </w:r>
          </w:p>
        </w:tc>
        <w:tc>
          <w:tcPr>
            <w:tcW w:w="135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100E78" w:rsidP="006C308E">
            <w:pPr>
              <w:rPr>
                <w:rFonts w:asciiTheme="majorHAnsi" w:eastAsia="Times New Roman" w:hAnsiTheme="majorHAnsi" w:cstheme="majorHAnsi"/>
                <w:i/>
                <w:color w:val="000000"/>
                <w:sz w:val="20"/>
                <w:szCs w:val="20"/>
              </w:rPr>
            </w:pPr>
            <w:r w:rsidRPr="00B71114">
              <w:rPr>
                <w:rFonts w:asciiTheme="majorHAnsi" w:eastAsia="Times New Roman" w:hAnsiTheme="majorHAnsi" w:cstheme="majorHAnsi"/>
                <w:i/>
                <w:color w:val="000000"/>
                <w:sz w:val="20"/>
                <w:szCs w:val="20"/>
              </w:rPr>
              <w:t>Part-time professor</w:t>
            </w:r>
          </w:p>
        </w:tc>
        <w:tc>
          <w:tcPr>
            <w:tcW w:w="81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F004A0" w:rsidP="006C308E">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0</w:t>
            </w:r>
            <w:r w:rsidR="00C93D03" w:rsidRPr="00B71114">
              <w:rPr>
                <w:rFonts w:asciiTheme="majorHAnsi" w:eastAsia="Times New Roman" w:hAnsiTheme="majorHAnsi" w:cstheme="majorHAnsi"/>
                <w:color w:val="000000"/>
                <w:sz w:val="20"/>
                <w:szCs w:val="20"/>
              </w:rPr>
              <w:t>.5</w:t>
            </w:r>
          </w:p>
        </w:tc>
        <w:tc>
          <w:tcPr>
            <w:tcW w:w="873"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PhD</w:t>
            </w:r>
          </w:p>
        </w:tc>
        <w:tc>
          <w:tcPr>
            <w:tcW w:w="1107"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Stanford University</w:t>
            </w:r>
          </w:p>
        </w:tc>
        <w:tc>
          <w:tcPr>
            <w:tcW w:w="117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Design and Evaluation of Educational Programs </w:t>
            </w:r>
          </w:p>
        </w:tc>
        <w:tc>
          <w:tcPr>
            <w:tcW w:w="135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Health Promotion/ Health Education, Behavioral Sciences and Health Promotion</w:t>
            </w:r>
          </w:p>
        </w:tc>
      </w:tr>
      <w:tr w:rsidR="00C93D03" w:rsidRPr="00B71114" w:rsidTr="00331B1A">
        <w:trPr>
          <w:cantSplit/>
          <w:trHeight w:val="1275"/>
        </w:trPr>
        <w:tc>
          <w:tcPr>
            <w:tcW w:w="1350"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bCs/>
                <w:color w:val="000000"/>
                <w:sz w:val="20"/>
                <w:szCs w:val="20"/>
              </w:rPr>
            </w:pPr>
            <w:r w:rsidRPr="00B71114">
              <w:rPr>
                <w:rFonts w:asciiTheme="majorHAnsi" w:hAnsiTheme="majorHAnsi" w:cstheme="majorHAnsi"/>
                <w:sz w:val="20"/>
                <w:szCs w:val="20"/>
              </w:rPr>
              <w:t>Rahbar, Mohammad Hossein</w:t>
            </w:r>
          </w:p>
        </w:tc>
        <w:tc>
          <w:tcPr>
            <w:tcW w:w="99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Professor</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Director, Biostatistics/Epidemiology/Research Design (BERD) Core Center for Clinical and Translational Sciences, UTHealth</w:t>
            </w:r>
          </w:p>
        </w:tc>
        <w:tc>
          <w:tcPr>
            <w:tcW w:w="81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0.1</w:t>
            </w:r>
          </w:p>
        </w:tc>
        <w:tc>
          <w:tcPr>
            <w:tcW w:w="873"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PhD</w:t>
            </w:r>
          </w:p>
        </w:tc>
        <w:tc>
          <w:tcPr>
            <w:tcW w:w="1107"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Michigan State University</w:t>
            </w:r>
          </w:p>
        </w:tc>
        <w:tc>
          <w:tcPr>
            <w:tcW w:w="117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Statistics</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 xml:space="preserve">Epidemiology </w:t>
            </w:r>
          </w:p>
        </w:tc>
      </w:tr>
      <w:tr w:rsidR="00C93D03" w:rsidRPr="00B71114" w:rsidTr="00331B1A">
        <w:trPr>
          <w:cantSplit/>
          <w:trHeight w:val="510"/>
        </w:trPr>
        <w:tc>
          <w:tcPr>
            <w:tcW w:w="1350"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bCs/>
                <w:color w:val="000000"/>
                <w:sz w:val="20"/>
                <w:szCs w:val="20"/>
              </w:rPr>
            </w:pPr>
            <w:r w:rsidRPr="00B71114">
              <w:rPr>
                <w:rFonts w:asciiTheme="majorHAnsi" w:hAnsiTheme="majorHAnsi" w:cstheme="majorHAnsi"/>
                <w:sz w:val="20"/>
                <w:szCs w:val="20"/>
              </w:rPr>
              <w:t>Rios, Janelle</w:t>
            </w:r>
          </w:p>
        </w:tc>
        <w:tc>
          <w:tcPr>
            <w:tcW w:w="99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Faculty Associate</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Director, Public Health Practice, UTHealth School of Public Health</w:t>
            </w:r>
          </w:p>
        </w:tc>
        <w:tc>
          <w:tcPr>
            <w:tcW w:w="81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1</w:t>
            </w:r>
          </w:p>
        </w:tc>
        <w:tc>
          <w:tcPr>
            <w:tcW w:w="873"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PhD</w:t>
            </w:r>
          </w:p>
        </w:tc>
        <w:tc>
          <w:tcPr>
            <w:tcW w:w="1107"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The University of Texas Health Science Center (UTHealth) School of Public Health</w:t>
            </w:r>
          </w:p>
        </w:tc>
        <w:tc>
          <w:tcPr>
            <w:tcW w:w="117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 xml:space="preserve">Management and Policy Sciences </w:t>
            </w:r>
          </w:p>
        </w:tc>
        <w:tc>
          <w:tcPr>
            <w:tcW w:w="1350"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Environmental Health</w:t>
            </w:r>
          </w:p>
        </w:tc>
      </w:tr>
      <w:tr w:rsidR="00C93D03" w:rsidRPr="00B71114" w:rsidTr="00331B1A">
        <w:trPr>
          <w:cantSplit/>
          <w:trHeight w:val="1800"/>
        </w:trPr>
        <w:tc>
          <w:tcPr>
            <w:tcW w:w="135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bCs/>
                <w:color w:val="000000"/>
                <w:sz w:val="20"/>
                <w:szCs w:val="20"/>
              </w:rPr>
            </w:pPr>
            <w:r w:rsidRPr="00B71114">
              <w:rPr>
                <w:rFonts w:asciiTheme="majorHAnsi" w:hAnsiTheme="majorHAnsi" w:cstheme="majorHAnsi"/>
                <w:sz w:val="20"/>
                <w:szCs w:val="20"/>
              </w:rPr>
              <w:t>Tektirids, Jennifer H</w:t>
            </w:r>
            <w:r w:rsidR="00BB4052" w:rsidRPr="00B71114">
              <w:rPr>
                <w:rFonts w:asciiTheme="majorHAnsi" w:eastAsia="Times New Roman" w:hAnsiTheme="majorHAnsi" w:cstheme="majorHAnsi"/>
                <w:bCs/>
                <w:sz w:val="20"/>
                <w:szCs w:val="20"/>
              </w:rPr>
              <w:t>.</w:t>
            </w:r>
          </w:p>
        </w:tc>
        <w:tc>
          <w:tcPr>
            <w:tcW w:w="99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Associate Professor</w:t>
            </w:r>
          </w:p>
        </w:tc>
        <w:tc>
          <w:tcPr>
            <w:tcW w:w="135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Executive Director, Research Planning and Development, Division of Cancer Prevention and Population Science,  University of Texas MD Anderson Cancer Center</w:t>
            </w:r>
          </w:p>
        </w:tc>
        <w:tc>
          <w:tcPr>
            <w:tcW w:w="81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0.18</w:t>
            </w:r>
          </w:p>
        </w:tc>
        <w:tc>
          <w:tcPr>
            <w:tcW w:w="873"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PhD</w:t>
            </w:r>
          </w:p>
        </w:tc>
        <w:tc>
          <w:tcPr>
            <w:tcW w:w="1107"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The University of Texas Health Science Center at Houston School of Public Health</w:t>
            </w:r>
          </w:p>
        </w:tc>
        <w:tc>
          <w:tcPr>
            <w:tcW w:w="117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Management and Policy Sciences</w:t>
            </w:r>
          </w:p>
        </w:tc>
        <w:tc>
          <w:tcPr>
            <w:tcW w:w="135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 xml:space="preserve">Healthcare Management, Healthcare Management and Health Policy </w:t>
            </w:r>
          </w:p>
        </w:tc>
      </w:tr>
      <w:tr w:rsidR="00C93D03" w:rsidRPr="00B71114" w:rsidTr="00331B1A">
        <w:trPr>
          <w:cantSplit/>
          <w:trHeight w:val="1800"/>
        </w:trPr>
        <w:tc>
          <w:tcPr>
            <w:tcW w:w="135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bCs/>
                <w:sz w:val="20"/>
                <w:szCs w:val="20"/>
              </w:rPr>
            </w:pPr>
            <w:r w:rsidRPr="00B71114">
              <w:rPr>
                <w:rFonts w:asciiTheme="majorHAnsi" w:hAnsiTheme="majorHAnsi" w:cstheme="majorHAnsi"/>
                <w:sz w:val="20"/>
                <w:szCs w:val="20"/>
              </w:rPr>
              <w:t>Weber, Ellerie</w:t>
            </w:r>
          </w:p>
        </w:tc>
        <w:tc>
          <w:tcPr>
            <w:tcW w:w="99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Assistant Professor</w:t>
            </w:r>
          </w:p>
        </w:tc>
        <w:tc>
          <w:tcPr>
            <w:tcW w:w="135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AC0B87" w:rsidP="006C308E">
            <w:pPr>
              <w:rPr>
                <w:rFonts w:asciiTheme="majorHAnsi" w:eastAsia="Times New Roman" w:hAnsiTheme="majorHAnsi" w:cstheme="majorHAnsi"/>
                <w:i/>
                <w:color w:val="000000"/>
                <w:sz w:val="20"/>
                <w:szCs w:val="20"/>
              </w:rPr>
            </w:pPr>
            <w:r w:rsidRPr="00B71114">
              <w:rPr>
                <w:rFonts w:asciiTheme="majorHAnsi" w:eastAsia="Times New Roman" w:hAnsiTheme="majorHAnsi" w:cstheme="majorHAnsi"/>
                <w:i/>
                <w:color w:val="000000"/>
                <w:sz w:val="20"/>
                <w:szCs w:val="20"/>
              </w:rPr>
              <w:t>Part-time assistant professor</w:t>
            </w:r>
          </w:p>
        </w:tc>
        <w:tc>
          <w:tcPr>
            <w:tcW w:w="81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F004A0" w:rsidP="006C308E">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0</w:t>
            </w:r>
            <w:r w:rsidR="00C93D03" w:rsidRPr="00B71114">
              <w:rPr>
                <w:rFonts w:asciiTheme="majorHAnsi" w:eastAsia="Times New Roman" w:hAnsiTheme="majorHAnsi" w:cstheme="majorHAnsi"/>
                <w:color w:val="000000"/>
                <w:sz w:val="20"/>
                <w:szCs w:val="20"/>
              </w:rPr>
              <w:t>.15</w:t>
            </w:r>
          </w:p>
        </w:tc>
        <w:tc>
          <w:tcPr>
            <w:tcW w:w="873"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PhD</w:t>
            </w:r>
          </w:p>
        </w:tc>
        <w:tc>
          <w:tcPr>
            <w:tcW w:w="1107"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University of Chicago</w:t>
            </w:r>
          </w:p>
        </w:tc>
        <w:tc>
          <w:tcPr>
            <w:tcW w:w="117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 xml:space="preserve">Business Economics </w:t>
            </w:r>
          </w:p>
        </w:tc>
        <w:tc>
          <w:tcPr>
            <w:tcW w:w="135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C93D03" w:rsidRPr="00B71114" w:rsidRDefault="00C93D03" w:rsidP="006C308E">
            <w:pPr>
              <w:rPr>
                <w:rFonts w:asciiTheme="majorHAnsi" w:eastAsia="Times New Roman" w:hAnsiTheme="majorHAnsi" w:cstheme="majorHAnsi"/>
                <w:color w:val="000000"/>
                <w:sz w:val="20"/>
                <w:szCs w:val="20"/>
              </w:rPr>
            </w:pPr>
            <w:r w:rsidRPr="00B71114">
              <w:rPr>
                <w:rFonts w:asciiTheme="majorHAnsi" w:eastAsia="Times New Roman" w:hAnsiTheme="majorHAnsi" w:cstheme="majorHAnsi"/>
                <w:color w:val="000000"/>
                <w:sz w:val="20"/>
                <w:szCs w:val="20"/>
              </w:rPr>
              <w:t>Health Economics/Health Services Research</w:t>
            </w:r>
          </w:p>
        </w:tc>
      </w:tr>
    </w:tbl>
    <w:p w:rsidR="00FC4B0E" w:rsidRPr="00E80636" w:rsidRDefault="00FC4B0E" w:rsidP="006C308E">
      <w:pPr>
        <w:ind w:left="720"/>
        <w:contextualSpacing/>
        <w:jc w:val="both"/>
        <w:rPr>
          <w:rFonts w:asciiTheme="majorHAnsi" w:eastAsia="Arial" w:hAnsiTheme="majorHAnsi" w:cstheme="majorHAnsi"/>
          <w:sz w:val="20"/>
          <w:szCs w:val="20"/>
        </w:rPr>
      </w:pPr>
    </w:p>
    <w:p w:rsidR="00FC4B0E" w:rsidRPr="00E80636" w:rsidRDefault="00FC4B0E" w:rsidP="006C308E">
      <w:pPr>
        <w:ind w:left="720"/>
        <w:contextualSpacing/>
        <w:jc w:val="both"/>
        <w:rPr>
          <w:rFonts w:asciiTheme="majorHAnsi" w:hAnsiTheme="majorHAnsi" w:cstheme="majorHAnsi"/>
          <w:sz w:val="20"/>
          <w:szCs w:val="20"/>
        </w:rPr>
      </w:pPr>
    </w:p>
    <w:p w:rsidR="00933038" w:rsidRPr="00E80636" w:rsidRDefault="00933038" w:rsidP="006C308E">
      <w:pPr>
        <w:numPr>
          <w:ilvl w:val="0"/>
          <w:numId w:val="31"/>
        </w:numPr>
        <w:contextualSpacing/>
        <w:jc w:val="both"/>
        <w:rPr>
          <w:rFonts w:asciiTheme="majorHAnsi" w:hAnsiTheme="majorHAnsi" w:cstheme="majorHAnsi"/>
          <w:sz w:val="20"/>
          <w:szCs w:val="20"/>
        </w:rPr>
      </w:pPr>
      <w:r w:rsidRPr="00E80636">
        <w:rPr>
          <w:rFonts w:asciiTheme="majorHAnsi" w:hAnsiTheme="majorHAnsi" w:cstheme="majorHAnsi"/>
          <w:sz w:val="20"/>
          <w:szCs w:val="20"/>
        </w:rPr>
        <w:t xml:space="preserve">Include CVs for all individuals listed in the templates above. </w:t>
      </w:r>
    </w:p>
    <w:p w:rsidR="00933038" w:rsidRPr="00E80636" w:rsidRDefault="00933038" w:rsidP="006C308E">
      <w:pPr>
        <w:contextualSpacing/>
        <w:jc w:val="both"/>
        <w:rPr>
          <w:rFonts w:asciiTheme="majorHAnsi" w:hAnsiTheme="majorHAnsi" w:cstheme="majorHAnsi"/>
          <w:sz w:val="20"/>
          <w:szCs w:val="20"/>
        </w:rPr>
      </w:pPr>
    </w:p>
    <w:p w:rsidR="00A43A8D" w:rsidRPr="00B71114" w:rsidRDefault="00340464" w:rsidP="006C308E">
      <w:pPr>
        <w:ind w:left="720"/>
        <w:contextualSpacing/>
        <w:rPr>
          <w:rFonts w:asciiTheme="majorHAnsi" w:eastAsia="Arial Unicode MS" w:hAnsiTheme="majorHAnsi" w:cstheme="majorHAnsi"/>
          <w:sz w:val="20"/>
          <w:szCs w:val="20"/>
        </w:rPr>
      </w:pPr>
      <w:r w:rsidRPr="00B71114">
        <w:rPr>
          <w:rFonts w:asciiTheme="majorHAnsi" w:eastAsia="Arial Unicode MS" w:hAnsiTheme="majorHAnsi" w:cstheme="majorHAnsi"/>
          <w:sz w:val="20"/>
          <w:szCs w:val="20"/>
        </w:rPr>
        <w:t>Associated documents in the electronic resource file:</w:t>
      </w:r>
    </w:p>
    <w:p w:rsidR="00340464" w:rsidRPr="00B71114" w:rsidRDefault="00BF3351" w:rsidP="006C308E">
      <w:pPr>
        <w:pStyle w:val="ListParagraph"/>
        <w:numPr>
          <w:ilvl w:val="0"/>
          <w:numId w:val="130"/>
        </w:numPr>
        <w:contextualSpacing/>
        <w:rPr>
          <w:rFonts w:asciiTheme="majorHAnsi" w:hAnsiTheme="majorHAnsi" w:cstheme="majorHAnsi"/>
          <w:i/>
          <w:szCs w:val="20"/>
        </w:rPr>
      </w:pPr>
      <w:r w:rsidRPr="00B71114">
        <w:rPr>
          <w:rFonts w:asciiTheme="majorHAnsi" w:hAnsiTheme="majorHAnsi" w:cstheme="majorHAnsi"/>
          <w:i/>
        </w:rPr>
        <w:t>E1. Faculty Alignment with Degrees Offered</w:t>
      </w:r>
    </w:p>
    <w:p w:rsidR="00340464" w:rsidRPr="00B71114" w:rsidRDefault="00BF3351" w:rsidP="006C308E">
      <w:pPr>
        <w:pStyle w:val="ListParagraph"/>
        <w:numPr>
          <w:ilvl w:val="1"/>
          <w:numId w:val="130"/>
        </w:numPr>
        <w:contextualSpacing/>
        <w:rPr>
          <w:rFonts w:asciiTheme="majorHAnsi" w:hAnsiTheme="majorHAnsi" w:cstheme="majorHAnsi"/>
          <w:i/>
          <w:szCs w:val="20"/>
        </w:rPr>
      </w:pPr>
      <w:r w:rsidRPr="00B71114">
        <w:rPr>
          <w:rFonts w:asciiTheme="majorHAnsi" w:hAnsiTheme="majorHAnsi" w:cstheme="majorHAnsi"/>
          <w:i/>
        </w:rPr>
        <w:t xml:space="preserve">E1.1. </w:t>
      </w:r>
      <w:r w:rsidR="00B57551">
        <w:rPr>
          <w:rFonts w:asciiTheme="majorHAnsi" w:hAnsiTheme="majorHAnsi" w:cstheme="majorHAnsi"/>
          <w:i/>
        </w:rPr>
        <w:t xml:space="preserve">Primary Instructional </w:t>
      </w:r>
      <w:r w:rsidR="00B57551">
        <w:rPr>
          <w:rFonts w:asciiTheme="majorHAnsi" w:eastAsia="Arial" w:hAnsiTheme="majorHAnsi" w:cstheme="majorHAnsi"/>
          <w:i/>
        </w:rPr>
        <w:t>Faculty CVs</w:t>
      </w:r>
    </w:p>
    <w:p w:rsidR="004213A7" w:rsidRPr="00B71114" w:rsidRDefault="00BF3351" w:rsidP="006C308E">
      <w:pPr>
        <w:pStyle w:val="ListParagraph"/>
        <w:numPr>
          <w:ilvl w:val="1"/>
          <w:numId w:val="130"/>
        </w:numPr>
        <w:contextualSpacing/>
        <w:rPr>
          <w:rFonts w:asciiTheme="majorHAnsi" w:hAnsiTheme="majorHAnsi" w:cstheme="majorHAnsi"/>
          <w:i/>
          <w:szCs w:val="20"/>
        </w:rPr>
      </w:pPr>
      <w:r w:rsidRPr="00B71114">
        <w:rPr>
          <w:rFonts w:asciiTheme="majorHAnsi" w:hAnsiTheme="majorHAnsi" w:cstheme="majorHAnsi"/>
          <w:i/>
        </w:rPr>
        <w:t xml:space="preserve">E1.2. </w:t>
      </w:r>
      <w:r w:rsidRPr="00B71114">
        <w:rPr>
          <w:rFonts w:asciiTheme="majorHAnsi" w:eastAsia="Arial" w:hAnsiTheme="majorHAnsi" w:cstheme="majorHAnsi"/>
          <w:i/>
        </w:rPr>
        <w:t xml:space="preserve">Non-Primary Instructional Faculty </w:t>
      </w:r>
      <w:r w:rsidR="00BE3341">
        <w:rPr>
          <w:rFonts w:asciiTheme="majorHAnsi" w:eastAsia="Arial" w:hAnsiTheme="majorHAnsi" w:cstheme="majorHAnsi"/>
          <w:i/>
        </w:rPr>
        <w:t>CVs</w:t>
      </w:r>
    </w:p>
    <w:p w:rsidR="00933038" w:rsidRPr="00B71114" w:rsidRDefault="00933038" w:rsidP="006C308E">
      <w:pPr>
        <w:pStyle w:val="ListParagraph"/>
        <w:rPr>
          <w:rFonts w:asciiTheme="majorHAnsi" w:hAnsiTheme="majorHAnsi" w:cstheme="majorHAnsi"/>
          <w:szCs w:val="20"/>
        </w:rPr>
      </w:pPr>
    </w:p>
    <w:p w:rsidR="00933038" w:rsidRPr="00B71114" w:rsidRDefault="00933038" w:rsidP="006C308E">
      <w:pPr>
        <w:numPr>
          <w:ilvl w:val="0"/>
          <w:numId w:val="31"/>
        </w:numPr>
        <w:contextualSpacing/>
        <w:jc w:val="both"/>
        <w:rPr>
          <w:rFonts w:asciiTheme="majorHAnsi" w:hAnsiTheme="majorHAnsi" w:cstheme="majorHAnsi"/>
          <w:sz w:val="20"/>
          <w:szCs w:val="20"/>
        </w:rPr>
      </w:pPr>
      <w:r w:rsidRPr="00B71114">
        <w:rPr>
          <w:rFonts w:asciiTheme="majorHAnsi" w:hAnsiTheme="majorHAnsi" w:cstheme="majorHAnsi"/>
          <w:sz w:val="20"/>
          <w:szCs w:val="20"/>
        </w:rPr>
        <w:t xml:space="preserve">If applicable, provide a narrative explanation that supplements reviewers’ understanding of data in the templates. </w:t>
      </w:r>
    </w:p>
    <w:p w:rsidR="00933038" w:rsidRPr="00B71114" w:rsidRDefault="00933038" w:rsidP="006C308E">
      <w:pPr>
        <w:contextualSpacing/>
        <w:jc w:val="both"/>
        <w:rPr>
          <w:rFonts w:asciiTheme="majorHAnsi" w:hAnsiTheme="majorHAnsi" w:cstheme="majorHAnsi"/>
          <w:sz w:val="20"/>
          <w:szCs w:val="20"/>
        </w:rPr>
      </w:pPr>
    </w:p>
    <w:p w:rsidR="00A43A8D" w:rsidRPr="00B71114" w:rsidRDefault="00A43A8D" w:rsidP="006E28EE">
      <w:pPr>
        <w:ind w:left="720"/>
        <w:rPr>
          <w:rFonts w:asciiTheme="majorHAnsi" w:eastAsia="Arial" w:hAnsiTheme="majorHAnsi" w:cstheme="majorHAnsi"/>
          <w:sz w:val="20"/>
          <w:szCs w:val="20"/>
        </w:rPr>
      </w:pPr>
      <w:r w:rsidRPr="00B71114">
        <w:rPr>
          <w:rFonts w:asciiTheme="majorHAnsi" w:eastAsia="Arial" w:hAnsiTheme="majorHAnsi" w:cstheme="majorHAnsi"/>
          <w:sz w:val="20"/>
          <w:szCs w:val="20"/>
        </w:rPr>
        <w:t xml:space="preserve">Primary instructional faculty have a full-time appointment with the UTHealth SPH and are aligned with specific degree programs because of their qualifications due to their training, research and experience to provide instruction and advising. Non-primary instructional faculty include faculty that are less than 100% or do not have a primary faculty within the school. </w:t>
      </w:r>
    </w:p>
    <w:p w:rsidR="00933038" w:rsidRPr="00B71114" w:rsidRDefault="00933038" w:rsidP="006C308E">
      <w:pPr>
        <w:ind w:left="720"/>
        <w:contextualSpacing/>
        <w:jc w:val="both"/>
        <w:rPr>
          <w:rFonts w:asciiTheme="majorHAnsi" w:hAnsiTheme="majorHAnsi" w:cstheme="majorHAnsi"/>
          <w:i/>
          <w:sz w:val="20"/>
          <w:szCs w:val="20"/>
        </w:rPr>
      </w:pPr>
    </w:p>
    <w:p w:rsidR="00933038" w:rsidRPr="00B71114" w:rsidRDefault="00933038" w:rsidP="006C308E">
      <w:pPr>
        <w:numPr>
          <w:ilvl w:val="0"/>
          <w:numId w:val="31"/>
        </w:numPr>
        <w:contextualSpacing/>
        <w:jc w:val="both"/>
        <w:rPr>
          <w:rFonts w:asciiTheme="majorHAnsi" w:hAnsiTheme="majorHAnsi" w:cstheme="majorHAnsi"/>
          <w:sz w:val="20"/>
          <w:szCs w:val="20"/>
        </w:rPr>
      </w:pPr>
      <w:r w:rsidRPr="00B71114">
        <w:rPr>
          <w:rFonts w:asciiTheme="majorHAnsi" w:eastAsia="Arial Unicode MS" w:hAnsiTheme="majorHAnsi" w:cstheme="majorHAnsi"/>
          <w:sz w:val="20"/>
          <w:szCs w:val="20"/>
        </w:rPr>
        <w:t xml:space="preserve">If applicable, assess strengths and weaknesses related to this criterion and plans for improvement in this area. </w:t>
      </w:r>
    </w:p>
    <w:p w:rsidR="00933038" w:rsidRPr="00B71114" w:rsidRDefault="00933038" w:rsidP="006C308E">
      <w:pPr>
        <w:contextualSpacing/>
        <w:jc w:val="both"/>
        <w:rPr>
          <w:rFonts w:asciiTheme="majorHAnsi" w:eastAsia="Arial Unicode MS" w:hAnsiTheme="majorHAnsi" w:cstheme="majorHAnsi"/>
          <w:sz w:val="20"/>
          <w:szCs w:val="20"/>
        </w:rPr>
      </w:pPr>
    </w:p>
    <w:p w:rsidR="008F1E35" w:rsidRPr="00B71114" w:rsidRDefault="00D41B9A" w:rsidP="006C308E">
      <w:pPr>
        <w:pStyle w:val="Default"/>
        <w:ind w:left="720"/>
        <w:jc w:val="both"/>
        <w:rPr>
          <w:rFonts w:asciiTheme="majorHAnsi" w:hAnsiTheme="majorHAnsi" w:cstheme="majorHAnsi"/>
          <w:i/>
          <w:color w:val="auto"/>
          <w:szCs w:val="20"/>
        </w:rPr>
      </w:pPr>
      <w:r w:rsidRPr="00B71114">
        <w:rPr>
          <w:rFonts w:asciiTheme="majorHAnsi" w:hAnsiTheme="majorHAnsi" w:cstheme="majorHAnsi"/>
          <w:i/>
          <w:szCs w:val="20"/>
        </w:rPr>
        <w:t xml:space="preserve">Not applicable. </w:t>
      </w:r>
    </w:p>
    <w:p w:rsidR="00933038" w:rsidRPr="00B71114" w:rsidRDefault="00933038" w:rsidP="006C308E">
      <w:pPr>
        <w:shd w:val="clear" w:color="auto" w:fill="FFFFFF"/>
        <w:jc w:val="both"/>
        <w:rPr>
          <w:rFonts w:asciiTheme="majorHAnsi" w:eastAsia="Arial Unicode MS" w:hAnsiTheme="majorHAnsi" w:cstheme="majorHAnsi"/>
          <w:sz w:val="20"/>
          <w:szCs w:val="20"/>
        </w:rPr>
      </w:pPr>
    </w:p>
    <w:p w:rsidR="00933038" w:rsidRPr="00B71114" w:rsidRDefault="00933038" w:rsidP="006C308E">
      <w:pPr>
        <w:rPr>
          <w:rStyle w:val="Heading1Char"/>
        </w:rPr>
      </w:pPr>
      <w:r w:rsidRPr="00B71114">
        <w:rPr>
          <w:rStyle w:val="Heading1Char"/>
        </w:rPr>
        <w:br w:type="page"/>
      </w:r>
    </w:p>
    <w:p w:rsidR="00933038" w:rsidRPr="00E80636" w:rsidRDefault="00933038" w:rsidP="007A68BE">
      <w:pPr>
        <w:pStyle w:val="Heading1"/>
      </w:pPr>
      <w:bookmarkStart w:id="121" w:name="_Toc7118221"/>
      <w:r w:rsidRPr="00E80636">
        <w:rPr>
          <w:rStyle w:val="Heading1Char"/>
          <w:b/>
        </w:rPr>
        <w:t>E2. Integration of Faculty with Practice Experience</w:t>
      </w:r>
      <w:bookmarkEnd w:id="121"/>
      <w:r w:rsidRPr="00E80636">
        <w:t xml:space="preserve"> </w:t>
      </w:r>
    </w:p>
    <w:p w:rsidR="00933038" w:rsidRPr="00E80636" w:rsidRDefault="00933038" w:rsidP="006C308E">
      <w:pPr>
        <w:jc w:val="both"/>
        <w:rPr>
          <w:rFonts w:asciiTheme="majorHAnsi" w:hAnsiTheme="majorHAnsi" w:cstheme="majorHAnsi"/>
          <w:b/>
          <w:sz w:val="20"/>
          <w:szCs w:val="20"/>
        </w:rPr>
      </w:pPr>
    </w:p>
    <w:p w:rsidR="00933038" w:rsidRPr="00E80636" w:rsidRDefault="00933038" w:rsidP="006C308E">
      <w:pPr>
        <w:jc w:val="both"/>
        <w:rPr>
          <w:rFonts w:asciiTheme="majorHAnsi" w:hAnsiTheme="majorHAnsi" w:cstheme="majorHAnsi"/>
          <w:b/>
          <w:sz w:val="20"/>
          <w:szCs w:val="20"/>
        </w:rPr>
      </w:pPr>
      <w:r w:rsidRPr="00E80636">
        <w:rPr>
          <w:rFonts w:asciiTheme="majorHAnsi" w:hAnsiTheme="majorHAnsi" w:cstheme="majorHAnsi"/>
          <w:b/>
          <w:sz w:val="20"/>
          <w:szCs w:val="20"/>
        </w:rPr>
        <w:t>To assure a broad public health perspective, the school employs faculty who have professional experience in settings outside of academia and have demonstrated competence in public health practice. Schools encourage faculty to maintain ongoing practice links with public health agencies, especially at state and local levels.</w:t>
      </w:r>
    </w:p>
    <w:p w:rsidR="00933038" w:rsidRPr="00E80636" w:rsidRDefault="00933038" w:rsidP="006C308E">
      <w:pPr>
        <w:contextualSpacing/>
        <w:jc w:val="both"/>
        <w:rPr>
          <w:rFonts w:asciiTheme="majorHAnsi" w:hAnsiTheme="majorHAnsi" w:cstheme="majorHAnsi"/>
          <w:b/>
          <w:sz w:val="20"/>
          <w:szCs w:val="20"/>
        </w:rPr>
      </w:pPr>
    </w:p>
    <w:p w:rsidR="00933038" w:rsidRPr="00E80636" w:rsidRDefault="00933038" w:rsidP="006C308E">
      <w:pPr>
        <w:contextualSpacing/>
        <w:jc w:val="both"/>
        <w:rPr>
          <w:rFonts w:asciiTheme="majorHAnsi" w:hAnsiTheme="majorHAnsi" w:cstheme="majorHAnsi"/>
          <w:b/>
          <w:sz w:val="20"/>
          <w:szCs w:val="20"/>
        </w:rPr>
      </w:pPr>
      <w:r w:rsidRPr="00E80636">
        <w:rPr>
          <w:rFonts w:asciiTheme="majorHAnsi" w:hAnsiTheme="majorHAnsi" w:cstheme="majorHAnsi"/>
          <w:b/>
          <w:sz w:val="20"/>
          <w:szCs w:val="20"/>
        </w:rPr>
        <w:t>To assure the relevance of curricula and individual learning experiences to current and future practice needs and opportunities, schools regularly involve public health practitioners and other individuals involved in public health work through arrangements that may include adjunct and part-time faculty appointments, guest lectures, involvement in committee work, mentoring students, etc.</w:t>
      </w:r>
    </w:p>
    <w:p w:rsidR="00933038" w:rsidRPr="00E80636" w:rsidRDefault="00933038" w:rsidP="006C308E">
      <w:pPr>
        <w:contextualSpacing/>
        <w:jc w:val="both"/>
        <w:rPr>
          <w:rFonts w:asciiTheme="majorHAnsi" w:hAnsiTheme="majorHAnsi" w:cstheme="majorHAnsi"/>
          <w:sz w:val="20"/>
          <w:szCs w:val="20"/>
        </w:rPr>
      </w:pPr>
    </w:p>
    <w:p w:rsidR="00933038" w:rsidRPr="00E80636" w:rsidRDefault="00933038" w:rsidP="006C308E">
      <w:pPr>
        <w:numPr>
          <w:ilvl w:val="0"/>
          <w:numId w:val="32"/>
        </w:numPr>
        <w:jc w:val="both"/>
        <w:rPr>
          <w:rFonts w:asciiTheme="majorHAnsi" w:hAnsiTheme="majorHAnsi" w:cstheme="majorHAnsi"/>
          <w:sz w:val="20"/>
          <w:szCs w:val="20"/>
        </w:rPr>
      </w:pPr>
      <w:r w:rsidRPr="00E80636">
        <w:rPr>
          <w:rFonts w:asciiTheme="majorHAnsi" w:hAnsiTheme="majorHAnsi" w:cstheme="majorHAnsi"/>
          <w:sz w:val="20"/>
          <w:szCs w:val="20"/>
        </w:rPr>
        <w:t xml:space="preserve">Describe the manner in which the public health faculty complement integrates perspectives from the field of practice, including information on appointment tracks for practitioners, if applicable. Faculty with significant practice experience outside of that which is typically associated with an academic career should also be identified. </w:t>
      </w:r>
    </w:p>
    <w:p w:rsidR="00933038" w:rsidRPr="00E80636" w:rsidRDefault="00933038" w:rsidP="006C308E">
      <w:pPr>
        <w:jc w:val="both"/>
        <w:rPr>
          <w:rFonts w:asciiTheme="majorHAnsi" w:hAnsiTheme="majorHAnsi" w:cstheme="majorHAnsi"/>
          <w:sz w:val="20"/>
          <w:szCs w:val="20"/>
        </w:rPr>
      </w:pPr>
    </w:p>
    <w:p w:rsidR="00D76FA8" w:rsidRPr="00E80636" w:rsidRDefault="00D76FA8" w:rsidP="006C308E">
      <w:pPr>
        <w:ind w:left="72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The UTHealth School of Public Health integrates perspectives from the field of public health practice through: (a) employing faculty who have professional experience in public health practice and are leaders in public health practice; (b) providing adjunct faculty positions to experienced public health practitioners; (c) evaluating and recognizing faculty on their exceptional practice experience; (d) regularly using guest lecturers in courses to provide their experience; (e) involving public health practitioners in student research committees; (f) involving public health practitioners on the Practice Council and other school planning committees; and (g) regularly involving practitioners and faculty service experience in classroom instruction, grant applications, and the day-to-day life of the school.</w:t>
      </w:r>
    </w:p>
    <w:p w:rsidR="00D76FA8" w:rsidRPr="00E80636" w:rsidRDefault="00D76FA8" w:rsidP="006C308E">
      <w:pPr>
        <w:ind w:left="720"/>
        <w:jc w:val="both"/>
        <w:rPr>
          <w:rFonts w:asciiTheme="majorHAnsi" w:eastAsia="Times New Roman" w:hAnsiTheme="majorHAnsi" w:cstheme="majorHAnsi"/>
          <w:color w:val="000000"/>
          <w:sz w:val="20"/>
          <w:szCs w:val="20"/>
        </w:rPr>
      </w:pPr>
    </w:p>
    <w:p w:rsidR="00D76FA8" w:rsidRPr="00E80636" w:rsidRDefault="00D76FA8" w:rsidP="006C308E">
      <w:pPr>
        <w:pStyle w:val="ListParagraph"/>
        <w:numPr>
          <w:ilvl w:val="0"/>
          <w:numId w:val="151"/>
        </w:numPr>
        <w:autoSpaceDE w:val="0"/>
        <w:autoSpaceDN w:val="0"/>
        <w:adjustRightInd w:val="0"/>
        <w:rPr>
          <w:rFonts w:asciiTheme="majorHAnsi" w:hAnsiTheme="majorHAnsi" w:cstheme="majorHAnsi"/>
          <w:color w:val="000000"/>
          <w:szCs w:val="20"/>
        </w:rPr>
      </w:pPr>
      <w:r w:rsidRPr="00E80636">
        <w:rPr>
          <w:rFonts w:asciiTheme="majorHAnsi" w:hAnsiTheme="majorHAnsi" w:cstheme="majorHAnsi"/>
          <w:color w:val="000000"/>
          <w:szCs w:val="20"/>
        </w:rPr>
        <w:t>According to a 2018 survey of our faculty, almost half (48%) had formal public health experience prior to being employed at the UTHealth School of Public Health. Faculty have a wide range of experience working in international health organizations, non-profit advocacy organizations, community-based organizations, federal health and public health organizations, and state and local health departments. The following are examples of public health practice experience:</w:t>
      </w:r>
    </w:p>
    <w:p w:rsidR="00D76FA8" w:rsidRPr="00E80636" w:rsidRDefault="00D76FA8" w:rsidP="006C308E">
      <w:pPr>
        <w:autoSpaceDE w:val="0"/>
        <w:autoSpaceDN w:val="0"/>
        <w:adjustRightInd w:val="0"/>
        <w:ind w:left="1080"/>
        <w:rPr>
          <w:rFonts w:asciiTheme="majorHAnsi" w:eastAsia="Times New Roman" w:hAnsiTheme="majorHAnsi" w:cstheme="majorHAnsi"/>
          <w:color w:val="000000"/>
          <w:sz w:val="20"/>
          <w:szCs w:val="20"/>
        </w:rPr>
      </w:pPr>
    </w:p>
    <w:p w:rsidR="00D76FA8" w:rsidRPr="00E80636" w:rsidRDefault="00D76FA8" w:rsidP="006C308E">
      <w:pPr>
        <w:pStyle w:val="ListParagraph"/>
        <w:numPr>
          <w:ilvl w:val="0"/>
          <w:numId w:val="74"/>
        </w:numPr>
        <w:autoSpaceDE w:val="0"/>
        <w:autoSpaceDN w:val="0"/>
        <w:adjustRightInd w:val="0"/>
        <w:ind w:left="1800"/>
        <w:contextualSpacing/>
        <w:rPr>
          <w:rFonts w:asciiTheme="majorHAnsi" w:hAnsiTheme="majorHAnsi" w:cstheme="majorHAnsi"/>
          <w:szCs w:val="20"/>
        </w:rPr>
      </w:pPr>
      <w:r w:rsidRPr="00E80636">
        <w:rPr>
          <w:rFonts w:asciiTheme="majorHAnsi" w:hAnsiTheme="majorHAnsi" w:cstheme="majorHAnsi"/>
          <w:color w:val="000000"/>
          <w:szCs w:val="20"/>
        </w:rPr>
        <w:t xml:space="preserve">Catherine Troisi, PhD, a tenured professor in the Department of Management, Policy and Community Health, worked for the </w:t>
      </w:r>
      <w:r w:rsidRPr="00E80636">
        <w:rPr>
          <w:rFonts w:asciiTheme="majorHAnsi" w:hAnsiTheme="majorHAnsi" w:cstheme="majorHAnsi"/>
          <w:szCs w:val="20"/>
        </w:rPr>
        <w:t xml:space="preserve">Houston Health Department (HHD) for seven (7) years, first as Bureau Chief for HIV/STD Prevention, then, after a year, as Assistant Director for HHD, over the Division of Disease Prevention and Control.  In this role, Dr. Troisi oversaw 250+ employees in the Bureaus of HIV/STD/Viral Hepatitis, Immunization, TB Control, Area Agency on Aging, Jail Health and, for a period until reorganization, the Laboratory.  She then directed the Office of Public Health Practice that had responsibility for policy development, research collaborations with academic institutions, promotion of public health education for staff, and preparation of the forthcoming health department accreditation process. During her time at HHD, she had further responsibilities in Public Health Preparedness and served as Incident Commander during 2009 H1N1 and Katrina response at the George R. Brown Convention Center shelter.  </w:t>
      </w:r>
    </w:p>
    <w:p w:rsidR="00D76FA8" w:rsidRPr="00E80636" w:rsidRDefault="00D76FA8" w:rsidP="006C308E">
      <w:pPr>
        <w:autoSpaceDE w:val="0"/>
        <w:autoSpaceDN w:val="0"/>
        <w:adjustRightInd w:val="0"/>
        <w:ind w:left="360"/>
        <w:rPr>
          <w:rFonts w:asciiTheme="majorHAnsi" w:eastAsia="Times New Roman" w:hAnsiTheme="majorHAnsi" w:cstheme="majorHAnsi"/>
          <w:color w:val="000000"/>
          <w:sz w:val="20"/>
          <w:szCs w:val="20"/>
        </w:rPr>
      </w:pPr>
    </w:p>
    <w:p w:rsidR="00D76FA8" w:rsidRPr="00E80636" w:rsidRDefault="00D76FA8" w:rsidP="006C308E">
      <w:pPr>
        <w:pStyle w:val="m-2208960558059457134datafield11pt-single"/>
        <w:numPr>
          <w:ilvl w:val="0"/>
          <w:numId w:val="74"/>
        </w:numPr>
        <w:spacing w:before="0" w:beforeAutospacing="0" w:after="0" w:afterAutospacing="0"/>
        <w:ind w:left="1800"/>
        <w:rPr>
          <w:rFonts w:asciiTheme="majorHAnsi" w:eastAsia="Times New Roman" w:hAnsiTheme="majorHAnsi" w:cstheme="majorHAnsi"/>
          <w:color w:val="000000"/>
          <w:sz w:val="20"/>
          <w:szCs w:val="20"/>
        </w:rPr>
      </w:pPr>
      <w:r w:rsidRPr="00E80636">
        <w:rPr>
          <w:rFonts w:asciiTheme="majorHAnsi" w:hAnsiTheme="majorHAnsi" w:cstheme="majorHAnsi"/>
          <w:bCs/>
          <w:sz w:val="20"/>
          <w:szCs w:val="20"/>
        </w:rPr>
        <w:t>Andrew Springer, DrPH</w:t>
      </w:r>
      <w:r w:rsidRPr="00E80636">
        <w:rPr>
          <w:rFonts w:asciiTheme="majorHAnsi" w:hAnsiTheme="majorHAnsi" w:cstheme="majorHAnsi"/>
          <w:sz w:val="20"/>
          <w:szCs w:val="20"/>
        </w:rPr>
        <w:t xml:space="preserve">, a tenured associate professor in the Department of Health Promotion and Behavioral Sciences, served as Director of Latin American Programs for the nonprofit organization </w:t>
      </w:r>
      <w:r w:rsidRPr="00E80636">
        <w:rPr>
          <w:rFonts w:asciiTheme="majorHAnsi" w:hAnsiTheme="majorHAnsi" w:cstheme="majorHAnsi"/>
          <w:i/>
          <w:sz w:val="20"/>
          <w:szCs w:val="20"/>
        </w:rPr>
        <w:t>Amigos de las Americas</w:t>
      </w:r>
      <w:r w:rsidRPr="00E80636">
        <w:rPr>
          <w:rFonts w:asciiTheme="majorHAnsi" w:hAnsiTheme="majorHAnsi" w:cstheme="majorHAnsi"/>
          <w:sz w:val="20"/>
          <w:szCs w:val="20"/>
        </w:rPr>
        <w:t xml:space="preserve">. In this role, Dr. Springer developed and oversaw youth-led community health programs in eight Latin American countries. He also served as a project director of rural-based public health programs (diarrheal disease prevention, community sanitation, dental hygiene promotion) in Costa Rica, Ecuador, and Mexico. He also served as an evaluation specialist with Save the Children in El Salvador and program fellow with the United Nations Development Programme in the Ixil Triangle, Guatemala. </w:t>
      </w:r>
    </w:p>
    <w:p w:rsidR="00D76FA8" w:rsidRPr="00723782" w:rsidRDefault="00D76FA8" w:rsidP="006C308E">
      <w:pPr>
        <w:pStyle w:val="m-2208960558059457134datafield11pt-single"/>
        <w:numPr>
          <w:ilvl w:val="0"/>
          <w:numId w:val="74"/>
        </w:numPr>
        <w:spacing w:before="0" w:beforeAutospacing="0" w:after="0" w:afterAutospacing="0"/>
        <w:ind w:left="1800"/>
        <w:rPr>
          <w:rFonts w:asciiTheme="majorHAnsi" w:eastAsia="Times New Roman" w:hAnsiTheme="majorHAnsi" w:cstheme="majorHAnsi"/>
          <w:color w:val="000000"/>
          <w:sz w:val="20"/>
          <w:szCs w:val="20"/>
        </w:rPr>
      </w:pPr>
      <w:r w:rsidRPr="00E80636">
        <w:rPr>
          <w:rFonts w:asciiTheme="majorHAnsi" w:eastAsia="Times New Roman" w:hAnsiTheme="majorHAnsi" w:cstheme="majorHAnsi"/>
          <w:sz w:val="20"/>
          <w:szCs w:val="20"/>
        </w:rPr>
        <w:t>Harold W. “Bill” Kohl, III, PhD, a tenured professor in the Department of Epidemiology, Human Genetics and Environmental Sciences, was formerly employed with the U.S. Centers for Disease Control and Prevention (CDC). During his tenure at CDC, Dr. Kohl was involved with several aspects of public health practice. He was the section chief responsible for Epidemiology and Surveillance in the Physical Activity and Health Branch of the Division of Nutrition, Physical Activity and Obesity. In this role, he was responsible for development and analyses of aspects of the Behavioral Risk Factor Surveillance System (BRFSS) and other U.S. surveillance systems that track physical activity behaviors in adults. He consulted with the Division of School Health for surveillance (Youth Risk Factor Behavior Surveillance System, YRBSS), as well as with the evaluation project for the national physical activity promotion program VERB.  Dr. Kohl was also the CDC lead on the development of the first Physical Activity Guidelines for Americans, and he worked closely with the World Health Organization (WHO) for global efforts to develop capacity to improve physical activity and public health.  Lastly, he served as a primary Epidemic Intelligence Service (EIS) supervisor for three Fellows.</w:t>
      </w:r>
    </w:p>
    <w:p w:rsidR="00723782" w:rsidRPr="00E80636" w:rsidRDefault="00723782" w:rsidP="00723782">
      <w:pPr>
        <w:pStyle w:val="m-2208960558059457134datafield11pt-single"/>
        <w:spacing w:before="0" w:beforeAutospacing="0" w:after="0" w:afterAutospacing="0"/>
        <w:ind w:left="1800"/>
        <w:rPr>
          <w:rFonts w:asciiTheme="majorHAnsi" w:eastAsia="Times New Roman" w:hAnsiTheme="majorHAnsi" w:cstheme="majorHAnsi"/>
          <w:color w:val="000000"/>
          <w:sz w:val="20"/>
          <w:szCs w:val="20"/>
        </w:rPr>
      </w:pPr>
    </w:p>
    <w:p w:rsidR="00D76FA8" w:rsidRPr="00723782" w:rsidRDefault="00D76FA8" w:rsidP="006C308E">
      <w:pPr>
        <w:pStyle w:val="NormalWeb"/>
        <w:numPr>
          <w:ilvl w:val="0"/>
          <w:numId w:val="74"/>
        </w:numPr>
        <w:shd w:val="clear" w:color="auto" w:fill="FFFFFF"/>
        <w:spacing w:before="0" w:beforeAutospacing="0" w:after="0" w:afterAutospacing="0"/>
        <w:ind w:left="1800"/>
        <w:rPr>
          <w:rFonts w:asciiTheme="majorHAnsi" w:hAnsiTheme="majorHAnsi" w:cstheme="majorHAnsi"/>
          <w:color w:val="222222"/>
          <w:sz w:val="20"/>
          <w:szCs w:val="20"/>
        </w:rPr>
      </w:pPr>
      <w:r w:rsidRPr="00E80636">
        <w:rPr>
          <w:rFonts w:asciiTheme="majorHAnsi" w:hAnsiTheme="majorHAnsi" w:cstheme="majorHAnsi"/>
          <w:color w:val="222222"/>
          <w:sz w:val="20"/>
          <w:szCs w:val="20"/>
        </w:rPr>
        <w:t xml:space="preserve">Dr. Joseph B. McCormick, MD, MS, is a professor in the Department of Epidemiology, Human Genetics, and Environmental Sciences at the Brownsville campus. Prior to joining the UTHealth School of Public Health, Dr. McCormick had over 30 years of experience working with CDC, the World Health Organization (WHO), and the Pan American Health Organization. At CDC, he served as Chief of </w:t>
      </w:r>
      <w:r w:rsidRPr="00E80636">
        <w:rPr>
          <w:rFonts w:asciiTheme="majorHAnsi" w:hAnsiTheme="majorHAnsi" w:cstheme="majorHAnsi"/>
          <w:sz w:val="20"/>
          <w:szCs w:val="20"/>
        </w:rPr>
        <w:t>Immunobiology Activity, Malaria Branch; Assistant to Director, Division of HIV/AIDS; Chief, Special Pathogens Branch, Division of Viral Diseases; and Director of the Lassa Fever Research Project, Sierra Leone, West Africa. He is known for his extensive contributions to the understanding of hemorrhagic fevers, and for his role in the first outbreak investigatio</w:t>
      </w:r>
      <w:r w:rsidR="00723782">
        <w:rPr>
          <w:rFonts w:asciiTheme="majorHAnsi" w:hAnsiTheme="majorHAnsi" w:cstheme="majorHAnsi"/>
          <w:sz w:val="20"/>
          <w:szCs w:val="20"/>
        </w:rPr>
        <w:t>n of the Ebola virus in Africa.</w:t>
      </w:r>
    </w:p>
    <w:p w:rsidR="00723782" w:rsidRPr="00E80636" w:rsidRDefault="00723782" w:rsidP="00723782">
      <w:pPr>
        <w:pStyle w:val="NormalWeb"/>
        <w:shd w:val="clear" w:color="auto" w:fill="FFFFFF"/>
        <w:spacing w:before="0" w:beforeAutospacing="0" w:after="0" w:afterAutospacing="0"/>
        <w:rPr>
          <w:rFonts w:asciiTheme="majorHAnsi" w:hAnsiTheme="majorHAnsi" w:cstheme="majorHAnsi"/>
          <w:color w:val="222222"/>
          <w:sz w:val="20"/>
          <w:szCs w:val="20"/>
        </w:rPr>
      </w:pPr>
    </w:p>
    <w:p w:rsidR="00D76FA8" w:rsidRPr="00E80636" w:rsidRDefault="00D76FA8" w:rsidP="006C308E">
      <w:pPr>
        <w:pStyle w:val="NormalWeb"/>
        <w:numPr>
          <w:ilvl w:val="0"/>
          <w:numId w:val="74"/>
        </w:numPr>
        <w:shd w:val="clear" w:color="auto" w:fill="FFFFFF"/>
        <w:spacing w:before="0" w:beforeAutospacing="0" w:after="0" w:afterAutospacing="0"/>
        <w:ind w:left="1800"/>
        <w:rPr>
          <w:rFonts w:asciiTheme="majorHAnsi" w:hAnsiTheme="majorHAnsi" w:cstheme="majorHAnsi"/>
          <w:color w:val="222222"/>
          <w:sz w:val="20"/>
          <w:szCs w:val="20"/>
        </w:rPr>
      </w:pPr>
      <w:r w:rsidRPr="00E80636">
        <w:rPr>
          <w:rFonts w:asciiTheme="majorHAnsi" w:hAnsiTheme="majorHAnsi" w:cstheme="majorHAnsi"/>
          <w:sz w:val="20"/>
          <w:szCs w:val="20"/>
        </w:rPr>
        <w:t xml:space="preserve">Linda Highfield, PhD, is a tenured associate professor in the Department of Management, Policy and Community Health. </w:t>
      </w:r>
      <w:r w:rsidRPr="00E80636">
        <w:rPr>
          <w:rFonts w:asciiTheme="majorHAnsi" w:hAnsiTheme="majorHAnsi" w:cstheme="majorHAnsi"/>
          <w:color w:val="222222"/>
          <w:sz w:val="20"/>
          <w:szCs w:val="20"/>
        </w:rPr>
        <w:t>Prior to joining the UTHealth School of Public Health,</w:t>
      </w:r>
      <w:r w:rsidRPr="00E80636">
        <w:rPr>
          <w:rFonts w:asciiTheme="majorHAnsi" w:hAnsiTheme="majorHAnsi" w:cstheme="majorHAnsi"/>
          <w:sz w:val="20"/>
          <w:szCs w:val="20"/>
        </w:rPr>
        <w:t xml:space="preserve"> Dr. Highfield was the director of research for the Episcopal Health Charities Center for Community Based Research, a $200-million nonprofit public health charity serving 57 Texas counties. As the director of research, she led a team of seven individuals in the conduct of community-based participatory research (CBPR) projects, teaching, and service.</w:t>
      </w:r>
    </w:p>
    <w:p w:rsidR="00D76FA8" w:rsidRPr="00E80636" w:rsidRDefault="00D76FA8" w:rsidP="006C308E">
      <w:pPr>
        <w:ind w:left="1080"/>
        <w:jc w:val="both"/>
        <w:rPr>
          <w:rFonts w:asciiTheme="majorHAnsi" w:eastAsia="Times New Roman" w:hAnsiTheme="majorHAnsi" w:cstheme="majorHAnsi"/>
          <w:color w:val="000000"/>
          <w:sz w:val="20"/>
          <w:szCs w:val="20"/>
        </w:rPr>
      </w:pPr>
    </w:p>
    <w:p w:rsidR="00D76FA8" w:rsidRPr="00E80636" w:rsidRDefault="00D76FA8" w:rsidP="006C308E">
      <w:pPr>
        <w:pStyle w:val="NormalWeb"/>
        <w:numPr>
          <w:ilvl w:val="0"/>
          <w:numId w:val="150"/>
        </w:numPr>
        <w:shd w:val="clear" w:color="auto" w:fill="FFFFFF"/>
        <w:autoSpaceDE w:val="0"/>
        <w:autoSpaceDN w:val="0"/>
        <w:adjustRightInd w:val="0"/>
        <w:spacing w:before="0" w:beforeAutospacing="0" w:after="0" w:afterAutospacing="0"/>
        <w:ind w:left="1440"/>
        <w:rPr>
          <w:rFonts w:asciiTheme="majorHAnsi" w:hAnsiTheme="majorHAnsi" w:cstheme="majorHAnsi"/>
          <w:color w:val="000000"/>
          <w:sz w:val="20"/>
          <w:szCs w:val="20"/>
        </w:rPr>
      </w:pPr>
      <w:r w:rsidRPr="00B71114">
        <w:rPr>
          <w:rFonts w:asciiTheme="majorHAnsi" w:hAnsiTheme="majorHAnsi" w:cstheme="majorHAnsi"/>
          <w:color w:val="000000"/>
          <w:sz w:val="20"/>
          <w:szCs w:val="20"/>
        </w:rPr>
        <w:t>The UTHealth School of Public Health</w:t>
      </w:r>
      <w:r w:rsidRPr="00B71114">
        <w:rPr>
          <w:rFonts w:asciiTheme="majorHAnsi" w:hAnsiTheme="majorHAnsi" w:cstheme="majorHAnsi"/>
          <w:color w:val="222222"/>
          <w:sz w:val="20"/>
          <w:szCs w:val="20"/>
        </w:rPr>
        <w:t xml:space="preserve"> has over 300 adjunct faculty </w:t>
      </w:r>
      <w:r w:rsidR="005F7340" w:rsidRPr="00B71114">
        <w:rPr>
          <w:rFonts w:asciiTheme="majorHAnsi" w:hAnsiTheme="majorHAnsi" w:cstheme="majorHAnsi"/>
          <w:color w:val="222222"/>
          <w:sz w:val="20"/>
          <w:szCs w:val="20"/>
        </w:rPr>
        <w:t>(</w:t>
      </w:r>
      <w:r w:rsidR="005F7340" w:rsidRPr="00B71114">
        <w:rPr>
          <w:rFonts w:asciiTheme="majorHAnsi" w:hAnsiTheme="majorHAnsi" w:cstheme="majorHAnsi"/>
          <w:i/>
          <w:color w:val="222222"/>
          <w:sz w:val="20"/>
          <w:szCs w:val="20"/>
        </w:rPr>
        <w:t xml:space="preserve">ERF, </w:t>
      </w:r>
      <w:r w:rsidR="00305013" w:rsidRPr="00B71114">
        <w:rPr>
          <w:rFonts w:asciiTheme="majorHAnsi" w:hAnsiTheme="majorHAnsi" w:cstheme="majorHAnsi"/>
          <w:i/>
          <w:color w:val="222222"/>
          <w:sz w:val="20"/>
          <w:szCs w:val="20"/>
        </w:rPr>
        <w:t xml:space="preserve">E2. Integration of Faculty with Practice Experience, </w:t>
      </w:r>
      <w:r w:rsidR="00305013" w:rsidRPr="00B71114">
        <w:rPr>
          <w:rFonts w:asciiTheme="majorHAnsi" w:hAnsiTheme="majorHAnsi" w:cstheme="majorHAnsi"/>
          <w:i/>
          <w:sz w:val="20"/>
          <w:szCs w:val="20"/>
        </w:rPr>
        <w:t>E2. UTHealth School of Public Health Adjunct Faculty</w:t>
      </w:r>
      <w:r w:rsidR="005F7340" w:rsidRPr="00B71114">
        <w:rPr>
          <w:rFonts w:asciiTheme="majorHAnsi" w:hAnsiTheme="majorHAnsi" w:cstheme="majorHAnsi"/>
          <w:color w:val="222222"/>
          <w:sz w:val="20"/>
          <w:szCs w:val="20"/>
        </w:rPr>
        <w:t xml:space="preserve">) </w:t>
      </w:r>
      <w:r w:rsidRPr="00B71114">
        <w:rPr>
          <w:rFonts w:asciiTheme="majorHAnsi" w:hAnsiTheme="majorHAnsi" w:cstheme="majorHAnsi"/>
          <w:color w:val="222222"/>
          <w:sz w:val="20"/>
          <w:szCs w:val="20"/>
        </w:rPr>
        <w:t>whose primary employment is external to the school. Over 200 adjunct faculty were selected for their interest and contributions to teaching and student mentoring because of their public health practice experience</w:t>
      </w:r>
      <w:r w:rsidRPr="00E80636">
        <w:rPr>
          <w:rFonts w:asciiTheme="majorHAnsi" w:hAnsiTheme="majorHAnsi" w:cstheme="majorHAnsi"/>
          <w:color w:val="222222"/>
          <w:sz w:val="20"/>
          <w:szCs w:val="20"/>
        </w:rPr>
        <w:t xml:space="preserve"> in various sectors, such as city and state government, government public health, nonprofits, private </w:t>
      </w:r>
      <w:r w:rsidR="00D06EEE" w:rsidRPr="00E80636">
        <w:rPr>
          <w:rFonts w:asciiTheme="majorHAnsi" w:hAnsiTheme="majorHAnsi" w:cstheme="majorHAnsi"/>
          <w:color w:val="222222"/>
          <w:sz w:val="20"/>
          <w:szCs w:val="20"/>
        </w:rPr>
        <w:t>healthcare</w:t>
      </w:r>
      <w:r w:rsidRPr="00E80636">
        <w:rPr>
          <w:rFonts w:asciiTheme="majorHAnsi" w:hAnsiTheme="majorHAnsi" w:cstheme="majorHAnsi"/>
          <w:color w:val="222222"/>
          <w:sz w:val="20"/>
          <w:szCs w:val="20"/>
        </w:rPr>
        <w:t>, and public health advocacy organizations. For example:</w:t>
      </w:r>
    </w:p>
    <w:p w:rsidR="00D76FA8" w:rsidRPr="00E80636" w:rsidRDefault="00D76FA8" w:rsidP="006C308E">
      <w:pPr>
        <w:pStyle w:val="NormalWeb"/>
        <w:shd w:val="clear" w:color="auto" w:fill="FFFFFF"/>
        <w:autoSpaceDE w:val="0"/>
        <w:autoSpaceDN w:val="0"/>
        <w:adjustRightInd w:val="0"/>
        <w:spacing w:before="0" w:beforeAutospacing="0" w:after="0" w:afterAutospacing="0"/>
        <w:ind w:left="720"/>
        <w:rPr>
          <w:rFonts w:asciiTheme="majorHAnsi" w:hAnsiTheme="majorHAnsi" w:cstheme="majorHAnsi"/>
          <w:color w:val="222222"/>
          <w:sz w:val="20"/>
          <w:szCs w:val="20"/>
        </w:rPr>
      </w:pPr>
    </w:p>
    <w:p w:rsidR="00D76FA8" w:rsidRPr="00E80636" w:rsidRDefault="00D76FA8" w:rsidP="006C308E">
      <w:pPr>
        <w:pStyle w:val="NormalWeb"/>
        <w:numPr>
          <w:ilvl w:val="0"/>
          <w:numId w:val="75"/>
        </w:numPr>
        <w:shd w:val="clear" w:color="auto" w:fill="FFFFFF"/>
        <w:tabs>
          <w:tab w:val="left" w:pos="1800"/>
        </w:tabs>
        <w:autoSpaceDE w:val="0"/>
        <w:autoSpaceDN w:val="0"/>
        <w:adjustRightInd w:val="0"/>
        <w:spacing w:before="0" w:beforeAutospacing="0" w:after="0" w:afterAutospacing="0"/>
        <w:ind w:left="1800"/>
        <w:jc w:val="both"/>
        <w:rPr>
          <w:rFonts w:asciiTheme="majorHAnsi" w:hAnsiTheme="majorHAnsi" w:cstheme="majorHAnsi"/>
          <w:sz w:val="20"/>
          <w:szCs w:val="20"/>
        </w:rPr>
      </w:pPr>
      <w:r w:rsidRPr="00E80636">
        <w:rPr>
          <w:rFonts w:asciiTheme="majorHAnsi" w:hAnsiTheme="majorHAnsi" w:cstheme="majorHAnsi"/>
          <w:sz w:val="20"/>
          <w:szCs w:val="20"/>
        </w:rPr>
        <w:t>Dr. Umair Shah, MD, MPH, is Director of the Harris County Public Health, the 3</w:t>
      </w:r>
      <w:r w:rsidRPr="00E80636">
        <w:rPr>
          <w:rFonts w:asciiTheme="majorHAnsi" w:hAnsiTheme="majorHAnsi" w:cstheme="majorHAnsi"/>
          <w:sz w:val="20"/>
          <w:szCs w:val="20"/>
          <w:vertAlign w:val="superscript"/>
        </w:rPr>
        <w:t>rd</w:t>
      </w:r>
      <w:r w:rsidRPr="00E80636">
        <w:rPr>
          <w:rFonts w:asciiTheme="majorHAnsi" w:hAnsiTheme="majorHAnsi" w:cstheme="majorHAnsi"/>
          <w:sz w:val="20"/>
          <w:szCs w:val="20"/>
        </w:rPr>
        <w:t xml:space="preserve"> largest and top-ranked county health department in the nation.</w:t>
      </w:r>
    </w:p>
    <w:p w:rsidR="00D76FA8" w:rsidRPr="00E80636" w:rsidRDefault="00D76FA8" w:rsidP="006C308E">
      <w:pPr>
        <w:pStyle w:val="pv-top-card-sectionsummary-text"/>
        <w:numPr>
          <w:ilvl w:val="0"/>
          <w:numId w:val="75"/>
        </w:numPr>
        <w:shd w:val="clear" w:color="auto" w:fill="FFFFFF"/>
        <w:tabs>
          <w:tab w:val="left" w:pos="1800"/>
        </w:tabs>
        <w:spacing w:before="0" w:beforeAutospacing="0" w:after="0" w:afterAutospacing="0"/>
        <w:ind w:left="1800"/>
        <w:textAlignment w:val="baseline"/>
        <w:rPr>
          <w:rStyle w:val="lt-line-clampraw-line"/>
          <w:rFonts w:asciiTheme="majorHAnsi" w:hAnsiTheme="majorHAnsi" w:cstheme="majorHAnsi"/>
          <w:sz w:val="20"/>
          <w:szCs w:val="20"/>
        </w:rPr>
      </w:pPr>
      <w:r w:rsidRPr="00E80636">
        <w:rPr>
          <w:rFonts w:asciiTheme="majorHAnsi" w:hAnsiTheme="majorHAnsi" w:cstheme="majorHAnsi"/>
          <w:sz w:val="20"/>
          <w:szCs w:val="20"/>
        </w:rPr>
        <w:t>Dr. Faiyaz</w:t>
      </w:r>
      <w:r w:rsidRPr="00E80636">
        <w:rPr>
          <w:rStyle w:val="lt-line-clampraw-line"/>
          <w:rFonts w:asciiTheme="majorHAnsi" w:hAnsiTheme="majorHAnsi" w:cstheme="majorHAnsi"/>
          <w:sz w:val="20"/>
          <w:szCs w:val="20"/>
          <w:bdr w:val="none" w:sz="0" w:space="0" w:color="auto" w:frame="1"/>
        </w:rPr>
        <w:t xml:space="preserve"> </w:t>
      </w:r>
      <w:r w:rsidRPr="00E80636">
        <w:rPr>
          <w:rStyle w:val="lt-line-clampraw-line"/>
          <w:rFonts w:asciiTheme="majorHAnsi" w:eastAsiaTheme="majorEastAsia" w:hAnsiTheme="majorHAnsi" w:cstheme="majorHAnsi"/>
          <w:sz w:val="20"/>
          <w:szCs w:val="20"/>
          <w:bdr w:val="none" w:sz="0" w:space="0" w:color="auto" w:frame="1"/>
        </w:rPr>
        <w:t>Bhojani</w:t>
      </w:r>
      <w:r w:rsidRPr="00E80636">
        <w:rPr>
          <w:rStyle w:val="lt-line-clampraw-line"/>
          <w:rFonts w:asciiTheme="majorHAnsi" w:hAnsiTheme="majorHAnsi" w:cstheme="majorHAnsi"/>
          <w:sz w:val="20"/>
          <w:szCs w:val="20"/>
          <w:bdr w:val="none" w:sz="0" w:space="0" w:color="auto" w:frame="1"/>
        </w:rPr>
        <w:t xml:space="preserve">, MD, DrPH, </w:t>
      </w:r>
      <w:r w:rsidRPr="00E80636">
        <w:rPr>
          <w:rFonts w:asciiTheme="majorHAnsi" w:hAnsiTheme="majorHAnsi" w:cstheme="majorHAnsi"/>
          <w:sz w:val="20"/>
          <w:szCs w:val="20"/>
          <w:shd w:val="clear" w:color="auto" w:fill="FFFFFF"/>
        </w:rPr>
        <w:t>leads Shell Oil’s Health Function in North &amp; South America and the Downstream Manufacturing Business globally. He is a public health physician who is board certified in internal medicine, preventive medicine, and occupational &amp; environmental health.</w:t>
      </w:r>
      <w:r w:rsidRPr="00E80636">
        <w:rPr>
          <w:rStyle w:val="lt-line-clampraw-line"/>
          <w:rFonts w:asciiTheme="majorHAnsi" w:hAnsiTheme="majorHAnsi" w:cstheme="majorHAnsi"/>
          <w:sz w:val="20"/>
          <w:szCs w:val="20"/>
          <w:bdr w:val="none" w:sz="0" w:space="0" w:color="auto" w:frame="1"/>
        </w:rPr>
        <w:t xml:space="preserve"> </w:t>
      </w:r>
    </w:p>
    <w:p w:rsidR="00D76FA8" w:rsidRPr="00E80636" w:rsidRDefault="00D76FA8" w:rsidP="006C308E">
      <w:pPr>
        <w:pStyle w:val="ListParagraph"/>
        <w:numPr>
          <w:ilvl w:val="0"/>
          <w:numId w:val="75"/>
        </w:numPr>
        <w:tabs>
          <w:tab w:val="left" w:pos="1800"/>
          <w:tab w:val="left" w:pos="2718"/>
          <w:tab w:val="left" w:pos="3528"/>
          <w:tab w:val="left" w:pos="4189"/>
          <w:tab w:val="left" w:pos="4878"/>
        </w:tabs>
        <w:ind w:left="1800"/>
        <w:contextualSpacing/>
        <w:rPr>
          <w:rFonts w:asciiTheme="majorHAnsi" w:hAnsiTheme="majorHAnsi" w:cstheme="majorHAnsi"/>
          <w:szCs w:val="20"/>
        </w:rPr>
      </w:pPr>
      <w:r w:rsidRPr="00E80636">
        <w:rPr>
          <w:rFonts w:asciiTheme="majorHAnsi" w:hAnsiTheme="majorHAnsi" w:cstheme="majorHAnsi"/>
          <w:szCs w:val="20"/>
        </w:rPr>
        <w:t xml:space="preserve">Amy Leonard, MPH, is vice president of public health for Legacy Community Health Services, a Federally Qualified Health Center that serves the Houston area. </w:t>
      </w:r>
    </w:p>
    <w:p w:rsidR="00D76FA8" w:rsidRPr="00E80636" w:rsidRDefault="00D76FA8" w:rsidP="006C308E">
      <w:pPr>
        <w:pStyle w:val="ListParagraph"/>
        <w:numPr>
          <w:ilvl w:val="0"/>
          <w:numId w:val="76"/>
        </w:numPr>
        <w:tabs>
          <w:tab w:val="left" w:pos="1800"/>
        </w:tabs>
        <w:ind w:left="1800"/>
        <w:contextualSpacing/>
        <w:rPr>
          <w:rFonts w:asciiTheme="majorHAnsi" w:hAnsiTheme="majorHAnsi" w:cstheme="majorHAnsi"/>
          <w:szCs w:val="20"/>
        </w:rPr>
      </w:pPr>
      <w:r w:rsidRPr="00E80636">
        <w:rPr>
          <w:rFonts w:asciiTheme="majorHAnsi" w:hAnsiTheme="majorHAnsi" w:cstheme="majorHAnsi"/>
          <w:szCs w:val="20"/>
          <w:shd w:val="clear" w:color="auto" w:fill="FFFFFF" w:themeFill="background1"/>
        </w:rPr>
        <w:t>Dr. Christopher Greeley, MD, is Chief of the Section of Public Health Pediatrics at Texas Children’s Hospital, and Professor and Vice-Chair for Community Health in the Department of Pediatrics at Baylor College of Medicine.  His expertise is in child abuse and early childhood experiences.</w:t>
      </w:r>
    </w:p>
    <w:p w:rsidR="00D76FA8" w:rsidRPr="00E80636" w:rsidRDefault="00D76FA8" w:rsidP="006C308E">
      <w:pPr>
        <w:pStyle w:val="ListParagraph"/>
        <w:numPr>
          <w:ilvl w:val="0"/>
          <w:numId w:val="76"/>
        </w:numPr>
        <w:tabs>
          <w:tab w:val="left" w:pos="1800"/>
        </w:tabs>
        <w:ind w:left="1800"/>
        <w:contextualSpacing/>
        <w:rPr>
          <w:rFonts w:asciiTheme="majorHAnsi" w:hAnsiTheme="majorHAnsi" w:cstheme="majorHAnsi"/>
          <w:szCs w:val="20"/>
        </w:rPr>
      </w:pPr>
      <w:r w:rsidRPr="00E80636">
        <w:rPr>
          <w:rFonts w:asciiTheme="majorHAnsi" w:hAnsiTheme="majorHAnsi" w:cstheme="majorHAnsi"/>
          <w:szCs w:val="20"/>
        </w:rPr>
        <w:t xml:space="preserve">Katherine Froehlich-Grobe, PhD, is currently the Associate Director of Research at Baylor Institute for Rehabilitation. She develops and evaluates health promotion programs for people who have disabilities. </w:t>
      </w:r>
    </w:p>
    <w:p w:rsidR="00D76FA8" w:rsidRPr="00E80636" w:rsidRDefault="00D76FA8" w:rsidP="006C308E">
      <w:pPr>
        <w:pStyle w:val="ListParagraph"/>
        <w:numPr>
          <w:ilvl w:val="0"/>
          <w:numId w:val="76"/>
        </w:numPr>
        <w:tabs>
          <w:tab w:val="left" w:pos="1800"/>
        </w:tabs>
        <w:ind w:left="1800"/>
        <w:contextualSpacing/>
        <w:rPr>
          <w:rStyle w:val="lt-line-clampline"/>
          <w:rFonts w:asciiTheme="majorHAnsi" w:hAnsiTheme="majorHAnsi" w:cstheme="majorHAnsi"/>
          <w:szCs w:val="20"/>
        </w:rPr>
      </w:pPr>
      <w:r w:rsidRPr="00E80636">
        <w:rPr>
          <w:rStyle w:val="fn"/>
          <w:rFonts w:asciiTheme="majorHAnsi" w:hAnsiTheme="majorHAnsi" w:cstheme="majorHAnsi"/>
          <w:bCs/>
          <w:szCs w:val="20"/>
        </w:rPr>
        <w:t xml:space="preserve">Natalie P. Archer, PhD, is a </w:t>
      </w:r>
      <w:r w:rsidRPr="00E80636">
        <w:rPr>
          <w:rStyle w:val="lt-line-clampline"/>
          <w:rFonts w:asciiTheme="majorHAnsi" w:hAnsiTheme="majorHAnsi" w:cstheme="majorHAnsi"/>
          <w:szCs w:val="20"/>
          <w:bdr w:val="none" w:sz="0" w:space="0" w:color="auto" w:frame="1"/>
          <w:shd w:val="clear" w:color="auto" w:fill="FFFFFF"/>
        </w:rPr>
        <w:t xml:space="preserve">medical research specialist and team lead with the Maternal &amp; Child Health Epidemiology Unit, which is part of the Department of State Health Services Division for Community Health Improvement. </w:t>
      </w:r>
    </w:p>
    <w:p w:rsidR="00D76FA8" w:rsidRPr="00E80636" w:rsidRDefault="00D76FA8" w:rsidP="006C308E">
      <w:pPr>
        <w:pStyle w:val="ListParagraph"/>
        <w:numPr>
          <w:ilvl w:val="0"/>
          <w:numId w:val="76"/>
        </w:numPr>
        <w:tabs>
          <w:tab w:val="left" w:pos="1800"/>
        </w:tabs>
        <w:ind w:left="1800"/>
        <w:contextualSpacing/>
        <w:rPr>
          <w:rFonts w:asciiTheme="majorHAnsi" w:hAnsiTheme="majorHAnsi" w:cstheme="majorHAnsi"/>
          <w:szCs w:val="20"/>
        </w:rPr>
      </w:pPr>
      <w:r w:rsidRPr="00E80636">
        <w:rPr>
          <w:rFonts w:asciiTheme="majorHAnsi" w:hAnsiTheme="majorHAnsi" w:cstheme="majorHAnsi"/>
          <w:szCs w:val="20"/>
          <w:shd w:val="clear" w:color="auto" w:fill="FFFFFF"/>
        </w:rPr>
        <w:t>Sarah Felknor, DrPH, serves as the associate director for research integration and extramural performance at the National Institute for Occupational Safety and Health.</w:t>
      </w:r>
    </w:p>
    <w:p w:rsidR="00D76FA8" w:rsidRPr="00E80636" w:rsidRDefault="00D76FA8" w:rsidP="006C308E">
      <w:pPr>
        <w:pStyle w:val="ListParagraph"/>
        <w:numPr>
          <w:ilvl w:val="0"/>
          <w:numId w:val="76"/>
        </w:numPr>
        <w:tabs>
          <w:tab w:val="left" w:pos="1800"/>
        </w:tabs>
        <w:ind w:left="1800"/>
        <w:contextualSpacing/>
        <w:rPr>
          <w:rFonts w:asciiTheme="majorHAnsi" w:hAnsiTheme="majorHAnsi" w:cstheme="majorHAnsi"/>
          <w:szCs w:val="20"/>
        </w:rPr>
      </w:pPr>
      <w:r w:rsidRPr="00E80636">
        <w:rPr>
          <w:rFonts w:asciiTheme="majorHAnsi" w:hAnsiTheme="majorHAnsi" w:cstheme="majorHAnsi"/>
          <w:szCs w:val="20"/>
        </w:rPr>
        <w:t>Dr. Bryan Alsip, MD, MPH, is the Executive Vice President and Chief Medical Officer at University Health System.</w:t>
      </w:r>
    </w:p>
    <w:p w:rsidR="00D76FA8" w:rsidRPr="00E80636" w:rsidRDefault="00D76FA8" w:rsidP="006C308E">
      <w:pPr>
        <w:pStyle w:val="ListParagraph"/>
        <w:numPr>
          <w:ilvl w:val="0"/>
          <w:numId w:val="76"/>
        </w:numPr>
        <w:tabs>
          <w:tab w:val="left" w:pos="1800"/>
        </w:tabs>
        <w:ind w:left="1800"/>
        <w:contextualSpacing/>
        <w:rPr>
          <w:rFonts w:asciiTheme="majorHAnsi" w:hAnsiTheme="majorHAnsi" w:cstheme="majorHAnsi"/>
          <w:szCs w:val="20"/>
        </w:rPr>
      </w:pPr>
      <w:r w:rsidRPr="00E80636">
        <w:rPr>
          <w:rFonts w:asciiTheme="majorHAnsi" w:hAnsiTheme="majorHAnsi" w:cstheme="majorHAnsi"/>
          <w:szCs w:val="20"/>
          <w:shd w:val="clear" w:color="auto" w:fill="FFFFFF"/>
        </w:rPr>
        <w:t>Dr. C. Junda Woo, MD, MPH, is the San Antonio Metropolitan Health District Medical Director and the local health authority for Bexar and surrounding counties.</w:t>
      </w:r>
    </w:p>
    <w:p w:rsidR="00D76FA8" w:rsidRPr="00E80636" w:rsidRDefault="00D76FA8" w:rsidP="006C308E">
      <w:pPr>
        <w:pStyle w:val="ListParagraph"/>
        <w:numPr>
          <w:ilvl w:val="0"/>
          <w:numId w:val="76"/>
        </w:numPr>
        <w:tabs>
          <w:tab w:val="left" w:pos="1800"/>
        </w:tabs>
        <w:ind w:left="1800"/>
        <w:contextualSpacing/>
        <w:rPr>
          <w:rFonts w:asciiTheme="majorHAnsi" w:hAnsiTheme="majorHAnsi" w:cstheme="majorHAnsi"/>
          <w:szCs w:val="20"/>
        </w:rPr>
      </w:pPr>
      <w:r w:rsidRPr="00E80636">
        <w:rPr>
          <w:rFonts w:asciiTheme="majorHAnsi" w:hAnsiTheme="majorHAnsi" w:cstheme="majorHAnsi"/>
          <w:szCs w:val="20"/>
        </w:rPr>
        <w:t>Kayan Lewis, PhD, works for the Texas Department of State Health Services, Division of Family and Community Health Services, Office of Title V, Austin, Texas.</w:t>
      </w:r>
    </w:p>
    <w:p w:rsidR="00D76FA8" w:rsidRPr="00E80636" w:rsidRDefault="00D76FA8" w:rsidP="006C308E">
      <w:pPr>
        <w:pStyle w:val="ListParagraph"/>
        <w:numPr>
          <w:ilvl w:val="0"/>
          <w:numId w:val="76"/>
        </w:numPr>
        <w:tabs>
          <w:tab w:val="left" w:pos="1800"/>
        </w:tabs>
        <w:ind w:left="1800"/>
        <w:contextualSpacing/>
        <w:rPr>
          <w:rFonts w:asciiTheme="majorHAnsi" w:hAnsiTheme="majorHAnsi" w:cstheme="majorHAnsi"/>
          <w:szCs w:val="20"/>
        </w:rPr>
      </w:pPr>
      <w:r w:rsidRPr="00E80636">
        <w:rPr>
          <w:rFonts w:asciiTheme="majorHAnsi" w:hAnsiTheme="majorHAnsi" w:cstheme="majorHAnsi"/>
          <w:szCs w:val="20"/>
          <w:shd w:val="clear" w:color="auto" w:fill="FFFFFF"/>
        </w:rPr>
        <w:t>Mark A. Zezza, PhD, is a vice president in the Lewin Group's federal health and human services practice. Previously, he was an assistant vice president for The Commonwealth Fund's Delivery System Reform &amp; Cost Control programs.</w:t>
      </w:r>
    </w:p>
    <w:p w:rsidR="00D76FA8" w:rsidRPr="00E80636" w:rsidRDefault="00D76FA8" w:rsidP="006C308E">
      <w:pPr>
        <w:pStyle w:val="ListParagraph"/>
        <w:tabs>
          <w:tab w:val="left" w:pos="1800"/>
        </w:tabs>
        <w:ind w:left="1800"/>
        <w:contextualSpacing/>
        <w:rPr>
          <w:rFonts w:asciiTheme="majorHAnsi" w:hAnsiTheme="majorHAnsi" w:cstheme="majorHAnsi"/>
          <w:szCs w:val="20"/>
        </w:rPr>
      </w:pPr>
    </w:p>
    <w:p w:rsidR="00D76FA8" w:rsidRPr="00E80636" w:rsidRDefault="00D76FA8" w:rsidP="006C308E">
      <w:pPr>
        <w:pStyle w:val="ListParagraph"/>
        <w:numPr>
          <w:ilvl w:val="0"/>
          <w:numId w:val="150"/>
        </w:numPr>
        <w:tabs>
          <w:tab w:val="left" w:pos="1800"/>
        </w:tabs>
        <w:ind w:left="1440"/>
        <w:contextualSpacing/>
        <w:rPr>
          <w:rFonts w:asciiTheme="majorHAnsi" w:hAnsiTheme="majorHAnsi" w:cstheme="majorHAnsi"/>
          <w:szCs w:val="20"/>
        </w:rPr>
      </w:pPr>
      <w:r w:rsidRPr="00E80636">
        <w:rPr>
          <w:rFonts w:asciiTheme="majorHAnsi" w:hAnsiTheme="majorHAnsi" w:cstheme="majorHAnsi"/>
          <w:color w:val="000000"/>
          <w:szCs w:val="20"/>
        </w:rPr>
        <w:t xml:space="preserve">Faculty describe their service and practice activities in the Annual Activity Report (AAR), and are scored by their peers on their service activities. The UTHealth School of Public Health also recognizes two faculty members on their exceptional practice experience through the annual Excellence in Service Award. This award is presented to two faculty members who have made a continuous commitment to community service and practice on behalf of the school. The award recipients are recognized in the school-wide faculty meeting, and are provided with $1,000 in discretionary funds. </w:t>
      </w:r>
    </w:p>
    <w:p w:rsidR="00D76FA8" w:rsidRPr="00E80636" w:rsidRDefault="00D76FA8" w:rsidP="006C308E">
      <w:pPr>
        <w:pStyle w:val="ListParagraph"/>
        <w:tabs>
          <w:tab w:val="left" w:pos="1800"/>
        </w:tabs>
        <w:ind w:left="1080"/>
        <w:contextualSpacing/>
        <w:rPr>
          <w:rFonts w:asciiTheme="majorHAnsi" w:hAnsiTheme="majorHAnsi" w:cstheme="majorHAnsi"/>
          <w:szCs w:val="20"/>
        </w:rPr>
      </w:pPr>
    </w:p>
    <w:p w:rsidR="00D76FA8" w:rsidRPr="00E80636" w:rsidRDefault="00D76FA8" w:rsidP="006C308E">
      <w:pPr>
        <w:pStyle w:val="ListParagraph"/>
        <w:numPr>
          <w:ilvl w:val="0"/>
          <w:numId w:val="150"/>
        </w:numPr>
        <w:tabs>
          <w:tab w:val="left" w:pos="1800"/>
        </w:tabs>
        <w:ind w:left="1440"/>
        <w:contextualSpacing/>
        <w:rPr>
          <w:rFonts w:asciiTheme="majorHAnsi" w:hAnsiTheme="majorHAnsi" w:cstheme="majorHAnsi"/>
          <w:szCs w:val="20"/>
        </w:rPr>
      </w:pPr>
      <w:r w:rsidRPr="00E80636">
        <w:rPr>
          <w:rFonts w:asciiTheme="majorHAnsi" w:hAnsiTheme="majorHAnsi" w:cstheme="majorHAnsi"/>
          <w:color w:val="000000"/>
          <w:szCs w:val="20"/>
        </w:rPr>
        <w:t xml:space="preserve">Guest lecturers are regularly incorporated into courses to provide their public health practice experience.  Some examples of the fields represented by guest lecturers over the past year include: health law, environmental health, mosquito control, and law enforcement; risk management; public health department leadership, hospital executive leadership, and nonprofit directors; politicians; drug companies; and legislators. </w:t>
      </w:r>
    </w:p>
    <w:p w:rsidR="00D76FA8" w:rsidRPr="00E80636" w:rsidRDefault="00D76FA8" w:rsidP="006C308E">
      <w:pPr>
        <w:pStyle w:val="ListParagraph"/>
        <w:rPr>
          <w:rFonts w:asciiTheme="majorHAnsi" w:hAnsiTheme="majorHAnsi" w:cstheme="majorHAnsi"/>
          <w:szCs w:val="20"/>
        </w:rPr>
      </w:pPr>
    </w:p>
    <w:p w:rsidR="00D76FA8" w:rsidRPr="00E80636" w:rsidRDefault="00D76FA8" w:rsidP="006C308E">
      <w:pPr>
        <w:pStyle w:val="ListParagraph"/>
        <w:numPr>
          <w:ilvl w:val="0"/>
          <w:numId w:val="150"/>
        </w:numPr>
        <w:tabs>
          <w:tab w:val="left" w:pos="1800"/>
        </w:tabs>
        <w:ind w:left="1440"/>
        <w:contextualSpacing/>
        <w:rPr>
          <w:rFonts w:asciiTheme="majorHAnsi" w:hAnsiTheme="majorHAnsi" w:cstheme="majorHAnsi"/>
          <w:szCs w:val="20"/>
        </w:rPr>
      </w:pPr>
      <w:r w:rsidRPr="00E80636">
        <w:rPr>
          <w:rFonts w:asciiTheme="majorHAnsi" w:hAnsiTheme="majorHAnsi" w:cstheme="majorHAnsi"/>
          <w:color w:val="000000"/>
          <w:szCs w:val="20"/>
        </w:rPr>
        <w:t xml:space="preserve">Students conducting thesis or dissertation research regularly involve practitioners in their research committees. Students who are working directly with outside entities and agencies are encouraged to include a representative from that organization on their research committees.  </w:t>
      </w:r>
    </w:p>
    <w:p w:rsidR="00D76FA8" w:rsidRPr="00E80636" w:rsidRDefault="00D76FA8" w:rsidP="006C308E">
      <w:pPr>
        <w:pStyle w:val="ListParagraph"/>
        <w:rPr>
          <w:rFonts w:asciiTheme="majorHAnsi" w:hAnsiTheme="majorHAnsi" w:cstheme="majorHAnsi"/>
          <w:szCs w:val="20"/>
        </w:rPr>
      </w:pPr>
    </w:p>
    <w:p w:rsidR="00D76FA8" w:rsidRPr="00E80636" w:rsidRDefault="00D76FA8" w:rsidP="006C308E">
      <w:pPr>
        <w:pStyle w:val="ListParagraph"/>
        <w:numPr>
          <w:ilvl w:val="0"/>
          <w:numId w:val="150"/>
        </w:numPr>
        <w:tabs>
          <w:tab w:val="left" w:pos="1800"/>
        </w:tabs>
        <w:ind w:left="1440"/>
        <w:contextualSpacing/>
        <w:rPr>
          <w:rFonts w:asciiTheme="majorHAnsi" w:hAnsiTheme="majorHAnsi" w:cstheme="majorHAnsi"/>
          <w:color w:val="000000"/>
          <w:szCs w:val="20"/>
        </w:rPr>
      </w:pPr>
      <w:r w:rsidRPr="00E80636">
        <w:rPr>
          <w:rFonts w:asciiTheme="majorHAnsi" w:hAnsiTheme="majorHAnsi" w:cstheme="majorHAnsi"/>
          <w:color w:val="000000"/>
          <w:szCs w:val="20"/>
        </w:rPr>
        <w:t xml:space="preserve">Public health practitioners are involved in the Practice Council and in ad-hoc committees focused on the curriculum to ensure that the curriculum, the practicum, and thesis and dissertation experiences are relevant to current and future practice needs. An example of this involvement was the development of the CEPH Working Group to discuss how the UTHealth School of Public Health’s curriculum should be changed to be responsive to public health workforce needs and the new CEPH competencies. The CEPH Working Group included representatives from local hospitals; community clinics; and city, county, and state health departments. </w:t>
      </w:r>
    </w:p>
    <w:p w:rsidR="00D76FA8" w:rsidRPr="00E80636" w:rsidRDefault="00D76FA8" w:rsidP="006C308E">
      <w:pPr>
        <w:pStyle w:val="ListParagraph"/>
        <w:rPr>
          <w:rFonts w:asciiTheme="majorHAnsi" w:hAnsiTheme="majorHAnsi" w:cstheme="majorHAnsi"/>
          <w:color w:val="000000"/>
          <w:szCs w:val="20"/>
        </w:rPr>
      </w:pPr>
    </w:p>
    <w:p w:rsidR="00D76FA8" w:rsidRPr="00E80636" w:rsidRDefault="00D76FA8" w:rsidP="006C308E">
      <w:pPr>
        <w:pStyle w:val="ListParagraph"/>
        <w:numPr>
          <w:ilvl w:val="0"/>
          <w:numId w:val="150"/>
        </w:numPr>
        <w:tabs>
          <w:tab w:val="left" w:pos="1800"/>
        </w:tabs>
        <w:ind w:left="1440"/>
        <w:contextualSpacing/>
        <w:rPr>
          <w:rFonts w:asciiTheme="majorHAnsi" w:hAnsiTheme="majorHAnsi" w:cstheme="majorHAnsi"/>
          <w:color w:val="000000"/>
          <w:szCs w:val="20"/>
        </w:rPr>
      </w:pPr>
      <w:r w:rsidRPr="00E80636">
        <w:rPr>
          <w:rFonts w:asciiTheme="majorHAnsi" w:hAnsiTheme="majorHAnsi" w:cstheme="majorHAnsi"/>
          <w:color w:val="000000"/>
          <w:szCs w:val="20"/>
        </w:rPr>
        <w:t>UTHealth School of Public Health faculty regularly involve practitioners and their own service experience in classroom instruction, grant applications, and the day-to-day life of the school. Examples include:</w:t>
      </w:r>
    </w:p>
    <w:p w:rsidR="00D76FA8" w:rsidRPr="00E80636" w:rsidRDefault="00D76FA8" w:rsidP="006C308E">
      <w:pPr>
        <w:autoSpaceDE w:val="0"/>
        <w:autoSpaceDN w:val="0"/>
        <w:adjustRightInd w:val="0"/>
        <w:rPr>
          <w:rFonts w:asciiTheme="majorHAnsi" w:hAnsiTheme="majorHAnsi" w:cstheme="majorHAnsi"/>
          <w:color w:val="000000"/>
          <w:sz w:val="20"/>
          <w:szCs w:val="20"/>
        </w:rPr>
      </w:pPr>
    </w:p>
    <w:p w:rsidR="00D76FA8" w:rsidRPr="00E80636" w:rsidRDefault="00D76FA8" w:rsidP="006C308E">
      <w:pPr>
        <w:pStyle w:val="ListParagraph"/>
        <w:numPr>
          <w:ilvl w:val="0"/>
          <w:numId w:val="77"/>
        </w:numPr>
        <w:autoSpaceDE w:val="0"/>
        <w:autoSpaceDN w:val="0"/>
        <w:adjustRightInd w:val="0"/>
        <w:contextualSpacing/>
        <w:rPr>
          <w:rFonts w:asciiTheme="majorHAnsi" w:hAnsiTheme="majorHAnsi" w:cstheme="majorHAnsi"/>
          <w:color w:val="000000"/>
          <w:szCs w:val="20"/>
        </w:rPr>
      </w:pPr>
      <w:r w:rsidRPr="00E80636">
        <w:rPr>
          <w:rFonts w:asciiTheme="majorHAnsi" w:hAnsiTheme="majorHAnsi" w:cstheme="majorHAnsi"/>
          <w:szCs w:val="20"/>
        </w:rPr>
        <w:t>Hulin Wu, PhD, Professor &amp; Chair and Betty Wheless Trotter Professor</w:t>
      </w:r>
      <w:r w:rsidRPr="00E80636">
        <w:rPr>
          <w:rFonts w:asciiTheme="majorHAnsi" w:hAnsiTheme="majorHAnsi" w:cstheme="majorHAnsi"/>
          <w:color w:val="1F497D"/>
          <w:szCs w:val="20"/>
        </w:rPr>
        <w:t xml:space="preserve"> </w:t>
      </w:r>
      <w:r w:rsidRPr="00E80636">
        <w:rPr>
          <w:rFonts w:asciiTheme="majorHAnsi" w:hAnsiTheme="majorHAnsi" w:cstheme="majorHAnsi"/>
          <w:szCs w:val="20"/>
        </w:rPr>
        <w:t>of Biostatistics and Data Sciences</w:t>
      </w:r>
      <w:r w:rsidRPr="00E80636">
        <w:rPr>
          <w:rFonts w:asciiTheme="majorHAnsi" w:hAnsiTheme="majorHAnsi" w:cstheme="majorHAnsi"/>
          <w:color w:val="000000"/>
          <w:szCs w:val="20"/>
        </w:rPr>
        <w:t>, integrates his experience with industry consulting and collaborations into his class, "Communication, Collaboration and Leadership for Biostatisticians and Data Scientists."</w:t>
      </w:r>
    </w:p>
    <w:p w:rsidR="00D76FA8" w:rsidRPr="00E80636" w:rsidRDefault="00D76FA8" w:rsidP="006C308E">
      <w:pPr>
        <w:pStyle w:val="ListParagraph"/>
        <w:numPr>
          <w:ilvl w:val="0"/>
          <w:numId w:val="77"/>
        </w:numPr>
        <w:autoSpaceDE w:val="0"/>
        <w:autoSpaceDN w:val="0"/>
        <w:adjustRightInd w:val="0"/>
        <w:contextualSpacing/>
        <w:rPr>
          <w:rFonts w:asciiTheme="majorHAnsi" w:hAnsiTheme="majorHAnsi" w:cstheme="majorHAnsi"/>
          <w:color w:val="000000"/>
          <w:szCs w:val="20"/>
        </w:rPr>
      </w:pPr>
      <w:r w:rsidRPr="00E80636">
        <w:rPr>
          <w:rFonts w:asciiTheme="majorHAnsi" w:hAnsiTheme="majorHAnsi" w:cstheme="majorHAnsi"/>
          <w:color w:val="000000"/>
          <w:szCs w:val="20"/>
        </w:rPr>
        <w:t>Linda Highfield, PhD, Associate Professor, Management, Policy &amp; Community Health, uses her work with Komen Houston and their needs assessment results in teaching students needs assessment approaches, GIS, and spatial analysis.</w:t>
      </w:r>
    </w:p>
    <w:p w:rsidR="00D76FA8" w:rsidRPr="00E80636" w:rsidRDefault="00D76FA8" w:rsidP="006C308E">
      <w:pPr>
        <w:pStyle w:val="ListParagraph"/>
        <w:numPr>
          <w:ilvl w:val="0"/>
          <w:numId w:val="77"/>
        </w:numPr>
        <w:autoSpaceDE w:val="0"/>
        <w:autoSpaceDN w:val="0"/>
        <w:adjustRightInd w:val="0"/>
        <w:contextualSpacing/>
        <w:rPr>
          <w:rFonts w:asciiTheme="majorHAnsi" w:hAnsiTheme="majorHAnsi" w:cstheme="majorHAnsi"/>
          <w:color w:val="000000"/>
          <w:szCs w:val="20"/>
        </w:rPr>
      </w:pPr>
      <w:r w:rsidRPr="00E80636">
        <w:rPr>
          <w:rFonts w:asciiTheme="majorHAnsi" w:hAnsiTheme="majorHAnsi" w:cstheme="majorHAnsi"/>
          <w:color w:val="000000"/>
          <w:szCs w:val="20"/>
        </w:rPr>
        <w:t xml:space="preserve">Andrew Springer, DrPH, Associate Professor, Health Promotion &amp; Behavioral Sciences, invites community partners to share experiences with his health promotion and community-based participatory research classes. </w:t>
      </w:r>
    </w:p>
    <w:p w:rsidR="00D76FA8" w:rsidRPr="00E80636" w:rsidRDefault="00D76FA8" w:rsidP="006C308E">
      <w:pPr>
        <w:pStyle w:val="ListParagraph"/>
        <w:numPr>
          <w:ilvl w:val="0"/>
          <w:numId w:val="77"/>
        </w:numPr>
        <w:autoSpaceDE w:val="0"/>
        <w:autoSpaceDN w:val="0"/>
        <w:adjustRightInd w:val="0"/>
        <w:contextualSpacing/>
        <w:rPr>
          <w:rFonts w:asciiTheme="majorHAnsi" w:hAnsiTheme="majorHAnsi" w:cstheme="majorHAnsi"/>
          <w:color w:val="000000"/>
          <w:szCs w:val="20"/>
        </w:rPr>
      </w:pPr>
      <w:r w:rsidRPr="00E80636">
        <w:rPr>
          <w:rFonts w:asciiTheme="majorHAnsi" w:hAnsiTheme="majorHAnsi" w:cstheme="majorHAnsi"/>
          <w:color w:val="000000"/>
          <w:szCs w:val="20"/>
        </w:rPr>
        <w:t>Stephen Daiger, PhD, TS Matney Professor in Environmental and Genetic Sciences and Mary Farish Johnston Distinguished Chair in Ophthalmology, serves as Vice Chair of the Scientific Advisory Board of a nonprofit foundation devoted to supporting the visually impaired community. He also serves on committees of the National Eye Institute on the causes and treatments of degenerative eye diseases to illustrate public health principles, as well as to provide case examples and classroom exercises on issues in delivering clinical and social services to the visually impaired community.</w:t>
      </w:r>
    </w:p>
    <w:p w:rsidR="00D76FA8" w:rsidRPr="00E80636" w:rsidRDefault="00D76FA8" w:rsidP="006C308E">
      <w:pPr>
        <w:pStyle w:val="ListParagraph"/>
        <w:numPr>
          <w:ilvl w:val="0"/>
          <w:numId w:val="77"/>
        </w:numPr>
        <w:autoSpaceDE w:val="0"/>
        <w:autoSpaceDN w:val="0"/>
        <w:adjustRightInd w:val="0"/>
        <w:contextualSpacing/>
        <w:rPr>
          <w:rFonts w:asciiTheme="majorHAnsi" w:hAnsiTheme="majorHAnsi" w:cstheme="majorHAnsi"/>
          <w:color w:val="000000"/>
          <w:szCs w:val="20"/>
        </w:rPr>
      </w:pPr>
      <w:r w:rsidRPr="00E80636">
        <w:rPr>
          <w:rFonts w:asciiTheme="majorHAnsi" w:hAnsiTheme="majorHAnsi" w:cstheme="majorHAnsi"/>
          <w:color w:val="000000"/>
          <w:szCs w:val="20"/>
        </w:rPr>
        <w:t xml:space="preserve">Dr. William Perkison, MD, Assistant Professor, Epidemiology, Human Genetics &amp; Environmental Sciences, is a member of the environmental section of the College of the American Occupational and Environmental Medicine. He uses real-life position papers to illustrate public health principles. </w:t>
      </w:r>
    </w:p>
    <w:p w:rsidR="00D76FA8" w:rsidRPr="00E80636" w:rsidRDefault="00D76FA8" w:rsidP="006C308E">
      <w:pPr>
        <w:pStyle w:val="ListParagraph"/>
        <w:numPr>
          <w:ilvl w:val="0"/>
          <w:numId w:val="77"/>
        </w:numPr>
        <w:rPr>
          <w:rFonts w:asciiTheme="majorHAnsi" w:hAnsiTheme="majorHAnsi" w:cstheme="majorHAnsi"/>
          <w:szCs w:val="20"/>
        </w:rPr>
      </w:pPr>
      <w:r w:rsidRPr="00E80636">
        <w:rPr>
          <w:rFonts w:asciiTheme="majorHAnsi" w:hAnsiTheme="majorHAnsi" w:cstheme="majorHAnsi"/>
          <w:szCs w:val="20"/>
        </w:rPr>
        <w:t xml:space="preserve">Catherine Troisi, PhD, Associate Professor, Management, Policy &amp; Community Health, is a board member of APHA. She encourages students to get involved in APHA and Texas Public Health Association (TPHA) activities, and she sponsors student memberships. She also uses policy statements from APHA to promote advocacy for public health. Dr. Troisi also gets students involved in her work with the Coalition for the Homeless of Houston/Harris County, serving as </w:t>
      </w:r>
      <w:r w:rsidR="00185E6B" w:rsidRPr="00E80636">
        <w:rPr>
          <w:rFonts w:asciiTheme="majorHAnsi" w:hAnsiTheme="majorHAnsi" w:cstheme="majorHAnsi"/>
          <w:szCs w:val="20"/>
        </w:rPr>
        <w:t>note takers</w:t>
      </w:r>
      <w:r w:rsidRPr="00E80636">
        <w:rPr>
          <w:rFonts w:asciiTheme="majorHAnsi" w:hAnsiTheme="majorHAnsi" w:cstheme="majorHAnsi"/>
          <w:szCs w:val="20"/>
        </w:rPr>
        <w:t xml:space="preserve"> at focus groups and participating in the annual Point-in-Time count.  </w:t>
      </w:r>
    </w:p>
    <w:p w:rsidR="00F610D1" w:rsidRPr="00E80636" w:rsidRDefault="00F610D1" w:rsidP="006C308E">
      <w:pPr>
        <w:ind w:left="720"/>
        <w:jc w:val="both"/>
        <w:rPr>
          <w:rFonts w:asciiTheme="majorHAnsi" w:hAnsiTheme="majorHAnsi" w:cstheme="majorHAnsi"/>
          <w:sz w:val="20"/>
          <w:szCs w:val="20"/>
        </w:rPr>
      </w:pPr>
    </w:p>
    <w:p w:rsidR="00933038" w:rsidRPr="00E80636" w:rsidRDefault="00933038" w:rsidP="006C308E">
      <w:pPr>
        <w:numPr>
          <w:ilvl w:val="0"/>
          <w:numId w:val="32"/>
        </w:numPr>
        <w:jc w:val="both"/>
        <w:rPr>
          <w:rFonts w:asciiTheme="majorHAnsi" w:hAnsiTheme="majorHAnsi" w:cstheme="majorHAnsi"/>
          <w:sz w:val="20"/>
          <w:szCs w:val="20"/>
        </w:rPr>
      </w:pPr>
      <w:r w:rsidRPr="00E80636">
        <w:rPr>
          <w:rFonts w:asciiTheme="majorHAnsi" w:hAnsiTheme="majorHAnsi" w:cstheme="majorHAnsi"/>
          <w:sz w:val="20"/>
          <w:szCs w:val="20"/>
        </w:rPr>
        <w:t xml:space="preserve">If applicable, assess strengths and weaknesses related to this criterion and plans for improvement in this area. </w:t>
      </w:r>
    </w:p>
    <w:p w:rsidR="00933038" w:rsidRPr="00E80636" w:rsidRDefault="00933038" w:rsidP="006C308E">
      <w:pPr>
        <w:jc w:val="both"/>
        <w:rPr>
          <w:rFonts w:asciiTheme="majorHAnsi" w:hAnsiTheme="majorHAnsi" w:cstheme="majorHAnsi"/>
          <w:sz w:val="20"/>
          <w:szCs w:val="20"/>
        </w:rPr>
      </w:pPr>
    </w:p>
    <w:p w:rsidR="00B53851" w:rsidRPr="00E80636" w:rsidRDefault="00B53851" w:rsidP="006C308E">
      <w:pPr>
        <w:ind w:left="720"/>
        <w:rPr>
          <w:rFonts w:asciiTheme="majorHAnsi" w:hAnsiTheme="majorHAnsi" w:cstheme="majorHAnsi"/>
          <w:b/>
          <w:sz w:val="20"/>
          <w:szCs w:val="20"/>
        </w:rPr>
      </w:pPr>
      <w:r w:rsidRPr="00E80636">
        <w:rPr>
          <w:rFonts w:asciiTheme="majorHAnsi" w:hAnsiTheme="majorHAnsi" w:cstheme="majorHAnsi"/>
          <w:b/>
          <w:sz w:val="20"/>
          <w:szCs w:val="20"/>
        </w:rPr>
        <w:t xml:space="preserve">Strengths: </w:t>
      </w:r>
    </w:p>
    <w:p w:rsidR="00B53851" w:rsidRPr="00E80636" w:rsidRDefault="00B53851" w:rsidP="006C308E">
      <w:pPr>
        <w:pStyle w:val="ListParagraph"/>
        <w:numPr>
          <w:ilvl w:val="0"/>
          <w:numId w:val="185"/>
        </w:numPr>
        <w:spacing w:after="160"/>
        <w:ind w:left="1440"/>
        <w:contextualSpacing/>
        <w:rPr>
          <w:rFonts w:asciiTheme="majorHAnsi" w:hAnsiTheme="majorHAnsi" w:cstheme="majorHAnsi"/>
          <w:b/>
          <w:szCs w:val="20"/>
        </w:rPr>
      </w:pPr>
      <w:r w:rsidRPr="00E80636">
        <w:rPr>
          <w:rFonts w:asciiTheme="majorHAnsi" w:hAnsiTheme="majorHAnsi" w:cstheme="majorHAnsi"/>
          <w:szCs w:val="20"/>
        </w:rPr>
        <w:t xml:space="preserve">Almost half (48%) of our faculty had formal public health experience prior to being employed </w:t>
      </w:r>
      <w:r w:rsidRPr="00E80636">
        <w:rPr>
          <w:rFonts w:asciiTheme="majorHAnsi" w:hAnsiTheme="majorHAnsi" w:cstheme="majorHAnsi"/>
          <w:color w:val="000000"/>
          <w:szCs w:val="20"/>
        </w:rPr>
        <w:t>at the UTHealth School of Public Health. Faculty have a wide range of experience working in international health organizations, nonprofit advocacy organizations, community-based organizations, federal and public health organizations, and state and local health departments, providing a rich learning experience for students.</w:t>
      </w:r>
    </w:p>
    <w:p w:rsidR="00B53851" w:rsidRPr="00E80636" w:rsidRDefault="00B53851" w:rsidP="006C308E">
      <w:pPr>
        <w:pStyle w:val="ListParagraph"/>
        <w:numPr>
          <w:ilvl w:val="0"/>
          <w:numId w:val="185"/>
        </w:numPr>
        <w:spacing w:after="160"/>
        <w:ind w:left="1440"/>
        <w:contextualSpacing/>
        <w:rPr>
          <w:rFonts w:asciiTheme="majorHAnsi" w:hAnsiTheme="majorHAnsi" w:cstheme="majorHAnsi"/>
          <w:szCs w:val="20"/>
        </w:rPr>
      </w:pPr>
      <w:r w:rsidRPr="00E80636">
        <w:rPr>
          <w:rFonts w:asciiTheme="majorHAnsi" w:hAnsiTheme="majorHAnsi" w:cstheme="majorHAnsi"/>
          <w:szCs w:val="20"/>
        </w:rPr>
        <w:t xml:space="preserve">Public health practitioners are regularly involved in the school as adjunct faculty members, guest lecturers, committee members, student mentors, and practicum preceptors. </w:t>
      </w:r>
    </w:p>
    <w:p w:rsidR="00B53851" w:rsidRPr="00E80636" w:rsidRDefault="00B53851" w:rsidP="006C308E">
      <w:pPr>
        <w:ind w:left="720"/>
        <w:rPr>
          <w:rFonts w:asciiTheme="majorHAnsi" w:hAnsiTheme="majorHAnsi" w:cstheme="majorHAnsi"/>
          <w:b/>
          <w:sz w:val="20"/>
          <w:szCs w:val="20"/>
        </w:rPr>
      </w:pPr>
      <w:r w:rsidRPr="00E80636">
        <w:rPr>
          <w:rFonts w:asciiTheme="majorHAnsi" w:hAnsiTheme="majorHAnsi" w:cstheme="majorHAnsi"/>
          <w:b/>
          <w:sz w:val="20"/>
          <w:szCs w:val="20"/>
        </w:rPr>
        <w:t>Weaknesses:</w:t>
      </w:r>
    </w:p>
    <w:p w:rsidR="00B53851" w:rsidRPr="00E80636" w:rsidRDefault="00B53851" w:rsidP="006C308E">
      <w:pPr>
        <w:pStyle w:val="ListParagraph"/>
        <w:numPr>
          <w:ilvl w:val="0"/>
          <w:numId w:val="185"/>
        </w:numPr>
        <w:spacing w:after="160"/>
        <w:ind w:left="1440"/>
        <w:contextualSpacing/>
        <w:rPr>
          <w:rFonts w:asciiTheme="majorHAnsi" w:hAnsiTheme="majorHAnsi" w:cstheme="majorHAnsi"/>
          <w:b/>
          <w:szCs w:val="20"/>
        </w:rPr>
      </w:pPr>
      <w:r w:rsidRPr="00E80636">
        <w:rPr>
          <w:rFonts w:asciiTheme="majorHAnsi" w:hAnsiTheme="majorHAnsi" w:cstheme="majorHAnsi"/>
          <w:szCs w:val="20"/>
        </w:rPr>
        <w:t xml:space="preserve">It is extremely challenging to track the extent to which public health practitioners are involved in the school’s day-to-day functioning, so this measure remains unknown. We need to revisit how to track and record the extent of public health practitioners’ integration and involvement in the school. </w:t>
      </w:r>
    </w:p>
    <w:p w:rsidR="00933038" w:rsidRPr="00E80636" w:rsidRDefault="00933038" w:rsidP="006C308E">
      <w:pPr>
        <w:jc w:val="both"/>
        <w:rPr>
          <w:rFonts w:asciiTheme="majorHAnsi" w:hAnsiTheme="majorHAnsi" w:cstheme="majorHAnsi"/>
          <w:sz w:val="20"/>
          <w:szCs w:val="20"/>
        </w:rPr>
      </w:pPr>
    </w:p>
    <w:p w:rsidR="00933038" w:rsidRPr="00E80636" w:rsidRDefault="00933038" w:rsidP="006C308E">
      <w:pPr>
        <w:spacing w:after="200"/>
        <w:rPr>
          <w:rStyle w:val="Heading1Char"/>
        </w:rPr>
      </w:pPr>
      <w:bookmarkStart w:id="122" w:name="_Toc464487889"/>
    </w:p>
    <w:p w:rsidR="00933038" w:rsidRPr="00E80636" w:rsidRDefault="00933038" w:rsidP="006C308E">
      <w:pPr>
        <w:rPr>
          <w:rStyle w:val="Heading1Char"/>
        </w:rPr>
      </w:pPr>
      <w:r w:rsidRPr="00E80636">
        <w:rPr>
          <w:rStyle w:val="Heading1Char"/>
        </w:rPr>
        <w:br w:type="page"/>
      </w:r>
    </w:p>
    <w:p w:rsidR="00933038" w:rsidRPr="00E80636" w:rsidRDefault="00933038" w:rsidP="007A68BE">
      <w:pPr>
        <w:pStyle w:val="Heading1"/>
      </w:pPr>
      <w:bookmarkStart w:id="123" w:name="_Toc7118222"/>
      <w:r w:rsidRPr="00E80636">
        <w:rPr>
          <w:rStyle w:val="Heading1Char"/>
          <w:b/>
        </w:rPr>
        <w:t>E3. Faculty Instructional Effectiveness</w:t>
      </w:r>
      <w:bookmarkEnd w:id="122"/>
      <w:bookmarkEnd w:id="123"/>
      <w:r w:rsidRPr="00E80636">
        <w:t xml:space="preserve"> </w:t>
      </w:r>
    </w:p>
    <w:p w:rsidR="008262CC" w:rsidRPr="00E80636" w:rsidRDefault="008262CC" w:rsidP="006C308E">
      <w:pPr>
        <w:rPr>
          <w:rFonts w:asciiTheme="majorHAnsi" w:hAnsiTheme="majorHAnsi" w:cstheme="majorHAnsi"/>
          <w:sz w:val="20"/>
          <w:szCs w:val="20"/>
          <w:lang w:eastAsia="x-none"/>
        </w:rPr>
      </w:pPr>
    </w:p>
    <w:p w:rsidR="00933038" w:rsidRPr="00E80636" w:rsidRDefault="00933038" w:rsidP="006C308E">
      <w:pPr>
        <w:jc w:val="both"/>
        <w:rPr>
          <w:rFonts w:asciiTheme="majorHAnsi" w:hAnsiTheme="majorHAnsi" w:cstheme="majorHAnsi"/>
          <w:b/>
          <w:sz w:val="20"/>
          <w:szCs w:val="20"/>
        </w:rPr>
      </w:pPr>
      <w:r w:rsidRPr="00E80636">
        <w:rPr>
          <w:rFonts w:asciiTheme="majorHAnsi" w:hAnsiTheme="majorHAnsi" w:cstheme="majorHAnsi"/>
          <w:b/>
          <w:sz w:val="20"/>
          <w:szCs w:val="20"/>
        </w:rPr>
        <w:t xml:space="preserve">The school ensures that systems, policies and procedures are in place to document that all faculty (full-time and part-time) are current in their areas of instructional responsibility and in pedagogical methods. </w:t>
      </w:r>
    </w:p>
    <w:p w:rsidR="00933038" w:rsidRPr="00E80636" w:rsidRDefault="00933038" w:rsidP="006C308E">
      <w:pPr>
        <w:jc w:val="both"/>
        <w:rPr>
          <w:rFonts w:asciiTheme="majorHAnsi" w:hAnsiTheme="majorHAnsi" w:cstheme="majorHAnsi"/>
          <w:b/>
          <w:sz w:val="20"/>
          <w:szCs w:val="20"/>
        </w:rPr>
      </w:pPr>
    </w:p>
    <w:p w:rsidR="00933038" w:rsidRPr="00E80636" w:rsidRDefault="00933038" w:rsidP="006C308E">
      <w:pPr>
        <w:jc w:val="both"/>
        <w:rPr>
          <w:rFonts w:asciiTheme="majorHAnsi" w:hAnsiTheme="majorHAnsi" w:cstheme="majorHAnsi"/>
          <w:b/>
          <w:sz w:val="20"/>
          <w:szCs w:val="20"/>
        </w:rPr>
      </w:pPr>
      <w:r w:rsidRPr="00E80636">
        <w:rPr>
          <w:rFonts w:asciiTheme="majorHAnsi" w:hAnsiTheme="majorHAnsi" w:cstheme="majorHAnsi"/>
          <w:b/>
          <w:sz w:val="20"/>
          <w:szCs w:val="20"/>
        </w:rPr>
        <w:t xml:space="preserve">The school establishes and consistently applies procedures for evaluating faculty competence and performance in instruction. </w:t>
      </w:r>
    </w:p>
    <w:p w:rsidR="00933038" w:rsidRPr="00E80636" w:rsidRDefault="00933038" w:rsidP="006C308E">
      <w:pPr>
        <w:jc w:val="both"/>
        <w:rPr>
          <w:rFonts w:asciiTheme="majorHAnsi" w:hAnsiTheme="majorHAnsi" w:cstheme="majorHAnsi"/>
          <w:b/>
          <w:sz w:val="20"/>
          <w:szCs w:val="20"/>
        </w:rPr>
      </w:pPr>
    </w:p>
    <w:p w:rsidR="00933038" w:rsidRPr="00E80636" w:rsidRDefault="00933038" w:rsidP="006C308E">
      <w:pPr>
        <w:jc w:val="both"/>
        <w:rPr>
          <w:rFonts w:asciiTheme="majorHAnsi" w:hAnsiTheme="majorHAnsi" w:cstheme="majorHAnsi"/>
          <w:b/>
          <w:sz w:val="20"/>
          <w:szCs w:val="20"/>
        </w:rPr>
      </w:pPr>
      <w:r w:rsidRPr="00E80636">
        <w:rPr>
          <w:rFonts w:asciiTheme="majorHAnsi" w:hAnsiTheme="majorHAnsi" w:cstheme="majorHAnsi"/>
          <w:b/>
          <w:sz w:val="20"/>
          <w:szCs w:val="20"/>
        </w:rPr>
        <w:t>The school supports professional development and advancement in instructional effectiveness.</w:t>
      </w:r>
    </w:p>
    <w:p w:rsidR="00933038" w:rsidRPr="00E80636" w:rsidRDefault="00933038" w:rsidP="006C308E">
      <w:pPr>
        <w:jc w:val="both"/>
        <w:rPr>
          <w:rFonts w:asciiTheme="majorHAnsi" w:hAnsiTheme="majorHAnsi" w:cstheme="majorHAnsi"/>
          <w:sz w:val="20"/>
          <w:szCs w:val="20"/>
        </w:rPr>
      </w:pPr>
    </w:p>
    <w:p w:rsidR="00933038" w:rsidRPr="00E80636" w:rsidRDefault="00933038" w:rsidP="006C308E">
      <w:pPr>
        <w:numPr>
          <w:ilvl w:val="0"/>
          <w:numId w:val="33"/>
        </w:numPr>
        <w:contextualSpacing/>
        <w:jc w:val="both"/>
        <w:rPr>
          <w:rFonts w:asciiTheme="majorHAnsi" w:hAnsiTheme="majorHAnsi" w:cstheme="majorHAnsi"/>
          <w:sz w:val="20"/>
          <w:szCs w:val="20"/>
        </w:rPr>
      </w:pPr>
      <w:r w:rsidRPr="00E80636">
        <w:rPr>
          <w:rFonts w:asciiTheme="majorHAnsi" w:hAnsiTheme="majorHAnsi" w:cstheme="majorHAnsi"/>
          <w:sz w:val="20"/>
          <w:szCs w:val="20"/>
        </w:rPr>
        <w:t>Describe the means through which the school ensures that faculty are informed and maintain currency in their areas of instructional responsibility. The description must address both primary instructional and non-primary instructional faculty and should</w:t>
      </w:r>
      <w:r w:rsidR="006130D9" w:rsidRPr="00E80636">
        <w:rPr>
          <w:rFonts w:asciiTheme="majorHAnsi" w:hAnsiTheme="majorHAnsi" w:cstheme="majorHAnsi"/>
          <w:sz w:val="20"/>
          <w:szCs w:val="20"/>
        </w:rPr>
        <w:t xml:space="preserve"> provide examples as relevant. </w:t>
      </w:r>
    </w:p>
    <w:p w:rsidR="00933038" w:rsidRPr="00E80636" w:rsidRDefault="00933038" w:rsidP="006C308E">
      <w:pPr>
        <w:contextualSpacing/>
        <w:jc w:val="both"/>
        <w:rPr>
          <w:rFonts w:asciiTheme="majorHAnsi" w:hAnsiTheme="majorHAnsi" w:cstheme="majorHAnsi"/>
          <w:sz w:val="20"/>
          <w:szCs w:val="20"/>
        </w:rPr>
      </w:pPr>
    </w:p>
    <w:p w:rsidR="00D76FA8" w:rsidRPr="00E80636" w:rsidRDefault="00D76FA8" w:rsidP="006C308E">
      <w:pPr>
        <w:ind w:left="360"/>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The UTHealth School of Public Health ensures that faculty are informed and maintain currency in their areas of instructional responsibility through: (A) annual self-evaluation of teaching, research, and service with input from students, peers, and department chairs; (B) provision of professional development on instructional development available to all faculty; (C) hiring qualified faculty to teach courses or bringing in outside expertise to enhance course relevancy and course offerings; (D) recognizing teaching excellence through annual awards; and (E) annual monitoring and tracking that faculty are current in their field and qualified to teach in their assigned areas. </w:t>
      </w:r>
    </w:p>
    <w:p w:rsidR="00D76FA8" w:rsidRPr="00E80636" w:rsidRDefault="00D76FA8" w:rsidP="006C308E">
      <w:pPr>
        <w:ind w:left="360"/>
        <w:rPr>
          <w:rFonts w:asciiTheme="majorHAnsi" w:eastAsia="Arial" w:hAnsiTheme="majorHAnsi" w:cstheme="majorHAnsi"/>
          <w:sz w:val="20"/>
          <w:szCs w:val="20"/>
        </w:rPr>
      </w:pPr>
    </w:p>
    <w:p w:rsidR="00D76FA8" w:rsidRPr="00E80636" w:rsidRDefault="00D76FA8" w:rsidP="006C308E">
      <w:pPr>
        <w:pStyle w:val="ListParagraph"/>
        <w:numPr>
          <w:ilvl w:val="0"/>
          <w:numId w:val="152"/>
        </w:numPr>
        <w:rPr>
          <w:rFonts w:asciiTheme="majorHAnsi" w:eastAsia="Arial" w:hAnsiTheme="majorHAnsi" w:cstheme="majorHAnsi"/>
          <w:szCs w:val="20"/>
        </w:rPr>
      </w:pPr>
      <w:r w:rsidRPr="00E80636">
        <w:rPr>
          <w:rFonts w:asciiTheme="majorHAnsi" w:eastAsia="Arial" w:hAnsiTheme="majorHAnsi" w:cstheme="majorHAnsi"/>
          <w:szCs w:val="20"/>
        </w:rPr>
        <w:t xml:space="preserve">The UTHealth School of Public Health ensures currency in areas of instructional responsibility by using course evaluations, the annual activity review (AAR), the peer review, and the department chair review.  Faculty are reviewed by their peers annually, and are scored on their teaching activities and effectiveness. A formal annual meeting with the department chair provides an opportunity to discuss teaching assignments, effectiveness, and professional development opportunities for improving teaching and maintaining currency. </w:t>
      </w:r>
    </w:p>
    <w:p w:rsidR="00D76FA8" w:rsidRPr="00E80636" w:rsidRDefault="00D76FA8" w:rsidP="006C308E">
      <w:pPr>
        <w:rPr>
          <w:rFonts w:asciiTheme="majorHAnsi" w:eastAsia="Arial" w:hAnsiTheme="majorHAnsi" w:cstheme="majorHAnsi"/>
          <w:sz w:val="20"/>
          <w:szCs w:val="20"/>
        </w:rPr>
      </w:pPr>
    </w:p>
    <w:p w:rsidR="00D76FA8" w:rsidRPr="00E80636" w:rsidRDefault="00D76FA8" w:rsidP="006C308E">
      <w:pPr>
        <w:pStyle w:val="ListParagraph"/>
        <w:numPr>
          <w:ilvl w:val="0"/>
          <w:numId w:val="152"/>
        </w:numPr>
        <w:rPr>
          <w:rFonts w:asciiTheme="majorHAnsi" w:eastAsia="Arial" w:hAnsiTheme="majorHAnsi" w:cstheme="majorHAnsi"/>
          <w:szCs w:val="20"/>
        </w:rPr>
      </w:pPr>
      <w:r w:rsidRPr="00E80636">
        <w:rPr>
          <w:rFonts w:asciiTheme="majorHAnsi" w:eastAsia="Arial" w:hAnsiTheme="majorHAnsi" w:cstheme="majorHAnsi"/>
          <w:szCs w:val="20"/>
        </w:rPr>
        <w:t xml:space="preserve">Faculty maintain currency in teaching methodologies by attending a monthly faculty-led workshop series titled, Teacher-to-Teacher, where faculty peers share best practices. The UTHealth School of Public Health also hosts a one-day summer teaching institute to bring in outside experts that promote instructional innovation and effectiveness. UTHealth also hosts an on-demand resource called the Magna Commons, which provides faculty with access to vetted and cutting-edge professional teaching development resources. This resource contains 20-minute mentor videos that offer on-demand solutions to common classroom challenges. The UTHealth School of Public Health recently hired two full-time instructional designers and a consultant to train faculty on course design and techniques to improve instructional effectiveness, such as the use of rubrics and active learning. </w:t>
      </w:r>
    </w:p>
    <w:p w:rsidR="00D76FA8" w:rsidRPr="00E80636" w:rsidRDefault="00D76FA8" w:rsidP="006C308E">
      <w:pPr>
        <w:rPr>
          <w:rFonts w:asciiTheme="majorHAnsi" w:eastAsia="Arial" w:hAnsiTheme="majorHAnsi" w:cstheme="majorHAnsi"/>
          <w:sz w:val="20"/>
          <w:szCs w:val="20"/>
        </w:rPr>
      </w:pPr>
    </w:p>
    <w:p w:rsidR="00D76FA8" w:rsidRPr="00E80636" w:rsidRDefault="00D76FA8" w:rsidP="006C308E">
      <w:pPr>
        <w:pStyle w:val="ListParagraph"/>
        <w:numPr>
          <w:ilvl w:val="0"/>
          <w:numId w:val="152"/>
        </w:numPr>
        <w:rPr>
          <w:rFonts w:asciiTheme="majorHAnsi" w:eastAsia="Arial" w:hAnsiTheme="majorHAnsi" w:cstheme="majorHAnsi"/>
          <w:szCs w:val="20"/>
        </w:rPr>
      </w:pPr>
      <w:r w:rsidRPr="00E80636">
        <w:rPr>
          <w:rFonts w:asciiTheme="majorHAnsi" w:eastAsia="Arial" w:hAnsiTheme="majorHAnsi" w:cstheme="majorHAnsi"/>
          <w:szCs w:val="20"/>
        </w:rPr>
        <w:t xml:space="preserve">The UTHealth School of Public Health also ensures that new faculty recruits are qualified to teach by evaluating past teaching assignments and evaluating presentation effectiveness through the interview and presentation process. Adjunct faculty are also thoroughly reviewed, discussed, and voted on by the faculty. The department chair is ultimately responsible for ensuring that each course has a qualified, effective faculty member teaching students. </w:t>
      </w:r>
    </w:p>
    <w:p w:rsidR="00D76FA8" w:rsidRPr="00E80636" w:rsidRDefault="00D76FA8" w:rsidP="006C308E">
      <w:pPr>
        <w:rPr>
          <w:rFonts w:asciiTheme="majorHAnsi" w:eastAsia="Arial" w:hAnsiTheme="majorHAnsi" w:cstheme="majorHAnsi"/>
          <w:sz w:val="20"/>
          <w:szCs w:val="20"/>
        </w:rPr>
      </w:pPr>
    </w:p>
    <w:p w:rsidR="00D76FA8" w:rsidRPr="00E80636" w:rsidRDefault="00D76FA8" w:rsidP="006C308E">
      <w:pPr>
        <w:pStyle w:val="ListParagraph"/>
        <w:numPr>
          <w:ilvl w:val="0"/>
          <w:numId w:val="152"/>
        </w:numPr>
        <w:contextualSpacing/>
        <w:rPr>
          <w:rFonts w:asciiTheme="majorHAnsi" w:eastAsia="Arial" w:hAnsiTheme="majorHAnsi" w:cstheme="majorHAnsi"/>
          <w:szCs w:val="20"/>
        </w:rPr>
      </w:pPr>
      <w:r w:rsidRPr="00E80636">
        <w:rPr>
          <w:rFonts w:asciiTheme="majorHAnsi" w:eastAsia="Arial" w:hAnsiTheme="majorHAnsi" w:cstheme="majorHAnsi"/>
          <w:szCs w:val="20"/>
        </w:rPr>
        <w:t>The UTHealth School of Public Health recognizes faculty through the annual Excellence in Teaching Award. This award is presented to two faculty members who have made exemplary contributions to the school’s educational mission. Criteria for selection includes: course evaluations, effectiveness in the classroom or in technology-supported modalities, innovation, creation of enduring products such as courseware and textbooks, training grants, mentoring and advising, educational leadership inside the school, curriculum development, and educational leadership outside the school.</w:t>
      </w:r>
    </w:p>
    <w:p w:rsidR="00D76FA8" w:rsidRPr="00E80636" w:rsidRDefault="00D76FA8" w:rsidP="006C308E">
      <w:pPr>
        <w:ind w:left="360"/>
        <w:contextualSpacing/>
        <w:rPr>
          <w:rFonts w:asciiTheme="majorHAnsi" w:eastAsia="Arial" w:hAnsiTheme="majorHAnsi" w:cstheme="majorHAnsi"/>
          <w:sz w:val="20"/>
          <w:szCs w:val="20"/>
        </w:rPr>
      </w:pPr>
    </w:p>
    <w:p w:rsidR="00D76FA8" w:rsidRPr="00E80636" w:rsidRDefault="00D76FA8" w:rsidP="006C308E">
      <w:pPr>
        <w:pStyle w:val="ListParagraph"/>
        <w:numPr>
          <w:ilvl w:val="0"/>
          <w:numId w:val="152"/>
        </w:numPr>
        <w:contextualSpacing/>
        <w:rPr>
          <w:rFonts w:asciiTheme="majorHAnsi" w:eastAsia="Arial" w:hAnsiTheme="majorHAnsi" w:cstheme="majorHAnsi"/>
          <w:szCs w:val="20"/>
        </w:rPr>
      </w:pPr>
      <w:r w:rsidRPr="00E80636">
        <w:rPr>
          <w:rFonts w:asciiTheme="majorHAnsi" w:eastAsia="Arial" w:hAnsiTheme="majorHAnsi" w:cstheme="majorHAnsi"/>
          <w:szCs w:val="20"/>
        </w:rPr>
        <w:t xml:space="preserve">The UTHealth School of Public Health monitors and tracks faculty qualifications and teaching assignments through a variety of means. First, faculty record their conference participation, publications, and development activities through the Annual Activity Report (AAR). These activities are reviewed by faculty peers and scored to derive a teaching score for each faculty member. Second, course evaluations ask students to rate if the faculty member demonstrated knowledge in the subject area. Third, department chairs review the AAR and all course evaluations for each faculty member. Department chairs meet with each faculty member on an annual basis to discuss their AAR, peer review scores, course evaluations rating and comments, and to discuss professional development opportunities and teaching assignments. Fourth, curriculum coordinators and department chairs meet regularly to assess faculty qualifications in teaching and to determine faculty teaching assignments. Lastly, the school maintains updated CVs and has developed a credential report that is available to school administrators. </w:t>
      </w:r>
    </w:p>
    <w:p w:rsidR="00D76FA8" w:rsidRPr="00E80636" w:rsidRDefault="00D76FA8" w:rsidP="006C308E">
      <w:pPr>
        <w:ind w:left="360"/>
        <w:contextualSpacing/>
        <w:jc w:val="both"/>
        <w:rPr>
          <w:rFonts w:asciiTheme="majorHAnsi" w:eastAsia="Arial" w:hAnsiTheme="majorHAnsi" w:cstheme="majorHAnsi"/>
          <w:sz w:val="20"/>
          <w:szCs w:val="20"/>
        </w:rPr>
      </w:pPr>
    </w:p>
    <w:p w:rsidR="00D76FA8" w:rsidRPr="00E80636" w:rsidRDefault="00D76FA8" w:rsidP="006C308E">
      <w:pPr>
        <w:ind w:left="360"/>
        <w:contextualSpacing/>
        <w:jc w:val="both"/>
        <w:rPr>
          <w:rFonts w:asciiTheme="majorHAnsi" w:eastAsia="Arial" w:hAnsiTheme="majorHAnsi" w:cstheme="majorHAnsi"/>
          <w:sz w:val="20"/>
          <w:szCs w:val="20"/>
        </w:rPr>
      </w:pPr>
      <w:r w:rsidRPr="00E80636">
        <w:rPr>
          <w:rFonts w:asciiTheme="majorHAnsi" w:eastAsia="Arial" w:hAnsiTheme="majorHAnsi" w:cstheme="majorHAnsi"/>
          <w:sz w:val="20"/>
          <w:szCs w:val="20"/>
        </w:rPr>
        <w:t>Associated documents in the electronic resource file:</w:t>
      </w:r>
    </w:p>
    <w:p w:rsidR="00D76FA8" w:rsidRPr="00B71114" w:rsidRDefault="0002362B" w:rsidP="006C308E">
      <w:pPr>
        <w:pStyle w:val="ListParagraph"/>
        <w:numPr>
          <w:ilvl w:val="0"/>
          <w:numId w:val="140"/>
        </w:numPr>
        <w:contextualSpacing/>
        <w:jc w:val="both"/>
        <w:rPr>
          <w:rFonts w:asciiTheme="majorHAnsi" w:hAnsiTheme="majorHAnsi" w:cstheme="majorHAnsi"/>
          <w:i/>
          <w:szCs w:val="20"/>
        </w:rPr>
      </w:pPr>
      <w:r w:rsidRPr="00B71114">
        <w:rPr>
          <w:rFonts w:asciiTheme="majorHAnsi" w:eastAsia="Calibri" w:hAnsiTheme="majorHAnsi" w:cstheme="majorHAnsi"/>
          <w:i/>
        </w:rPr>
        <w:t>E3.2. Evaluating Faculty Instructional Effectiveness</w:t>
      </w:r>
    </w:p>
    <w:p w:rsidR="0002362B" w:rsidRPr="00F9562B" w:rsidRDefault="0002362B" w:rsidP="0002362B">
      <w:pPr>
        <w:pStyle w:val="ListParagraph"/>
        <w:numPr>
          <w:ilvl w:val="1"/>
          <w:numId w:val="140"/>
        </w:numPr>
        <w:contextualSpacing/>
        <w:jc w:val="both"/>
        <w:rPr>
          <w:rFonts w:asciiTheme="majorHAnsi" w:hAnsiTheme="majorHAnsi" w:cstheme="majorHAnsi"/>
          <w:i/>
          <w:szCs w:val="20"/>
        </w:rPr>
      </w:pPr>
      <w:r w:rsidRPr="00F9562B">
        <w:rPr>
          <w:rFonts w:asciiTheme="majorHAnsi" w:hAnsiTheme="majorHAnsi" w:cstheme="majorHAnsi"/>
          <w:i/>
        </w:rPr>
        <w:t>AAR</w:t>
      </w:r>
    </w:p>
    <w:p w:rsidR="0002362B" w:rsidRPr="00F9562B" w:rsidRDefault="0002362B" w:rsidP="0002362B">
      <w:pPr>
        <w:pStyle w:val="ListParagraph"/>
        <w:numPr>
          <w:ilvl w:val="1"/>
          <w:numId w:val="140"/>
        </w:numPr>
        <w:contextualSpacing/>
        <w:jc w:val="both"/>
        <w:rPr>
          <w:rFonts w:asciiTheme="majorHAnsi" w:hAnsiTheme="majorHAnsi" w:cstheme="majorHAnsi"/>
          <w:i/>
          <w:szCs w:val="20"/>
        </w:rPr>
      </w:pPr>
      <w:r w:rsidRPr="00F9562B">
        <w:rPr>
          <w:rFonts w:asciiTheme="majorHAnsi" w:hAnsiTheme="majorHAnsi" w:cstheme="majorHAnsi"/>
          <w:i/>
        </w:rPr>
        <w:t>Course Evaluations</w:t>
      </w:r>
    </w:p>
    <w:p w:rsidR="0002362B" w:rsidRPr="00F9562B" w:rsidRDefault="0002362B" w:rsidP="0002362B">
      <w:pPr>
        <w:pStyle w:val="ListParagraph"/>
        <w:numPr>
          <w:ilvl w:val="1"/>
          <w:numId w:val="140"/>
        </w:numPr>
        <w:contextualSpacing/>
        <w:jc w:val="both"/>
        <w:rPr>
          <w:rFonts w:asciiTheme="majorHAnsi" w:hAnsiTheme="majorHAnsi" w:cstheme="majorHAnsi"/>
          <w:i/>
          <w:szCs w:val="20"/>
        </w:rPr>
      </w:pPr>
      <w:r w:rsidRPr="00F9562B">
        <w:rPr>
          <w:rFonts w:asciiTheme="majorHAnsi" w:eastAsia="Calibri" w:hAnsiTheme="majorHAnsi" w:cstheme="majorHAnsi"/>
          <w:i/>
        </w:rPr>
        <w:t>Faculty Participation</w:t>
      </w:r>
    </w:p>
    <w:p w:rsidR="0002362B" w:rsidRPr="00F9562B" w:rsidRDefault="0002362B" w:rsidP="006C308E">
      <w:pPr>
        <w:pStyle w:val="ListParagraph"/>
        <w:numPr>
          <w:ilvl w:val="1"/>
          <w:numId w:val="140"/>
        </w:numPr>
        <w:contextualSpacing/>
        <w:jc w:val="both"/>
        <w:rPr>
          <w:rFonts w:asciiTheme="majorHAnsi" w:hAnsiTheme="majorHAnsi" w:cstheme="majorHAnsi"/>
          <w:i/>
          <w:szCs w:val="20"/>
        </w:rPr>
      </w:pPr>
      <w:r w:rsidRPr="00F9562B">
        <w:rPr>
          <w:rFonts w:asciiTheme="majorHAnsi" w:eastAsia="Calibri" w:hAnsiTheme="majorHAnsi" w:cstheme="majorHAnsi"/>
          <w:i/>
        </w:rPr>
        <w:t>Magna Commons Description</w:t>
      </w:r>
    </w:p>
    <w:p w:rsidR="00D76FA8" w:rsidRPr="00F9562B" w:rsidRDefault="00D76FA8" w:rsidP="006C308E">
      <w:pPr>
        <w:pStyle w:val="ListParagraph"/>
        <w:numPr>
          <w:ilvl w:val="1"/>
          <w:numId w:val="140"/>
        </w:numPr>
        <w:contextualSpacing/>
        <w:jc w:val="both"/>
        <w:rPr>
          <w:rFonts w:asciiTheme="majorHAnsi" w:hAnsiTheme="majorHAnsi" w:cstheme="majorHAnsi"/>
          <w:i/>
          <w:szCs w:val="20"/>
        </w:rPr>
      </w:pPr>
      <w:r w:rsidRPr="00F9562B">
        <w:rPr>
          <w:rFonts w:asciiTheme="majorHAnsi" w:eastAsia="Calibri" w:hAnsiTheme="majorHAnsi" w:cstheme="majorHAnsi"/>
          <w:i/>
        </w:rPr>
        <w:t>Teacher-to-</w:t>
      </w:r>
      <w:r w:rsidR="006E763F" w:rsidRPr="00F9562B">
        <w:rPr>
          <w:rFonts w:asciiTheme="majorHAnsi" w:eastAsia="Calibri" w:hAnsiTheme="majorHAnsi" w:cstheme="majorHAnsi"/>
          <w:i/>
        </w:rPr>
        <w:t>T</w:t>
      </w:r>
      <w:r w:rsidRPr="00F9562B">
        <w:rPr>
          <w:rFonts w:asciiTheme="majorHAnsi" w:eastAsia="Calibri" w:hAnsiTheme="majorHAnsi" w:cstheme="majorHAnsi"/>
          <w:i/>
        </w:rPr>
        <w:t xml:space="preserve">eacher </w:t>
      </w:r>
      <w:r w:rsidR="006E763F" w:rsidRPr="00F9562B">
        <w:rPr>
          <w:rFonts w:asciiTheme="majorHAnsi" w:eastAsia="Calibri" w:hAnsiTheme="majorHAnsi" w:cstheme="majorHAnsi"/>
          <w:i/>
        </w:rPr>
        <w:t>A</w:t>
      </w:r>
      <w:r w:rsidRPr="00F9562B">
        <w:rPr>
          <w:rFonts w:asciiTheme="majorHAnsi" w:eastAsia="Calibri" w:hAnsiTheme="majorHAnsi" w:cstheme="majorHAnsi"/>
          <w:i/>
        </w:rPr>
        <w:t>gendas</w:t>
      </w:r>
    </w:p>
    <w:p w:rsidR="00D76FA8" w:rsidRPr="00F9562B" w:rsidRDefault="00D76FA8" w:rsidP="006C308E">
      <w:pPr>
        <w:pStyle w:val="ListParagraph"/>
        <w:numPr>
          <w:ilvl w:val="1"/>
          <w:numId w:val="140"/>
        </w:numPr>
        <w:contextualSpacing/>
        <w:jc w:val="both"/>
        <w:rPr>
          <w:rFonts w:asciiTheme="majorHAnsi" w:hAnsiTheme="majorHAnsi" w:cstheme="majorHAnsi"/>
          <w:i/>
          <w:szCs w:val="20"/>
        </w:rPr>
      </w:pPr>
      <w:r w:rsidRPr="00F9562B">
        <w:rPr>
          <w:rFonts w:asciiTheme="majorHAnsi" w:eastAsia="Calibri" w:hAnsiTheme="majorHAnsi" w:cstheme="majorHAnsi"/>
          <w:i/>
        </w:rPr>
        <w:t>Teach</w:t>
      </w:r>
      <w:r w:rsidR="00A26707" w:rsidRPr="00F9562B">
        <w:rPr>
          <w:rFonts w:asciiTheme="majorHAnsi" w:eastAsia="Calibri" w:hAnsiTheme="majorHAnsi" w:cstheme="majorHAnsi"/>
          <w:i/>
        </w:rPr>
        <w:t>ing</w:t>
      </w:r>
      <w:r w:rsidRPr="00F9562B">
        <w:rPr>
          <w:rFonts w:asciiTheme="majorHAnsi" w:eastAsia="Calibri" w:hAnsiTheme="majorHAnsi" w:cstheme="majorHAnsi"/>
          <w:i/>
        </w:rPr>
        <w:t xml:space="preserve"> Assistant Trainings</w:t>
      </w:r>
    </w:p>
    <w:p w:rsidR="00D76FA8" w:rsidRPr="00F9562B" w:rsidRDefault="00D76FA8" w:rsidP="0002362B">
      <w:pPr>
        <w:pStyle w:val="ListParagraph"/>
        <w:numPr>
          <w:ilvl w:val="1"/>
          <w:numId w:val="140"/>
        </w:numPr>
        <w:contextualSpacing/>
        <w:jc w:val="both"/>
        <w:rPr>
          <w:rFonts w:asciiTheme="majorHAnsi" w:hAnsiTheme="majorHAnsi" w:cstheme="majorHAnsi"/>
          <w:i/>
          <w:szCs w:val="20"/>
        </w:rPr>
      </w:pPr>
      <w:r w:rsidRPr="00F9562B">
        <w:rPr>
          <w:rFonts w:asciiTheme="majorHAnsi" w:eastAsia="Calibri" w:hAnsiTheme="majorHAnsi" w:cstheme="majorHAnsi"/>
          <w:i/>
        </w:rPr>
        <w:t>Trainings on LMS Related Topics</w:t>
      </w:r>
    </w:p>
    <w:p w:rsidR="00A26707" w:rsidRPr="00E80636" w:rsidRDefault="00A26707" w:rsidP="006C308E">
      <w:pPr>
        <w:contextualSpacing/>
        <w:jc w:val="both"/>
        <w:rPr>
          <w:rFonts w:asciiTheme="majorHAnsi" w:hAnsiTheme="majorHAnsi" w:cstheme="majorHAnsi"/>
          <w:sz w:val="20"/>
          <w:szCs w:val="20"/>
        </w:rPr>
      </w:pPr>
    </w:p>
    <w:p w:rsidR="00933038" w:rsidRPr="00E80636" w:rsidRDefault="00933038" w:rsidP="00F9562B">
      <w:pPr>
        <w:numPr>
          <w:ilvl w:val="0"/>
          <w:numId w:val="33"/>
        </w:numPr>
        <w:contextualSpacing/>
        <w:rPr>
          <w:rFonts w:asciiTheme="majorHAnsi" w:hAnsiTheme="majorHAnsi" w:cstheme="majorHAnsi"/>
          <w:sz w:val="20"/>
          <w:szCs w:val="20"/>
        </w:rPr>
      </w:pPr>
      <w:r w:rsidRPr="00E80636">
        <w:rPr>
          <w:rFonts w:asciiTheme="majorHAnsi" w:hAnsiTheme="majorHAnsi" w:cstheme="majorHAnsi"/>
          <w:sz w:val="20"/>
          <w:szCs w:val="20"/>
        </w:rPr>
        <w:t xml:space="preserve">Describe the school’s procedures for evaluating faculty instructional effectiveness. Include a description of the processes used for student course evaluations and peer evaluations, if applicable. </w:t>
      </w:r>
    </w:p>
    <w:p w:rsidR="00933038" w:rsidRPr="00E80636" w:rsidRDefault="00933038" w:rsidP="006C308E">
      <w:pPr>
        <w:contextualSpacing/>
        <w:jc w:val="both"/>
        <w:rPr>
          <w:rFonts w:asciiTheme="majorHAnsi" w:hAnsiTheme="majorHAnsi" w:cstheme="majorHAnsi"/>
          <w:sz w:val="20"/>
          <w:szCs w:val="20"/>
        </w:rPr>
      </w:pPr>
    </w:p>
    <w:p w:rsidR="008A1280" w:rsidRPr="00E80636" w:rsidRDefault="008A1280" w:rsidP="00F9562B">
      <w:pPr>
        <w:ind w:left="360"/>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Course evaluations are conducted at the end of each semester using the software Evaluation Kit, as indicated in the overall evaluation plan described in </w:t>
      </w:r>
      <w:hyperlink w:anchor="_B5._Defining_Evaluation" w:history="1">
        <w:r w:rsidR="008C108E" w:rsidRPr="006E28EE">
          <w:rPr>
            <w:rStyle w:val="Hyperlink"/>
            <w:rFonts w:asciiTheme="majorHAnsi" w:eastAsia="Arial" w:hAnsiTheme="majorHAnsi" w:cstheme="majorHAnsi"/>
            <w:i/>
            <w:sz w:val="20"/>
            <w:szCs w:val="20"/>
          </w:rPr>
          <w:t>Criterion B5. Defining Evaluation Practices</w:t>
        </w:r>
      </w:hyperlink>
      <w:r w:rsidRPr="00E80636">
        <w:rPr>
          <w:rFonts w:asciiTheme="majorHAnsi" w:eastAsia="Arial" w:hAnsiTheme="majorHAnsi" w:cstheme="majorHAnsi"/>
          <w:sz w:val="20"/>
          <w:szCs w:val="20"/>
        </w:rPr>
        <w:t>. The course evaluations assess the following:</w:t>
      </w:r>
    </w:p>
    <w:p w:rsidR="008A1280" w:rsidRPr="00E80636" w:rsidRDefault="008A1280" w:rsidP="006C308E">
      <w:pPr>
        <w:pStyle w:val="ListParagraph"/>
        <w:numPr>
          <w:ilvl w:val="0"/>
          <w:numId w:val="78"/>
        </w:numPr>
        <w:contextualSpacing/>
        <w:rPr>
          <w:rFonts w:asciiTheme="majorHAnsi" w:eastAsia="Arial" w:hAnsiTheme="majorHAnsi" w:cstheme="majorHAnsi"/>
          <w:szCs w:val="20"/>
        </w:rPr>
      </w:pPr>
      <w:r w:rsidRPr="00E80636">
        <w:rPr>
          <w:rFonts w:asciiTheme="majorHAnsi" w:eastAsia="Arial" w:hAnsiTheme="majorHAnsi" w:cstheme="majorHAnsi"/>
          <w:szCs w:val="20"/>
        </w:rPr>
        <w:t>Quality of instructional materials (textbooks, readings, homework assignments, etc.)</w:t>
      </w:r>
    </w:p>
    <w:p w:rsidR="008A1280" w:rsidRPr="00E80636" w:rsidRDefault="008A1280" w:rsidP="006C308E">
      <w:pPr>
        <w:pStyle w:val="ListParagraph"/>
        <w:numPr>
          <w:ilvl w:val="0"/>
          <w:numId w:val="78"/>
        </w:numPr>
        <w:contextualSpacing/>
        <w:rPr>
          <w:rFonts w:asciiTheme="majorHAnsi" w:eastAsia="Arial" w:hAnsiTheme="majorHAnsi" w:cstheme="majorHAnsi"/>
          <w:szCs w:val="20"/>
        </w:rPr>
      </w:pPr>
      <w:r w:rsidRPr="00E80636">
        <w:rPr>
          <w:rFonts w:asciiTheme="majorHAnsi" w:eastAsia="Arial" w:hAnsiTheme="majorHAnsi" w:cstheme="majorHAnsi"/>
          <w:szCs w:val="20"/>
        </w:rPr>
        <w:t>Availability and responsiveness of faculty and teaching assistants</w:t>
      </w:r>
    </w:p>
    <w:p w:rsidR="008A1280" w:rsidRPr="00E80636" w:rsidRDefault="008A1280" w:rsidP="006C308E">
      <w:pPr>
        <w:pStyle w:val="ListParagraph"/>
        <w:numPr>
          <w:ilvl w:val="0"/>
          <w:numId w:val="78"/>
        </w:numPr>
        <w:contextualSpacing/>
        <w:rPr>
          <w:rFonts w:asciiTheme="majorHAnsi" w:eastAsia="Arial" w:hAnsiTheme="majorHAnsi" w:cstheme="majorHAnsi"/>
          <w:szCs w:val="20"/>
        </w:rPr>
      </w:pPr>
      <w:r w:rsidRPr="00E80636">
        <w:rPr>
          <w:rFonts w:asciiTheme="majorHAnsi" w:eastAsia="Arial" w:hAnsiTheme="majorHAnsi" w:cstheme="majorHAnsi"/>
          <w:szCs w:val="20"/>
        </w:rPr>
        <w:t>Quality of feedback</w:t>
      </w:r>
    </w:p>
    <w:p w:rsidR="008A1280" w:rsidRPr="00E80636" w:rsidRDefault="008A1280" w:rsidP="006C308E">
      <w:pPr>
        <w:pStyle w:val="ListParagraph"/>
        <w:numPr>
          <w:ilvl w:val="0"/>
          <w:numId w:val="78"/>
        </w:numPr>
        <w:contextualSpacing/>
        <w:rPr>
          <w:rFonts w:asciiTheme="majorHAnsi" w:eastAsia="Arial" w:hAnsiTheme="majorHAnsi" w:cstheme="majorHAnsi"/>
          <w:szCs w:val="20"/>
        </w:rPr>
      </w:pPr>
      <w:r w:rsidRPr="00E80636">
        <w:rPr>
          <w:rFonts w:asciiTheme="majorHAnsi" w:eastAsia="Arial" w:hAnsiTheme="majorHAnsi" w:cstheme="majorHAnsi"/>
          <w:szCs w:val="20"/>
        </w:rPr>
        <w:t>Overall teaching effectiveness of the faculty member</w:t>
      </w:r>
    </w:p>
    <w:p w:rsidR="008A1280" w:rsidRPr="00E80636" w:rsidRDefault="008A1280" w:rsidP="006C308E">
      <w:pPr>
        <w:ind w:left="360"/>
        <w:rPr>
          <w:rFonts w:asciiTheme="majorHAnsi" w:eastAsia="Arial" w:hAnsiTheme="majorHAnsi" w:cstheme="majorHAnsi"/>
          <w:sz w:val="20"/>
          <w:szCs w:val="20"/>
        </w:rPr>
      </w:pPr>
    </w:p>
    <w:p w:rsidR="008A1280" w:rsidRPr="00E80636" w:rsidRDefault="008A1280" w:rsidP="00F9562B">
      <w:pPr>
        <w:ind w:left="360"/>
        <w:contextualSpacing/>
        <w:rPr>
          <w:rFonts w:asciiTheme="majorHAnsi" w:hAnsiTheme="majorHAnsi" w:cstheme="majorHAnsi"/>
          <w:i/>
          <w:sz w:val="20"/>
          <w:szCs w:val="20"/>
        </w:rPr>
      </w:pPr>
      <w:r w:rsidRPr="00E80636">
        <w:rPr>
          <w:rFonts w:asciiTheme="majorHAnsi" w:eastAsia="Arial" w:hAnsiTheme="majorHAnsi" w:cstheme="majorHAnsi"/>
          <w:sz w:val="20"/>
          <w:szCs w:val="20"/>
        </w:rPr>
        <w:t>Upon completion of each semester, faculty members are sent the results of their course evaluations, and evaluations are available for reference electronically across semesters. Results from course evaluations are also incorporated within the AAR so that faculty can score their peers on teaching effectiveness.  Faculty evaluate each other’s teaching on a five (5)-point scale as “exceptional” (1: far exceeds expectations); “excellent” (2: above expectations); “satisfactory” (3: meets expectations); “fair” (4: needs improvement); or “poor” (5: does not meet expectations). Department chairs conduct an annual review of all faculty to discuss course evaluation scores and teaching assignments, expectations, and, if needed, a professional development plan. The senior associate dean for academic and research affairs and the director of academic affairs review course evaluations after each semester to flag results that may need remediation. The senior associate dean communicates these results to department chairs to address with faculty on an as-needed basis.</w:t>
      </w:r>
    </w:p>
    <w:p w:rsidR="00933038" w:rsidRPr="00E80636" w:rsidRDefault="00933038" w:rsidP="006C308E">
      <w:pPr>
        <w:ind w:left="720"/>
        <w:contextualSpacing/>
        <w:jc w:val="both"/>
        <w:rPr>
          <w:rFonts w:asciiTheme="majorHAnsi" w:hAnsiTheme="majorHAnsi" w:cstheme="majorHAnsi"/>
          <w:sz w:val="20"/>
          <w:szCs w:val="20"/>
        </w:rPr>
      </w:pPr>
    </w:p>
    <w:p w:rsidR="00933038" w:rsidRPr="00E80636" w:rsidRDefault="00933038" w:rsidP="00F9562B">
      <w:pPr>
        <w:numPr>
          <w:ilvl w:val="0"/>
          <w:numId w:val="33"/>
        </w:numPr>
        <w:contextualSpacing/>
        <w:rPr>
          <w:rFonts w:asciiTheme="majorHAnsi" w:hAnsiTheme="majorHAnsi" w:cstheme="majorHAnsi"/>
          <w:sz w:val="20"/>
          <w:szCs w:val="20"/>
        </w:rPr>
      </w:pPr>
      <w:r w:rsidRPr="00E80636">
        <w:rPr>
          <w:rFonts w:asciiTheme="majorHAnsi" w:hAnsiTheme="majorHAnsi" w:cstheme="majorHAnsi"/>
          <w:sz w:val="20"/>
          <w:szCs w:val="20"/>
        </w:rPr>
        <w:t xml:space="preserve">Describe available university and </w:t>
      </w:r>
      <w:r w:rsidR="006130D9" w:rsidRPr="00E80636">
        <w:rPr>
          <w:rFonts w:asciiTheme="majorHAnsi" w:hAnsiTheme="majorHAnsi" w:cstheme="majorHAnsi"/>
          <w:sz w:val="20"/>
          <w:szCs w:val="20"/>
        </w:rPr>
        <w:t>program</w:t>
      </w:r>
      <w:r w:rsidRPr="00E80636">
        <w:rPr>
          <w:rFonts w:asciiTheme="majorHAnsi" w:hAnsiTheme="majorHAnsi" w:cstheme="majorHAnsi"/>
          <w:sz w:val="20"/>
          <w:szCs w:val="20"/>
        </w:rPr>
        <w:t xml:space="preserve">matic support for continuous improvement in faculty’s instructional roles. Provide three to five examples of school involvement in or use of these resources. The description must address both primary instructional faculty and non-primary instructional faculty. </w:t>
      </w:r>
    </w:p>
    <w:p w:rsidR="00933038" w:rsidRPr="00E80636" w:rsidRDefault="00933038" w:rsidP="006C308E">
      <w:pPr>
        <w:contextualSpacing/>
        <w:jc w:val="both"/>
        <w:rPr>
          <w:rFonts w:asciiTheme="majorHAnsi" w:hAnsiTheme="majorHAnsi" w:cstheme="majorHAnsi"/>
          <w:sz w:val="20"/>
          <w:szCs w:val="20"/>
        </w:rPr>
      </w:pPr>
    </w:p>
    <w:p w:rsidR="008A1280" w:rsidRPr="00E80636" w:rsidRDefault="008A1280" w:rsidP="00F9562B">
      <w:pPr>
        <w:ind w:left="360"/>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UTHealth, along with the University of Texas System (UT System), continuously support improvement in faculty instructional roles. Below are some examples of instructional resources available to all faculty, including both primary and non-primary instructional faculty. </w:t>
      </w:r>
    </w:p>
    <w:p w:rsidR="008A1280" w:rsidRPr="00E80636" w:rsidRDefault="008A1280" w:rsidP="006C308E">
      <w:pPr>
        <w:ind w:left="360"/>
        <w:jc w:val="both"/>
        <w:rPr>
          <w:rFonts w:asciiTheme="majorHAnsi" w:eastAsia="Arial" w:hAnsiTheme="majorHAnsi" w:cstheme="majorHAnsi"/>
          <w:sz w:val="20"/>
          <w:szCs w:val="20"/>
        </w:rPr>
      </w:pPr>
    </w:p>
    <w:p w:rsidR="008A1280" w:rsidRPr="00E80636" w:rsidRDefault="008A1280" w:rsidP="00F9562B">
      <w:pPr>
        <w:ind w:left="360"/>
        <w:rPr>
          <w:rFonts w:asciiTheme="majorHAnsi" w:eastAsia="Arial" w:hAnsiTheme="majorHAnsi" w:cstheme="majorHAnsi"/>
          <w:sz w:val="20"/>
          <w:szCs w:val="20"/>
        </w:rPr>
      </w:pPr>
      <w:r w:rsidRPr="00E80636">
        <w:rPr>
          <w:rFonts w:asciiTheme="majorHAnsi" w:eastAsia="Arial" w:hAnsiTheme="majorHAnsi" w:cstheme="majorHAnsi"/>
          <w:sz w:val="20"/>
          <w:szCs w:val="20"/>
        </w:rPr>
        <w:t>To recognize the importance of the educational mission at its health science centers, the UT System created a state-wide society, The University of Texas Kenneth I. Shine, M.D., Academy of Health Science Education (the “Shine Academy”) in 2005. The Shine Academy is a formal organization of distinguished scholars recognized for their teaching excellence, and is committed to the enhancement of health science education. The goals of the Shine Academy are to: (1) recognize and reward outstanding educators for their exceptional contributions; (2) support faculty development for education; (3) promote the academic advancement of teachers in the health sciences; (4) encourage development and implementation of innovative educational projects, including collaboration between disciplines and institutions; (5) promote curriculum design and reform; and (6) foster educational scholarship and research of teaching faculty and provide financial assistance for new and innovative educational projects.</w:t>
      </w:r>
    </w:p>
    <w:p w:rsidR="008A1280" w:rsidRPr="00E80636" w:rsidRDefault="008A1280" w:rsidP="00F9562B">
      <w:pPr>
        <w:ind w:left="360"/>
        <w:rPr>
          <w:rFonts w:asciiTheme="majorHAnsi" w:eastAsia="Arial" w:hAnsiTheme="majorHAnsi" w:cstheme="majorHAnsi"/>
          <w:sz w:val="20"/>
          <w:szCs w:val="20"/>
        </w:rPr>
      </w:pPr>
    </w:p>
    <w:p w:rsidR="008A1280" w:rsidRPr="00E80636" w:rsidRDefault="008A1280" w:rsidP="00F9562B">
      <w:pPr>
        <w:ind w:left="360"/>
        <w:rPr>
          <w:rFonts w:asciiTheme="majorHAnsi" w:eastAsia="Arial" w:hAnsiTheme="majorHAnsi" w:cstheme="majorHAnsi"/>
          <w:sz w:val="20"/>
          <w:szCs w:val="20"/>
        </w:rPr>
      </w:pPr>
      <w:r w:rsidRPr="00E80636">
        <w:rPr>
          <w:rFonts w:asciiTheme="majorHAnsi" w:eastAsia="Arial" w:hAnsiTheme="majorHAnsi" w:cstheme="majorHAnsi"/>
          <w:sz w:val="20"/>
          <w:szCs w:val="20"/>
        </w:rPr>
        <w:t>The UT System Board of Regents' Outstanding Teaching Award provides monetary awards of $25,000 to outstanding faculty members at all UT System health-related institutions. Faculty undergo an extensive nomination process, and are nominated based on a demonstrated commitment to teaching and a sustained capability to deliver excellence to the learning experience in a variety of settings, through the following principal criteria: (1) sustained high performance in learner evaluations (student, resident, fellow, and peers), as evidenced by high evaluation scores and trends, absence of grade inflation patterns, and positive written comments; (2) peer review evaluation of curriculum quality, classroom expertise, clinical teaching, and demonstrated focus on learning outcomes and assessment of those outcomes; (3) faculty scholarship in relation to innovative course or program development, content, and intellectual challenges that together inspire curiosity and creativity, and promote engagement in the learning process; and (4) additional extraordinary commitment to teaching demonstrated in a variety of ways, including mentoring, service learning, engagement, and advising.</w:t>
      </w:r>
    </w:p>
    <w:p w:rsidR="008A1280" w:rsidRPr="00E80636" w:rsidRDefault="008A1280" w:rsidP="00F9562B">
      <w:pPr>
        <w:ind w:left="360"/>
        <w:rPr>
          <w:rFonts w:asciiTheme="majorHAnsi" w:eastAsia="Arial" w:hAnsiTheme="majorHAnsi" w:cstheme="majorHAnsi"/>
          <w:sz w:val="20"/>
          <w:szCs w:val="20"/>
        </w:rPr>
      </w:pPr>
    </w:p>
    <w:p w:rsidR="008A1280" w:rsidRPr="00E80636" w:rsidRDefault="008A1280" w:rsidP="00F9562B">
      <w:pPr>
        <w:ind w:left="360"/>
        <w:rPr>
          <w:rFonts w:asciiTheme="majorHAnsi" w:eastAsia="Arial" w:hAnsiTheme="majorHAnsi" w:cstheme="majorHAnsi"/>
          <w:sz w:val="20"/>
          <w:szCs w:val="20"/>
        </w:rPr>
      </w:pPr>
      <w:r w:rsidRPr="00E80636">
        <w:rPr>
          <w:rFonts w:asciiTheme="majorHAnsi" w:eastAsia="Arial" w:hAnsiTheme="majorHAnsi" w:cstheme="majorHAnsi"/>
          <w:sz w:val="20"/>
          <w:szCs w:val="20"/>
        </w:rPr>
        <w:t>The Health Educators Fellowship Program (HEFP) is designed to expand the teaching skills of participating faculty and to enhance the educational mission of UTHealth. This certificate program includes a collaborative relationship with the following UTHealth institutions: McGovern Medical School, School of Biomedical Informatics, School of Dentistry, Cizik School of Nursing, and School of Public Health. The HEFP accepts applicants every other year, and the curriculum extends over an 18-month period. The primary aim of the HEFP is to enhance and improve faculty knowledge, skills, and attitudes related to the scholarship of teaching and learning in order to enable them to make positive contributions to their department, school, and UTHealth. Specifically, the HEFP is designed to increase fellows’ knowledge and ability to apply key educational principles and theories; skills in lecturing and facilitating student/resident learning in all educational venues; ability to design and evaluate programs and curriculum; interest in and ability to serve as an educational leader; and self-reflection and readiness to benefit from constructive feedback from learners and peers.</w:t>
      </w:r>
    </w:p>
    <w:p w:rsidR="008A1280" w:rsidRPr="00E80636" w:rsidRDefault="008A1280" w:rsidP="006C308E">
      <w:pPr>
        <w:ind w:left="360"/>
        <w:jc w:val="both"/>
        <w:rPr>
          <w:rFonts w:asciiTheme="majorHAnsi" w:eastAsia="Arial" w:hAnsiTheme="majorHAnsi" w:cstheme="majorHAnsi"/>
          <w:sz w:val="20"/>
          <w:szCs w:val="20"/>
        </w:rPr>
      </w:pPr>
    </w:p>
    <w:p w:rsidR="00933038" w:rsidRPr="00E80636" w:rsidRDefault="008A1280" w:rsidP="006C308E">
      <w:pPr>
        <w:ind w:left="360"/>
        <w:contextualSpacing/>
        <w:rPr>
          <w:rFonts w:asciiTheme="majorHAnsi" w:eastAsia="Arial" w:hAnsiTheme="majorHAnsi" w:cstheme="majorHAnsi"/>
          <w:sz w:val="20"/>
          <w:szCs w:val="20"/>
        </w:rPr>
      </w:pPr>
      <w:r w:rsidRPr="00E80636">
        <w:rPr>
          <w:rFonts w:asciiTheme="majorHAnsi" w:eastAsia="Arial" w:hAnsiTheme="majorHAnsi" w:cstheme="majorHAnsi"/>
          <w:sz w:val="20"/>
          <w:szCs w:val="20"/>
        </w:rPr>
        <w:t>UTHealth subscribes to Magna Commons, which provides faculty with access to professional teaching development resources. The 20-minute digital libraries are video-based resources that offer solutions to general classroom challenges. The videos are available on demand. Downloadable resources also complement each video presentation. The Magna Commons subscription also includes access to faculty-focused articles on strategies that advance teaching and learning. Both primary and non-primary instructional faculty a have access to this resource, and are encouraged to utilize this platform to enhance their teaching effectiveness.</w:t>
      </w:r>
    </w:p>
    <w:p w:rsidR="00B53851" w:rsidRPr="00E80636" w:rsidRDefault="00B53851" w:rsidP="006C308E">
      <w:pPr>
        <w:ind w:left="360"/>
        <w:contextualSpacing/>
        <w:rPr>
          <w:rFonts w:asciiTheme="majorHAnsi" w:hAnsiTheme="majorHAnsi" w:cstheme="majorHAnsi"/>
          <w:sz w:val="20"/>
          <w:szCs w:val="20"/>
        </w:rPr>
      </w:pPr>
    </w:p>
    <w:p w:rsidR="00933038" w:rsidRPr="00E80636" w:rsidRDefault="00933038" w:rsidP="006C308E">
      <w:pPr>
        <w:numPr>
          <w:ilvl w:val="0"/>
          <w:numId w:val="33"/>
        </w:numPr>
        <w:contextualSpacing/>
        <w:jc w:val="both"/>
        <w:rPr>
          <w:rFonts w:asciiTheme="majorHAnsi" w:hAnsiTheme="majorHAnsi" w:cstheme="majorHAnsi"/>
          <w:sz w:val="20"/>
          <w:szCs w:val="20"/>
        </w:rPr>
      </w:pPr>
      <w:r w:rsidRPr="00E80636">
        <w:rPr>
          <w:rFonts w:asciiTheme="majorHAnsi" w:hAnsiTheme="majorHAnsi" w:cstheme="majorHAnsi"/>
          <w:sz w:val="20"/>
          <w:szCs w:val="20"/>
        </w:rPr>
        <w:t xml:space="preserve">Describe the role of evaluations of instructional effectiveness in decisions about faculty advancement. </w:t>
      </w:r>
    </w:p>
    <w:p w:rsidR="00933038" w:rsidRPr="00E80636" w:rsidRDefault="00933038" w:rsidP="006C308E">
      <w:pPr>
        <w:contextualSpacing/>
        <w:jc w:val="both"/>
        <w:rPr>
          <w:rFonts w:asciiTheme="majorHAnsi" w:hAnsiTheme="majorHAnsi" w:cstheme="majorHAnsi"/>
          <w:sz w:val="20"/>
          <w:szCs w:val="20"/>
        </w:rPr>
      </w:pPr>
    </w:p>
    <w:p w:rsidR="008A1280" w:rsidRPr="00E80636" w:rsidRDefault="008A1280" w:rsidP="006C308E">
      <w:pPr>
        <w:ind w:left="360"/>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Teaching effectiveness is an important consideration for all faculty in decisions about their advancement at the UTHealth School of Public Health. Measures of teaching effectiveness include mastery of content and teaching pedagogy, as evidenced by student and faculty evaluations; these evaluation measures are considered throughout the promotion and tenure process. In addition to the yearly review of faculty performance, assistant professors receive a three (3)-year review by a committee of faculty peers. The faculty candidate provides review materials consisting of an updated CV; annual activity reports (AARs); peer-review results (overall, teaching, research, and service scores); annual performance review documents; and a career statement of up to three (3) pages in length that describes accomplishments and future goals in the areas of teaching, research, and service. </w:t>
      </w:r>
    </w:p>
    <w:p w:rsidR="008A1280" w:rsidRPr="00E80636" w:rsidRDefault="008A1280" w:rsidP="006C308E">
      <w:pPr>
        <w:ind w:left="360"/>
        <w:rPr>
          <w:rFonts w:asciiTheme="majorHAnsi" w:eastAsia="Arial" w:hAnsiTheme="majorHAnsi" w:cstheme="majorHAnsi"/>
          <w:sz w:val="20"/>
          <w:szCs w:val="20"/>
        </w:rPr>
      </w:pPr>
    </w:p>
    <w:p w:rsidR="008A1280" w:rsidRPr="00E80636" w:rsidRDefault="008A1280" w:rsidP="006C308E">
      <w:pPr>
        <w:ind w:left="360"/>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Soon after the faculty members declares their intent to go up for promotion and/or tenure, the department convenes a meeting to discuss the candidate’s portfolio, which includes the candidate’s teaching effectiveness as informed by the department chair and student evaluations. </w:t>
      </w:r>
    </w:p>
    <w:p w:rsidR="008A1280" w:rsidRPr="00E80636" w:rsidRDefault="008A1280" w:rsidP="006C308E">
      <w:pPr>
        <w:ind w:left="360"/>
        <w:rPr>
          <w:rFonts w:asciiTheme="majorHAnsi" w:eastAsia="Arial" w:hAnsiTheme="majorHAnsi" w:cstheme="majorHAnsi"/>
          <w:sz w:val="20"/>
          <w:szCs w:val="20"/>
        </w:rPr>
      </w:pPr>
    </w:p>
    <w:p w:rsidR="008A1280" w:rsidRPr="00E80636" w:rsidRDefault="008A1280" w:rsidP="006C308E">
      <w:pPr>
        <w:ind w:left="360"/>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Faculty also undergo a six (6)-year review that includes six AARs; peer-review results (overall, teaching, research, and service scores); a CV; and a summary of professional accomplishments and objectives.  </w:t>
      </w:r>
    </w:p>
    <w:p w:rsidR="00933038" w:rsidRPr="00E80636" w:rsidRDefault="00933038" w:rsidP="006C308E">
      <w:pPr>
        <w:ind w:left="720"/>
        <w:contextualSpacing/>
        <w:rPr>
          <w:rFonts w:asciiTheme="majorHAnsi" w:hAnsiTheme="majorHAnsi" w:cstheme="majorHAnsi"/>
          <w:sz w:val="20"/>
          <w:szCs w:val="20"/>
        </w:rPr>
      </w:pPr>
    </w:p>
    <w:p w:rsidR="00933038" w:rsidRPr="00E80636" w:rsidRDefault="00933038" w:rsidP="00F9562B">
      <w:pPr>
        <w:numPr>
          <w:ilvl w:val="0"/>
          <w:numId w:val="33"/>
        </w:numPr>
        <w:contextualSpacing/>
        <w:rPr>
          <w:rFonts w:asciiTheme="majorHAnsi" w:hAnsiTheme="majorHAnsi" w:cstheme="majorHAnsi"/>
          <w:sz w:val="20"/>
          <w:szCs w:val="20"/>
        </w:rPr>
      </w:pPr>
      <w:r w:rsidRPr="00E80636">
        <w:rPr>
          <w:rFonts w:asciiTheme="majorHAnsi" w:hAnsiTheme="majorHAnsi" w:cstheme="majorHAnsi"/>
          <w:sz w:val="20"/>
          <w:szCs w:val="20"/>
        </w:rPr>
        <w:t>Select at least three indicators, with one from each of the listed categories that are meaningful to the school and relate to instructional quality. Describe the school’s approach and progress over the last three years for each of the chosen indicators. In addition to at least three from the lists</w:t>
      </w:r>
      <w:r w:rsidR="00F31BC0" w:rsidRPr="00E80636">
        <w:rPr>
          <w:rFonts w:asciiTheme="majorHAnsi" w:hAnsiTheme="majorHAnsi" w:cstheme="majorHAnsi"/>
          <w:sz w:val="20"/>
          <w:szCs w:val="20"/>
        </w:rPr>
        <w:t xml:space="preserve"> in the criteria</w:t>
      </w:r>
      <w:r w:rsidRPr="00E80636">
        <w:rPr>
          <w:rFonts w:asciiTheme="majorHAnsi" w:hAnsiTheme="majorHAnsi" w:cstheme="majorHAnsi"/>
          <w:sz w:val="20"/>
          <w:szCs w:val="20"/>
        </w:rPr>
        <w:t xml:space="preserve">, the school may add indicators that are significant to its own mission and context. </w:t>
      </w:r>
    </w:p>
    <w:p w:rsidR="008A1280" w:rsidRPr="00E80636" w:rsidRDefault="008A1280" w:rsidP="00F9562B">
      <w:pPr>
        <w:contextualSpacing/>
        <w:rPr>
          <w:rFonts w:asciiTheme="majorHAnsi" w:hAnsiTheme="majorHAnsi" w:cstheme="majorHAnsi"/>
          <w:sz w:val="20"/>
          <w:szCs w:val="20"/>
        </w:rPr>
      </w:pPr>
    </w:p>
    <w:p w:rsidR="008A1280" w:rsidRPr="00E80636" w:rsidRDefault="008A1280" w:rsidP="00F9562B">
      <w:pPr>
        <w:pStyle w:val="ListParagraph"/>
        <w:numPr>
          <w:ilvl w:val="0"/>
          <w:numId w:val="79"/>
        </w:numPr>
        <w:contextualSpacing/>
        <w:rPr>
          <w:rFonts w:asciiTheme="majorHAnsi" w:hAnsiTheme="majorHAnsi" w:cstheme="majorHAnsi"/>
          <w:szCs w:val="20"/>
        </w:rPr>
      </w:pPr>
      <w:r w:rsidRPr="00E80636">
        <w:rPr>
          <w:rFonts w:asciiTheme="majorHAnsi" w:eastAsia="Arial" w:hAnsiTheme="majorHAnsi" w:cstheme="majorHAnsi"/>
          <w:szCs w:val="20"/>
        </w:rPr>
        <w:t>Annual or other regular reviews of faculty productivity, relation of scholarship to instruction</w:t>
      </w:r>
    </w:p>
    <w:p w:rsidR="008A1280" w:rsidRPr="00E80636" w:rsidRDefault="008A1280" w:rsidP="00F9562B">
      <w:pPr>
        <w:pStyle w:val="ListParagraph"/>
        <w:ind w:left="1080"/>
        <w:contextualSpacing/>
        <w:rPr>
          <w:rFonts w:asciiTheme="majorHAnsi" w:eastAsia="Arial" w:hAnsiTheme="majorHAnsi" w:cstheme="majorHAnsi"/>
          <w:szCs w:val="20"/>
        </w:rPr>
      </w:pPr>
    </w:p>
    <w:p w:rsidR="008A1280" w:rsidRPr="00E80636" w:rsidRDefault="008A1280" w:rsidP="00F9562B">
      <w:pPr>
        <w:ind w:left="1080"/>
        <w:rPr>
          <w:rFonts w:asciiTheme="majorHAnsi" w:hAnsiTheme="majorHAnsi" w:cstheme="majorHAnsi"/>
          <w:sz w:val="20"/>
          <w:szCs w:val="20"/>
        </w:rPr>
      </w:pPr>
      <w:r w:rsidRPr="00E80636">
        <w:rPr>
          <w:rFonts w:asciiTheme="majorHAnsi" w:eastAsia="Arial" w:hAnsiTheme="majorHAnsi" w:cstheme="majorHAnsi"/>
          <w:sz w:val="20"/>
          <w:szCs w:val="20"/>
        </w:rPr>
        <w:t xml:space="preserve">All faculty are reviewed annually by their peers and by their department chair and campus dean, if applicable. The Annual Activity Report (AAR) </w:t>
      </w:r>
      <w:r w:rsidRPr="00E80636">
        <w:rPr>
          <w:rFonts w:asciiTheme="majorHAnsi" w:hAnsiTheme="majorHAnsi" w:cstheme="majorHAnsi"/>
          <w:sz w:val="20"/>
          <w:szCs w:val="20"/>
        </w:rPr>
        <w:t xml:space="preserve">is required annually of all UTHealth School of Public Health faculty, regardless of length of employment. The UTHealth School of Public Health Faculty Council </w:t>
      </w:r>
      <w:r w:rsidRPr="00B71114">
        <w:rPr>
          <w:rFonts w:asciiTheme="majorHAnsi" w:hAnsiTheme="majorHAnsi" w:cstheme="majorHAnsi"/>
          <w:sz w:val="20"/>
          <w:szCs w:val="20"/>
        </w:rPr>
        <w:t xml:space="preserve">currently manages the AAR process, and is responsible for vetting and implementing any changes to the </w:t>
      </w:r>
      <w:r w:rsidR="001F6504" w:rsidRPr="00B71114">
        <w:rPr>
          <w:rFonts w:asciiTheme="majorHAnsi" w:hAnsiTheme="majorHAnsi" w:cstheme="majorHAnsi"/>
          <w:sz w:val="20"/>
          <w:szCs w:val="20"/>
        </w:rPr>
        <w:t>AAR</w:t>
      </w:r>
      <w:r w:rsidRPr="00B71114">
        <w:rPr>
          <w:rFonts w:asciiTheme="majorHAnsi" w:hAnsiTheme="majorHAnsi" w:cstheme="majorHAnsi"/>
          <w:sz w:val="20"/>
          <w:szCs w:val="20"/>
        </w:rPr>
        <w:t>. Faculty are notified in early fall about the relevant dates; the AAR is generally due in mid-November. The AAR documents information related to teaching, research, and service over the past fiscal year</w:t>
      </w:r>
      <w:r w:rsidRPr="00E80636">
        <w:rPr>
          <w:rFonts w:asciiTheme="majorHAnsi" w:hAnsiTheme="majorHAnsi" w:cstheme="majorHAnsi"/>
          <w:sz w:val="20"/>
          <w:szCs w:val="20"/>
        </w:rPr>
        <w:t xml:space="preserve"> (9/1–8/31), in most cases. Information about faculty teaching load (accounting for student credit hours) and extramural funding is automatically imported into the AAR from student records and the Office of Research Administration, respectively. However, information about publications, service, etc., must be manually entered into the AAR by faculty. </w:t>
      </w:r>
    </w:p>
    <w:p w:rsidR="008A1280" w:rsidRPr="00E80636" w:rsidRDefault="008A1280" w:rsidP="00F9562B">
      <w:pPr>
        <w:ind w:left="1080"/>
        <w:rPr>
          <w:rFonts w:asciiTheme="majorHAnsi" w:hAnsiTheme="majorHAnsi" w:cstheme="majorHAnsi"/>
          <w:sz w:val="20"/>
          <w:szCs w:val="20"/>
        </w:rPr>
      </w:pPr>
    </w:p>
    <w:p w:rsidR="008A1280" w:rsidRPr="00E80636" w:rsidRDefault="008A1280" w:rsidP="00F9562B">
      <w:pPr>
        <w:ind w:left="1080"/>
        <w:rPr>
          <w:rFonts w:asciiTheme="majorHAnsi" w:hAnsiTheme="majorHAnsi" w:cstheme="majorHAnsi"/>
          <w:sz w:val="20"/>
          <w:szCs w:val="20"/>
        </w:rPr>
      </w:pPr>
      <w:r w:rsidRPr="00E80636">
        <w:rPr>
          <w:rFonts w:asciiTheme="majorHAnsi" w:hAnsiTheme="majorHAnsi" w:cstheme="majorHAnsi"/>
          <w:sz w:val="20"/>
          <w:szCs w:val="20"/>
        </w:rPr>
        <w:t xml:space="preserve">The AAR is used to document annual progress; to inform performance reviews with department chairs (and, if applicable, campus deans); and to determine incentive plan compensation through the peer review. When completing the AAR, faculty are encouraged to use the brief comment space to highlight an achievement that might need more explanation or to remind the reviewers of a special agreement, e.g., not having any teaching responsibilities in the first year. The peer review is a faculty-driven process that uses the AARs to assign scores to faculty on teaching, research, service, and overall. Approximately two (2) weeks after the AARs are submitted, faculty are notified that the peer review website is open. At this time, faculty are asked to view the AARs and provide scores for all other faculty in their primary department. Faculty who have been employed less than one (1) full year will not be peer reviewed. Results from the peer review are used to provide feedback to faculty on their performance, and to determine incentive compensation based on the Academic Incentive Plan (AIP) </w:t>
      </w:r>
      <w:r w:rsidRPr="00E80636">
        <w:rPr>
          <w:rFonts w:asciiTheme="majorHAnsi" w:hAnsiTheme="majorHAnsi" w:cstheme="majorHAnsi"/>
          <w:i/>
          <w:sz w:val="20"/>
          <w:szCs w:val="20"/>
        </w:rPr>
        <w:t>(</w:t>
      </w:r>
      <w:r w:rsidR="00B607AC" w:rsidRPr="00E80636">
        <w:rPr>
          <w:rFonts w:asciiTheme="majorHAnsi" w:hAnsiTheme="majorHAnsi" w:cstheme="majorHAnsi"/>
          <w:i/>
          <w:sz w:val="20"/>
          <w:szCs w:val="20"/>
        </w:rPr>
        <w:t xml:space="preserve">ERF, </w:t>
      </w:r>
      <w:r w:rsidR="009F6728" w:rsidRPr="00E80636">
        <w:rPr>
          <w:rFonts w:asciiTheme="majorHAnsi" w:hAnsiTheme="majorHAnsi" w:cstheme="majorHAnsi"/>
          <w:i/>
          <w:sz w:val="20"/>
          <w:szCs w:val="20"/>
        </w:rPr>
        <w:t xml:space="preserve">E3.5. Indicators of Instructional Quality, </w:t>
      </w:r>
      <w:r w:rsidR="00B607AC" w:rsidRPr="00E80636">
        <w:rPr>
          <w:rFonts w:asciiTheme="majorHAnsi" w:hAnsiTheme="majorHAnsi" w:cstheme="majorHAnsi"/>
          <w:i/>
          <w:sz w:val="20"/>
          <w:szCs w:val="20"/>
        </w:rPr>
        <w:t>Faculty Compensation Plan</w:t>
      </w:r>
      <w:r w:rsidRPr="00E80636">
        <w:rPr>
          <w:rFonts w:asciiTheme="majorHAnsi" w:hAnsiTheme="majorHAnsi" w:cstheme="majorHAnsi"/>
          <w:i/>
          <w:sz w:val="20"/>
          <w:szCs w:val="20"/>
        </w:rPr>
        <w:t>).</w:t>
      </w:r>
      <w:r w:rsidRPr="00E80636">
        <w:rPr>
          <w:rFonts w:asciiTheme="majorHAnsi" w:hAnsiTheme="majorHAnsi" w:cstheme="majorHAnsi"/>
          <w:sz w:val="20"/>
          <w:szCs w:val="20"/>
        </w:rPr>
        <w:t xml:space="preserve"> The current peer-review system uses a five-point rating scale</w:t>
      </w:r>
      <w:r w:rsidR="001962DC" w:rsidRPr="00E80636">
        <w:rPr>
          <w:rFonts w:asciiTheme="majorHAnsi" w:hAnsiTheme="majorHAnsi" w:cstheme="majorHAnsi"/>
          <w:sz w:val="20"/>
          <w:szCs w:val="20"/>
        </w:rPr>
        <w:t xml:space="preserve"> (5)</w:t>
      </w:r>
      <w:r w:rsidRPr="00E80636">
        <w:rPr>
          <w:rFonts w:asciiTheme="majorHAnsi" w:hAnsiTheme="majorHAnsi" w:cstheme="majorHAnsi"/>
          <w:sz w:val="20"/>
          <w:szCs w:val="20"/>
        </w:rPr>
        <w:t xml:space="preserve">, with separate scores for teaching, research, service, as well as an overall assessment of performance. The peer review is generally due in mid-December, and peer-review results are generally available in January. </w:t>
      </w:r>
    </w:p>
    <w:p w:rsidR="008A1280" w:rsidRPr="00E80636" w:rsidRDefault="008A1280" w:rsidP="00F9562B">
      <w:pPr>
        <w:ind w:left="1080"/>
        <w:rPr>
          <w:rFonts w:asciiTheme="majorHAnsi" w:hAnsiTheme="majorHAnsi" w:cstheme="majorHAnsi"/>
          <w:sz w:val="20"/>
          <w:szCs w:val="20"/>
        </w:rPr>
      </w:pPr>
    </w:p>
    <w:p w:rsidR="008A1280" w:rsidRPr="00E80636" w:rsidRDefault="006E3D5E" w:rsidP="00F9562B">
      <w:pPr>
        <w:ind w:left="1080"/>
        <w:rPr>
          <w:rFonts w:asciiTheme="majorHAnsi" w:hAnsiTheme="majorHAnsi" w:cstheme="majorHAnsi"/>
          <w:sz w:val="20"/>
          <w:szCs w:val="20"/>
        </w:rPr>
      </w:pPr>
      <w:hyperlink w:anchor="tablee36" w:history="1">
        <w:r w:rsidR="00F85F12" w:rsidRPr="00E80636">
          <w:rPr>
            <w:rStyle w:val="Hyperlink"/>
            <w:rFonts w:asciiTheme="majorHAnsi" w:hAnsiTheme="majorHAnsi" w:cstheme="majorHAnsi"/>
            <w:sz w:val="20"/>
            <w:szCs w:val="20"/>
          </w:rPr>
          <w:t xml:space="preserve">Table </w:t>
        </w:r>
        <w:r w:rsidR="009B4319" w:rsidRPr="00E80636">
          <w:rPr>
            <w:rStyle w:val="Hyperlink"/>
            <w:rFonts w:asciiTheme="majorHAnsi" w:hAnsiTheme="majorHAnsi" w:cstheme="majorHAnsi"/>
            <w:sz w:val="20"/>
            <w:szCs w:val="20"/>
          </w:rPr>
          <w:t>E.3.5.a</w:t>
        </w:r>
        <w:r w:rsidR="00F85F12" w:rsidRPr="00E80636">
          <w:rPr>
            <w:rStyle w:val="Hyperlink"/>
            <w:rFonts w:asciiTheme="majorHAnsi" w:hAnsiTheme="majorHAnsi" w:cstheme="majorHAnsi"/>
            <w:sz w:val="20"/>
            <w:szCs w:val="20"/>
          </w:rPr>
          <w:t>.</w:t>
        </w:r>
      </w:hyperlink>
      <w:r w:rsidR="008A1280" w:rsidRPr="00E80636">
        <w:rPr>
          <w:rFonts w:asciiTheme="majorHAnsi" w:hAnsiTheme="majorHAnsi" w:cstheme="majorHAnsi"/>
          <w:sz w:val="20"/>
          <w:szCs w:val="20"/>
        </w:rPr>
        <w:t xml:space="preserve"> shows the mean, minimum, and maximum peer-review scores for the AAR teaching score. Lower scores indicate greater teaching effectiveness. </w:t>
      </w:r>
      <w:hyperlink w:anchor="tablee36" w:history="1">
        <w:r w:rsidR="009B4319" w:rsidRPr="00E80636">
          <w:rPr>
            <w:rStyle w:val="Hyperlink"/>
            <w:rFonts w:asciiTheme="majorHAnsi" w:hAnsiTheme="majorHAnsi" w:cstheme="majorHAnsi"/>
            <w:sz w:val="20"/>
            <w:szCs w:val="20"/>
          </w:rPr>
          <w:t>Table E.3.5.a.</w:t>
        </w:r>
      </w:hyperlink>
      <w:r w:rsidR="009B4319" w:rsidRPr="00E80636">
        <w:rPr>
          <w:rFonts w:asciiTheme="majorHAnsi" w:hAnsiTheme="majorHAnsi" w:cstheme="majorHAnsi"/>
          <w:sz w:val="20"/>
          <w:szCs w:val="20"/>
        </w:rPr>
        <w:t xml:space="preserve"> </w:t>
      </w:r>
      <w:r w:rsidR="008A1280" w:rsidRPr="00E80636">
        <w:rPr>
          <w:rFonts w:asciiTheme="majorHAnsi" w:hAnsiTheme="majorHAnsi" w:cstheme="majorHAnsi"/>
          <w:sz w:val="20"/>
          <w:szCs w:val="20"/>
        </w:rPr>
        <w:t xml:space="preserve">also displays the percentage of faculty receiving teaching scores greater than 3.00. Ideally, average scores will decrease, as well as the percentage of faculty with scores greater than 3.00. Over the past three (3) years, the mean scores and maximum scores have decreased slightly, indicating improved teaching scores. Over the same period, the percentage of faculty with scores greater than 3.00 has decreased significantly. </w:t>
      </w:r>
    </w:p>
    <w:p w:rsidR="008A1280" w:rsidRPr="00E80636" w:rsidRDefault="008A1280" w:rsidP="00F9562B">
      <w:pPr>
        <w:ind w:left="1080"/>
        <w:rPr>
          <w:rFonts w:asciiTheme="majorHAnsi" w:hAnsiTheme="majorHAnsi" w:cstheme="majorHAnsi"/>
          <w:sz w:val="20"/>
          <w:szCs w:val="20"/>
        </w:rPr>
      </w:pPr>
    </w:p>
    <w:p w:rsidR="009B4319" w:rsidRPr="00E80636" w:rsidRDefault="009B4319" w:rsidP="00F9562B">
      <w:pPr>
        <w:ind w:left="1080"/>
        <w:rPr>
          <w:rFonts w:asciiTheme="majorHAnsi" w:hAnsiTheme="majorHAnsi" w:cstheme="majorHAnsi"/>
          <w:sz w:val="20"/>
          <w:szCs w:val="20"/>
        </w:rPr>
      </w:pPr>
    </w:p>
    <w:p w:rsidR="009B4319" w:rsidRPr="00E80636" w:rsidRDefault="009B4319" w:rsidP="00F9562B">
      <w:pPr>
        <w:ind w:left="1080"/>
        <w:rPr>
          <w:rFonts w:asciiTheme="majorHAnsi" w:hAnsiTheme="majorHAnsi" w:cstheme="majorHAnsi"/>
          <w:sz w:val="20"/>
          <w:szCs w:val="20"/>
        </w:rPr>
      </w:pPr>
    </w:p>
    <w:p w:rsidR="009B4319" w:rsidRPr="00E80636" w:rsidRDefault="009B4319" w:rsidP="006C308E">
      <w:pPr>
        <w:ind w:left="1080"/>
        <w:rPr>
          <w:rFonts w:asciiTheme="majorHAnsi" w:hAnsiTheme="majorHAnsi" w:cstheme="majorHAnsi"/>
          <w:sz w:val="20"/>
          <w:szCs w:val="20"/>
        </w:rPr>
      </w:pPr>
    </w:p>
    <w:p w:rsidR="009B4319" w:rsidRPr="00E80636" w:rsidRDefault="009B4319" w:rsidP="006C308E">
      <w:pPr>
        <w:ind w:left="1080"/>
        <w:rPr>
          <w:rFonts w:asciiTheme="majorHAnsi" w:hAnsiTheme="majorHAnsi" w:cstheme="majorHAnsi"/>
          <w:sz w:val="20"/>
          <w:szCs w:val="20"/>
        </w:rPr>
      </w:pPr>
    </w:p>
    <w:p w:rsidR="00F85F12" w:rsidRPr="00E80636" w:rsidRDefault="00F85F12" w:rsidP="006C308E">
      <w:pPr>
        <w:ind w:left="1080"/>
        <w:rPr>
          <w:rFonts w:asciiTheme="majorHAnsi" w:hAnsiTheme="majorHAnsi" w:cstheme="majorHAnsi"/>
          <w:sz w:val="20"/>
          <w:szCs w:val="20"/>
        </w:rPr>
      </w:pPr>
      <w:bookmarkStart w:id="124" w:name="tablee36"/>
      <w:r w:rsidRPr="00E80636">
        <w:rPr>
          <w:rFonts w:asciiTheme="majorHAnsi" w:hAnsiTheme="majorHAnsi" w:cstheme="majorHAnsi"/>
          <w:sz w:val="20"/>
          <w:szCs w:val="20"/>
        </w:rPr>
        <w:t>Table E.3.</w:t>
      </w:r>
      <w:r w:rsidR="009B4319" w:rsidRPr="00E80636">
        <w:rPr>
          <w:rFonts w:asciiTheme="majorHAnsi" w:hAnsiTheme="majorHAnsi" w:cstheme="majorHAnsi"/>
          <w:sz w:val="20"/>
          <w:szCs w:val="20"/>
        </w:rPr>
        <w:t>5.a</w:t>
      </w:r>
      <w:r w:rsidRPr="00E80636">
        <w:rPr>
          <w:rFonts w:asciiTheme="majorHAnsi" w:hAnsiTheme="majorHAnsi" w:cstheme="majorHAnsi"/>
          <w:sz w:val="20"/>
          <w:szCs w:val="20"/>
        </w:rPr>
        <w:t xml:space="preserve">. </w:t>
      </w:r>
      <w:bookmarkEnd w:id="124"/>
      <w:r w:rsidRPr="00E80636">
        <w:rPr>
          <w:rFonts w:asciiTheme="majorHAnsi" w:hAnsiTheme="majorHAnsi" w:cstheme="majorHAnsi"/>
          <w:sz w:val="20"/>
          <w:szCs w:val="20"/>
        </w:rPr>
        <w:t>Peer-Review Scores of Teaching for the Last Three Years</w:t>
      </w:r>
    </w:p>
    <w:tbl>
      <w:tblPr>
        <w:tblStyle w:val="TableGrid"/>
        <w:tblW w:w="7195" w:type="dxa"/>
        <w:jc w:val="center"/>
        <w:tblLook w:val="04A0" w:firstRow="1" w:lastRow="0" w:firstColumn="1" w:lastColumn="0" w:noHBand="0" w:noVBand="1"/>
      </w:tblPr>
      <w:tblGrid>
        <w:gridCol w:w="4813"/>
        <w:gridCol w:w="794"/>
        <w:gridCol w:w="794"/>
        <w:gridCol w:w="794"/>
      </w:tblGrid>
      <w:tr w:rsidR="00F85F12" w:rsidRPr="00743A41" w:rsidTr="00331B1A">
        <w:trPr>
          <w:jc w:val="center"/>
        </w:trPr>
        <w:tc>
          <w:tcPr>
            <w:tcW w:w="3664" w:type="dxa"/>
          </w:tcPr>
          <w:p w:rsidR="00F85F12" w:rsidRPr="00E80636" w:rsidRDefault="00F85F12" w:rsidP="006C308E">
            <w:pPr>
              <w:rPr>
                <w:rFonts w:asciiTheme="majorHAnsi" w:hAnsiTheme="majorHAnsi" w:cstheme="majorHAnsi"/>
                <w:sz w:val="20"/>
                <w:szCs w:val="20"/>
              </w:rPr>
            </w:pPr>
          </w:p>
        </w:tc>
        <w:tc>
          <w:tcPr>
            <w:tcW w:w="0" w:type="auto"/>
          </w:tcPr>
          <w:p w:rsidR="00F85F12" w:rsidRPr="00E80636" w:rsidRDefault="00F85F12" w:rsidP="006C308E">
            <w:pPr>
              <w:rPr>
                <w:rFonts w:asciiTheme="majorHAnsi" w:hAnsiTheme="majorHAnsi" w:cstheme="majorHAnsi"/>
                <w:sz w:val="20"/>
                <w:szCs w:val="20"/>
              </w:rPr>
            </w:pPr>
            <w:r w:rsidRPr="00E80636">
              <w:rPr>
                <w:rFonts w:asciiTheme="majorHAnsi" w:hAnsiTheme="majorHAnsi" w:cstheme="majorHAnsi"/>
                <w:sz w:val="20"/>
                <w:szCs w:val="20"/>
              </w:rPr>
              <w:t>FY16</w:t>
            </w:r>
          </w:p>
        </w:tc>
        <w:tc>
          <w:tcPr>
            <w:tcW w:w="0" w:type="auto"/>
          </w:tcPr>
          <w:p w:rsidR="00F85F12" w:rsidRPr="00E80636" w:rsidRDefault="00F85F12" w:rsidP="006C308E">
            <w:pPr>
              <w:rPr>
                <w:rFonts w:asciiTheme="majorHAnsi" w:hAnsiTheme="majorHAnsi" w:cstheme="majorHAnsi"/>
                <w:sz w:val="20"/>
                <w:szCs w:val="20"/>
              </w:rPr>
            </w:pPr>
            <w:r w:rsidRPr="00E80636">
              <w:rPr>
                <w:rFonts w:asciiTheme="majorHAnsi" w:hAnsiTheme="majorHAnsi" w:cstheme="majorHAnsi"/>
                <w:sz w:val="20"/>
                <w:szCs w:val="20"/>
              </w:rPr>
              <w:t>FY17</w:t>
            </w:r>
          </w:p>
        </w:tc>
        <w:tc>
          <w:tcPr>
            <w:tcW w:w="0" w:type="auto"/>
          </w:tcPr>
          <w:p w:rsidR="00F85F12" w:rsidRPr="00E80636" w:rsidRDefault="00F85F12" w:rsidP="006C308E">
            <w:pPr>
              <w:rPr>
                <w:rFonts w:asciiTheme="majorHAnsi" w:hAnsiTheme="majorHAnsi" w:cstheme="majorHAnsi"/>
                <w:sz w:val="20"/>
                <w:szCs w:val="20"/>
              </w:rPr>
            </w:pPr>
            <w:r w:rsidRPr="00E80636">
              <w:rPr>
                <w:rFonts w:asciiTheme="majorHAnsi" w:hAnsiTheme="majorHAnsi" w:cstheme="majorHAnsi"/>
                <w:sz w:val="20"/>
                <w:szCs w:val="20"/>
              </w:rPr>
              <w:t>FY18</w:t>
            </w:r>
          </w:p>
        </w:tc>
      </w:tr>
      <w:tr w:rsidR="00F85F12" w:rsidRPr="00743A41" w:rsidTr="00331B1A">
        <w:trPr>
          <w:trHeight w:val="242"/>
          <w:jc w:val="center"/>
        </w:trPr>
        <w:tc>
          <w:tcPr>
            <w:tcW w:w="3664" w:type="dxa"/>
          </w:tcPr>
          <w:p w:rsidR="00F85F12" w:rsidRPr="00E80636" w:rsidRDefault="00F85F12" w:rsidP="006C308E">
            <w:pPr>
              <w:rPr>
                <w:rFonts w:asciiTheme="majorHAnsi" w:hAnsiTheme="majorHAnsi" w:cstheme="majorHAnsi"/>
                <w:sz w:val="20"/>
                <w:szCs w:val="20"/>
              </w:rPr>
            </w:pPr>
            <w:r w:rsidRPr="00E80636">
              <w:rPr>
                <w:rFonts w:asciiTheme="majorHAnsi" w:hAnsiTheme="majorHAnsi" w:cstheme="majorHAnsi"/>
                <w:sz w:val="20"/>
                <w:szCs w:val="20"/>
              </w:rPr>
              <w:t>Mean</w:t>
            </w:r>
          </w:p>
        </w:tc>
        <w:tc>
          <w:tcPr>
            <w:tcW w:w="0" w:type="auto"/>
          </w:tcPr>
          <w:p w:rsidR="00F85F12" w:rsidRPr="00E80636" w:rsidRDefault="00F85F12"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2.25</w:t>
            </w:r>
          </w:p>
        </w:tc>
        <w:tc>
          <w:tcPr>
            <w:tcW w:w="0" w:type="auto"/>
          </w:tcPr>
          <w:p w:rsidR="00F85F12" w:rsidRPr="00E80636" w:rsidRDefault="00F85F12"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2.23</w:t>
            </w:r>
          </w:p>
        </w:tc>
        <w:tc>
          <w:tcPr>
            <w:tcW w:w="0" w:type="auto"/>
          </w:tcPr>
          <w:p w:rsidR="00F85F12" w:rsidRPr="00E80636" w:rsidRDefault="00F85F12"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2.08</w:t>
            </w:r>
          </w:p>
        </w:tc>
      </w:tr>
      <w:tr w:rsidR="00F85F12" w:rsidRPr="00743A41" w:rsidTr="00331B1A">
        <w:trPr>
          <w:jc w:val="center"/>
        </w:trPr>
        <w:tc>
          <w:tcPr>
            <w:tcW w:w="3664" w:type="dxa"/>
          </w:tcPr>
          <w:p w:rsidR="00F85F12" w:rsidRPr="00E80636" w:rsidRDefault="00F85F12" w:rsidP="006C308E">
            <w:pPr>
              <w:rPr>
                <w:rFonts w:asciiTheme="majorHAnsi" w:hAnsiTheme="majorHAnsi" w:cstheme="majorHAnsi"/>
                <w:sz w:val="20"/>
                <w:szCs w:val="20"/>
              </w:rPr>
            </w:pPr>
            <w:r w:rsidRPr="00E80636">
              <w:rPr>
                <w:rFonts w:asciiTheme="majorHAnsi" w:hAnsiTheme="majorHAnsi" w:cstheme="majorHAnsi"/>
                <w:sz w:val="20"/>
                <w:szCs w:val="20"/>
              </w:rPr>
              <w:t xml:space="preserve">Minimum </w:t>
            </w:r>
          </w:p>
        </w:tc>
        <w:tc>
          <w:tcPr>
            <w:tcW w:w="0" w:type="auto"/>
          </w:tcPr>
          <w:p w:rsidR="00F85F12" w:rsidRPr="00E80636" w:rsidRDefault="00F85F12"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1.13</w:t>
            </w:r>
          </w:p>
        </w:tc>
        <w:tc>
          <w:tcPr>
            <w:tcW w:w="0" w:type="auto"/>
          </w:tcPr>
          <w:p w:rsidR="00F85F12" w:rsidRPr="00E80636" w:rsidRDefault="00F85F12"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1.17</w:t>
            </w:r>
          </w:p>
        </w:tc>
        <w:tc>
          <w:tcPr>
            <w:tcW w:w="0" w:type="auto"/>
          </w:tcPr>
          <w:p w:rsidR="00F85F12" w:rsidRPr="00E80636" w:rsidRDefault="00F85F12"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1.20</w:t>
            </w:r>
          </w:p>
        </w:tc>
      </w:tr>
      <w:tr w:rsidR="00F85F12" w:rsidRPr="00743A41" w:rsidTr="00331B1A">
        <w:trPr>
          <w:jc w:val="center"/>
        </w:trPr>
        <w:tc>
          <w:tcPr>
            <w:tcW w:w="3664" w:type="dxa"/>
          </w:tcPr>
          <w:p w:rsidR="00F85F12" w:rsidRPr="00E80636" w:rsidRDefault="00F85F12" w:rsidP="006C308E">
            <w:pPr>
              <w:rPr>
                <w:rFonts w:asciiTheme="majorHAnsi" w:hAnsiTheme="majorHAnsi" w:cstheme="majorHAnsi"/>
                <w:sz w:val="20"/>
                <w:szCs w:val="20"/>
              </w:rPr>
            </w:pPr>
            <w:r w:rsidRPr="00E80636">
              <w:rPr>
                <w:rFonts w:asciiTheme="majorHAnsi" w:hAnsiTheme="majorHAnsi" w:cstheme="majorHAnsi"/>
                <w:sz w:val="20"/>
                <w:szCs w:val="20"/>
              </w:rPr>
              <w:t>Maximum</w:t>
            </w:r>
          </w:p>
        </w:tc>
        <w:tc>
          <w:tcPr>
            <w:tcW w:w="0" w:type="auto"/>
          </w:tcPr>
          <w:p w:rsidR="00F85F12" w:rsidRPr="00E80636" w:rsidRDefault="00F85F12" w:rsidP="006C308E">
            <w:pPr>
              <w:jc w:val="center"/>
              <w:rPr>
                <w:rFonts w:asciiTheme="majorHAnsi" w:hAnsiTheme="majorHAnsi" w:cstheme="majorHAnsi"/>
                <w:sz w:val="20"/>
                <w:szCs w:val="20"/>
              </w:rPr>
            </w:pPr>
            <w:r w:rsidRPr="00E80636">
              <w:rPr>
                <w:rFonts w:asciiTheme="majorHAnsi" w:hAnsiTheme="majorHAnsi" w:cstheme="majorHAnsi"/>
                <w:sz w:val="20"/>
                <w:szCs w:val="20"/>
              </w:rPr>
              <w:t>3.82</w:t>
            </w:r>
          </w:p>
        </w:tc>
        <w:tc>
          <w:tcPr>
            <w:tcW w:w="0" w:type="auto"/>
          </w:tcPr>
          <w:p w:rsidR="00F85F12" w:rsidRPr="00E80636" w:rsidRDefault="00F85F12" w:rsidP="006C308E">
            <w:pPr>
              <w:jc w:val="center"/>
              <w:rPr>
                <w:rFonts w:asciiTheme="majorHAnsi" w:hAnsiTheme="majorHAnsi" w:cstheme="majorHAnsi"/>
                <w:sz w:val="20"/>
                <w:szCs w:val="20"/>
              </w:rPr>
            </w:pPr>
            <w:r w:rsidRPr="00E80636">
              <w:rPr>
                <w:rFonts w:asciiTheme="majorHAnsi" w:hAnsiTheme="majorHAnsi" w:cstheme="majorHAnsi"/>
                <w:sz w:val="20"/>
                <w:szCs w:val="20"/>
              </w:rPr>
              <w:t>3.39</w:t>
            </w:r>
          </w:p>
        </w:tc>
        <w:tc>
          <w:tcPr>
            <w:tcW w:w="0" w:type="auto"/>
          </w:tcPr>
          <w:p w:rsidR="00F85F12" w:rsidRPr="00E80636" w:rsidRDefault="00F85F12" w:rsidP="006C308E">
            <w:pPr>
              <w:jc w:val="center"/>
              <w:rPr>
                <w:rFonts w:asciiTheme="majorHAnsi" w:hAnsiTheme="majorHAnsi" w:cstheme="majorHAnsi"/>
                <w:sz w:val="20"/>
                <w:szCs w:val="20"/>
              </w:rPr>
            </w:pPr>
            <w:r w:rsidRPr="00E80636">
              <w:rPr>
                <w:rFonts w:asciiTheme="majorHAnsi" w:eastAsia="Times New Roman" w:hAnsiTheme="majorHAnsi" w:cstheme="majorHAnsi"/>
                <w:color w:val="000000"/>
                <w:sz w:val="20"/>
                <w:szCs w:val="20"/>
              </w:rPr>
              <w:t>3.10</w:t>
            </w:r>
          </w:p>
        </w:tc>
      </w:tr>
      <w:tr w:rsidR="00F85F12" w:rsidRPr="00743A41" w:rsidTr="00331B1A">
        <w:trPr>
          <w:jc w:val="center"/>
        </w:trPr>
        <w:tc>
          <w:tcPr>
            <w:tcW w:w="3664" w:type="dxa"/>
          </w:tcPr>
          <w:p w:rsidR="00F85F12" w:rsidRPr="00E80636" w:rsidRDefault="00F85F12" w:rsidP="006C308E">
            <w:pPr>
              <w:rPr>
                <w:rFonts w:asciiTheme="majorHAnsi" w:hAnsiTheme="majorHAnsi" w:cstheme="majorHAnsi"/>
                <w:sz w:val="20"/>
                <w:szCs w:val="20"/>
              </w:rPr>
            </w:pPr>
            <w:r w:rsidRPr="00E80636">
              <w:rPr>
                <w:rFonts w:asciiTheme="majorHAnsi" w:hAnsiTheme="majorHAnsi" w:cstheme="majorHAnsi"/>
                <w:sz w:val="20"/>
                <w:szCs w:val="20"/>
              </w:rPr>
              <w:t>Percent of faculty with average scores &gt;3.00</w:t>
            </w:r>
          </w:p>
        </w:tc>
        <w:tc>
          <w:tcPr>
            <w:tcW w:w="0" w:type="auto"/>
          </w:tcPr>
          <w:p w:rsidR="00F85F12" w:rsidRPr="00E80636" w:rsidRDefault="00F85F12" w:rsidP="006C308E">
            <w:pPr>
              <w:jc w:val="center"/>
              <w:rPr>
                <w:rFonts w:asciiTheme="majorHAnsi" w:hAnsiTheme="majorHAnsi" w:cstheme="majorHAnsi"/>
                <w:sz w:val="20"/>
                <w:szCs w:val="20"/>
              </w:rPr>
            </w:pPr>
            <w:r w:rsidRPr="00E80636">
              <w:rPr>
                <w:rFonts w:asciiTheme="majorHAnsi" w:hAnsiTheme="majorHAnsi" w:cstheme="majorHAnsi"/>
                <w:sz w:val="20"/>
                <w:szCs w:val="20"/>
              </w:rPr>
              <w:t>12%</w:t>
            </w:r>
          </w:p>
        </w:tc>
        <w:tc>
          <w:tcPr>
            <w:tcW w:w="0" w:type="auto"/>
          </w:tcPr>
          <w:p w:rsidR="00F85F12" w:rsidRPr="00E80636" w:rsidRDefault="00F85F12" w:rsidP="006C308E">
            <w:pPr>
              <w:jc w:val="center"/>
              <w:rPr>
                <w:rFonts w:asciiTheme="majorHAnsi" w:hAnsiTheme="majorHAnsi" w:cstheme="majorHAnsi"/>
                <w:sz w:val="20"/>
                <w:szCs w:val="20"/>
              </w:rPr>
            </w:pPr>
            <w:r w:rsidRPr="00E80636">
              <w:rPr>
                <w:rFonts w:asciiTheme="majorHAnsi" w:eastAsia="Times New Roman" w:hAnsiTheme="majorHAnsi" w:cstheme="majorHAnsi"/>
                <w:color w:val="000000"/>
                <w:sz w:val="20"/>
                <w:szCs w:val="20"/>
              </w:rPr>
              <w:t>7%</w:t>
            </w:r>
          </w:p>
        </w:tc>
        <w:tc>
          <w:tcPr>
            <w:tcW w:w="0" w:type="auto"/>
          </w:tcPr>
          <w:p w:rsidR="00F85F12" w:rsidRPr="00E80636" w:rsidRDefault="00F85F12"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3%</w:t>
            </w:r>
          </w:p>
        </w:tc>
      </w:tr>
      <w:tr w:rsidR="00F85F12" w:rsidRPr="00743A41" w:rsidTr="00F85F12">
        <w:trPr>
          <w:jc w:val="center"/>
        </w:trPr>
        <w:tc>
          <w:tcPr>
            <w:tcW w:w="7195" w:type="dxa"/>
            <w:gridSpan w:val="4"/>
          </w:tcPr>
          <w:p w:rsidR="00F85F12" w:rsidRPr="00E80636" w:rsidRDefault="00F85F12" w:rsidP="006C308E">
            <w:pPr>
              <w:tabs>
                <w:tab w:val="left" w:pos="2570"/>
                <w:tab w:val="left" w:pos="2606"/>
                <w:tab w:val="left" w:pos="6486"/>
              </w:tabs>
              <w:ind w:left="45"/>
              <w:rPr>
                <w:rFonts w:asciiTheme="majorHAnsi" w:eastAsia="Times New Roman" w:hAnsiTheme="majorHAnsi" w:cstheme="majorHAnsi"/>
                <w:bCs/>
                <w:sz w:val="20"/>
                <w:szCs w:val="20"/>
              </w:rPr>
            </w:pPr>
            <w:r w:rsidRPr="00E80636">
              <w:rPr>
                <w:rFonts w:asciiTheme="majorHAnsi" w:eastAsia="Times New Roman" w:hAnsiTheme="majorHAnsi" w:cstheme="majorHAnsi"/>
                <w:sz w:val="20"/>
                <w:szCs w:val="20"/>
              </w:rPr>
              <w:t>Scoring: Far exceeds expectations (</w:t>
            </w:r>
            <w:r w:rsidRPr="00E80636">
              <w:rPr>
                <w:rFonts w:asciiTheme="majorHAnsi" w:eastAsia="Times New Roman" w:hAnsiTheme="majorHAnsi" w:cstheme="majorHAnsi"/>
                <w:bCs/>
                <w:sz w:val="20"/>
                <w:szCs w:val="20"/>
              </w:rPr>
              <w:t xml:space="preserve">1.00); </w:t>
            </w:r>
            <w:r w:rsidRPr="00E80636">
              <w:rPr>
                <w:rFonts w:asciiTheme="majorHAnsi" w:eastAsia="Times New Roman" w:hAnsiTheme="majorHAnsi" w:cstheme="majorHAnsi"/>
                <w:sz w:val="20"/>
                <w:szCs w:val="20"/>
              </w:rPr>
              <w:t>Above expectations (</w:t>
            </w:r>
            <w:r w:rsidRPr="00E80636">
              <w:rPr>
                <w:rFonts w:asciiTheme="majorHAnsi" w:eastAsia="Times New Roman" w:hAnsiTheme="majorHAnsi" w:cstheme="majorHAnsi"/>
                <w:bCs/>
                <w:sz w:val="20"/>
                <w:szCs w:val="20"/>
              </w:rPr>
              <w:t xml:space="preserve">2.00); </w:t>
            </w:r>
            <w:r w:rsidRPr="00E80636">
              <w:rPr>
                <w:rFonts w:asciiTheme="majorHAnsi" w:eastAsia="Times New Roman" w:hAnsiTheme="majorHAnsi" w:cstheme="majorHAnsi"/>
                <w:sz w:val="20"/>
                <w:szCs w:val="20"/>
              </w:rPr>
              <w:t>Meets expectations (</w:t>
            </w:r>
            <w:r w:rsidRPr="00E80636">
              <w:rPr>
                <w:rFonts w:asciiTheme="majorHAnsi" w:eastAsia="Times New Roman" w:hAnsiTheme="majorHAnsi" w:cstheme="majorHAnsi"/>
                <w:bCs/>
                <w:sz w:val="20"/>
                <w:szCs w:val="20"/>
              </w:rPr>
              <w:t xml:space="preserve">3.00); </w:t>
            </w:r>
            <w:r w:rsidRPr="00E80636">
              <w:rPr>
                <w:rFonts w:asciiTheme="majorHAnsi" w:eastAsia="Times New Roman" w:hAnsiTheme="majorHAnsi" w:cstheme="majorHAnsi"/>
                <w:sz w:val="20"/>
                <w:szCs w:val="20"/>
              </w:rPr>
              <w:t>Needs improvement (</w:t>
            </w:r>
            <w:r w:rsidRPr="00E80636">
              <w:rPr>
                <w:rFonts w:asciiTheme="majorHAnsi" w:eastAsia="Times New Roman" w:hAnsiTheme="majorHAnsi" w:cstheme="majorHAnsi"/>
                <w:bCs/>
                <w:sz w:val="20"/>
                <w:szCs w:val="20"/>
              </w:rPr>
              <w:t xml:space="preserve">4.00); </w:t>
            </w:r>
            <w:r w:rsidRPr="00E80636">
              <w:rPr>
                <w:rFonts w:asciiTheme="majorHAnsi" w:eastAsia="Times New Roman" w:hAnsiTheme="majorHAnsi" w:cstheme="majorHAnsi"/>
                <w:sz w:val="20"/>
                <w:szCs w:val="20"/>
              </w:rPr>
              <w:t>Does not meet expectations (</w:t>
            </w:r>
            <w:r w:rsidRPr="00E80636">
              <w:rPr>
                <w:rFonts w:asciiTheme="majorHAnsi" w:eastAsia="Times New Roman" w:hAnsiTheme="majorHAnsi" w:cstheme="majorHAnsi"/>
                <w:bCs/>
                <w:sz w:val="20"/>
                <w:szCs w:val="20"/>
              </w:rPr>
              <w:t xml:space="preserve">5.00). </w:t>
            </w:r>
            <w:r w:rsidRPr="00E80636">
              <w:rPr>
                <w:rFonts w:asciiTheme="majorHAnsi" w:hAnsiTheme="majorHAnsi" w:cstheme="majorHAnsi"/>
                <w:sz w:val="20"/>
                <w:szCs w:val="20"/>
              </w:rPr>
              <w:t>Lower scores indicate greater teaching effectiveness.</w:t>
            </w:r>
          </w:p>
        </w:tc>
      </w:tr>
    </w:tbl>
    <w:p w:rsidR="00F85F12" w:rsidRPr="00E80636" w:rsidRDefault="00F85F12" w:rsidP="006C308E">
      <w:pPr>
        <w:ind w:left="1080"/>
        <w:rPr>
          <w:rFonts w:asciiTheme="majorHAnsi" w:hAnsiTheme="majorHAnsi" w:cstheme="majorHAnsi"/>
          <w:sz w:val="20"/>
          <w:szCs w:val="20"/>
        </w:rPr>
      </w:pPr>
    </w:p>
    <w:p w:rsidR="008A1280" w:rsidRPr="00E80636" w:rsidRDefault="008A1280" w:rsidP="006C308E">
      <w:pPr>
        <w:pStyle w:val="ListParagraph"/>
        <w:ind w:left="1080"/>
        <w:contextualSpacing/>
        <w:rPr>
          <w:rFonts w:asciiTheme="majorHAnsi" w:eastAsia="Arial" w:hAnsiTheme="majorHAnsi" w:cstheme="majorHAnsi"/>
          <w:szCs w:val="20"/>
        </w:rPr>
      </w:pPr>
      <w:r w:rsidRPr="00E80636">
        <w:rPr>
          <w:rFonts w:asciiTheme="majorHAnsi" w:eastAsia="Arial" w:hAnsiTheme="majorHAnsi" w:cstheme="majorHAnsi"/>
          <w:szCs w:val="20"/>
        </w:rPr>
        <w:t>Associated documents in the electronic resource file:</w:t>
      </w:r>
    </w:p>
    <w:p w:rsidR="008A1280" w:rsidRPr="00B71114" w:rsidRDefault="001F6504" w:rsidP="006C308E">
      <w:pPr>
        <w:pStyle w:val="ListParagraph"/>
        <w:numPr>
          <w:ilvl w:val="0"/>
          <w:numId w:val="139"/>
        </w:numPr>
        <w:contextualSpacing/>
        <w:rPr>
          <w:rFonts w:asciiTheme="majorHAnsi" w:hAnsiTheme="majorHAnsi" w:cstheme="majorHAnsi"/>
          <w:i/>
          <w:szCs w:val="20"/>
        </w:rPr>
      </w:pPr>
      <w:r w:rsidRPr="00B71114">
        <w:rPr>
          <w:rFonts w:asciiTheme="majorHAnsi" w:eastAsia="Calibri" w:hAnsiTheme="majorHAnsi" w:cstheme="majorHAnsi"/>
          <w:i/>
          <w:szCs w:val="20"/>
        </w:rPr>
        <w:t>E3.5. Indictors of Instructional Effectiveness</w:t>
      </w:r>
    </w:p>
    <w:p w:rsidR="008A1280" w:rsidRPr="00B71114" w:rsidRDefault="001F6504" w:rsidP="006C308E">
      <w:pPr>
        <w:pStyle w:val="ListParagraph"/>
        <w:numPr>
          <w:ilvl w:val="1"/>
          <w:numId w:val="139"/>
        </w:numPr>
        <w:contextualSpacing/>
        <w:rPr>
          <w:rFonts w:asciiTheme="majorHAnsi" w:hAnsiTheme="majorHAnsi" w:cstheme="majorHAnsi"/>
          <w:i/>
          <w:szCs w:val="20"/>
        </w:rPr>
      </w:pPr>
      <w:r w:rsidRPr="00B71114">
        <w:rPr>
          <w:rFonts w:asciiTheme="majorHAnsi" w:eastAsia="Calibri" w:hAnsiTheme="majorHAnsi" w:cstheme="majorHAnsi"/>
          <w:i/>
          <w:szCs w:val="20"/>
        </w:rPr>
        <w:t>AAR</w:t>
      </w:r>
      <w:r w:rsidR="008A1280" w:rsidRPr="00B71114">
        <w:rPr>
          <w:rFonts w:asciiTheme="majorHAnsi" w:hAnsiTheme="majorHAnsi" w:cstheme="majorHAnsi"/>
          <w:i/>
          <w:szCs w:val="20"/>
        </w:rPr>
        <w:t xml:space="preserve"> </w:t>
      </w:r>
    </w:p>
    <w:p w:rsidR="008A1280" w:rsidRPr="00B71114" w:rsidRDefault="001F6504" w:rsidP="006C308E">
      <w:pPr>
        <w:pStyle w:val="ListParagraph"/>
        <w:numPr>
          <w:ilvl w:val="1"/>
          <w:numId w:val="139"/>
        </w:numPr>
        <w:contextualSpacing/>
        <w:rPr>
          <w:rFonts w:asciiTheme="majorHAnsi" w:hAnsiTheme="majorHAnsi" w:cstheme="majorHAnsi"/>
          <w:i/>
          <w:szCs w:val="20"/>
        </w:rPr>
      </w:pPr>
      <w:r w:rsidRPr="00B71114">
        <w:rPr>
          <w:rFonts w:asciiTheme="majorHAnsi" w:eastAsia="Calibri" w:hAnsiTheme="majorHAnsi" w:cstheme="majorHAnsi"/>
          <w:i/>
          <w:szCs w:val="20"/>
        </w:rPr>
        <w:t>Faculty Compensation Plan</w:t>
      </w:r>
    </w:p>
    <w:p w:rsidR="008A1280" w:rsidRPr="00B71114" w:rsidRDefault="008A1280" w:rsidP="006C308E">
      <w:pPr>
        <w:pStyle w:val="ListParagraph"/>
        <w:ind w:left="1080"/>
        <w:contextualSpacing/>
        <w:rPr>
          <w:rFonts w:asciiTheme="majorHAnsi" w:hAnsiTheme="majorHAnsi" w:cstheme="majorHAnsi"/>
          <w:szCs w:val="20"/>
        </w:rPr>
      </w:pPr>
    </w:p>
    <w:p w:rsidR="008A1280" w:rsidRPr="00B71114" w:rsidRDefault="008A1280" w:rsidP="006C308E">
      <w:pPr>
        <w:pStyle w:val="ListParagraph"/>
        <w:numPr>
          <w:ilvl w:val="0"/>
          <w:numId w:val="79"/>
        </w:numPr>
        <w:jc w:val="both"/>
        <w:rPr>
          <w:rFonts w:asciiTheme="majorHAnsi" w:eastAsia="Arial" w:hAnsiTheme="majorHAnsi" w:cstheme="majorHAnsi"/>
          <w:szCs w:val="20"/>
        </w:rPr>
      </w:pPr>
      <w:r w:rsidRPr="00B71114">
        <w:rPr>
          <w:rFonts w:asciiTheme="majorHAnsi" w:eastAsia="Arial" w:hAnsiTheme="majorHAnsi" w:cstheme="majorHAnsi"/>
          <w:szCs w:val="20"/>
        </w:rPr>
        <w:t xml:space="preserve">Faculty instructional technique: Student satisfaction with instructional quality </w:t>
      </w:r>
    </w:p>
    <w:p w:rsidR="008A1280" w:rsidRPr="00B71114" w:rsidRDefault="008A1280" w:rsidP="006C308E">
      <w:pPr>
        <w:pStyle w:val="ListParagraph"/>
        <w:ind w:left="1080"/>
        <w:jc w:val="both"/>
        <w:rPr>
          <w:rFonts w:asciiTheme="majorHAnsi" w:eastAsia="Arial" w:hAnsiTheme="majorHAnsi" w:cstheme="majorHAnsi"/>
          <w:szCs w:val="20"/>
        </w:rPr>
      </w:pPr>
    </w:p>
    <w:p w:rsidR="008A1280" w:rsidRPr="00B71114" w:rsidRDefault="008A1280" w:rsidP="006C308E">
      <w:pPr>
        <w:ind w:left="1080"/>
        <w:rPr>
          <w:rFonts w:asciiTheme="majorHAnsi" w:eastAsia="Arial" w:hAnsiTheme="majorHAnsi" w:cstheme="majorHAnsi"/>
          <w:i/>
          <w:sz w:val="20"/>
          <w:szCs w:val="20"/>
        </w:rPr>
      </w:pPr>
      <w:r w:rsidRPr="00B71114">
        <w:rPr>
          <w:rFonts w:asciiTheme="majorHAnsi" w:eastAsia="Arial" w:hAnsiTheme="majorHAnsi" w:cstheme="majorHAnsi"/>
          <w:sz w:val="20"/>
          <w:szCs w:val="20"/>
        </w:rPr>
        <w:t xml:space="preserve">Student satisfaction with instructional quality is assessed through end-of-semester </w:t>
      </w:r>
      <w:r w:rsidRPr="00B71114">
        <w:rPr>
          <w:rFonts w:asciiTheme="majorHAnsi" w:hAnsiTheme="majorHAnsi" w:cstheme="majorHAnsi"/>
          <w:sz w:val="20"/>
          <w:szCs w:val="20"/>
        </w:rPr>
        <w:t>course evaluations</w:t>
      </w:r>
      <w:r w:rsidRPr="00B71114">
        <w:rPr>
          <w:rFonts w:asciiTheme="majorHAnsi" w:eastAsia="Arial" w:hAnsiTheme="majorHAnsi" w:cstheme="majorHAnsi"/>
          <w:sz w:val="20"/>
          <w:szCs w:val="20"/>
        </w:rPr>
        <w:t xml:space="preserve">. Faculty review their own course evaluations. Course evaluations are taken into account in the AAR as part of peer evaluation. Department chairs have access to evaluations for all of their faculty. In addition, the Office of Academic Affairs and Student Services reviews instructional quality on an annual basis. </w:t>
      </w:r>
      <w:hyperlink w:anchor="tablee35b" w:history="1">
        <w:r w:rsidRPr="00B71114">
          <w:rPr>
            <w:rStyle w:val="Hyperlink"/>
            <w:rFonts w:asciiTheme="majorHAnsi" w:eastAsia="Arial" w:hAnsiTheme="majorHAnsi" w:cstheme="majorHAnsi"/>
            <w:sz w:val="20"/>
            <w:szCs w:val="20"/>
          </w:rPr>
          <w:t xml:space="preserve">Table </w:t>
        </w:r>
        <w:r w:rsidR="00770A56" w:rsidRPr="00B71114">
          <w:rPr>
            <w:rStyle w:val="Hyperlink"/>
            <w:rFonts w:asciiTheme="majorHAnsi" w:eastAsia="Arial" w:hAnsiTheme="majorHAnsi" w:cstheme="majorHAnsi"/>
            <w:sz w:val="20"/>
            <w:szCs w:val="20"/>
          </w:rPr>
          <w:t>E.3.5.b.</w:t>
        </w:r>
      </w:hyperlink>
      <w:r w:rsidR="00770A56" w:rsidRPr="00B71114">
        <w:rPr>
          <w:rFonts w:asciiTheme="majorHAnsi" w:eastAsia="Arial" w:hAnsiTheme="majorHAnsi" w:cstheme="majorHAnsi"/>
          <w:sz w:val="20"/>
          <w:szCs w:val="20"/>
        </w:rPr>
        <w:t xml:space="preserve"> </w:t>
      </w:r>
      <w:r w:rsidRPr="00B71114">
        <w:rPr>
          <w:rFonts w:asciiTheme="majorHAnsi" w:eastAsia="Arial" w:hAnsiTheme="majorHAnsi" w:cstheme="majorHAnsi"/>
          <w:sz w:val="20"/>
          <w:szCs w:val="20"/>
        </w:rPr>
        <w:t xml:space="preserve">displays </w:t>
      </w:r>
      <w:r w:rsidR="006B04A4">
        <w:rPr>
          <w:rFonts w:asciiTheme="majorHAnsi" w:eastAsia="Arial" w:hAnsiTheme="majorHAnsi" w:cstheme="majorHAnsi"/>
          <w:sz w:val="20"/>
          <w:szCs w:val="20"/>
        </w:rPr>
        <w:t>data on student satisfaction with instructional quality from course</w:t>
      </w:r>
      <w:r w:rsidRPr="00B71114">
        <w:rPr>
          <w:rFonts w:asciiTheme="majorHAnsi" w:eastAsia="Arial" w:hAnsiTheme="majorHAnsi" w:cstheme="majorHAnsi"/>
          <w:sz w:val="20"/>
          <w:szCs w:val="20"/>
        </w:rPr>
        <w:t xml:space="preserve"> evaluations </w:t>
      </w:r>
      <w:r w:rsidR="006B04A4">
        <w:rPr>
          <w:rFonts w:asciiTheme="majorHAnsi" w:eastAsia="Arial" w:hAnsiTheme="majorHAnsi" w:cstheme="majorHAnsi"/>
          <w:sz w:val="20"/>
          <w:szCs w:val="20"/>
        </w:rPr>
        <w:t>conducted between</w:t>
      </w:r>
      <w:r w:rsidRPr="00B71114">
        <w:rPr>
          <w:rFonts w:asciiTheme="majorHAnsi" w:eastAsia="Arial" w:hAnsiTheme="majorHAnsi" w:cstheme="majorHAnsi"/>
          <w:sz w:val="20"/>
          <w:szCs w:val="20"/>
        </w:rPr>
        <w:t xml:space="preserve"> Fall 2017 </w:t>
      </w:r>
      <w:r w:rsidR="006B04A4">
        <w:rPr>
          <w:rFonts w:asciiTheme="majorHAnsi" w:eastAsia="Arial" w:hAnsiTheme="majorHAnsi" w:cstheme="majorHAnsi"/>
          <w:sz w:val="20"/>
          <w:szCs w:val="20"/>
        </w:rPr>
        <w:t>and</w:t>
      </w:r>
      <w:r w:rsidRPr="00B71114">
        <w:rPr>
          <w:rFonts w:asciiTheme="majorHAnsi" w:eastAsia="Arial" w:hAnsiTheme="majorHAnsi" w:cstheme="majorHAnsi"/>
          <w:sz w:val="20"/>
          <w:szCs w:val="20"/>
        </w:rPr>
        <w:t xml:space="preserve"> Summer 2019</w:t>
      </w:r>
      <w:r w:rsidR="00506753">
        <w:rPr>
          <w:rFonts w:asciiTheme="majorHAnsi" w:eastAsia="Arial" w:hAnsiTheme="majorHAnsi" w:cstheme="majorHAnsi"/>
          <w:sz w:val="20"/>
          <w:szCs w:val="20"/>
        </w:rPr>
        <w:t xml:space="preserve"> (</w:t>
      </w:r>
      <w:r w:rsidR="00506753" w:rsidRPr="00506753">
        <w:rPr>
          <w:rFonts w:asciiTheme="majorHAnsi" w:eastAsia="Arial" w:hAnsiTheme="majorHAnsi" w:cstheme="majorHAnsi"/>
          <w:i/>
          <w:sz w:val="20"/>
          <w:szCs w:val="20"/>
        </w:rPr>
        <w:t>ERF, E3.5. Indicators of Instructional Quality</w:t>
      </w:r>
      <w:r w:rsidR="00506753">
        <w:rPr>
          <w:rFonts w:asciiTheme="majorHAnsi" w:eastAsia="Arial" w:hAnsiTheme="majorHAnsi" w:cstheme="majorHAnsi"/>
          <w:sz w:val="20"/>
          <w:szCs w:val="20"/>
        </w:rPr>
        <w:t>)</w:t>
      </w:r>
      <w:r w:rsidRPr="00B71114">
        <w:rPr>
          <w:rFonts w:asciiTheme="majorHAnsi" w:eastAsia="Arial" w:hAnsiTheme="majorHAnsi" w:cstheme="majorHAnsi"/>
          <w:sz w:val="20"/>
          <w:szCs w:val="20"/>
        </w:rPr>
        <w:t xml:space="preserve">. Results show that response rates have decreased over time, most likely due to staffing changes and the need to divert staff to work on the self-study. The UTHealth School of Public Health will work on increasing response rates for course evaluations. The students’ perception of class size is high and has improved over time. Mean scores on faculty availability, effectiveness of course objectives and activities, quality of the assessment, effectiveness of materials, and overall faculty effectiveness have improved slightly over time. During Spring 2018, overall faculty effectiveness decreased slightly due to some lower scores in specific courses; this slight decrease has been remediated. </w:t>
      </w:r>
    </w:p>
    <w:p w:rsidR="008A1280" w:rsidRPr="00B71114" w:rsidRDefault="008A1280" w:rsidP="006C308E">
      <w:pPr>
        <w:ind w:left="1080"/>
        <w:jc w:val="both"/>
        <w:rPr>
          <w:rFonts w:asciiTheme="majorHAnsi" w:eastAsia="Arial" w:hAnsiTheme="majorHAnsi" w:cstheme="majorHAnsi"/>
          <w:sz w:val="20"/>
          <w:szCs w:val="20"/>
        </w:rPr>
      </w:pPr>
    </w:p>
    <w:p w:rsidR="008A1280" w:rsidRPr="00B71114" w:rsidRDefault="007C0667" w:rsidP="00506753">
      <w:pPr>
        <w:pStyle w:val="ListParagraph"/>
        <w:ind w:left="1080"/>
        <w:rPr>
          <w:rFonts w:asciiTheme="majorHAnsi" w:eastAsia="Arial" w:hAnsiTheme="majorHAnsi" w:cstheme="majorHAnsi"/>
          <w:szCs w:val="20"/>
        </w:rPr>
      </w:pPr>
      <w:bookmarkStart w:id="125" w:name="tablee35b"/>
      <w:r w:rsidRPr="00B71114">
        <w:rPr>
          <w:rFonts w:asciiTheme="majorHAnsi" w:eastAsia="Arial" w:hAnsiTheme="majorHAnsi" w:cstheme="majorHAnsi"/>
          <w:szCs w:val="20"/>
        </w:rPr>
        <w:t xml:space="preserve">Table E.3.5.b. </w:t>
      </w:r>
      <w:bookmarkEnd w:id="125"/>
      <w:r w:rsidRPr="00B71114">
        <w:rPr>
          <w:rFonts w:asciiTheme="majorHAnsi" w:eastAsia="Arial" w:hAnsiTheme="majorHAnsi" w:cstheme="majorHAnsi"/>
          <w:szCs w:val="20"/>
        </w:rPr>
        <w:t>Student Satisfaction with Instructional Quality</w:t>
      </w:r>
      <w:r w:rsidR="00506753">
        <w:rPr>
          <w:rFonts w:asciiTheme="majorHAnsi" w:eastAsia="Arial" w:hAnsiTheme="majorHAnsi" w:cstheme="majorHAnsi"/>
          <w:szCs w:val="20"/>
        </w:rPr>
        <w:t xml:space="preserve"> (</w:t>
      </w:r>
      <w:r w:rsidR="00506753" w:rsidRPr="00506753">
        <w:rPr>
          <w:rFonts w:asciiTheme="majorHAnsi" w:eastAsia="Arial" w:hAnsiTheme="majorHAnsi" w:cstheme="majorHAnsi"/>
          <w:i/>
          <w:szCs w:val="20"/>
        </w:rPr>
        <w:t>ERF, E3.5. Indicators of Instructional Quality</w:t>
      </w:r>
      <w:r w:rsidR="00506753">
        <w:rPr>
          <w:rFonts w:asciiTheme="majorHAnsi" w:eastAsia="Arial" w:hAnsiTheme="majorHAnsi" w:cstheme="majorHAnsi"/>
          <w:szCs w:val="20"/>
        </w:rPr>
        <w:t>)</w:t>
      </w:r>
    </w:p>
    <w:tbl>
      <w:tblPr>
        <w:tblStyle w:val="TableGrid"/>
        <w:tblW w:w="8095" w:type="dxa"/>
        <w:tblInd w:w="1080" w:type="dxa"/>
        <w:tblLayout w:type="fixed"/>
        <w:tblLook w:val="04A0" w:firstRow="1" w:lastRow="0" w:firstColumn="1" w:lastColumn="0" w:noHBand="0" w:noVBand="1"/>
      </w:tblPr>
      <w:tblGrid>
        <w:gridCol w:w="2785"/>
        <w:gridCol w:w="720"/>
        <w:gridCol w:w="810"/>
        <w:gridCol w:w="900"/>
        <w:gridCol w:w="900"/>
        <w:gridCol w:w="990"/>
        <w:gridCol w:w="990"/>
      </w:tblGrid>
      <w:tr w:rsidR="00DC5DF0" w:rsidRPr="00B71114" w:rsidTr="005078BC">
        <w:tc>
          <w:tcPr>
            <w:tcW w:w="2785" w:type="dxa"/>
          </w:tcPr>
          <w:p w:rsidR="008A1280" w:rsidRPr="00B71114" w:rsidRDefault="008A1280" w:rsidP="006C308E">
            <w:pPr>
              <w:pStyle w:val="ListParagraph"/>
              <w:ind w:left="0"/>
              <w:jc w:val="both"/>
              <w:rPr>
                <w:rFonts w:asciiTheme="majorHAnsi" w:eastAsia="Arial" w:hAnsiTheme="majorHAnsi" w:cstheme="majorHAnsi"/>
                <w:szCs w:val="20"/>
              </w:rPr>
            </w:pPr>
          </w:p>
        </w:tc>
        <w:tc>
          <w:tcPr>
            <w:tcW w:w="720" w:type="dxa"/>
          </w:tcPr>
          <w:p w:rsidR="008A1280" w:rsidRPr="00B71114" w:rsidRDefault="008A1280" w:rsidP="006C308E">
            <w:pPr>
              <w:pStyle w:val="ListParagraph"/>
              <w:ind w:left="0"/>
              <w:jc w:val="center"/>
              <w:rPr>
                <w:rFonts w:asciiTheme="majorHAnsi" w:eastAsia="Arial" w:hAnsiTheme="majorHAnsi" w:cstheme="majorHAnsi"/>
                <w:b/>
                <w:szCs w:val="20"/>
              </w:rPr>
            </w:pPr>
            <w:r w:rsidRPr="00B71114">
              <w:rPr>
                <w:rFonts w:asciiTheme="majorHAnsi" w:eastAsia="Arial" w:hAnsiTheme="majorHAnsi" w:cstheme="majorHAnsi"/>
                <w:b/>
                <w:szCs w:val="20"/>
              </w:rPr>
              <w:t xml:space="preserve">Fall </w:t>
            </w:r>
            <w:r w:rsidR="007C0667" w:rsidRPr="00B71114">
              <w:rPr>
                <w:rFonts w:asciiTheme="majorHAnsi" w:eastAsia="Arial" w:hAnsiTheme="majorHAnsi" w:cstheme="majorHAnsi"/>
                <w:b/>
                <w:szCs w:val="20"/>
              </w:rPr>
              <w:t>2017</w:t>
            </w:r>
          </w:p>
        </w:tc>
        <w:tc>
          <w:tcPr>
            <w:tcW w:w="810" w:type="dxa"/>
          </w:tcPr>
          <w:p w:rsidR="007C0667" w:rsidRPr="00B71114" w:rsidRDefault="007C0667" w:rsidP="006C308E">
            <w:pPr>
              <w:pStyle w:val="ListParagraph"/>
              <w:ind w:left="0"/>
              <w:jc w:val="center"/>
              <w:rPr>
                <w:rFonts w:asciiTheme="majorHAnsi" w:eastAsia="Arial" w:hAnsiTheme="majorHAnsi" w:cstheme="majorHAnsi"/>
                <w:b/>
                <w:szCs w:val="20"/>
              </w:rPr>
            </w:pPr>
            <w:r w:rsidRPr="00B71114">
              <w:rPr>
                <w:rFonts w:asciiTheme="majorHAnsi" w:eastAsia="Arial" w:hAnsiTheme="majorHAnsi" w:cstheme="majorHAnsi"/>
                <w:b/>
                <w:szCs w:val="20"/>
              </w:rPr>
              <w:t xml:space="preserve">Spring </w:t>
            </w:r>
          </w:p>
          <w:p w:rsidR="008A1280" w:rsidRPr="00B71114" w:rsidRDefault="007C0667" w:rsidP="006C308E">
            <w:pPr>
              <w:pStyle w:val="ListParagraph"/>
              <w:ind w:left="0"/>
              <w:jc w:val="center"/>
              <w:rPr>
                <w:rFonts w:asciiTheme="majorHAnsi" w:eastAsia="Arial" w:hAnsiTheme="majorHAnsi" w:cstheme="majorHAnsi"/>
                <w:b/>
                <w:szCs w:val="20"/>
              </w:rPr>
            </w:pPr>
            <w:r w:rsidRPr="00B71114">
              <w:rPr>
                <w:rFonts w:asciiTheme="majorHAnsi" w:eastAsia="Arial" w:hAnsiTheme="majorHAnsi" w:cstheme="majorHAnsi"/>
                <w:b/>
                <w:szCs w:val="20"/>
              </w:rPr>
              <w:t>2018</w:t>
            </w:r>
          </w:p>
        </w:tc>
        <w:tc>
          <w:tcPr>
            <w:tcW w:w="900" w:type="dxa"/>
          </w:tcPr>
          <w:p w:rsidR="008A1280" w:rsidRPr="00B71114" w:rsidRDefault="007C0667" w:rsidP="006C308E">
            <w:pPr>
              <w:pStyle w:val="ListParagraph"/>
              <w:ind w:left="0"/>
              <w:jc w:val="center"/>
              <w:rPr>
                <w:rFonts w:asciiTheme="majorHAnsi" w:eastAsia="Arial" w:hAnsiTheme="majorHAnsi" w:cstheme="majorHAnsi"/>
                <w:b/>
                <w:szCs w:val="20"/>
              </w:rPr>
            </w:pPr>
            <w:r w:rsidRPr="00B71114">
              <w:rPr>
                <w:rFonts w:asciiTheme="majorHAnsi" w:eastAsia="Arial" w:hAnsiTheme="majorHAnsi" w:cstheme="majorHAnsi"/>
                <w:b/>
                <w:szCs w:val="20"/>
              </w:rPr>
              <w:t>Summer</w:t>
            </w:r>
          </w:p>
          <w:p w:rsidR="007C0667" w:rsidRPr="00B71114" w:rsidRDefault="007C0667" w:rsidP="006C308E">
            <w:pPr>
              <w:pStyle w:val="ListParagraph"/>
              <w:ind w:left="0"/>
              <w:jc w:val="center"/>
              <w:rPr>
                <w:rFonts w:asciiTheme="majorHAnsi" w:eastAsia="Arial" w:hAnsiTheme="majorHAnsi" w:cstheme="majorHAnsi"/>
                <w:b/>
                <w:szCs w:val="20"/>
              </w:rPr>
            </w:pPr>
            <w:r w:rsidRPr="00B71114">
              <w:rPr>
                <w:rFonts w:asciiTheme="majorHAnsi" w:eastAsia="Arial" w:hAnsiTheme="majorHAnsi" w:cstheme="majorHAnsi"/>
                <w:b/>
                <w:szCs w:val="20"/>
              </w:rPr>
              <w:t>2018</w:t>
            </w:r>
          </w:p>
        </w:tc>
        <w:tc>
          <w:tcPr>
            <w:tcW w:w="900" w:type="dxa"/>
          </w:tcPr>
          <w:p w:rsidR="008A1280" w:rsidRPr="00B71114" w:rsidRDefault="007C0667" w:rsidP="006C308E">
            <w:pPr>
              <w:pStyle w:val="ListParagraph"/>
              <w:ind w:left="0"/>
              <w:jc w:val="center"/>
              <w:rPr>
                <w:rFonts w:asciiTheme="majorHAnsi" w:eastAsia="Arial" w:hAnsiTheme="majorHAnsi" w:cstheme="majorHAnsi"/>
                <w:b/>
                <w:szCs w:val="20"/>
              </w:rPr>
            </w:pPr>
            <w:r w:rsidRPr="00B71114">
              <w:rPr>
                <w:rFonts w:asciiTheme="majorHAnsi" w:eastAsia="Arial" w:hAnsiTheme="majorHAnsi" w:cstheme="majorHAnsi"/>
                <w:b/>
                <w:szCs w:val="20"/>
              </w:rPr>
              <w:t>Fall</w:t>
            </w:r>
          </w:p>
          <w:p w:rsidR="007C0667" w:rsidRPr="00B71114" w:rsidRDefault="007C0667" w:rsidP="006C308E">
            <w:pPr>
              <w:pStyle w:val="ListParagraph"/>
              <w:ind w:left="0"/>
              <w:jc w:val="center"/>
              <w:rPr>
                <w:rFonts w:asciiTheme="majorHAnsi" w:eastAsia="Arial" w:hAnsiTheme="majorHAnsi" w:cstheme="majorHAnsi"/>
                <w:b/>
                <w:szCs w:val="20"/>
              </w:rPr>
            </w:pPr>
            <w:r w:rsidRPr="00B71114">
              <w:rPr>
                <w:rFonts w:asciiTheme="majorHAnsi" w:eastAsia="Arial" w:hAnsiTheme="majorHAnsi" w:cstheme="majorHAnsi"/>
                <w:b/>
                <w:szCs w:val="20"/>
              </w:rPr>
              <w:t>2018</w:t>
            </w:r>
          </w:p>
        </w:tc>
        <w:tc>
          <w:tcPr>
            <w:tcW w:w="990" w:type="dxa"/>
          </w:tcPr>
          <w:p w:rsidR="008A1280" w:rsidRPr="00B71114" w:rsidRDefault="007C0667" w:rsidP="006C308E">
            <w:pPr>
              <w:pStyle w:val="ListParagraph"/>
              <w:ind w:left="0"/>
              <w:jc w:val="center"/>
              <w:rPr>
                <w:rFonts w:asciiTheme="majorHAnsi" w:eastAsia="Arial" w:hAnsiTheme="majorHAnsi" w:cstheme="majorHAnsi"/>
                <w:b/>
                <w:szCs w:val="20"/>
              </w:rPr>
            </w:pPr>
            <w:r w:rsidRPr="00B71114">
              <w:rPr>
                <w:rFonts w:asciiTheme="majorHAnsi" w:eastAsia="Arial" w:hAnsiTheme="majorHAnsi" w:cstheme="majorHAnsi"/>
                <w:b/>
                <w:szCs w:val="20"/>
              </w:rPr>
              <w:t>Spring</w:t>
            </w:r>
          </w:p>
          <w:p w:rsidR="007C0667" w:rsidRPr="00B71114" w:rsidRDefault="007C0667" w:rsidP="006C308E">
            <w:pPr>
              <w:pStyle w:val="ListParagraph"/>
              <w:ind w:left="0"/>
              <w:jc w:val="center"/>
              <w:rPr>
                <w:rFonts w:asciiTheme="majorHAnsi" w:eastAsia="Arial" w:hAnsiTheme="majorHAnsi" w:cstheme="majorHAnsi"/>
                <w:b/>
                <w:szCs w:val="20"/>
              </w:rPr>
            </w:pPr>
            <w:r w:rsidRPr="00B71114">
              <w:rPr>
                <w:rFonts w:asciiTheme="majorHAnsi" w:eastAsia="Arial" w:hAnsiTheme="majorHAnsi" w:cstheme="majorHAnsi"/>
                <w:b/>
                <w:szCs w:val="20"/>
              </w:rPr>
              <w:t>2019</w:t>
            </w:r>
          </w:p>
        </w:tc>
        <w:tc>
          <w:tcPr>
            <w:tcW w:w="990" w:type="dxa"/>
          </w:tcPr>
          <w:p w:rsidR="008A1280" w:rsidRPr="00B71114" w:rsidRDefault="007C0667" w:rsidP="006C308E">
            <w:pPr>
              <w:pStyle w:val="ListParagraph"/>
              <w:ind w:left="0"/>
              <w:jc w:val="center"/>
              <w:rPr>
                <w:rFonts w:asciiTheme="majorHAnsi" w:eastAsia="Arial" w:hAnsiTheme="majorHAnsi" w:cstheme="majorHAnsi"/>
                <w:b/>
                <w:szCs w:val="20"/>
              </w:rPr>
            </w:pPr>
            <w:r w:rsidRPr="00B71114">
              <w:rPr>
                <w:rFonts w:asciiTheme="majorHAnsi" w:eastAsia="Arial" w:hAnsiTheme="majorHAnsi" w:cstheme="majorHAnsi"/>
                <w:b/>
                <w:szCs w:val="20"/>
              </w:rPr>
              <w:t>Summer 2019</w:t>
            </w:r>
          </w:p>
        </w:tc>
      </w:tr>
      <w:tr w:rsidR="00DC5DF0" w:rsidRPr="00B71114" w:rsidTr="005078BC">
        <w:tc>
          <w:tcPr>
            <w:tcW w:w="2785" w:type="dxa"/>
          </w:tcPr>
          <w:p w:rsidR="008A1280" w:rsidRPr="00B71114" w:rsidRDefault="008A1280" w:rsidP="006C308E">
            <w:pPr>
              <w:pStyle w:val="ListParagraph"/>
              <w:ind w:left="0"/>
              <w:jc w:val="center"/>
              <w:rPr>
                <w:rFonts w:asciiTheme="majorHAnsi" w:eastAsia="Arial" w:hAnsiTheme="majorHAnsi" w:cstheme="majorHAnsi"/>
                <w:szCs w:val="20"/>
              </w:rPr>
            </w:pPr>
            <w:r w:rsidRPr="00B71114">
              <w:rPr>
                <w:rFonts w:asciiTheme="majorHAnsi" w:eastAsia="Arial" w:hAnsiTheme="majorHAnsi" w:cstheme="majorHAnsi"/>
                <w:szCs w:val="20"/>
              </w:rPr>
              <w:t>Response rate</w:t>
            </w:r>
          </w:p>
        </w:tc>
        <w:tc>
          <w:tcPr>
            <w:tcW w:w="720" w:type="dxa"/>
          </w:tcPr>
          <w:p w:rsidR="008A1280" w:rsidRPr="00B71114" w:rsidRDefault="008A1280" w:rsidP="006C308E">
            <w:pPr>
              <w:pStyle w:val="ListParagraph"/>
              <w:ind w:left="0"/>
              <w:jc w:val="center"/>
              <w:rPr>
                <w:rFonts w:asciiTheme="majorHAnsi" w:eastAsia="Arial" w:hAnsiTheme="majorHAnsi" w:cstheme="majorHAnsi"/>
                <w:szCs w:val="20"/>
              </w:rPr>
            </w:pPr>
            <w:r w:rsidRPr="00B71114">
              <w:rPr>
                <w:rFonts w:asciiTheme="majorHAnsi" w:eastAsia="Arial" w:hAnsiTheme="majorHAnsi" w:cstheme="majorHAnsi"/>
                <w:szCs w:val="20"/>
              </w:rPr>
              <w:t>61%</w:t>
            </w:r>
          </w:p>
        </w:tc>
        <w:tc>
          <w:tcPr>
            <w:tcW w:w="810" w:type="dxa"/>
          </w:tcPr>
          <w:p w:rsidR="008A1280" w:rsidRPr="00B71114" w:rsidRDefault="008A1280" w:rsidP="006C308E">
            <w:pPr>
              <w:pStyle w:val="ListParagraph"/>
              <w:ind w:left="0"/>
              <w:jc w:val="center"/>
              <w:rPr>
                <w:rFonts w:asciiTheme="majorHAnsi" w:eastAsia="Arial" w:hAnsiTheme="majorHAnsi" w:cstheme="majorHAnsi"/>
                <w:szCs w:val="20"/>
              </w:rPr>
            </w:pPr>
            <w:r w:rsidRPr="00B71114">
              <w:rPr>
                <w:rFonts w:asciiTheme="majorHAnsi" w:eastAsia="Arial" w:hAnsiTheme="majorHAnsi" w:cstheme="majorHAnsi"/>
                <w:szCs w:val="20"/>
              </w:rPr>
              <w:t>65%</w:t>
            </w:r>
          </w:p>
        </w:tc>
        <w:tc>
          <w:tcPr>
            <w:tcW w:w="900" w:type="dxa"/>
          </w:tcPr>
          <w:p w:rsidR="008A1280" w:rsidRPr="00B71114" w:rsidRDefault="008A1280" w:rsidP="006C308E">
            <w:pPr>
              <w:pStyle w:val="ListParagraph"/>
              <w:ind w:left="0"/>
              <w:jc w:val="center"/>
              <w:rPr>
                <w:rFonts w:asciiTheme="majorHAnsi" w:eastAsia="Arial" w:hAnsiTheme="majorHAnsi" w:cstheme="majorHAnsi"/>
                <w:szCs w:val="20"/>
              </w:rPr>
            </w:pPr>
            <w:r w:rsidRPr="00B71114">
              <w:rPr>
                <w:rFonts w:asciiTheme="majorHAnsi" w:eastAsia="Arial" w:hAnsiTheme="majorHAnsi" w:cstheme="majorHAnsi"/>
                <w:szCs w:val="20"/>
              </w:rPr>
              <w:t>54%</w:t>
            </w:r>
          </w:p>
        </w:tc>
        <w:tc>
          <w:tcPr>
            <w:tcW w:w="900" w:type="dxa"/>
          </w:tcPr>
          <w:p w:rsidR="008A1280" w:rsidRPr="00B71114" w:rsidRDefault="008A1280" w:rsidP="006C308E">
            <w:pPr>
              <w:pStyle w:val="ListParagraph"/>
              <w:ind w:left="0"/>
              <w:jc w:val="center"/>
              <w:rPr>
                <w:rFonts w:asciiTheme="majorHAnsi" w:eastAsia="Arial" w:hAnsiTheme="majorHAnsi" w:cstheme="majorHAnsi"/>
                <w:szCs w:val="20"/>
              </w:rPr>
            </w:pPr>
            <w:r w:rsidRPr="00B71114">
              <w:rPr>
                <w:rFonts w:asciiTheme="majorHAnsi" w:eastAsia="Arial" w:hAnsiTheme="majorHAnsi" w:cstheme="majorHAnsi"/>
                <w:szCs w:val="20"/>
              </w:rPr>
              <w:t>60%</w:t>
            </w:r>
          </w:p>
        </w:tc>
        <w:tc>
          <w:tcPr>
            <w:tcW w:w="990" w:type="dxa"/>
          </w:tcPr>
          <w:p w:rsidR="008A1280" w:rsidRPr="00B71114" w:rsidRDefault="008A1280" w:rsidP="006C308E">
            <w:pPr>
              <w:pStyle w:val="ListParagraph"/>
              <w:ind w:left="0"/>
              <w:jc w:val="center"/>
              <w:rPr>
                <w:rFonts w:asciiTheme="majorHAnsi" w:eastAsia="Arial" w:hAnsiTheme="majorHAnsi" w:cstheme="majorHAnsi"/>
                <w:szCs w:val="20"/>
              </w:rPr>
            </w:pPr>
            <w:r w:rsidRPr="00B71114">
              <w:rPr>
                <w:rFonts w:asciiTheme="majorHAnsi" w:eastAsia="Arial" w:hAnsiTheme="majorHAnsi" w:cstheme="majorHAnsi"/>
                <w:szCs w:val="20"/>
              </w:rPr>
              <w:t>57%</w:t>
            </w:r>
          </w:p>
        </w:tc>
        <w:tc>
          <w:tcPr>
            <w:tcW w:w="990" w:type="dxa"/>
          </w:tcPr>
          <w:p w:rsidR="008A1280" w:rsidRPr="00B71114" w:rsidRDefault="008A1280" w:rsidP="006C308E">
            <w:pPr>
              <w:pStyle w:val="ListParagraph"/>
              <w:ind w:left="0"/>
              <w:jc w:val="center"/>
              <w:rPr>
                <w:rFonts w:asciiTheme="majorHAnsi" w:eastAsia="Arial" w:hAnsiTheme="majorHAnsi" w:cstheme="majorHAnsi"/>
                <w:szCs w:val="20"/>
              </w:rPr>
            </w:pPr>
            <w:r w:rsidRPr="00B71114">
              <w:rPr>
                <w:rFonts w:asciiTheme="majorHAnsi" w:eastAsia="Arial" w:hAnsiTheme="majorHAnsi" w:cstheme="majorHAnsi"/>
                <w:szCs w:val="20"/>
              </w:rPr>
              <w:t>45%</w:t>
            </w:r>
          </w:p>
        </w:tc>
      </w:tr>
      <w:tr w:rsidR="00DC5DF0" w:rsidRPr="00B71114" w:rsidTr="005078BC">
        <w:tc>
          <w:tcPr>
            <w:tcW w:w="2785" w:type="dxa"/>
          </w:tcPr>
          <w:p w:rsidR="008A1280" w:rsidRPr="00B71114" w:rsidRDefault="008A1280" w:rsidP="006C308E">
            <w:pPr>
              <w:pStyle w:val="ListParagraph"/>
              <w:ind w:left="0"/>
              <w:rPr>
                <w:rFonts w:asciiTheme="majorHAnsi" w:eastAsia="Arial" w:hAnsiTheme="majorHAnsi" w:cstheme="majorHAnsi"/>
                <w:szCs w:val="20"/>
              </w:rPr>
            </w:pPr>
            <w:r w:rsidRPr="00B71114">
              <w:rPr>
                <w:rFonts w:asciiTheme="majorHAnsi" w:eastAsia="Arial" w:hAnsiTheme="majorHAnsi" w:cstheme="majorHAnsi"/>
                <w:szCs w:val="20"/>
              </w:rPr>
              <w:t>Student perception of class size (Yes)</w:t>
            </w:r>
          </w:p>
        </w:tc>
        <w:tc>
          <w:tcPr>
            <w:tcW w:w="72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94%</w:t>
            </w:r>
          </w:p>
        </w:tc>
        <w:tc>
          <w:tcPr>
            <w:tcW w:w="81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95%</w:t>
            </w:r>
          </w:p>
        </w:tc>
        <w:tc>
          <w:tcPr>
            <w:tcW w:w="90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95%</w:t>
            </w:r>
          </w:p>
        </w:tc>
        <w:tc>
          <w:tcPr>
            <w:tcW w:w="90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96%</w:t>
            </w:r>
          </w:p>
        </w:tc>
        <w:tc>
          <w:tcPr>
            <w:tcW w:w="99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97%</w:t>
            </w:r>
          </w:p>
        </w:tc>
        <w:tc>
          <w:tcPr>
            <w:tcW w:w="99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100%</w:t>
            </w:r>
          </w:p>
        </w:tc>
      </w:tr>
      <w:tr w:rsidR="00DC5DF0" w:rsidRPr="00B71114" w:rsidTr="005078BC">
        <w:tc>
          <w:tcPr>
            <w:tcW w:w="2785" w:type="dxa"/>
          </w:tcPr>
          <w:p w:rsidR="008A1280" w:rsidRPr="00B71114" w:rsidRDefault="008A1280" w:rsidP="006C308E">
            <w:pPr>
              <w:pStyle w:val="ListParagraph"/>
              <w:ind w:left="0"/>
              <w:rPr>
                <w:rFonts w:asciiTheme="majorHAnsi" w:eastAsia="Arial" w:hAnsiTheme="majorHAnsi" w:cstheme="majorHAnsi"/>
                <w:szCs w:val="20"/>
              </w:rPr>
            </w:pPr>
            <w:r w:rsidRPr="00B71114">
              <w:rPr>
                <w:rFonts w:asciiTheme="majorHAnsi" w:eastAsia="Arial" w:hAnsiTheme="majorHAnsi" w:cstheme="majorHAnsi"/>
                <w:szCs w:val="20"/>
              </w:rPr>
              <w:t xml:space="preserve">Student perception of instructor availability </w:t>
            </w:r>
            <w:r w:rsidR="00474A9A" w:rsidRPr="00B71114">
              <w:rPr>
                <w:rFonts w:asciiTheme="majorHAnsi" w:eastAsia="Arial" w:hAnsiTheme="majorHAnsi" w:cstheme="majorHAnsi"/>
                <w:szCs w:val="20"/>
              </w:rPr>
              <w:t xml:space="preserve">(mean) </w:t>
            </w:r>
          </w:p>
        </w:tc>
        <w:tc>
          <w:tcPr>
            <w:tcW w:w="72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4.38</w:t>
            </w:r>
          </w:p>
        </w:tc>
        <w:tc>
          <w:tcPr>
            <w:tcW w:w="81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4.43</w:t>
            </w:r>
          </w:p>
        </w:tc>
        <w:tc>
          <w:tcPr>
            <w:tcW w:w="90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4.36</w:t>
            </w:r>
          </w:p>
        </w:tc>
        <w:tc>
          <w:tcPr>
            <w:tcW w:w="90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4.41</w:t>
            </w:r>
          </w:p>
        </w:tc>
        <w:tc>
          <w:tcPr>
            <w:tcW w:w="99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4.50</w:t>
            </w:r>
          </w:p>
        </w:tc>
        <w:tc>
          <w:tcPr>
            <w:tcW w:w="99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4.55</w:t>
            </w:r>
          </w:p>
        </w:tc>
      </w:tr>
      <w:tr w:rsidR="00DC5DF0" w:rsidRPr="00B71114" w:rsidTr="005078BC">
        <w:tc>
          <w:tcPr>
            <w:tcW w:w="2785" w:type="dxa"/>
          </w:tcPr>
          <w:p w:rsidR="008A1280" w:rsidRPr="00B71114" w:rsidRDefault="008A1280" w:rsidP="006C308E">
            <w:pPr>
              <w:pStyle w:val="ListParagraph"/>
              <w:ind w:left="0"/>
              <w:rPr>
                <w:rFonts w:asciiTheme="majorHAnsi" w:eastAsia="Arial" w:hAnsiTheme="majorHAnsi" w:cstheme="majorHAnsi"/>
                <w:szCs w:val="20"/>
              </w:rPr>
            </w:pPr>
            <w:r w:rsidRPr="00B71114">
              <w:rPr>
                <w:rFonts w:asciiTheme="majorHAnsi" w:hAnsiTheme="majorHAnsi" w:cstheme="majorHAnsi"/>
                <w:szCs w:val="20"/>
              </w:rPr>
              <w:t>Effectiveness of objectives of and activities in the course</w:t>
            </w:r>
            <w:r w:rsidR="00474A9A" w:rsidRPr="00B71114">
              <w:rPr>
                <w:rFonts w:asciiTheme="majorHAnsi" w:hAnsiTheme="majorHAnsi" w:cstheme="majorHAnsi"/>
                <w:szCs w:val="20"/>
              </w:rPr>
              <w:t xml:space="preserve"> </w:t>
            </w:r>
            <w:r w:rsidR="00474A9A" w:rsidRPr="00B71114">
              <w:rPr>
                <w:rFonts w:asciiTheme="majorHAnsi" w:eastAsia="Arial" w:hAnsiTheme="majorHAnsi" w:cstheme="majorHAnsi"/>
                <w:szCs w:val="20"/>
              </w:rPr>
              <w:t>(mean)</w:t>
            </w:r>
          </w:p>
        </w:tc>
        <w:tc>
          <w:tcPr>
            <w:tcW w:w="72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4.15</w:t>
            </w:r>
          </w:p>
        </w:tc>
        <w:tc>
          <w:tcPr>
            <w:tcW w:w="81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4.18</w:t>
            </w:r>
          </w:p>
        </w:tc>
        <w:tc>
          <w:tcPr>
            <w:tcW w:w="90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4.09</w:t>
            </w:r>
          </w:p>
        </w:tc>
        <w:tc>
          <w:tcPr>
            <w:tcW w:w="90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4.10</w:t>
            </w:r>
          </w:p>
        </w:tc>
        <w:tc>
          <w:tcPr>
            <w:tcW w:w="99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4.25</w:t>
            </w:r>
          </w:p>
        </w:tc>
        <w:tc>
          <w:tcPr>
            <w:tcW w:w="99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4.54</w:t>
            </w:r>
          </w:p>
        </w:tc>
      </w:tr>
      <w:tr w:rsidR="00DC5DF0" w:rsidRPr="00B71114" w:rsidTr="005078BC">
        <w:tc>
          <w:tcPr>
            <w:tcW w:w="2785" w:type="dxa"/>
          </w:tcPr>
          <w:p w:rsidR="008A1280" w:rsidRPr="00B71114" w:rsidRDefault="008A1280" w:rsidP="006C308E">
            <w:pPr>
              <w:pStyle w:val="ListParagraph"/>
              <w:ind w:left="0"/>
              <w:rPr>
                <w:rFonts w:asciiTheme="majorHAnsi" w:eastAsia="Arial" w:hAnsiTheme="majorHAnsi" w:cstheme="majorHAnsi"/>
                <w:szCs w:val="20"/>
              </w:rPr>
            </w:pPr>
            <w:r w:rsidRPr="00B71114">
              <w:rPr>
                <w:rFonts w:asciiTheme="majorHAnsi" w:hAnsiTheme="majorHAnsi" w:cstheme="majorHAnsi"/>
                <w:szCs w:val="20"/>
              </w:rPr>
              <w:t>Quality of assessment of student performance and feedback to the student</w:t>
            </w:r>
            <w:r w:rsidR="00474A9A" w:rsidRPr="00B71114">
              <w:rPr>
                <w:rFonts w:asciiTheme="majorHAnsi" w:hAnsiTheme="majorHAnsi" w:cstheme="majorHAnsi"/>
                <w:szCs w:val="20"/>
              </w:rPr>
              <w:t xml:space="preserve"> </w:t>
            </w:r>
            <w:r w:rsidR="00474A9A" w:rsidRPr="00B71114">
              <w:rPr>
                <w:rFonts w:asciiTheme="majorHAnsi" w:eastAsia="Arial" w:hAnsiTheme="majorHAnsi" w:cstheme="majorHAnsi"/>
                <w:szCs w:val="20"/>
              </w:rPr>
              <w:t>(mean)</w:t>
            </w:r>
          </w:p>
        </w:tc>
        <w:tc>
          <w:tcPr>
            <w:tcW w:w="72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4.21</w:t>
            </w:r>
          </w:p>
        </w:tc>
        <w:tc>
          <w:tcPr>
            <w:tcW w:w="81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4.25</w:t>
            </w:r>
          </w:p>
        </w:tc>
        <w:tc>
          <w:tcPr>
            <w:tcW w:w="90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4.22</w:t>
            </w:r>
          </w:p>
        </w:tc>
        <w:tc>
          <w:tcPr>
            <w:tcW w:w="90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4.25</w:t>
            </w:r>
          </w:p>
        </w:tc>
        <w:tc>
          <w:tcPr>
            <w:tcW w:w="99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4.27</w:t>
            </w:r>
          </w:p>
        </w:tc>
        <w:tc>
          <w:tcPr>
            <w:tcW w:w="99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4.44</w:t>
            </w:r>
          </w:p>
        </w:tc>
      </w:tr>
      <w:tr w:rsidR="00DC5DF0" w:rsidRPr="00B71114" w:rsidTr="005078BC">
        <w:tc>
          <w:tcPr>
            <w:tcW w:w="2785" w:type="dxa"/>
          </w:tcPr>
          <w:p w:rsidR="008A1280" w:rsidRPr="00B71114" w:rsidRDefault="008A1280" w:rsidP="006C308E">
            <w:pPr>
              <w:pStyle w:val="ListParagraph"/>
              <w:ind w:left="0"/>
              <w:rPr>
                <w:rFonts w:asciiTheme="majorHAnsi" w:hAnsiTheme="majorHAnsi" w:cstheme="majorHAnsi"/>
                <w:szCs w:val="20"/>
              </w:rPr>
            </w:pPr>
            <w:r w:rsidRPr="00B71114">
              <w:rPr>
                <w:rFonts w:asciiTheme="majorHAnsi" w:hAnsiTheme="majorHAnsi" w:cstheme="majorHAnsi"/>
                <w:szCs w:val="20"/>
              </w:rPr>
              <w:t xml:space="preserve">Effectiveness of materials and methods used in the course </w:t>
            </w:r>
            <w:r w:rsidR="00474A9A" w:rsidRPr="00B71114">
              <w:rPr>
                <w:rFonts w:asciiTheme="majorHAnsi" w:eastAsia="Arial" w:hAnsiTheme="majorHAnsi" w:cstheme="majorHAnsi"/>
                <w:szCs w:val="20"/>
              </w:rPr>
              <w:t>(mean)</w:t>
            </w:r>
          </w:p>
        </w:tc>
        <w:tc>
          <w:tcPr>
            <w:tcW w:w="72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4.06</w:t>
            </w:r>
          </w:p>
        </w:tc>
        <w:tc>
          <w:tcPr>
            <w:tcW w:w="81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4.04</w:t>
            </w:r>
          </w:p>
        </w:tc>
        <w:tc>
          <w:tcPr>
            <w:tcW w:w="90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4.03</w:t>
            </w:r>
          </w:p>
        </w:tc>
        <w:tc>
          <w:tcPr>
            <w:tcW w:w="90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4.05</w:t>
            </w:r>
          </w:p>
        </w:tc>
        <w:tc>
          <w:tcPr>
            <w:tcW w:w="99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4.05</w:t>
            </w:r>
          </w:p>
        </w:tc>
        <w:tc>
          <w:tcPr>
            <w:tcW w:w="99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4.13</w:t>
            </w:r>
          </w:p>
        </w:tc>
      </w:tr>
      <w:tr w:rsidR="00DC5DF0" w:rsidRPr="00B71114" w:rsidTr="005078BC">
        <w:tc>
          <w:tcPr>
            <w:tcW w:w="2785" w:type="dxa"/>
          </w:tcPr>
          <w:p w:rsidR="008A1280" w:rsidRPr="00B71114" w:rsidRDefault="008A1280" w:rsidP="006C308E">
            <w:pPr>
              <w:pStyle w:val="ListParagraph"/>
              <w:ind w:left="0"/>
              <w:rPr>
                <w:rFonts w:asciiTheme="majorHAnsi" w:hAnsiTheme="majorHAnsi" w:cstheme="majorHAnsi"/>
                <w:szCs w:val="20"/>
              </w:rPr>
            </w:pPr>
            <w:r w:rsidRPr="00B71114">
              <w:rPr>
                <w:rFonts w:asciiTheme="majorHAnsi" w:hAnsiTheme="majorHAnsi" w:cstheme="majorHAnsi"/>
                <w:szCs w:val="20"/>
              </w:rPr>
              <w:t>Overall faculty effectiveness</w:t>
            </w:r>
            <w:r w:rsidR="00164164" w:rsidRPr="00B71114">
              <w:rPr>
                <w:rFonts w:asciiTheme="majorHAnsi" w:hAnsiTheme="majorHAnsi" w:cstheme="majorHAnsi"/>
                <w:szCs w:val="20"/>
              </w:rPr>
              <w:t xml:space="preserve">  (mean)</w:t>
            </w:r>
          </w:p>
        </w:tc>
        <w:tc>
          <w:tcPr>
            <w:tcW w:w="72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4.10</w:t>
            </w:r>
          </w:p>
        </w:tc>
        <w:tc>
          <w:tcPr>
            <w:tcW w:w="81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3.99</w:t>
            </w:r>
          </w:p>
        </w:tc>
        <w:tc>
          <w:tcPr>
            <w:tcW w:w="90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4.15</w:t>
            </w:r>
          </w:p>
        </w:tc>
        <w:tc>
          <w:tcPr>
            <w:tcW w:w="90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4.15</w:t>
            </w:r>
          </w:p>
        </w:tc>
        <w:tc>
          <w:tcPr>
            <w:tcW w:w="99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4.21</w:t>
            </w:r>
          </w:p>
        </w:tc>
        <w:tc>
          <w:tcPr>
            <w:tcW w:w="990" w:type="dxa"/>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eastAsia="Arial" w:hAnsiTheme="majorHAnsi" w:cstheme="majorHAnsi"/>
                <w:szCs w:val="20"/>
              </w:rPr>
              <w:t>4.43</w:t>
            </w:r>
          </w:p>
        </w:tc>
      </w:tr>
      <w:tr w:rsidR="00DC5DF0" w:rsidRPr="00B71114" w:rsidTr="00331B1A">
        <w:tc>
          <w:tcPr>
            <w:tcW w:w="8095" w:type="dxa"/>
            <w:gridSpan w:val="7"/>
          </w:tcPr>
          <w:p w:rsidR="008A1280" w:rsidRPr="00B71114" w:rsidRDefault="008A1280" w:rsidP="006C308E">
            <w:pPr>
              <w:pStyle w:val="ListParagraph"/>
              <w:ind w:left="0"/>
              <w:jc w:val="both"/>
              <w:rPr>
                <w:rFonts w:asciiTheme="majorHAnsi" w:eastAsia="Arial" w:hAnsiTheme="majorHAnsi" w:cstheme="majorHAnsi"/>
                <w:szCs w:val="20"/>
              </w:rPr>
            </w:pPr>
            <w:r w:rsidRPr="00B71114">
              <w:rPr>
                <w:rFonts w:asciiTheme="majorHAnsi" w:hAnsiTheme="majorHAnsi" w:cstheme="majorHAnsi"/>
                <w:szCs w:val="20"/>
              </w:rPr>
              <w:t>*Five-point scale: 5.00 (“strongly agree”) to 1.00 (“strongly disagree”)</w:t>
            </w:r>
          </w:p>
        </w:tc>
      </w:tr>
    </w:tbl>
    <w:p w:rsidR="0056752F" w:rsidRDefault="0056752F" w:rsidP="006C308E">
      <w:pPr>
        <w:pStyle w:val="ListParagraph"/>
        <w:ind w:left="1080"/>
        <w:contextualSpacing/>
        <w:rPr>
          <w:rFonts w:asciiTheme="majorHAnsi" w:eastAsia="Arial" w:hAnsiTheme="majorHAnsi" w:cstheme="majorHAnsi"/>
          <w:szCs w:val="20"/>
        </w:rPr>
      </w:pPr>
    </w:p>
    <w:p w:rsidR="008A1280" w:rsidRPr="00B71114" w:rsidRDefault="008A1280" w:rsidP="006C308E">
      <w:pPr>
        <w:pStyle w:val="ListParagraph"/>
        <w:ind w:left="1080"/>
        <w:contextualSpacing/>
        <w:rPr>
          <w:rFonts w:asciiTheme="majorHAnsi" w:eastAsia="Arial" w:hAnsiTheme="majorHAnsi" w:cstheme="majorHAnsi"/>
          <w:szCs w:val="20"/>
        </w:rPr>
      </w:pPr>
      <w:r w:rsidRPr="00B71114">
        <w:rPr>
          <w:rFonts w:asciiTheme="majorHAnsi" w:eastAsia="Arial" w:hAnsiTheme="majorHAnsi" w:cstheme="majorHAnsi"/>
          <w:szCs w:val="20"/>
        </w:rPr>
        <w:t>Associated documents in the electronic resource file:</w:t>
      </w:r>
    </w:p>
    <w:p w:rsidR="008A1280" w:rsidRPr="00B71114" w:rsidRDefault="00997CFA" w:rsidP="006C308E">
      <w:pPr>
        <w:pStyle w:val="ListParagraph"/>
        <w:numPr>
          <w:ilvl w:val="0"/>
          <w:numId w:val="139"/>
        </w:numPr>
        <w:contextualSpacing/>
        <w:rPr>
          <w:rFonts w:asciiTheme="majorHAnsi" w:hAnsiTheme="majorHAnsi" w:cstheme="majorHAnsi"/>
          <w:i/>
          <w:szCs w:val="20"/>
        </w:rPr>
      </w:pPr>
      <w:r w:rsidRPr="00B71114">
        <w:rPr>
          <w:rFonts w:asciiTheme="majorHAnsi" w:eastAsia="Calibri" w:hAnsiTheme="majorHAnsi" w:cstheme="majorHAnsi"/>
          <w:i/>
          <w:szCs w:val="20"/>
        </w:rPr>
        <w:t>E3.5. Indictors of Instructional Effectiveness</w:t>
      </w:r>
    </w:p>
    <w:p w:rsidR="008A1280" w:rsidRPr="00B71114" w:rsidRDefault="00997CFA" w:rsidP="006C308E">
      <w:pPr>
        <w:pStyle w:val="ListParagraph"/>
        <w:numPr>
          <w:ilvl w:val="1"/>
          <w:numId w:val="139"/>
        </w:numPr>
        <w:contextualSpacing/>
        <w:rPr>
          <w:rFonts w:asciiTheme="majorHAnsi" w:hAnsiTheme="majorHAnsi" w:cstheme="majorHAnsi"/>
          <w:i/>
          <w:szCs w:val="20"/>
        </w:rPr>
      </w:pPr>
      <w:r w:rsidRPr="00B71114">
        <w:rPr>
          <w:rFonts w:asciiTheme="majorHAnsi" w:eastAsia="Calibri" w:hAnsiTheme="majorHAnsi" w:cstheme="majorHAnsi"/>
          <w:i/>
          <w:szCs w:val="20"/>
        </w:rPr>
        <w:t>Course Evaluation Survey</w:t>
      </w:r>
    </w:p>
    <w:p w:rsidR="008A1280" w:rsidRPr="00B71114" w:rsidRDefault="00997CFA" w:rsidP="006C308E">
      <w:pPr>
        <w:pStyle w:val="ListParagraph"/>
        <w:numPr>
          <w:ilvl w:val="1"/>
          <w:numId w:val="139"/>
        </w:numPr>
        <w:contextualSpacing/>
        <w:rPr>
          <w:rFonts w:asciiTheme="majorHAnsi" w:hAnsiTheme="majorHAnsi" w:cstheme="majorHAnsi"/>
          <w:i/>
          <w:szCs w:val="20"/>
        </w:rPr>
      </w:pPr>
      <w:r w:rsidRPr="00B71114">
        <w:rPr>
          <w:rFonts w:asciiTheme="majorHAnsi" w:eastAsia="Calibri" w:hAnsiTheme="majorHAnsi" w:cstheme="majorHAnsi"/>
          <w:i/>
          <w:szCs w:val="20"/>
        </w:rPr>
        <w:t>Course Evaluation Data, Fall 2017</w:t>
      </w:r>
    </w:p>
    <w:p w:rsidR="008A1280" w:rsidRPr="00B71114" w:rsidRDefault="00997CFA" w:rsidP="006C308E">
      <w:pPr>
        <w:pStyle w:val="ListParagraph"/>
        <w:numPr>
          <w:ilvl w:val="1"/>
          <w:numId w:val="139"/>
        </w:numPr>
        <w:contextualSpacing/>
        <w:rPr>
          <w:rFonts w:asciiTheme="majorHAnsi" w:hAnsiTheme="majorHAnsi" w:cstheme="majorHAnsi"/>
          <w:i/>
          <w:szCs w:val="20"/>
        </w:rPr>
      </w:pPr>
      <w:r w:rsidRPr="00B71114">
        <w:rPr>
          <w:rFonts w:asciiTheme="majorHAnsi" w:eastAsia="Calibri" w:hAnsiTheme="majorHAnsi" w:cstheme="majorHAnsi"/>
          <w:i/>
          <w:szCs w:val="20"/>
        </w:rPr>
        <w:t>Course Evaluation Data, Spring 2018</w:t>
      </w:r>
    </w:p>
    <w:p w:rsidR="008A1280" w:rsidRPr="00B71114" w:rsidRDefault="00997CFA" w:rsidP="006C308E">
      <w:pPr>
        <w:pStyle w:val="ListParagraph"/>
        <w:numPr>
          <w:ilvl w:val="1"/>
          <w:numId w:val="139"/>
        </w:numPr>
        <w:contextualSpacing/>
        <w:rPr>
          <w:rFonts w:asciiTheme="majorHAnsi" w:hAnsiTheme="majorHAnsi" w:cstheme="majorHAnsi"/>
          <w:i/>
          <w:szCs w:val="20"/>
        </w:rPr>
      </w:pPr>
      <w:r w:rsidRPr="00B71114">
        <w:rPr>
          <w:rFonts w:asciiTheme="majorHAnsi" w:eastAsia="Calibri" w:hAnsiTheme="majorHAnsi" w:cstheme="majorHAnsi"/>
          <w:i/>
          <w:szCs w:val="20"/>
        </w:rPr>
        <w:t>Course Evaluation Data, Summer 2018</w:t>
      </w:r>
    </w:p>
    <w:p w:rsidR="008A1280" w:rsidRPr="00B71114" w:rsidRDefault="00997CFA" w:rsidP="006C308E">
      <w:pPr>
        <w:pStyle w:val="ListParagraph"/>
        <w:numPr>
          <w:ilvl w:val="1"/>
          <w:numId w:val="139"/>
        </w:numPr>
        <w:contextualSpacing/>
        <w:rPr>
          <w:rFonts w:asciiTheme="majorHAnsi" w:hAnsiTheme="majorHAnsi" w:cstheme="majorHAnsi"/>
          <w:i/>
          <w:szCs w:val="20"/>
        </w:rPr>
      </w:pPr>
      <w:r w:rsidRPr="00B71114">
        <w:rPr>
          <w:rFonts w:asciiTheme="majorHAnsi" w:eastAsia="Calibri" w:hAnsiTheme="majorHAnsi" w:cstheme="majorHAnsi"/>
          <w:i/>
          <w:szCs w:val="20"/>
        </w:rPr>
        <w:t>Course Evaluation Data, Fall 2018</w:t>
      </w:r>
    </w:p>
    <w:p w:rsidR="008A1280" w:rsidRPr="00B71114" w:rsidRDefault="008A1280" w:rsidP="006C308E">
      <w:pPr>
        <w:jc w:val="both"/>
        <w:rPr>
          <w:rFonts w:asciiTheme="majorHAnsi" w:eastAsia="Arial" w:hAnsiTheme="majorHAnsi" w:cstheme="majorHAnsi"/>
          <w:sz w:val="20"/>
          <w:szCs w:val="20"/>
        </w:rPr>
      </w:pPr>
    </w:p>
    <w:p w:rsidR="008A1280" w:rsidRPr="00B71114" w:rsidRDefault="008A1280" w:rsidP="006C308E">
      <w:pPr>
        <w:pStyle w:val="ListParagraph"/>
        <w:numPr>
          <w:ilvl w:val="0"/>
          <w:numId w:val="79"/>
        </w:numPr>
        <w:contextualSpacing/>
        <w:rPr>
          <w:rFonts w:asciiTheme="majorHAnsi" w:hAnsiTheme="majorHAnsi" w:cstheme="majorHAnsi"/>
          <w:szCs w:val="20"/>
        </w:rPr>
      </w:pPr>
      <w:r w:rsidRPr="00B71114">
        <w:rPr>
          <w:rFonts w:asciiTheme="majorHAnsi" w:eastAsia="Arial" w:hAnsiTheme="majorHAnsi" w:cstheme="majorHAnsi"/>
          <w:szCs w:val="20"/>
        </w:rPr>
        <w:t xml:space="preserve">School- or program-level outcomes: Implementation of grading rubrics </w:t>
      </w:r>
    </w:p>
    <w:p w:rsidR="008A1280" w:rsidRPr="00B71114" w:rsidRDefault="008A1280" w:rsidP="006C308E">
      <w:pPr>
        <w:pStyle w:val="ListParagraph"/>
        <w:ind w:left="1080"/>
        <w:contextualSpacing/>
        <w:rPr>
          <w:rFonts w:asciiTheme="majorHAnsi" w:eastAsia="Arial" w:hAnsiTheme="majorHAnsi" w:cstheme="majorHAnsi"/>
          <w:szCs w:val="20"/>
        </w:rPr>
      </w:pPr>
    </w:p>
    <w:p w:rsidR="008A1280" w:rsidRPr="00B71114" w:rsidRDefault="008A1280" w:rsidP="006C308E">
      <w:pPr>
        <w:pStyle w:val="ListParagraph"/>
        <w:ind w:left="1080"/>
        <w:contextualSpacing/>
        <w:rPr>
          <w:rFonts w:asciiTheme="majorHAnsi" w:eastAsia="Arial" w:hAnsiTheme="majorHAnsi" w:cstheme="majorHAnsi"/>
          <w:szCs w:val="20"/>
        </w:rPr>
      </w:pPr>
      <w:r w:rsidRPr="00B71114">
        <w:rPr>
          <w:rFonts w:asciiTheme="majorHAnsi" w:eastAsia="Arial" w:hAnsiTheme="majorHAnsi" w:cstheme="majorHAnsi"/>
          <w:szCs w:val="20"/>
        </w:rPr>
        <w:t>The UTHealth School of Public Health aspires to improve the quality of teaching instruction by using grading rubrics. Grading rubrics allow the instructor to provide formative feedback to students while also providing diagnostic information to the instructor. They also help the instructor clarify if summative assessments coincide with the course learning objectives. When we first started assessing if faculty were using grading rubrics, in Fall 2016, we found that 48% of courses were using grading rubrics. Subsequently, the use of grading rubrics has steadily increased to 53% and 59% of courses in Fall 2017 and Fall 2018, respectively. The use of grading rubrics for courses taught during the spring semester has also seen a steady increase from 44% in Spring 2017, 66% in Spring 2018, to 59% in Spring 2019.</w:t>
      </w:r>
    </w:p>
    <w:p w:rsidR="008A1280" w:rsidRPr="00B71114" w:rsidRDefault="008A1280" w:rsidP="006C308E">
      <w:pPr>
        <w:pStyle w:val="ListParagraph"/>
        <w:ind w:left="1080"/>
        <w:contextualSpacing/>
        <w:rPr>
          <w:rFonts w:asciiTheme="majorHAnsi" w:eastAsia="Arial" w:hAnsiTheme="majorHAnsi" w:cstheme="majorHAnsi"/>
          <w:szCs w:val="20"/>
        </w:rPr>
      </w:pPr>
    </w:p>
    <w:p w:rsidR="008A1280" w:rsidRPr="00B71114" w:rsidRDefault="008A1280" w:rsidP="006C308E">
      <w:pPr>
        <w:pStyle w:val="ListParagraph"/>
        <w:ind w:left="1080"/>
        <w:contextualSpacing/>
        <w:rPr>
          <w:rFonts w:asciiTheme="majorHAnsi" w:eastAsia="Arial" w:hAnsiTheme="majorHAnsi" w:cstheme="majorHAnsi"/>
          <w:szCs w:val="20"/>
        </w:rPr>
      </w:pPr>
      <w:r w:rsidRPr="00B71114">
        <w:rPr>
          <w:rFonts w:asciiTheme="majorHAnsi" w:eastAsia="Arial" w:hAnsiTheme="majorHAnsi" w:cstheme="majorHAnsi"/>
          <w:szCs w:val="20"/>
        </w:rPr>
        <w:t>Associated documents in the electronic resource file:</w:t>
      </w:r>
    </w:p>
    <w:p w:rsidR="008A1280" w:rsidRPr="00B71114" w:rsidRDefault="00F37D0C" w:rsidP="006C308E">
      <w:pPr>
        <w:pStyle w:val="ListParagraph"/>
        <w:numPr>
          <w:ilvl w:val="0"/>
          <w:numId w:val="139"/>
        </w:numPr>
        <w:contextualSpacing/>
        <w:rPr>
          <w:rFonts w:asciiTheme="majorHAnsi" w:hAnsiTheme="majorHAnsi" w:cstheme="majorHAnsi"/>
          <w:i/>
          <w:szCs w:val="20"/>
        </w:rPr>
      </w:pPr>
      <w:r w:rsidRPr="00B71114">
        <w:rPr>
          <w:rFonts w:asciiTheme="majorHAnsi" w:eastAsia="Calibri" w:hAnsiTheme="majorHAnsi" w:cstheme="majorHAnsi"/>
          <w:i/>
          <w:szCs w:val="20"/>
        </w:rPr>
        <w:t>E3.5. Indictors of Instructional Effectiveness</w:t>
      </w:r>
    </w:p>
    <w:p w:rsidR="008A1280" w:rsidRPr="00B71114" w:rsidRDefault="004A75E2" w:rsidP="006C308E">
      <w:pPr>
        <w:pStyle w:val="ListParagraph"/>
        <w:numPr>
          <w:ilvl w:val="1"/>
          <w:numId w:val="139"/>
        </w:numPr>
        <w:contextualSpacing/>
        <w:rPr>
          <w:rFonts w:asciiTheme="majorHAnsi" w:hAnsiTheme="majorHAnsi" w:cstheme="majorHAnsi"/>
          <w:i/>
          <w:szCs w:val="20"/>
        </w:rPr>
      </w:pPr>
      <w:r w:rsidRPr="00B71114">
        <w:rPr>
          <w:rFonts w:asciiTheme="majorHAnsi" w:eastAsia="Calibri" w:hAnsiTheme="majorHAnsi" w:cstheme="majorHAnsi"/>
          <w:i/>
          <w:szCs w:val="20"/>
        </w:rPr>
        <w:t>Course Characteristics Data</w:t>
      </w:r>
    </w:p>
    <w:p w:rsidR="008A1280" w:rsidRPr="00B71114" w:rsidRDefault="008A1280" w:rsidP="006C308E">
      <w:pPr>
        <w:ind w:left="720"/>
        <w:contextualSpacing/>
        <w:rPr>
          <w:rFonts w:asciiTheme="majorHAnsi" w:hAnsiTheme="majorHAnsi" w:cstheme="majorHAnsi"/>
          <w:sz w:val="20"/>
          <w:szCs w:val="20"/>
        </w:rPr>
      </w:pPr>
    </w:p>
    <w:p w:rsidR="00933038" w:rsidRPr="00B71114" w:rsidRDefault="00933038" w:rsidP="006C308E">
      <w:pPr>
        <w:numPr>
          <w:ilvl w:val="0"/>
          <w:numId w:val="33"/>
        </w:numPr>
        <w:contextualSpacing/>
        <w:jc w:val="both"/>
        <w:rPr>
          <w:rFonts w:asciiTheme="majorHAnsi" w:hAnsiTheme="majorHAnsi" w:cstheme="majorHAnsi"/>
          <w:sz w:val="20"/>
          <w:szCs w:val="20"/>
        </w:rPr>
      </w:pPr>
      <w:r w:rsidRPr="00B71114">
        <w:rPr>
          <w:rFonts w:asciiTheme="majorHAnsi" w:hAnsiTheme="majorHAnsi" w:cstheme="majorHAnsi"/>
          <w:sz w:val="20"/>
          <w:szCs w:val="20"/>
        </w:rPr>
        <w:t xml:space="preserve">If applicable, assess strengths and weaknesses related to this criterion and plans for improvement in this area. </w:t>
      </w:r>
    </w:p>
    <w:p w:rsidR="00933038" w:rsidRPr="00B71114" w:rsidRDefault="00933038" w:rsidP="006C308E">
      <w:pPr>
        <w:contextualSpacing/>
        <w:jc w:val="both"/>
        <w:rPr>
          <w:rFonts w:asciiTheme="majorHAnsi" w:hAnsiTheme="majorHAnsi" w:cstheme="majorHAnsi"/>
          <w:sz w:val="20"/>
          <w:szCs w:val="20"/>
        </w:rPr>
      </w:pPr>
    </w:p>
    <w:p w:rsidR="00663F9C" w:rsidRPr="00B71114" w:rsidRDefault="00663F9C" w:rsidP="006C308E">
      <w:pPr>
        <w:ind w:left="360"/>
        <w:rPr>
          <w:rFonts w:asciiTheme="majorHAnsi" w:hAnsiTheme="majorHAnsi" w:cstheme="majorHAnsi"/>
          <w:b/>
          <w:sz w:val="20"/>
          <w:szCs w:val="20"/>
        </w:rPr>
      </w:pPr>
      <w:r w:rsidRPr="00B71114">
        <w:rPr>
          <w:rFonts w:asciiTheme="majorHAnsi" w:hAnsiTheme="majorHAnsi" w:cstheme="majorHAnsi"/>
          <w:b/>
          <w:sz w:val="20"/>
          <w:szCs w:val="20"/>
        </w:rPr>
        <w:t>Strengths:</w:t>
      </w:r>
    </w:p>
    <w:p w:rsidR="00663F9C" w:rsidRPr="00B71114" w:rsidRDefault="00663F9C" w:rsidP="006C308E">
      <w:pPr>
        <w:pStyle w:val="ListParagraph"/>
        <w:numPr>
          <w:ilvl w:val="0"/>
          <w:numId w:val="185"/>
        </w:numPr>
        <w:spacing w:after="160"/>
        <w:ind w:left="1080"/>
        <w:contextualSpacing/>
        <w:rPr>
          <w:rFonts w:asciiTheme="majorHAnsi" w:hAnsiTheme="majorHAnsi" w:cstheme="majorHAnsi"/>
          <w:szCs w:val="20"/>
        </w:rPr>
      </w:pPr>
      <w:r w:rsidRPr="00B71114">
        <w:rPr>
          <w:rFonts w:asciiTheme="majorHAnsi" w:hAnsiTheme="majorHAnsi" w:cstheme="majorHAnsi"/>
          <w:szCs w:val="20"/>
        </w:rPr>
        <w:t xml:space="preserve">The UTHealth School of Public Health is committed to delivering high-quality instruction to its students. Faculty are evaluated through course evaluations, peer evaluations, and department chair and campus dean evaluations. Teaching effectiveness is a critical part of promotion and tenure processes and in annual performance reviews. The school rewards high-performing faculty through teaching awards and an academic incentive plan for teaching excellence. Department chairs meet with all full-time and part-time faculty as part of their annual evaluation to review teaching effectiveness and teaching assignments. </w:t>
      </w:r>
    </w:p>
    <w:p w:rsidR="00663F9C" w:rsidRPr="00B71114" w:rsidRDefault="00663F9C" w:rsidP="006C308E">
      <w:pPr>
        <w:pStyle w:val="ListParagraph"/>
        <w:numPr>
          <w:ilvl w:val="0"/>
          <w:numId w:val="185"/>
        </w:numPr>
        <w:spacing w:after="160"/>
        <w:ind w:left="1080"/>
        <w:contextualSpacing/>
        <w:rPr>
          <w:rFonts w:asciiTheme="majorHAnsi" w:hAnsiTheme="majorHAnsi" w:cstheme="majorHAnsi"/>
          <w:szCs w:val="20"/>
        </w:rPr>
      </w:pPr>
      <w:r w:rsidRPr="00B71114">
        <w:rPr>
          <w:rFonts w:asciiTheme="majorHAnsi" w:hAnsiTheme="majorHAnsi" w:cstheme="majorHAnsi"/>
          <w:szCs w:val="20"/>
        </w:rPr>
        <w:t xml:space="preserve">The UTHealth School of Public Health hosts an annual teaching institute to support continuous improvement in faculty teaching effectiveness. </w:t>
      </w:r>
    </w:p>
    <w:p w:rsidR="00663F9C" w:rsidRPr="00B71114" w:rsidRDefault="00663F9C" w:rsidP="006C308E">
      <w:pPr>
        <w:pStyle w:val="ListParagraph"/>
        <w:numPr>
          <w:ilvl w:val="0"/>
          <w:numId w:val="185"/>
        </w:numPr>
        <w:spacing w:after="160"/>
        <w:ind w:left="1080"/>
        <w:contextualSpacing/>
        <w:rPr>
          <w:rFonts w:asciiTheme="majorHAnsi" w:hAnsiTheme="majorHAnsi" w:cstheme="majorHAnsi"/>
          <w:szCs w:val="20"/>
        </w:rPr>
      </w:pPr>
      <w:r w:rsidRPr="00B71114">
        <w:rPr>
          <w:rFonts w:asciiTheme="majorHAnsi" w:hAnsiTheme="majorHAnsi" w:cstheme="majorHAnsi"/>
          <w:szCs w:val="20"/>
        </w:rPr>
        <w:t xml:space="preserve">UTHealth hosts workshops, provides master teacher training, and recognizes faculty for teaching excellence through the Board of Regent’s Award for Teaching Excellence. </w:t>
      </w:r>
    </w:p>
    <w:p w:rsidR="00663F9C" w:rsidRPr="00B71114" w:rsidRDefault="00663F9C" w:rsidP="006C308E">
      <w:pPr>
        <w:pStyle w:val="ListParagraph"/>
        <w:numPr>
          <w:ilvl w:val="0"/>
          <w:numId w:val="185"/>
        </w:numPr>
        <w:spacing w:after="160"/>
        <w:ind w:left="1080"/>
        <w:contextualSpacing/>
        <w:rPr>
          <w:rFonts w:asciiTheme="majorHAnsi" w:hAnsiTheme="majorHAnsi" w:cstheme="majorHAnsi"/>
          <w:szCs w:val="20"/>
        </w:rPr>
      </w:pPr>
      <w:r w:rsidRPr="00B71114">
        <w:rPr>
          <w:rFonts w:asciiTheme="majorHAnsi" w:hAnsiTheme="majorHAnsi" w:cstheme="majorHAnsi"/>
          <w:szCs w:val="20"/>
        </w:rPr>
        <w:t>The UTHealth School of Public Health recently hired two doctoral-trained instructional designers to provide ongoing teaching effectiveness workshops for faculty.</w:t>
      </w:r>
    </w:p>
    <w:p w:rsidR="00663F9C" w:rsidRPr="00B71114" w:rsidRDefault="00663F9C" w:rsidP="006C308E">
      <w:pPr>
        <w:pStyle w:val="ListParagraph"/>
        <w:numPr>
          <w:ilvl w:val="0"/>
          <w:numId w:val="185"/>
        </w:numPr>
        <w:spacing w:after="160"/>
        <w:ind w:left="1080"/>
        <w:contextualSpacing/>
        <w:rPr>
          <w:rFonts w:asciiTheme="majorHAnsi" w:hAnsiTheme="majorHAnsi" w:cstheme="majorHAnsi"/>
          <w:szCs w:val="20"/>
        </w:rPr>
      </w:pPr>
      <w:r w:rsidRPr="00B71114">
        <w:rPr>
          <w:rFonts w:asciiTheme="majorHAnsi" w:hAnsiTheme="majorHAnsi" w:cstheme="majorHAnsi"/>
          <w:szCs w:val="20"/>
        </w:rPr>
        <w:t xml:space="preserve">UTHealth and the UTHealth School of Public Health recently adopted a new non-tenure track title, professor of </w:t>
      </w:r>
      <w:r w:rsidR="00AD6F36" w:rsidRPr="00B71114">
        <w:rPr>
          <w:rFonts w:asciiTheme="majorHAnsi" w:hAnsiTheme="majorHAnsi" w:cstheme="majorHAnsi"/>
          <w:szCs w:val="20"/>
        </w:rPr>
        <w:t>instruction that</w:t>
      </w:r>
      <w:r w:rsidRPr="00B71114">
        <w:rPr>
          <w:rFonts w:asciiTheme="majorHAnsi" w:hAnsiTheme="majorHAnsi" w:cstheme="majorHAnsi"/>
          <w:szCs w:val="20"/>
        </w:rPr>
        <w:t xml:space="preserve"> supports the teaching mission of the school. </w:t>
      </w:r>
    </w:p>
    <w:p w:rsidR="00663F9C" w:rsidRPr="00B71114" w:rsidRDefault="00663F9C" w:rsidP="006C308E">
      <w:pPr>
        <w:ind w:left="360"/>
        <w:jc w:val="both"/>
        <w:rPr>
          <w:rFonts w:asciiTheme="majorHAnsi" w:hAnsiTheme="majorHAnsi" w:cstheme="majorHAnsi"/>
          <w:b/>
          <w:sz w:val="20"/>
          <w:szCs w:val="20"/>
        </w:rPr>
      </w:pPr>
      <w:r w:rsidRPr="00B71114">
        <w:rPr>
          <w:rFonts w:asciiTheme="majorHAnsi" w:hAnsiTheme="majorHAnsi" w:cstheme="majorHAnsi"/>
          <w:b/>
          <w:sz w:val="20"/>
          <w:szCs w:val="20"/>
        </w:rPr>
        <w:t xml:space="preserve">Weaknesses </w:t>
      </w:r>
    </w:p>
    <w:p w:rsidR="00663F9C" w:rsidRPr="00B71114" w:rsidRDefault="00663F9C" w:rsidP="006C308E">
      <w:pPr>
        <w:pStyle w:val="ListParagraph"/>
        <w:numPr>
          <w:ilvl w:val="0"/>
          <w:numId w:val="186"/>
        </w:numPr>
        <w:spacing w:after="160"/>
        <w:ind w:left="1080"/>
        <w:contextualSpacing/>
        <w:rPr>
          <w:rFonts w:asciiTheme="majorHAnsi" w:hAnsiTheme="majorHAnsi" w:cstheme="majorHAnsi"/>
          <w:szCs w:val="20"/>
        </w:rPr>
      </w:pPr>
      <w:r w:rsidRPr="00B71114">
        <w:rPr>
          <w:rFonts w:asciiTheme="majorHAnsi" w:hAnsiTheme="majorHAnsi" w:cstheme="majorHAnsi"/>
          <w:szCs w:val="20"/>
        </w:rPr>
        <w:t xml:space="preserve">The UTHealth </w:t>
      </w:r>
      <w:r w:rsidR="00AD6F36" w:rsidRPr="00B71114">
        <w:rPr>
          <w:rFonts w:asciiTheme="majorHAnsi" w:hAnsiTheme="majorHAnsi" w:cstheme="majorHAnsi"/>
          <w:szCs w:val="20"/>
        </w:rPr>
        <w:t>School of</w:t>
      </w:r>
      <w:r w:rsidRPr="00B71114">
        <w:rPr>
          <w:rFonts w:asciiTheme="majorHAnsi" w:hAnsiTheme="majorHAnsi" w:cstheme="majorHAnsi"/>
          <w:szCs w:val="20"/>
        </w:rPr>
        <w:t xml:space="preserve"> Public Health’s primary measures of teaching effectiveness are course evaluations, peer review of course evaluations, and self-reported teaching activities. The school has not adopted peer observation as a measure of teaching effectiveness. Discussions about using peer observation measures will continue. </w:t>
      </w:r>
    </w:p>
    <w:p w:rsidR="00933038" w:rsidRPr="00E80636" w:rsidRDefault="00933038" w:rsidP="007A68BE">
      <w:pPr>
        <w:pStyle w:val="Heading1"/>
      </w:pPr>
      <w:bookmarkStart w:id="126" w:name="_E4._Faculty_Scholarship"/>
      <w:bookmarkStart w:id="127" w:name="_E4_._Faculty"/>
      <w:bookmarkStart w:id="128" w:name="_Toc464487890"/>
      <w:bookmarkStart w:id="129" w:name="_Toc7118223"/>
      <w:bookmarkEnd w:id="126"/>
      <w:bookmarkEnd w:id="127"/>
      <w:r w:rsidRPr="00E80636">
        <w:rPr>
          <w:rStyle w:val="Heading1Char"/>
          <w:b/>
        </w:rPr>
        <w:t>E4. Faculty Scholarship</w:t>
      </w:r>
      <w:bookmarkEnd w:id="128"/>
      <w:bookmarkEnd w:id="129"/>
      <w:r w:rsidRPr="00E80636">
        <w:t xml:space="preserve"> </w:t>
      </w:r>
    </w:p>
    <w:p w:rsidR="008262CC" w:rsidRPr="00E80636" w:rsidRDefault="008262CC" w:rsidP="006C308E">
      <w:pPr>
        <w:rPr>
          <w:rFonts w:asciiTheme="majorHAnsi" w:hAnsiTheme="majorHAnsi" w:cstheme="majorHAnsi"/>
          <w:sz w:val="20"/>
          <w:szCs w:val="20"/>
          <w:lang w:eastAsia="x-none"/>
        </w:rPr>
      </w:pPr>
    </w:p>
    <w:p w:rsidR="00933038" w:rsidRPr="00E80636" w:rsidRDefault="00933038" w:rsidP="006C308E">
      <w:pPr>
        <w:jc w:val="both"/>
        <w:rPr>
          <w:rFonts w:asciiTheme="majorHAnsi" w:hAnsiTheme="majorHAnsi" w:cstheme="majorHAnsi"/>
          <w:b/>
          <w:sz w:val="20"/>
          <w:szCs w:val="20"/>
        </w:rPr>
      </w:pPr>
      <w:r w:rsidRPr="00E80636">
        <w:rPr>
          <w:rFonts w:asciiTheme="majorHAnsi" w:hAnsiTheme="majorHAnsi" w:cstheme="majorHAnsi"/>
          <w:b/>
          <w:sz w:val="20"/>
          <w:szCs w:val="20"/>
        </w:rPr>
        <w:t>The school has policies and practices in place to support faculty involvement in scholarly activities. As many faculty as possible are involved in research and scholarly activity in some form, whether funded or unfunded. Ongoing participation in research and scholarly activity ensures that faculty are relevant and current in their field of expertise, that their work is peer reviewed and that they are content experts.</w:t>
      </w:r>
    </w:p>
    <w:p w:rsidR="00933038" w:rsidRPr="00E80636" w:rsidRDefault="00933038" w:rsidP="006C308E">
      <w:pPr>
        <w:jc w:val="both"/>
        <w:rPr>
          <w:rFonts w:asciiTheme="majorHAnsi" w:hAnsiTheme="majorHAnsi" w:cstheme="majorHAnsi"/>
          <w:b/>
          <w:sz w:val="20"/>
          <w:szCs w:val="20"/>
        </w:rPr>
      </w:pPr>
    </w:p>
    <w:p w:rsidR="00933038" w:rsidRPr="00E80636" w:rsidRDefault="00933038" w:rsidP="006C308E">
      <w:pPr>
        <w:jc w:val="both"/>
        <w:rPr>
          <w:rFonts w:asciiTheme="majorHAnsi" w:hAnsiTheme="majorHAnsi" w:cstheme="majorHAnsi"/>
          <w:b/>
          <w:sz w:val="20"/>
          <w:szCs w:val="20"/>
        </w:rPr>
      </w:pPr>
      <w:r w:rsidRPr="00E80636">
        <w:rPr>
          <w:rFonts w:asciiTheme="majorHAnsi" w:hAnsiTheme="majorHAnsi" w:cstheme="majorHAnsi"/>
          <w:b/>
          <w:sz w:val="20"/>
          <w:szCs w:val="20"/>
        </w:rPr>
        <w:t xml:space="preserve">The types and extent of faculty research align with university and school missions and relate to the types of degrees offered. </w:t>
      </w:r>
    </w:p>
    <w:p w:rsidR="00933038" w:rsidRPr="00E80636" w:rsidRDefault="00933038" w:rsidP="006C308E">
      <w:pPr>
        <w:jc w:val="both"/>
        <w:rPr>
          <w:rFonts w:asciiTheme="majorHAnsi" w:hAnsiTheme="majorHAnsi" w:cstheme="majorHAnsi"/>
          <w:b/>
          <w:sz w:val="20"/>
          <w:szCs w:val="20"/>
        </w:rPr>
      </w:pPr>
    </w:p>
    <w:p w:rsidR="00933038" w:rsidRPr="00E80636" w:rsidRDefault="00933038" w:rsidP="006C308E">
      <w:pPr>
        <w:jc w:val="both"/>
        <w:rPr>
          <w:rFonts w:asciiTheme="majorHAnsi" w:hAnsiTheme="majorHAnsi" w:cstheme="majorHAnsi"/>
          <w:b/>
          <w:sz w:val="20"/>
          <w:szCs w:val="20"/>
        </w:rPr>
      </w:pPr>
      <w:r w:rsidRPr="00E80636">
        <w:rPr>
          <w:rFonts w:asciiTheme="majorHAnsi" w:hAnsiTheme="majorHAnsi" w:cstheme="majorHAnsi"/>
          <w:b/>
          <w:sz w:val="20"/>
          <w:szCs w:val="20"/>
        </w:rPr>
        <w:t xml:space="preserve">Faculty integrate research and scholarship with their instructional activities. Research allows faculty to bring real-world examples into the classroom to update and inspire teaching and provides opportunities for students to engage in research activities, if desired or appropriate for the degree </w:t>
      </w:r>
      <w:r w:rsidR="000B17E2" w:rsidRPr="00E80636">
        <w:rPr>
          <w:rFonts w:asciiTheme="majorHAnsi" w:hAnsiTheme="majorHAnsi" w:cstheme="majorHAnsi"/>
          <w:b/>
          <w:sz w:val="20"/>
          <w:szCs w:val="20"/>
        </w:rPr>
        <w:t>program</w:t>
      </w:r>
      <w:r w:rsidRPr="00E80636">
        <w:rPr>
          <w:rFonts w:asciiTheme="majorHAnsi" w:hAnsiTheme="majorHAnsi" w:cstheme="majorHAnsi"/>
          <w:b/>
          <w:sz w:val="20"/>
          <w:szCs w:val="20"/>
        </w:rPr>
        <w:t xml:space="preserve">. </w:t>
      </w:r>
    </w:p>
    <w:p w:rsidR="00933038" w:rsidRPr="00E80636" w:rsidRDefault="00933038" w:rsidP="006C308E">
      <w:pPr>
        <w:jc w:val="both"/>
        <w:rPr>
          <w:rFonts w:asciiTheme="majorHAnsi" w:hAnsiTheme="majorHAnsi" w:cstheme="majorHAnsi"/>
          <w:sz w:val="20"/>
          <w:szCs w:val="20"/>
        </w:rPr>
      </w:pPr>
    </w:p>
    <w:p w:rsidR="00933038" w:rsidRPr="00E80636" w:rsidRDefault="00933038" w:rsidP="006C308E">
      <w:pPr>
        <w:numPr>
          <w:ilvl w:val="0"/>
          <w:numId w:val="34"/>
        </w:numPr>
        <w:contextualSpacing/>
        <w:jc w:val="both"/>
        <w:rPr>
          <w:rFonts w:asciiTheme="majorHAnsi" w:hAnsiTheme="majorHAnsi" w:cstheme="majorHAnsi"/>
          <w:sz w:val="20"/>
          <w:szCs w:val="20"/>
        </w:rPr>
      </w:pPr>
      <w:r w:rsidRPr="00E80636">
        <w:rPr>
          <w:rFonts w:asciiTheme="majorHAnsi" w:hAnsiTheme="majorHAnsi" w:cstheme="majorHAnsi"/>
          <w:sz w:val="20"/>
          <w:szCs w:val="20"/>
        </w:rPr>
        <w:t xml:space="preserve">Describe the school’s definition of and expectations regarding faculty research and scholarly activity. </w:t>
      </w:r>
    </w:p>
    <w:p w:rsidR="00933038" w:rsidRPr="00E80636" w:rsidRDefault="00933038" w:rsidP="006C308E">
      <w:pPr>
        <w:contextualSpacing/>
        <w:jc w:val="both"/>
        <w:rPr>
          <w:rFonts w:asciiTheme="majorHAnsi" w:hAnsiTheme="majorHAnsi" w:cstheme="majorHAnsi"/>
          <w:sz w:val="20"/>
          <w:szCs w:val="20"/>
        </w:rPr>
      </w:pPr>
    </w:p>
    <w:p w:rsidR="008278B8" w:rsidRPr="00E80636" w:rsidRDefault="008278B8" w:rsidP="006C308E">
      <w:pPr>
        <w:ind w:left="720"/>
        <w:contextualSpacing/>
        <w:rPr>
          <w:rFonts w:asciiTheme="majorHAnsi" w:eastAsia="Arial" w:hAnsiTheme="majorHAnsi" w:cstheme="majorHAnsi"/>
          <w:color w:val="222222"/>
          <w:sz w:val="20"/>
          <w:szCs w:val="20"/>
        </w:rPr>
      </w:pPr>
      <w:r w:rsidRPr="00E80636">
        <w:rPr>
          <w:rFonts w:asciiTheme="majorHAnsi" w:eastAsia="Arial" w:hAnsiTheme="majorHAnsi" w:cstheme="majorHAnsi"/>
          <w:sz w:val="20"/>
          <w:szCs w:val="20"/>
        </w:rPr>
        <w:t>Faculty research and scholarly activity are critical to the mission of the UTHealth School of Public Health. In addition to generating new knowledge for impacting population health, faculty engagement in research and scholarship enhances students’ learning experiences in applied contexts. The research and scholarship expectations are summarized in each faculty’s offer letter for employment and in the school’s promotion and tenure guidelines. The guidelines define scholarship in research as d</w:t>
      </w:r>
      <w:r w:rsidRPr="00E80636">
        <w:rPr>
          <w:rFonts w:asciiTheme="majorHAnsi" w:eastAsia="Arial" w:hAnsiTheme="majorHAnsi" w:cstheme="majorHAnsi"/>
          <w:color w:val="222222"/>
          <w:sz w:val="20"/>
          <w:szCs w:val="20"/>
        </w:rPr>
        <w:t>emonstrating initiative, independence, and sustained activity in population research; publishing research findings and scholarly papers in refereed scientific or professional journals, book chapters, and other scholarly works, especially as senior author; presenting research and scholarly findings at scientific and professional meetings; obtaining grants or contracts for research or other scholarly activities; serving on or chairing thesis or dissertation committees; receiving invitations to preside over sessions at national or international professional or scientific meetings; and receiving recognition for excellence in research by professional or scientific institutions or organizations.</w:t>
      </w:r>
    </w:p>
    <w:p w:rsidR="003F1E1B" w:rsidRPr="00E80636" w:rsidRDefault="003F1E1B" w:rsidP="006C308E">
      <w:pPr>
        <w:ind w:left="720"/>
        <w:contextualSpacing/>
        <w:rPr>
          <w:rFonts w:asciiTheme="majorHAnsi" w:hAnsiTheme="majorHAnsi" w:cstheme="majorHAnsi"/>
          <w:sz w:val="20"/>
          <w:szCs w:val="20"/>
        </w:rPr>
      </w:pPr>
    </w:p>
    <w:p w:rsidR="003F1E1B" w:rsidRPr="00B71114" w:rsidRDefault="003F1E1B" w:rsidP="006C308E">
      <w:pPr>
        <w:ind w:left="720"/>
        <w:contextualSpacing/>
        <w:rPr>
          <w:rFonts w:asciiTheme="majorHAnsi" w:hAnsiTheme="majorHAnsi" w:cstheme="majorHAnsi"/>
          <w:sz w:val="20"/>
          <w:szCs w:val="20"/>
        </w:rPr>
      </w:pPr>
      <w:r w:rsidRPr="00B71114">
        <w:rPr>
          <w:rFonts w:asciiTheme="majorHAnsi" w:hAnsiTheme="majorHAnsi" w:cstheme="majorHAnsi"/>
          <w:sz w:val="20"/>
          <w:szCs w:val="20"/>
        </w:rPr>
        <w:t>Associated documents in the electronic resource file:</w:t>
      </w:r>
    </w:p>
    <w:p w:rsidR="00F94452" w:rsidRPr="00B71114" w:rsidRDefault="00F94452" w:rsidP="006C308E">
      <w:pPr>
        <w:pStyle w:val="ListParagraph"/>
        <w:numPr>
          <w:ilvl w:val="0"/>
          <w:numId w:val="78"/>
        </w:numPr>
        <w:ind w:left="1800"/>
        <w:contextualSpacing/>
        <w:rPr>
          <w:rFonts w:asciiTheme="majorHAnsi" w:hAnsiTheme="majorHAnsi" w:cstheme="majorHAnsi"/>
          <w:i/>
          <w:szCs w:val="20"/>
        </w:rPr>
      </w:pPr>
      <w:r w:rsidRPr="00B71114">
        <w:rPr>
          <w:rFonts w:asciiTheme="majorHAnsi" w:hAnsiTheme="majorHAnsi" w:cstheme="majorHAnsi"/>
          <w:i/>
          <w:szCs w:val="20"/>
        </w:rPr>
        <w:t>E4. Faculty Scholarship</w:t>
      </w:r>
    </w:p>
    <w:p w:rsidR="00C1219C" w:rsidRPr="00B71114" w:rsidRDefault="00C1219C" w:rsidP="006E28EE">
      <w:pPr>
        <w:pStyle w:val="ListParagraph"/>
        <w:numPr>
          <w:ilvl w:val="2"/>
          <w:numId w:val="78"/>
        </w:numPr>
        <w:contextualSpacing/>
        <w:rPr>
          <w:rFonts w:asciiTheme="majorHAnsi" w:hAnsiTheme="majorHAnsi" w:cstheme="majorHAnsi"/>
          <w:i/>
          <w:szCs w:val="20"/>
        </w:rPr>
      </w:pPr>
      <w:r w:rsidRPr="00B71114">
        <w:rPr>
          <w:rFonts w:asciiTheme="majorHAnsi" w:hAnsiTheme="majorHAnsi" w:cstheme="majorHAnsi"/>
          <w:i/>
        </w:rPr>
        <w:t>UTHealth Guidelines for Promotion</w:t>
      </w:r>
    </w:p>
    <w:p w:rsidR="00C1219C" w:rsidRPr="00B71114" w:rsidRDefault="00C1219C" w:rsidP="006E28EE">
      <w:pPr>
        <w:pStyle w:val="ListParagraph"/>
        <w:numPr>
          <w:ilvl w:val="2"/>
          <w:numId w:val="78"/>
        </w:numPr>
        <w:contextualSpacing/>
        <w:rPr>
          <w:rFonts w:asciiTheme="majorHAnsi" w:hAnsiTheme="majorHAnsi" w:cstheme="majorHAnsi"/>
          <w:i/>
          <w:szCs w:val="20"/>
        </w:rPr>
      </w:pPr>
      <w:r w:rsidRPr="00B71114">
        <w:rPr>
          <w:rFonts w:asciiTheme="majorHAnsi" w:hAnsiTheme="majorHAnsi" w:cstheme="majorHAnsi"/>
          <w:i/>
        </w:rPr>
        <w:t>UTHealth Guidelines for Faculty Tenure</w:t>
      </w:r>
    </w:p>
    <w:p w:rsidR="00C1219C" w:rsidRPr="00B71114" w:rsidRDefault="00C1219C" w:rsidP="006E28EE">
      <w:pPr>
        <w:pStyle w:val="ListParagraph"/>
        <w:numPr>
          <w:ilvl w:val="2"/>
          <w:numId w:val="78"/>
        </w:numPr>
        <w:contextualSpacing/>
        <w:rPr>
          <w:rFonts w:asciiTheme="majorHAnsi" w:hAnsiTheme="majorHAnsi" w:cstheme="majorHAnsi"/>
          <w:i/>
          <w:szCs w:val="20"/>
        </w:rPr>
      </w:pPr>
      <w:r w:rsidRPr="00B71114">
        <w:rPr>
          <w:rFonts w:asciiTheme="majorHAnsi" w:hAnsiTheme="majorHAnsi" w:cstheme="majorHAnsi"/>
          <w:i/>
        </w:rPr>
        <w:t>UTHealth Statement on Scholarship</w:t>
      </w:r>
    </w:p>
    <w:p w:rsidR="003F1E1B" w:rsidRPr="00B71114" w:rsidRDefault="003F1E1B" w:rsidP="006E28EE">
      <w:pPr>
        <w:pStyle w:val="ListParagraph"/>
        <w:numPr>
          <w:ilvl w:val="2"/>
          <w:numId w:val="78"/>
        </w:numPr>
        <w:contextualSpacing/>
        <w:rPr>
          <w:rFonts w:asciiTheme="majorHAnsi" w:hAnsiTheme="majorHAnsi" w:cstheme="majorHAnsi"/>
          <w:i/>
          <w:szCs w:val="20"/>
        </w:rPr>
      </w:pPr>
      <w:r w:rsidRPr="00B71114">
        <w:rPr>
          <w:rFonts w:asciiTheme="majorHAnsi" w:hAnsiTheme="majorHAnsi" w:cstheme="majorHAnsi"/>
          <w:i/>
        </w:rPr>
        <w:t>UTHealth SPH Promotion and Tenure Guidelines</w:t>
      </w:r>
    </w:p>
    <w:p w:rsidR="003F1E1B" w:rsidRPr="00E80636" w:rsidRDefault="003F1E1B" w:rsidP="006C308E">
      <w:pPr>
        <w:ind w:left="720"/>
        <w:contextualSpacing/>
        <w:jc w:val="both"/>
        <w:rPr>
          <w:rFonts w:asciiTheme="majorHAnsi" w:hAnsiTheme="majorHAnsi" w:cstheme="majorHAnsi"/>
          <w:sz w:val="20"/>
          <w:szCs w:val="20"/>
        </w:rPr>
      </w:pPr>
    </w:p>
    <w:p w:rsidR="00933038" w:rsidRPr="00E80636" w:rsidRDefault="00933038" w:rsidP="006C308E">
      <w:pPr>
        <w:numPr>
          <w:ilvl w:val="0"/>
          <w:numId w:val="34"/>
        </w:numPr>
        <w:contextualSpacing/>
        <w:jc w:val="both"/>
        <w:rPr>
          <w:rFonts w:asciiTheme="majorHAnsi" w:hAnsiTheme="majorHAnsi" w:cstheme="majorHAnsi"/>
          <w:sz w:val="20"/>
          <w:szCs w:val="20"/>
        </w:rPr>
      </w:pPr>
      <w:r w:rsidRPr="00E80636">
        <w:rPr>
          <w:rFonts w:asciiTheme="majorHAnsi" w:hAnsiTheme="majorHAnsi" w:cstheme="majorHAnsi"/>
          <w:sz w:val="20"/>
          <w:szCs w:val="20"/>
        </w:rPr>
        <w:t xml:space="preserve">Describe available university and school support for research and scholarly activities. </w:t>
      </w:r>
    </w:p>
    <w:p w:rsidR="00933038" w:rsidRPr="00E80636" w:rsidRDefault="00933038" w:rsidP="006C308E">
      <w:pPr>
        <w:contextualSpacing/>
        <w:jc w:val="both"/>
        <w:rPr>
          <w:rFonts w:asciiTheme="majorHAnsi" w:hAnsiTheme="majorHAnsi" w:cstheme="majorHAnsi"/>
          <w:sz w:val="20"/>
          <w:szCs w:val="20"/>
        </w:rPr>
      </w:pPr>
    </w:p>
    <w:p w:rsidR="008278B8" w:rsidRPr="00E80636" w:rsidRDefault="008278B8" w:rsidP="006C308E">
      <w:pPr>
        <w:ind w:left="720"/>
        <w:contextualSpacing/>
        <w:rPr>
          <w:rFonts w:asciiTheme="majorHAnsi" w:eastAsia="Arial" w:hAnsiTheme="majorHAnsi" w:cstheme="majorHAnsi"/>
          <w:sz w:val="20"/>
          <w:szCs w:val="20"/>
        </w:rPr>
      </w:pPr>
      <w:r w:rsidRPr="00E80636">
        <w:rPr>
          <w:rFonts w:asciiTheme="majorHAnsi" w:eastAsia="Arial" w:hAnsiTheme="majorHAnsi" w:cstheme="majorHAnsi"/>
          <w:sz w:val="20"/>
          <w:szCs w:val="20"/>
        </w:rPr>
        <w:t>UTHealth supports faculty research and scholarly activities in a variety of ways, including key administrative support that includes the following:</w:t>
      </w:r>
    </w:p>
    <w:p w:rsidR="008278B8" w:rsidRPr="00E80636" w:rsidRDefault="008278B8" w:rsidP="006C308E">
      <w:pPr>
        <w:ind w:left="720"/>
        <w:contextualSpacing/>
        <w:rPr>
          <w:rFonts w:asciiTheme="majorHAnsi" w:eastAsia="Arial" w:hAnsiTheme="majorHAnsi" w:cstheme="majorHAnsi"/>
          <w:color w:val="FF0000"/>
          <w:sz w:val="20"/>
          <w:szCs w:val="20"/>
        </w:rPr>
      </w:pPr>
    </w:p>
    <w:p w:rsidR="008278B8" w:rsidRPr="00E80636" w:rsidRDefault="008278B8" w:rsidP="006C308E">
      <w:pPr>
        <w:pStyle w:val="ListParagraph"/>
        <w:numPr>
          <w:ilvl w:val="0"/>
          <w:numId w:val="82"/>
        </w:numPr>
        <w:ind w:right="200"/>
        <w:contextualSpacing/>
        <w:rPr>
          <w:rFonts w:asciiTheme="majorHAnsi" w:eastAsia="Arial" w:hAnsiTheme="majorHAnsi" w:cstheme="majorHAnsi"/>
          <w:szCs w:val="20"/>
        </w:rPr>
      </w:pPr>
      <w:r w:rsidRPr="00E80636">
        <w:rPr>
          <w:rFonts w:asciiTheme="majorHAnsi" w:eastAsia="Arial" w:hAnsiTheme="majorHAnsi" w:cstheme="majorHAnsi"/>
          <w:szCs w:val="20"/>
        </w:rPr>
        <w:t>The Office of the Executive Vice President for Academic and Research Affairs provides vision and leadership for guiding and growing its overall research enterprise and ensuring compliance with all federal and state research regulations. This office provides support in the following ways:</w:t>
      </w:r>
    </w:p>
    <w:p w:rsidR="008278B8" w:rsidRPr="00E80636" w:rsidRDefault="008278B8" w:rsidP="006C308E">
      <w:pPr>
        <w:pStyle w:val="ListParagraph"/>
        <w:numPr>
          <w:ilvl w:val="1"/>
          <w:numId w:val="82"/>
        </w:numPr>
        <w:ind w:right="200"/>
        <w:contextualSpacing/>
        <w:jc w:val="both"/>
        <w:rPr>
          <w:rFonts w:asciiTheme="majorHAnsi" w:eastAsia="Arial" w:hAnsiTheme="majorHAnsi" w:cstheme="majorHAnsi"/>
          <w:szCs w:val="20"/>
        </w:rPr>
      </w:pPr>
      <w:r w:rsidRPr="00E80636">
        <w:rPr>
          <w:rFonts w:asciiTheme="majorHAnsi" w:eastAsia="Arial" w:hAnsiTheme="majorHAnsi" w:cstheme="majorHAnsi"/>
          <w:szCs w:val="20"/>
        </w:rPr>
        <w:t xml:space="preserve">facilitating the coordination of multi-investigator grant proposals; </w:t>
      </w:r>
    </w:p>
    <w:p w:rsidR="008278B8" w:rsidRPr="00E80636" w:rsidRDefault="008278B8" w:rsidP="006C308E">
      <w:pPr>
        <w:pStyle w:val="ListParagraph"/>
        <w:numPr>
          <w:ilvl w:val="1"/>
          <w:numId w:val="82"/>
        </w:numPr>
        <w:ind w:right="200"/>
        <w:contextualSpacing/>
        <w:jc w:val="both"/>
        <w:rPr>
          <w:rFonts w:asciiTheme="majorHAnsi" w:eastAsia="Arial" w:hAnsiTheme="majorHAnsi" w:cstheme="majorHAnsi"/>
          <w:szCs w:val="20"/>
        </w:rPr>
      </w:pPr>
      <w:r w:rsidRPr="00E80636">
        <w:rPr>
          <w:rFonts w:asciiTheme="majorHAnsi" w:eastAsia="Arial" w:hAnsiTheme="majorHAnsi" w:cstheme="majorHAnsi"/>
          <w:szCs w:val="20"/>
        </w:rPr>
        <w:t xml:space="preserve">managing the process for limited-nomination competitions; </w:t>
      </w:r>
    </w:p>
    <w:p w:rsidR="008278B8" w:rsidRPr="00E80636" w:rsidRDefault="008278B8" w:rsidP="006C308E">
      <w:pPr>
        <w:pStyle w:val="ListParagraph"/>
        <w:numPr>
          <w:ilvl w:val="1"/>
          <w:numId w:val="82"/>
        </w:numPr>
        <w:ind w:right="200"/>
        <w:contextualSpacing/>
        <w:jc w:val="both"/>
        <w:rPr>
          <w:rFonts w:asciiTheme="majorHAnsi" w:eastAsia="Arial" w:hAnsiTheme="majorHAnsi" w:cstheme="majorHAnsi"/>
          <w:szCs w:val="20"/>
        </w:rPr>
      </w:pPr>
      <w:r w:rsidRPr="00E80636">
        <w:rPr>
          <w:rFonts w:asciiTheme="majorHAnsi" w:eastAsia="Arial" w:hAnsiTheme="majorHAnsi" w:cstheme="majorHAnsi"/>
          <w:szCs w:val="20"/>
        </w:rPr>
        <w:t xml:space="preserve">ensuring faculty are trained in the ethical conduct of research ethics; </w:t>
      </w:r>
    </w:p>
    <w:p w:rsidR="008278B8" w:rsidRPr="00E80636" w:rsidRDefault="008278B8" w:rsidP="006C308E">
      <w:pPr>
        <w:pStyle w:val="ListParagraph"/>
        <w:numPr>
          <w:ilvl w:val="1"/>
          <w:numId w:val="82"/>
        </w:numPr>
        <w:ind w:right="200"/>
        <w:contextualSpacing/>
        <w:jc w:val="both"/>
        <w:rPr>
          <w:rFonts w:asciiTheme="majorHAnsi" w:eastAsia="Arial" w:hAnsiTheme="majorHAnsi" w:cstheme="majorHAnsi"/>
          <w:szCs w:val="20"/>
        </w:rPr>
      </w:pPr>
      <w:r w:rsidRPr="00E80636">
        <w:rPr>
          <w:rFonts w:asciiTheme="majorHAnsi" w:eastAsia="Arial" w:hAnsiTheme="majorHAnsi" w:cstheme="majorHAnsi"/>
          <w:szCs w:val="20"/>
        </w:rPr>
        <w:t xml:space="preserve">coordinating the New Investigator Development Program that teaches faculty how to navigate processes for proposal submission and management, and provides an in-depth training for young faculty on developing successful R01-type proposals; </w:t>
      </w:r>
    </w:p>
    <w:p w:rsidR="008278B8" w:rsidRPr="00E80636" w:rsidRDefault="008278B8" w:rsidP="006C308E">
      <w:pPr>
        <w:pStyle w:val="ListParagraph"/>
        <w:numPr>
          <w:ilvl w:val="1"/>
          <w:numId w:val="82"/>
        </w:numPr>
        <w:ind w:right="200"/>
        <w:contextualSpacing/>
        <w:jc w:val="both"/>
        <w:rPr>
          <w:rFonts w:asciiTheme="majorHAnsi" w:eastAsia="Arial" w:hAnsiTheme="majorHAnsi" w:cstheme="majorHAnsi"/>
          <w:szCs w:val="20"/>
        </w:rPr>
      </w:pPr>
      <w:r w:rsidRPr="00E80636">
        <w:rPr>
          <w:rFonts w:asciiTheme="majorHAnsi" w:eastAsia="Arial" w:hAnsiTheme="majorHAnsi" w:cstheme="majorHAnsi"/>
          <w:szCs w:val="20"/>
        </w:rPr>
        <w:t xml:space="preserve">providing research system support for human subjects; </w:t>
      </w:r>
    </w:p>
    <w:p w:rsidR="008278B8" w:rsidRPr="00E80636" w:rsidRDefault="008278B8" w:rsidP="006C308E">
      <w:pPr>
        <w:pStyle w:val="ListParagraph"/>
        <w:numPr>
          <w:ilvl w:val="1"/>
          <w:numId w:val="82"/>
        </w:numPr>
        <w:ind w:right="200"/>
        <w:contextualSpacing/>
        <w:jc w:val="both"/>
        <w:rPr>
          <w:rFonts w:asciiTheme="majorHAnsi" w:eastAsia="Arial" w:hAnsiTheme="majorHAnsi" w:cstheme="majorHAnsi"/>
          <w:szCs w:val="20"/>
        </w:rPr>
      </w:pPr>
      <w:r w:rsidRPr="00E80636">
        <w:rPr>
          <w:rFonts w:asciiTheme="majorHAnsi" w:eastAsia="Arial" w:hAnsiTheme="majorHAnsi" w:cstheme="majorHAnsi"/>
          <w:szCs w:val="20"/>
        </w:rPr>
        <w:t>managing animal protocol submissions;</w:t>
      </w:r>
    </w:p>
    <w:p w:rsidR="008278B8" w:rsidRPr="00E80636" w:rsidRDefault="008278B8" w:rsidP="006C308E">
      <w:pPr>
        <w:pStyle w:val="ListParagraph"/>
        <w:numPr>
          <w:ilvl w:val="1"/>
          <w:numId w:val="82"/>
        </w:numPr>
        <w:ind w:right="200"/>
        <w:contextualSpacing/>
        <w:jc w:val="both"/>
        <w:rPr>
          <w:rFonts w:asciiTheme="majorHAnsi" w:eastAsia="Arial" w:hAnsiTheme="majorHAnsi" w:cstheme="majorHAnsi"/>
          <w:szCs w:val="20"/>
        </w:rPr>
      </w:pPr>
      <w:r w:rsidRPr="00E80636">
        <w:rPr>
          <w:rFonts w:asciiTheme="majorHAnsi" w:eastAsia="Arial" w:hAnsiTheme="majorHAnsi" w:cstheme="majorHAnsi"/>
          <w:szCs w:val="20"/>
        </w:rPr>
        <w:t xml:space="preserve">maintaining an institutional effort reporting system; and </w:t>
      </w:r>
    </w:p>
    <w:p w:rsidR="008278B8" w:rsidRPr="00E80636" w:rsidRDefault="008278B8" w:rsidP="006C308E">
      <w:pPr>
        <w:pStyle w:val="ListParagraph"/>
        <w:numPr>
          <w:ilvl w:val="1"/>
          <w:numId w:val="82"/>
        </w:numPr>
        <w:ind w:right="200"/>
        <w:contextualSpacing/>
        <w:jc w:val="both"/>
        <w:rPr>
          <w:rFonts w:asciiTheme="majorHAnsi" w:eastAsia="Arial" w:hAnsiTheme="majorHAnsi" w:cstheme="majorHAnsi"/>
          <w:szCs w:val="20"/>
        </w:rPr>
      </w:pPr>
      <w:r w:rsidRPr="00E80636">
        <w:rPr>
          <w:rFonts w:asciiTheme="majorHAnsi" w:eastAsia="Arial" w:hAnsiTheme="majorHAnsi" w:cstheme="majorHAnsi"/>
          <w:szCs w:val="20"/>
        </w:rPr>
        <w:t>mitigating research conflicts of interest.</w:t>
      </w:r>
    </w:p>
    <w:p w:rsidR="008278B8" w:rsidRPr="00E80636" w:rsidRDefault="008278B8" w:rsidP="006C308E">
      <w:pPr>
        <w:numPr>
          <w:ilvl w:val="0"/>
          <w:numId w:val="82"/>
        </w:numPr>
        <w:ind w:right="200"/>
        <w:contextualSpacing/>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The Office of Sponsored Projects is the pre-award business office for all grants and contracts and works with investigators to ensure that proposals meet sponsor, UT System, and institutional guidelines. Sponsored projects staff members also review proposals to provide: </w:t>
      </w:r>
    </w:p>
    <w:p w:rsidR="008278B8" w:rsidRPr="00E80636" w:rsidRDefault="008278B8" w:rsidP="006C308E">
      <w:pPr>
        <w:numPr>
          <w:ilvl w:val="1"/>
          <w:numId w:val="82"/>
        </w:numPr>
        <w:ind w:right="200"/>
        <w:contextualSpacing/>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general pre-proposal guidance; </w:t>
      </w:r>
    </w:p>
    <w:p w:rsidR="008278B8" w:rsidRPr="00E80636" w:rsidRDefault="008278B8" w:rsidP="006C308E">
      <w:pPr>
        <w:numPr>
          <w:ilvl w:val="1"/>
          <w:numId w:val="82"/>
        </w:numPr>
        <w:ind w:right="200"/>
        <w:contextualSpacing/>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RFP guideline interpretation; </w:t>
      </w:r>
    </w:p>
    <w:p w:rsidR="008278B8" w:rsidRPr="00E80636" w:rsidRDefault="008278B8" w:rsidP="006C308E">
      <w:pPr>
        <w:numPr>
          <w:ilvl w:val="1"/>
          <w:numId w:val="82"/>
        </w:numPr>
        <w:ind w:right="200"/>
        <w:contextualSpacing/>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budget accuracy and sponsor compliance; </w:t>
      </w:r>
    </w:p>
    <w:p w:rsidR="008278B8" w:rsidRPr="00E80636" w:rsidRDefault="008278B8" w:rsidP="006C308E">
      <w:pPr>
        <w:numPr>
          <w:ilvl w:val="1"/>
          <w:numId w:val="82"/>
        </w:numPr>
        <w:ind w:right="200"/>
        <w:contextualSpacing/>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administrative sponsor compliance; </w:t>
      </w:r>
    </w:p>
    <w:p w:rsidR="008278B8" w:rsidRPr="00E80636" w:rsidRDefault="008278B8" w:rsidP="006C308E">
      <w:pPr>
        <w:numPr>
          <w:ilvl w:val="1"/>
          <w:numId w:val="82"/>
        </w:numPr>
        <w:ind w:right="200"/>
        <w:contextualSpacing/>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assurances for animal research, biohazards, chemical hazards, human subjects, radioactive materials, and research conflicts of interest; </w:t>
      </w:r>
    </w:p>
    <w:p w:rsidR="008278B8" w:rsidRPr="00E80636" w:rsidRDefault="008278B8" w:rsidP="006C308E">
      <w:pPr>
        <w:numPr>
          <w:ilvl w:val="1"/>
          <w:numId w:val="82"/>
        </w:numPr>
        <w:ind w:right="200"/>
        <w:contextualSpacing/>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authorized institutional signature on applications; </w:t>
      </w:r>
    </w:p>
    <w:p w:rsidR="008278B8" w:rsidRPr="00E80636" w:rsidRDefault="008278B8" w:rsidP="006C308E">
      <w:pPr>
        <w:numPr>
          <w:ilvl w:val="1"/>
          <w:numId w:val="82"/>
        </w:numPr>
        <w:ind w:right="200"/>
        <w:contextualSpacing/>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final subcontract document review; </w:t>
      </w:r>
    </w:p>
    <w:p w:rsidR="008278B8" w:rsidRPr="00E80636" w:rsidRDefault="008278B8" w:rsidP="006C308E">
      <w:pPr>
        <w:numPr>
          <w:ilvl w:val="1"/>
          <w:numId w:val="82"/>
        </w:numPr>
        <w:ind w:right="200"/>
        <w:contextualSpacing/>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approval of cost-sharing and indirect cost waivers; </w:t>
      </w:r>
    </w:p>
    <w:p w:rsidR="008278B8" w:rsidRPr="00E80636" w:rsidRDefault="008278B8" w:rsidP="006C308E">
      <w:pPr>
        <w:numPr>
          <w:ilvl w:val="1"/>
          <w:numId w:val="82"/>
        </w:numPr>
        <w:ind w:right="200"/>
        <w:contextualSpacing/>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the liaison between the principal investigator and sponsor on administrative/financial issues; </w:t>
      </w:r>
    </w:p>
    <w:p w:rsidR="008278B8" w:rsidRPr="00E80636" w:rsidRDefault="008278B8" w:rsidP="006C308E">
      <w:pPr>
        <w:numPr>
          <w:ilvl w:val="1"/>
          <w:numId w:val="82"/>
        </w:numPr>
        <w:ind w:right="200"/>
        <w:contextualSpacing/>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training and consultation; and </w:t>
      </w:r>
    </w:p>
    <w:p w:rsidR="008278B8" w:rsidRPr="00E80636" w:rsidRDefault="008278B8" w:rsidP="006C308E">
      <w:pPr>
        <w:numPr>
          <w:ilvl w:val="1"/>
          <w:numId w:val="82"/>
        </w:numPr>
        <w:ind w:right="200"/>
        <w:contextualSpacing/>
        <w:rPr>
          <w:rFonts w:asciiTheme="majorHAnsi" w:eastAsia="Arial" w:hAnsiTheme="majorHAnsi" w:cstheme="majorHAnsi"/>
          <w:sz w:val="20"/>
          <w:szCs w:val="20"/>
        </w:rPr>
      </w:pPr>
      <w:r w:rsidRPr="00E80636">
        <w:rPr>
          <w:rFonts w:asciiTheme="majorHAnsi" w:eastAsia="Arial" w:hAnsiTheme="majorHAnsi" w:cstheme="majorHAnsi"/>
          <w:sz w:val="20"/>
          <w:szCs w:val="20"/>
        </w:rPr>
        <w:t>database maintenance of proposals and awards.</w:t>
      </w:r>
    </w:p>
    <w:p w:rsidR="008278B8" w:rsidRPr="00E80636" w:rsidRDefault="008278B8" w:rsidP="006C308E">
      <w:pPr>
        <w:ind w:left="2160" w:right="200"/>
        <w:contextualSpacing/>
        <w:rPr>
          <w:rFonts w:asciiTheme="majorHAnsi" w:eastAsia="Arial" w:hAnsiTheme="majorHAnsi" w:cstheme="majorHAnsi"/>
          <w:sz w:val="20"/>
          <w:szCs w:val="20"/>
        </w:rPr>
      </w:pPr>
    </w:p>
    <w:p w:rsidR="008278B8" w:rsidRPr="00E80636" w:rsidRDefault="008278B8" w:rsidP="006C308E">
      <w:pPr>
        <w:numPr>
          <w:ilvl w:val="0"/>
          <w:numId w:val="81"/>
        </w:numPr>
        <w:ind w:right="200"/>
        <w:contextualSpacing/>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Post-Award Finance Team provides assistance to investigators once an award has been made, including account setup, monitoring spending and compliance to the funding agency’s guidelines, working with investigators to obtain agency approval for expenditures that may fall outside those guidelines, and financial reporting on all federal contracts and federal and private grants. </w:t>
      </w:r>
    </w:p>
    <w:p w:rsidR="008278B8" w:rsidRPr="00E80636" w:rsidRDefault="008278B8" w:rsidP="006C308E">
      <w:pPr>
        <w:ind w:right="200"/>
        <w:jc w:val="both"/>
        <w:rPr>
          <w:rFonts w:asciiTheme="majorHAnsi" w:eastAsia="Arial" w:hAnsiTheme="majorHAnsi" w:cstheme="majorHAnsi"/>
          <w:sz w:val="20"/>
          <w:szCs w:val="20"/>
        </w:rPr>
      </w:pPr>
    </w:p>
    <w:p w:rsidR="008278B8" w:rsidRPr="00E80636" w:rsidRDefault="008278B8" w:rsidP="006C308E">
      <w:pPr>
        <w:numPr>
          <w:ilvl w:val="0"/>
          <w:numId w:val="81"/>
        </w:numPr>
        <w:ind w:right="200"/>
        <w:contextualSpacing/>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The Clinical Trials Resource Center (CTRC) provides resources, expertise, and best practices for clinical investigators and staff to facilitate efficient, compliant, and ethical study conduct and management. CTRC staff assist clinical investigators and their staff from clinical trial initiation throughout the trial period. They have successfully developed and implemented clinical trial management tools, improved institutional processes, and developed a variety of educational and training opportunities. The CTRC is also responsible for increasing awareness of clinical trials in the community through education and community outreach activities. CTRC staff interface with institutional/industry partners to support clinical research practice. </w:t>
      </w:r>
    </w:p>
    <w:p w:rsidR="008278B8" w:rsidRPr="00E80636" w:rsidRDefault="008278B8" w:rsidP="006C308E">
      <w:pPr>
        <w:ind w:right="200"/>
        <w:jc w:val="both"/>
        <w:rPr>
          <w:rFonts w:asciiTheme="majorHAnsi" w:eastAsia="Arial" w:hAnsiTheme="majorHAnsi" w:cstheme="majorHAnsi"/>
          <w:sz w:val="20"/>
          <w:szCs w:val="20"/>
        </w:rPr>
      </w:pPr>
    </w:p>
    <w:p w:rsidR="008278B8" w:rsidRPr="00E80636" w:rsidRDefault="008278B8" w:rsidP="006C308E">
      <w:pPr>
        <w:numPr>
          <w:ilvl w:val="0"/>
          <w:numId w:val="81"/>
        </w:numPr>
        <w:ind w:right="200"/>
        <w:contextualSpacing/>
        <w:rPr>
          <w:rFonts w:asciiTheme="majorHAnsi" w:eastAsia="Arial" w:hAnsiTheme="majorHAnsi" w:cstheme="majorHAnsi"/>
          <w:sz w:val="20"/>
          <w:szCs w:val="20"/>
        </w:rPr>
      </w:pPr>
      <w:r w:rsidRPr="00E80636">
        <w:rPr>
          <w:rFonts w:asciiTheme="majorHAnsi" w:eastAsia="Arial" w:hAnsiTheme="majorHAnsi" w:cstheme="majorHAnsi"/>
          <w:sz w:val="20"/>
          <w:szCs w:val="20"/>
        </w:rPr>
        <w:t>The Office of the Executive Vice President for Research and Academic Affairs oversees the administration of four core laboratories (the High-Throughput Screening, Microarray, Proteomics, and Quantitative Genomics core laboratories) designed to provide services to investigators and research staff.</w:t>
      </w:r>
    </w:p>
    <w:p w:rsidR="008278B8" w:rsidRPr="00E80636" w:rsidRDefault="008278B8" w:rsidP="006C308E">
      <w:pPr>
        <w:ind w:right="200"/>
        <w:jc w:val="both"/>
        <w:rPr>
          <w:rFonts w:asciiTheme="majorHAnsi" w:eastAsia="Arial" w:hAnsiTheme="majorHAnsi" w:cstheme="majorHAnsi"/>
          <w:sz w:val="20"/>
          <w:szCs w:val="20"/>
        </w:rPr>
      </w:pPr>
    </w:p>
    <w:p w:rsidR="008278B8" w:rsidRPr="00E80636" w:rsidRDefault="008278B8" w:rsidP="006C308E">
      <w:pPr>
        <w:numPr>
          <w:ilvl w:val="0"/>
          <w:numId w:val="81"/>
        </w:numPr>
        <w:ind w:right="200"/>
        <w:contextualSpacing/>
        <w:rPr>
          <w:rFonts w:asciiTheme="majorHAnsi" w:eastAsia="Arial" w:hAnsiTheme="majorHAnsi" w:cstheme="majorHAnsi"/>
          <w:sz w:val="20"/>
          <w:szCs w:val="20"/>
        </w:rPr>
      </w:pPr>
      <w:r w:rsidRPr="00E80636">
        <w:rPr>
          <w:rFonts w:asciiTheme="majorHAnsi" w:eastAsia="Arial" w:hAnsiTheme="majorHAnsi" w:cstheme="majorHAnsi"/>
          <w:sz w:val="20"/>
          <w:szCs w:val="20"/>
        </w:rPr>
        <w:t>The Office of Technology Management provides a resource for UTHealth faculty, staff, and student inventors that will allow them an avenue to explore the opportunities for their inventions, coordinate appropriate legal protection for the intellectual property, and undertake the technology transfer activities. This office also ensures that new products and methods are made available to the citizens of Texas while generating royalty income for the institution.</w:t>
      </w:r>
    </w:p>
    <w:p w:rsidR="008278B8" w:rsidRPr="00E80636" w:rsidRDefault="008278B8" w:rsidP="006C308E">
      <w:pPr>
        <w:pStyle w:val="ListParagraph"/>
        <w:rPr>
          <w:rFonts w:asciiTheme="majorHAnsi" w:eastAsia="Arial" w:hAnsiTheme="majorHAnsi" w:cstheme="majorHAnsi"/>
          <w:szCs w:val="20"/>
        </w:rPr>
      </w:pPr>
    </w:p>
    <w:p w:rsidR="008278B8" w:rsidRPr="00E80636" w:rsidRDefault="008278B8" w:rsidP="006C308E">
      <w:pPr>
        <w:numPr>
          <w:ilvl w:val="0"/>
          <w:numId w:val="81"/>
        </w:numPr>
        <w:ind w:right="200"/>
        <w:contextualSpacing/>
        <w:rPr>
          <w:rFonts w:asciiTheme="majorHAnsi" w:eastAsia="Arial" w:hAnsiTheme="majorHAnsi" w:cstheme="majorHAnsi"/>
          <w:sz w:val="20"/>
          <w:szCs w:val="20"/>
        </w:rPr>
      </w:pPr>
      <w:r w:rsidRPr="00E80636">
        <w:rPr>
          <w:rFonts w:asciiTheme="majorHAnsi" w:eastAsia="Arial" w:hAnsiTheme="majorHAnsi" w:cstheme="majorHAnsi"/>
          <w:sz w:val="20"/>
          <w:szCs w:val="20"/>
        </w:rPr>
        <w:t>The Office of Research Services maintains the research portfolio at the UTHealth School of Public Health, which includes $45,575,402 of external awards in FY18. To complement the university-level resources, the school provides support to the faculty through this office, which is directed by the senior associate dean and the assistant director of research services. The goal of this office is to ensure that every faculty member has access to resources, mentoring, and tools to facilitate development of a sustainable program of research. Thus, this office administers internal funding programs; provides research development opportunities for all faculty and, in particular, junior investigators; coordinates the activities of the UTHealth School of Public Health Research Council; maintains the repository of funded grant applications; and provides faculty with information on grant opportunities. Key services provided by the Office of Research Services at the UTHealth School of Public Health include the following:</w:t>
      </w:r>
    </w:p>
    <w:p w:rsidR="008278B8" w:rsidRPr="00E80636" w:rsidRDefault="008278B8" w:rsidP="006C308E">
      <w:pPr>
        <w:ind w:right="200"/>
        <w:contextualSpacing/>
        <w:rPr>
          <w:rFonts w:asciiTheme="majorHAnsi" w:eastAsia="Arial" w:hAnsiTheme="majorHAnsi" w:cstheme="majorHAnsi"/>
          <w:sz w:val="20"/>
          <w:szCs w:val="20"/>
        </w:rPr>
      </w:pPr>
    </w:p>
    <w:p w:rsidR="008278B8" w:rsidRPr="00E80636" w:rsidRDefault="008278B8" w:rsidP="006C308E">
      <w:pPr>
        <w:pStyle w:val="ListParagraph"/>
        <w:numPr>
          <w:ilvl w:val="1"/>
          <w:numId w:val="81"/>
        </w:numPr>
        <w:ind w:right="-20"/>
        <w:contextualSpacing/>
        <w:rPr>
          <w:rFonts w:asciiTheme="majorHAnsi" w:eastAsia="Arial" w:hAnsiTheme="majorHAnsi" w:cstheme="majorHAnsi"/>
          <w:szCs w:val="20"/>
        </w:rPr>
      </w:pPr>
      <w:r w:rsidRPr="00E80636">
        <w:rPr>
          <w:rFonts w:asciiTheme="majorHAnsi" w:eastAsia="Arial" w:hAnsiTheme="majorHAnsi" w:cstheme="majorHAnsi"/>
          <w:szCs w:val="20"/>
        </w:rPr>
        <w:t xml:space="preserve">The UTHealth School of Public Health has an internal funding initiative called the PRIME Program that was initiated in 2003.This program is an annual, competitive, mentor-based funding program. UTHealth School of Public Health faculty who meet the NIH definition of a new investigator may seek funding to collect and analyze data that would support an NIH R01 proposal or other major independent research application. Mentoring is provided by a senior faculty member selected by the applicant, and is directed towards successfully completing the PRIME application and preparing the NIH application. PRIME applications are reviewed and recommended for funding by a panel of faculty. Currently, up to two, one (1)-year PRIME grants of up to $25,000 are awarded annually. </w:t>
      </w:r>
    </w:p>
    <w:p w:rsidR="008278B8" w:rsidRPr="00E80636" w:rsidRDefault="008278B8" w:rsidP="006C308E">
      <w:pPr>
        <w:pStyle w:val="ListParagraph"/>
        <w:ind w:left="2160" w:right="-20"/>
        <w:contextualSpacing/>
        <w:rPr>
          <w:rFonts w:asciiTheme="majorHAnsi" w:eastAsia="Arial" w:hAnsiTheme="majorHAnsi" w:cstheme="majorHAnsi"/>
          <w:szCs w:val="20"/>
        </w:rPr>
      </w:pPr>
    </w:p>
    <w:p w:rsidR="008278B8" w:rsidRPr="00E80636" w:rsidRDefault="008278B8" w:rsidP="006C308E">
      <w:pPr>
        <w:pStyle w:val="ListParagraph"/>
        <w:numPr>
          <w:ilvl w:val="1"/>
          <w:numId w:val="81"/>
        </w:numPr>
        <w:ind w:right="-20"/>
        <w:contextualSpacing/>
        <w:rPr>
          <w:rFonts w:asciiTheme="majorHAnsi" w:eastAsia="Arial" w:hAnsiTheme="majorHAnsi" w:cstheme="majorHAnsi"/>
          <w:szCs w:val="20"/>
        </w:rPr>
      </w:pPr>
      <w:r w:rsidRPr="00E80636">
        <w:rPr>
          <w:rFonts w:asciiTheme="majorHAnsi" w:eastAsia="Arial" w:hAnsiTheme="majorHAnsi" w:cstheme="majorHAnsi"/>
          <w:szCs w:val="20"/>
        </w:rPr>
        <w:t>The UTHealth School of Public Health has budgeted two new funding initiatives to support faculty research beginning in FY20: pilot funding for $25,000 and front of the envelope funding for $25,000. These initiatives will support pilot funding and innovative research funding so that faculty can be more competitive in their NIH submissions.</w:t>
      </w:r>
    </w:p>
    <w:p w:rsidR="008278B8" w:rsidRPr="00E80636" w:rsidRDefault="008278B8" w:rsidP="006C308E">
      <w:pPr>
        <w:pStyle w:val="ListParagraph"/>
        <w:rPr>
          <w:rFonts w:asciiTheme="majorHAnsi" w:eastAsia="Arial" w:hAnsiTheme="majorHAnsi" w:cstheme="majorHAnsi"/>
          <w:szCs w:val="20"/>
        </w:rPr>
      </w:pPr>
    </w:p>
    <w:p w:rsidR="008278B8" w:rsidRPr="00E80636" w:rsidRDefault="008278B8" w:rsidP="006C308E">
      <w:pPr>
        <w:pStyle w:val="ListParagraph"/>
        <w:numPr>
          <w:ilvl w:val="1"/>
          <w:numId w:val="81"/>
        </w:numPr>
        <w:ind w:right="-20"/>
        <w:contextualSpacing/>
        <w:rPr>
          <w:rFonts w:asciiTheme="majorHAnsi" w:eastAsia="Arial" w:hAnsiTheme="majorHAnsi" w:cstheme="majorHAnsi"/>
          <w:szCs w:val="20"/>
        </w:rPr>
      </w:pPr>
      <w:r w:rsidRPr="00E80636">
        <w:rPr>
          <w:rFonts w:asciiTheme="majorHAnsi" w:eastAsia="Arial" w:hAnsiTheme="majorHAnsi" w:cstheme="majorHAnsi"/>
          <w:szCs w:val="20"/>
        </w:rPr>
        <w:t xml:space="preserve">The UTHealth School of Public Health has budgeted monies to support editorial assistance for faculty grant proposals beginning in FY20. The Research Council is currently developing guidelines for the dispersal of these funds. </w:t>
      </w:r>
    </w:p>
    <w:p w:rsidR="008278B8" w:rsidRPr="00E80636" w:rsidRDefault="008278B8" w:rsidP="006C308E">
      <w:pPr>
        <w:pStyle w:val="ListParagraph"/>
        <w:ind w:left="2160" w:right="-20"/>
        <w:contextualSpacing/>
        <w:rPr>
          <w:rFonts w:asciiTheme="majorHAnsi" w:eastAsia="Arial" w:hAnsiTheme="majorHAnsi" w:cstheme="majorHAnsi"/>
          <w:szCs w:val="20"/>
        </w:rPr>
      </w:pPr>
    </w:p>
    <w:p w:rsidR="008278B8" w:rsidRPr="00E80636" w:rsidRDefault="008278B8" w:rsidP="006C308E">
      <w:pPr>
        <w:pStyle w:val="ListParagraph"/>
        <w:numPr>
          <w:ilvl w:val="1"/>
          <w:numId w:val="81"/>
        </w:numPr>
        <w:ind w:right="-20"/>
        <w:contextualSpacing/>
        <w:rPr>
          <w:rFonts w:asciiTheme="majorHAnsi" w:eastAsia="Arial" w:hAnsiTheme="majorHAnsi" w:cstheme="majorHAnsi"/>
          <w:szCs w:val="20"/>
        </w:rPr>
      </w:pPr>
      <w:r w:rsidRPr="00E80636">
        <w:rPr>
          <w:rFonts w:asciiTheme="majorHAnsi" w:eastAsia="Arial" w:hAnsiTheme="majorHAnsi" w:cstheme="majorHAnsi"/>
          <w:szCs w:val="20"/>
        </w:rPr>
        <w:t xml:space="preserve">Faculty have access to funds to support scientific and editorial needs. To obtain funds, faculty must identify one (unpaid) reviewer from within the school and submit a short application to the assistant director for research services. Awards of up to $500 for an external scientific review and $500 for an external editorial review are dispersed on an as-needed basis. </w:t>
      </w:r>
    </w:p>
    <w:p w:rsidR="008278B8" w:rsidRPr="00E80636" w:rsidRDefault="008278B8" w:rsidP="006C308E">
      <w:pPr>
        <w:ind w:right="-20"/>
        <w:contextualSpacing/>
        <w:rPr>
          <w:rFonts w:asciiTheme="majorHAnsi" w:eastAsia="Arial" w:hAnsiTheme="majorHAnsi" w:cstheme="majorHAnsi"/>
          <w:sz w:val="20"/>
          <w:szCs w:val="20"/>
        </w:rPr>
      </w:pPr>
    </w:p>
    <w:p w:rsidR="008278B8" w:rsidRPr="00E80636" w:rsidRDefault="008278B8" w:rsidP="006C308E">
      <w:pPr>
        <w:pStyle w:val="ListParagraph"/>
        <w:numPr>
          <w:ilvl w:val="1"/>
          <w:numId w:val="81"/>
        </w:numPr>
        <w:ind w:right="140"/>
        <w:rPr>
          <w:rFonts w:asciiTheme="majorHAnsi" w:eastAsia="Arial" w:hAnsiTheme="majorHAnsi" w:cstheme="majorHAnsi"/>
          <w:szCs w:val="20"/>
        </w:rPr>
      </w:pPr>
      <w:r w:rsidRPr="00E80636">
        <w:rPr>
          <w:rFonts w:asciiTheme="majorHAnsi" w:eastAsia="Arial" w:hAnsiTheme="majorHAnsi" w:cstheme="majorHAnsi"/>
          <w:szCs w:val="20"/>
        </w:rPr>
        <w:t xml:space="preserve">A grant writing workshop, conducted by Grant Writers’ Seminars and Workshops, LLC. This is a periodic, full-day workshop that comprehensively addresses both practical and conceptual aspects that are important to writing competitive grant proposals. </w:t>
      </w:r>
    </w:p>
    <w:p w:rsidR="008278B8" w:rsidRPr="00E80636" w:rsidRDefault="008278B8" w:rsidP="006C308E">
      <w:pPr>
        <w:ind w:right="140"/>
        <w:rPr>
          <w:rFonts w:asciiTheme="majorHAnsi" w:eastAsia="Arial" w:hAnsiTheme="majorHAnsi" w:cstheme="majorHAnsi"/>
          <w:sz w:val="20"/>
          <w:szCs w:val="20"/>
        </w:rPr>
      </w:pPr>
    </w:p>
    <w:p w:rsidR="008278B8" w:rsidRPr="00E80636" w:rsidRDefault="008278B8" w:rsidP="006C308E">
      <w:pPr>
        <w:pStyle w:val="ListParagraph"/>
        <w:numPr>
          <w:ilvl w:val="1"/>
          <w:numId w:val="81"/>
        </w:numPr>
        <w:spacing w:before="60"/>
        <w:ind w:right="120"/>
        <w:rPr>
          <w:rFonts w:asciiTheme="majorHAnsi" w:eastAsia="Arial" w:hAnsiTheme="majorHAnsi" w:cstheme="majorHAnsi"/>
          <w:szCs w:val="20"/>
        </w:rPr>
      </w:pPr>
      <w:r w:rsidRPr="00E80636">
        <w:rPr>
          <w:rFonts w:asciiTheme="majorHAnsi" w:eastAsia="Arial" w:hAnsiTheme="majorHAnsi" w:cstheme="majorHAnsi"/>
          <w:szCs w:val="20"/>
        </w:rPr>
        <w:t>The Research Mentoring Award, initiated in 2011, is presented annually to a research mentor–junior faculty pair that has made significant progress towards establishing the junior faculty as an independent investigator. Each department chair nominates one pair for the award, and the faculty awards committee (a subcommittee of the Faculty Council) selects the winner. To qualify, both the mentor and junior faculty must have a primary faculty appointment (tenure or non-tenure track assistant professor or higher) at the school.</w:t>
      </w:r>
    </w:p>
    <w:p w:rsidR="008278B8" w:rsidRPr="00E80636" w:rsidRDefault="008278B8" w:rsidP="006C308E">
      <w:pPr>
        <w:spacing w:before="60"/>
        <w:ind w:right="120"/>
        <w:rPr>
          <w:rFonts w:asciiTheme="majorHAnsi" w:eastAsia="Arial" w:hAnsiTheme="majorHAnsi" w:cstheme="majorHAnsi"/>
          <w:sz w:val="20"/>
          <w:szCs w:val="20"/>
        </w:rPr>
      </w:pPr>
    </w:p>
    <w:p w:rsidR="008278B8" w:rsidRPr="00E80636" w:rsidRDefault="008278B8" w:rsidP="006C308E">
      <w:pPr>
        <w:pStyle w:val="ListParagraph"/>
        <w:numPr>
          <w:ilvl w:val="1"/>
          <w:numId w:val="81"/>
        </w:numPr>
        <w:ind w:right="80"/>
        <w:rPr>
          <w:rFonts w:asciiTheme="majorHAnsi" w:eastAsia="Arial" w:hAnsiTheme="majorHAnsi" w:cstheme="majorHAnsi"/>
          <w:szCs w:val="20"/>
        </w:rPr>
      </w:pPr>
      <w:r w:rsidRPr="00E80636">
        <w:rPr>
          <w:rFonts w:asciiTheme="majorHAnsi" w:eastAsia="Arial" w:hAnsiTheme="majorHAnsi" w:cstheme="majorHAnsi"/>
          <w:szCs w:val="20"/>
        </w:rPr>
        <w:t xml:space="preserve">The </w:t>
      </w:r>
      <w:r w:rsidRPr="0071055F">
        <w:rPr>
          <w:rFonts w:asciiTheme="majorHAnsi" w:eastAsia="Arial" w:hAnsiTheme="majorHAnsi" w:cstheme="majorHAnsi"/>
        </w:rPr>
        <w:t>research incentive plan</w:t>
      </w:r>
      <w:r w:rsidR="00A91FD6" w:rsidRPr="00E80636">
        <w:rPr>
          <w:rFonts w:asciiTheme="majorHAnsi" w:eastAsia="Arial" w:hAnsiTheme="majorHAnsi" w:cstheme="majorHAnsi"/>
          <w:szCs w:val="20"/>
        </w:rPr>
        <w:t xml:space="preserve"> (</w:t>
      </w:r>
      <w:r w:rsidR="00A91FD6" w:rsidRPr="006E28EE">
        <w:rPr>
          <w:rFonts w:asciiTheme="majorHAnsi" w:eastAsia="Arial" w:hAnsiTheme="majorHAnsi" w:cstheme="majorHAnsi"/>
          <w:i/>
          <w:szCs w:val="20"/>
        </w:rPr>
        <w:t>ERF, E4. Faculty Scholarship, Faculty Compensation Plan</w:t>
      </w:r>
      <w:r w:rsidR="00A91FD6" w:rsidRPr="00E80636">
        <w:rPr>
          <w:rFonts w:asciiTheme="majorHAnsi" w:eastAsia="Arial" w:hAnsiTheme="majorHAnsi" w:cstheme="majorHAnsi"/>
          <w:szCs w:val="20"/>
        </w:rPr>
        <w:t>)</w:t>
      </w:r>
      <w:r w:rsidRPr="00E80636">
        <w:rPr>
          <w:rFonts w:asciiTheme="majorHAnsi" w:eastAsia="Arial" w:hAnsiTheme="majorHAnsi" w:cstheme="majorHAnsi"/>
          <w:szCs w:val="20"/>
        </w:rPr>
        <w:t>, a part of the overall compensation plan, provides monetary incentives to faculty based on salary offset and indirect cost recoveries during the prior fiscal year. This incentive is capped at 30% of the faculty member’s salary or a maximum of $45,000.</w:t>
      </w:r>
    </w:p>
    <w:p w:rsidR="008278B8" w:rsidRPr="00E80636" w:rsidRDefault="008278B8" w:rsidP="006C308E">
      <w:pPr>
        <w:ind w:right="80"/>
        <w:rPr>
          <w:rFonts w:asciiTheme="majorHAnsi" w:eastAsia="Arial" w:hAnsiTheme="majorHAnsi" w:cstheme="majorHAnsi"/>
          <w:sz w:val="20"/>
          <w:szCs w:val="20"/>
        </w:rPr>
      </w:pPr>
    </w:p>
    <w:p w:rsidR="008278B8" w:rsidRPr="00E80636" w:rsidRDefault="008278B8" w:rsidP="006C308E">
      <w:pPr>
        <w:pStyle w:val="ListParagraph"/>
        <w:numPr>
          <w:ilvl w:val="1"/>
          <w:numId w:val="81"/>
        </w:numPr>
        <w:ind w:right="-20"/>
        <w:rPr>
          <w:rFonts w:asciiTheme="majorHAnsi" w:eastAsia="Arial" w:hAnsiTheme="majorHAnsi" w:cstheme="majorHAnsi"/>
          <w:szCs w:val="20"/>
        </w:rPr>
      </w:pPr>
      <w:r w:rsidRPr="00E80636">
        <w:rPr>
          <w:rFonts w:asciiTheme="majorHAnsi" w:eastAsia="Arial" w:hAnsiTheme="majorHAnsi" w:cstheme="majorHAnsi"/>
          <w:szCs w:val="20"/>
        </w:rPr>
        <w:t>Pre- and post-award grants management support is provided to all faculty to ensure timely and accurate submission of new and continuing grant applications and to support faculty once a grant is awarded.</w:t>
      </w:r>
    </w:p>
    <w:p w:rsidR="008278B8" w:rsidRPr="00E80636" w:rsidRDefault="008278B8" w:rsidP="006C308E">
      <w:pPr>
        <w:ind w:right="-20"/>
        <w:rPr>
          <w:rFonts w:asciiTheme="majorHAnsi" w:eastAsia="Arial" w:hAnsiTheme="majorHAnsi" w:cstheme="majorHAnsi"/>
          <w:sz w:val="20"/>
          <w:szCs w:val="20"/>
        </w:rPr>
      </w:pPr>
    </w:p>
    <w:p w:rsidR="008278B8" w:rsidRPr="00E80636" w:rsidRDefault="008278B8" w:rsidP="006C308E">
      <w:pPr>
        <w:pStyle w:val="ListParagraph"/>
        <w:numPr>
          <w:ilvl w:val="1"/>
          <w:numId w:val="81"/>
        </w:numPr>
        <w:contextualSpacing/>
        <w:rPr>
          <w:rFonts w:asciiTheme="majorHAnsi" w:eastAsia="Arial" w:hAnsiTheme="majorHAnsi" w:cstheme="majorHAnsi"/>
          <w:szCs w:val="20"/>
        </w:rPr>
      </w:pPr>
      <w:r w:rsidRPr="00E80636">
        <w:rPr>
          <w:rFonts w:asciiTheme="majorHAnsi" w:eastAsia="Arial" w:hAnsiTheme="majorHAnsi" w:cstheme="majorHAnsi"/>
          <w:szCs w:val="20"/>
        </w:rPr>
        <w:t xml:space="preserve">The UTHealth School of Public Health Research Council, chaired by a faculty member, is composed of center directors and is administratively supported by the Office of Research Services. The Research Council examines the school’s research productivity and initiates programs and policies that support the research mission of the school. </w:t>
      </w:r>
    </w:p>
    <w:p w:rsidR="00933038" w:rsidRPr="00E80636" w:rsidRDefault="00933038" w:rsidP="006C308E">
      <w:pPr>
        <w:contextualSpacing/>
        <w:jc w:val="both"/>
        <w:rPr>
          <w:rFonts w:asciiTheme="majorHAnsi" w:hAnsiTheme="majorHAnsi" w:cstheme="majorHAnsi"/>
          <w:sz w:val="20"/>
          <w:szCs w:val="20"/>
        </w:rPr>
      </w:pPr>
    </w:p>
    <w:p w:rsidR="00933038" w:rsidRPr="00E80636" w:rsidRDefault="00933038" w:rsidP="006C308E">
      <w:pPr>
        <w:numPr>
          <w:ilvl w:val="0"/>
          <w:numId w:val="34"/>
        </w:numPr>
        <w:contextualSpacing/>
        <w:jc w:val="both"/>
        <w:rPr>
          <w:rFonts w:asciiTheme="majorHAnsi" w:hAnsiTheme="majorHAnsi" w:cstheme="majorHAnsi"/>
          <w:sz w:val="20"/>
          <w:szCs w:val="20"/>
        </w:rPr>
      </w:pPr>
      <w:r w:rsidRPr="00E80636">
        <w:rPr>
          <w:rFonts w:asciiTheme="majorHAnsi" w:hAnsiTheme="majorHAnsi" w:cstheme="majorHAnsi"/>
          <w:sz w:val="20"/>
          <w:szCs w:val="20"/>
        </w:rPr>
        <w:t xml:space="preserve">Describe and provide three to five examples of faculty research activities and how faculty integrate research and scholarly activities and experience into their instruction of students. </w:t>
      </w:r>
    </w:p>
    <w:p w:rsidR="00933038" w:rsidRPr="00E80636" w:rsidRDefault="00933038" w:rsidP="006C308E">
      <w:pPr>
        <w:contextualSpacing/>
        <w:jc w:val="both"/>
        <w:rPr>
          <w:rFonts w:asciiTheme="majorHAnsi" w:hAnsiTheme="majorHAnsi" w:cstheme="majorHAnsi"/>
          <w:sz w:val="20"/>
          <w:szCs w:val="20"/>
        </w:rPr>
      </w:pPr>
    </w:p>
    <w:p w:rsidR="00C1219C" w:rsidRPr="00E80636" w:rsidRDefault="00C1219C" w:rsidP="006C308E">
      <w:pPr>
        <w:ind w:left="720"/>
        <w:rPr>
          <w:rFonts w:asciiTheme="majorHAnsi" w:hAnsiTheme="majorHAnsi" w:cstheme="majorHAnsi"/>
          <w:color w:val="000000"/>
          <w:sz w:val="20"/>
          <w:szCs w:val="20"/>
        </w:rPr>
      </w:pPr>
      <w:r w:rsidRPr="00E80636">
        <w:rPr>
          <w:rFonts w:asciiTheme="majorHAnsi" w:hAnsiTheme="majorHAnsi" w:cstheme="majorHAnsi"/>
          <w:color w:val="000000"/>
          <w:sz w:val="20"/>
          <w:szCs w:val="20"/>
        </w:rPr>
        <w:t>Faculty research and scholarly activities enhance student learning and professional development both inside and outside the classroom. Some examples follow.</w:t>
      </w:r>
    </w:p>
    <w:p w:rsidR="00C1219C" w:rsidRPr="00E80636" w:rsidRDefault="00C1219C" w:rsidP="006C308E">
      <w:pPr>
        <w:ind w:left="720"/>
        <w:rPr>
          <w:rFonts w:asciiTheme="majorHAnsi" w:hAnsiTheme="majorHAnsi" w:cstheme="majorHAnsi"/>
          <w:color w:val="000000"/>
          <w:sz w:val="20"/>
          <w:szCs w:val="20"/>
        </w:rPr>
      </w:pPr>
    </w:p>
    <w:p w:rsidR="00B00FA7" w:rsidRPr="00E80636" w:rsidRDefault="00B00FA7" w:rsidP="006C308E">
      <w:pPr>
        <w:pStyle w:val="ListParagraph"/>
        <w:numPr>
          <w:ilvl w:val="0"/>
          <w:numId w:val="83"/>
        </w:numPr>
        <w:contextualSpacing/>
        <w:rPr>
          <w:rFonts w:asciiTheme="majorHAnsi" w:hAnsiTheme="majorHAnsi" w:cstheme="majorHAnsi"/>
          <w:szCs w:val="20"/>
        </w:rPr>
      </w:pPr>
      <w:r w:rsidRPr="00E80636">
        <w:rPr>
          <w:rFonts w:asciiTheme="majorHAnsi" w:hAnsiTheme="majorHAnsi" w:cstheme="majorHAnsi"/>
          <w:szCs w:val="20"/>
        </w:rPr>
        <w:t xml:space="preserve">Christine Markham, PhD, is a professor in the Department of Health Promotion and Behavioral Sciences. Dr. Markham’s research focuses on adolescent sexual and reproductive health in underserved communities, such as tribal agencies in Alaska, Arizona, and the Pacific Northwest. She has been a principal investigator for $23 million in NIH, CDC, and other federally funded research. Much of her research has utilized Intervention Mapping, a systematic approach to health promotion planning. She is second author and the coordinating editor for </w:t>
      </w:r>
      <w:r w:rsidRPr="00E80636">
        <w:rPr>
          <w:rFonts w:asciiTheme="majorHAnsi" w:hAnsiTheme="majorHAnsi" w:cstheme="majorHAnsi"/>
          <w:i/>
          <w:szCs w:val="20"/>
        </w:rPr>
        <w:t>Planning Health Promotion Programs: An Intervention Mapping Approach, 4th edition</w:t>
      </w:r>
      <w:r w:rsidRPr="00E80636">
        <w:rPr>
          <w:rFonts w:asciiTheme="majorHAnsi" w:hAnsiTheme="majorHAnsi" w:cstheme="majorHAnsi"/>
          <w:szCs w:val="20"/>
        </w:rPr>
        <w:t>, a widely used textbook for public health training programs nationally and internationally. She has integrated this work into PH1113: Advanced Methods for Health Promotion Planning and Intervention, a required course for MPH and doctoral students with a health promotion/health education major. The course helps students synthesize knowledge and skills to develop multilevel health promotion interventions. She also co-developed and teaches PH1238: Adolescent Sexual Health, which provides analysis of current issues and advocacy training using her extensive research knowledge and expertise.</w:t>
      </w:r>
    </w:p>
    <w:p w:rsidR="00B00FA7" w:rsidRPr="00E80636" w:rsidRDefault="00B00FA7" w:rsidP="006C308E">
      <w:pPr>
        <w:pStyle w:val="ListParagraph"/>
        <w:ind w:left="1440"/>
        <w:contextualSpacing/>
        <w:rPr>
          <w:rFonts w:asciiTheme="majorHAnsi" w:hAnsiTheme="majorHAnsi" w:cstheme="majorHAnsi"/>
          <w:szCs w:val="20"/>
        </w:rPr>
      </w:pPr>
    </w:p>
    <w:p w:rsidR="00B00FA7" w:rsidRPr="00E80636" w:rsidRDefault="00B00FA7" w:rsidP="006C308E">
      <w:pPr>
        <w:pStyle w:val="ListParagraph"/>
        <w:numPr>
          <w:ilvl w:val="0"/>
          <w:numId w:val="83"/>
        </w:numPr>
        <w:contextualSpacing/>
        <w:rPr>
          <w:rFonts w:asciiTheme="majorHAnsi" w:hAnsiTheme="majorHAnsi" w:cstheme="majorHAnsi"/>
          <w:szCs w:val="20"/>
        </w:rPr>
      </w:pPr>
      <w:r w:rsidRPr="00E80636">
        <w:rPr>
          <w:rFonts w:asciiTheme="majorHAnsi" w:hAnsiTheme="majorHAnsi" w:cstheme="majorHAnsi"/>
          <w:szCs w:val="20"/>
        </w:rPr>
        <w:t xml:space="preserve">Vanessa Schick, PhD, is a tenured associate professor in the Department of Management, Policy and Community Health. Over the past decade, Dr. Schick’s research has focused on the health and wellbeing of women; diverse marginalized populations such as sex workers and women released from prison; the sexual health of sexual and gender minority populations and community-based participatory research. Dr. Schick integrates her work with marginalized populations by using real-life examples of community-based participatory research in her courses, PHM 3800: Working with Diverse Populations and PH 3926: Health Survey Research Design, and facilitates student fieldwork with organizations. These experiences provide hands-on research fieldwork experience in community-based participatory research. </w:t>
      </w:r>
    </w:p>
    <w:p w:rsidR="00B00FA7" w:rsidRPr="00E80636" w:rsidRDefault="00B00FA7" w:rsidP="006C308E">
      <w:pPr>
        <w:pStyle w:val="ListParagraph"/>
        <w:shd w:val="clear" w:color="auto" w:fill="FFFFFF"/>
        <w:ind w:left="1440"/>
        <w:contextualSpacing/>
        <w:rPr>
          <w:rFonts w:asciiTheme="majorHAnsi" w:hAnsiTheme="majorHAnsi" w:cstheme="majorHAnsi"/>
          <w:szCs w:val="20"/>
        </w:rPr>
      </w:pPr>
    </w:p>
    <w:p w:rsidR="00B00FA7" w:rsidRPr="00E80636" w:rsidRDefault="00B00FA7" w:rsidP="006C308E">
      <w:pPr>
        <w:pStyle w:val="ListParagraph"/>
        <w:numPr>
          <w:ilvl w:val="0"/>
          <w:numId w:val="83"/>
        </w:numPr>
        <w:shd w:val="clear" w:color="auto" w:fill="FFFFFF"/>
        <w:contextualSpacing/>
        <w:rPr>
          <w:rFonts w:asciiTheme="majorHAnsi" w:hAnsiTheme="majorHAnsi" w:cstheme="majorHAnsi"/>
          <w:szCs w:val="20"/>
        </w:rPr>
      </w:pPr>
      <w:r w:rsidRPr="00E80636">
        <w:rPr>
          <w:rFonts w:asciiTheme="majorHAnsi" w:hAnsiTheme="majorHAnsi" w:cstheme="majorHAnsi"/>
          <w:szCs w:val="20"/>
        </w:rPr>
        <w:t>Stacia DeSantis, PhD, is a tenured full professor in the Department of Biostatistics and Data Science. Dr. DeSantis’ research focuses on randomized controlled trials and prospective observational studies in psychiatry, neuropsychiatry, and addiction; cardiovascular outcomes research; and surgical trauma, including traumatic brain injury. Her statistical methodology research has been informed by real-life challenges within these three disciplines. Dr. DeSantis has worked with students to develop novel methods for network meta-analysis, with the goal of identifying treatments and designing clinical trials for mental health disorders with optimal operating characteristics. In collaboration with PhD students, Dr. DeSantis has co-developed novel methods for multiple treatments and continuous propensity scoring. Dr. DeSantis incorporates this research into an interdisciplinary course (PH 1430: Systematic Review and Meta-Analysis).</w:t>
      </w:r>
    </w:p>
    <w:p w:rsidR="00B00FA7" w:rsidRPr="00E80636" w:rsidRDefault="00B00FA7" w:rsidP="006C308E">
      <w:pPr>
        <w:pStyle w:val="ListParagraph"/>
        <w:ind w:left="1440"/>
        <w:contextualSpacing/>
        <w:rPr>
          <w:rFonts w:asciiTheme="majorHAnsi" w:hAnsiTheme="majorHAnsi" w:cstheme="majorHAnsi"/>
          <w:szCs w:val="20"/>
        </w:rPr>
      </w:pPr>
    </w:p>
    <w:p w:rsidR="00B00FA7" w:rsidRPr="00E80636" w:rsidRDefault="00B00FA7" w:rsidP="006C308E">
      <w:pPr>
        <w:pStyle w:val="ListParagraph"/>
        <w:numPr>
          <w:ilvl w:val="0"/>
          <w:numId w:val="83"/>
        </w:numPr>
        <w:contextualSpacing/>
        <w:rPr>
          <w:rFonts w:asciiTheme="majorHAnsi" w:hAnsiTheme="majorHAnsi" w:cstheme="majorHAnsi"/>
          <w:szCs w:val="20"/>
        </w:rPr>
      </w:pPr>
      <w:r w:rsidRPr="00E80636">
        <w:rPr>
          <w:rFonts w:asciiTheme="majorHAnsi" w:hAnsiTheme="majorHAnsi" w:cstheme="majorHAnsi"/>
          <w:szCs w:val="20"/>
        </w:rPr>
        <w:t xml:space="preserve">Louis Brown, PhD, is an associate professor in the Department of Health Promotion and Behavioral Sciences. Dr. Brown’s expertise is in the implementation and evaluation of community-engaged interventions with low-income, minority populations. His research focuses on engaging with community prevention coalitions, self-help and mutual support programs, and Hispanic health initiatives. He has conducted studies examining how community coalitions, partnerships, and advisory boards can most effectively function to support implementation of public health programs and policy in both adult and youth populations. He is testing a technical assistance model called the Coalition Check-Up with 20 substance-use prevention coalitions in Mexico. He also researched youth–adult partnerships for tobacco prevention, which empower youth to serve as both educators and health policy advocates and enhance the implementation of community-based preventive interventions.  Dr. Brown teaches two health promotion core courses, with an emphasis on community-level change. His courses address topics such as community coalitions, health disparities, popular behavioral science theories, social networks, community-based participatory research, and policy change. Dr. Brown incorporates his vast research knowledge into his courses to provide students with relevant, real-world examples and problems to solve. </w:t>
      </w:r>
    </w:p>
    <w:p w:rsidR="00B00FA7" w:rsidRPr="00E80636" w:rsidRDefault="00B00FA7" w:rsidP="006C308E">
      <w:pPr>
        <w:pStyle w:val="ListParagraph"/>
        <w:spacing w:after="160"/>
        <w:ind w:left="1440"/>
        <w:contextualSpacing/>
        <w:rPr>
          <w:rFonts w:asciiTheme="majorHAnsi" w:hAnsiTheme="majorHAnsi" w:cstheme="majorHAnsi"/>
          <w:szCs w:val="20"/>
        </w:rPr>
      </w:pPr>
    </w:p>
    <w:p w:rsidR="00B00FA7" w:rsidRPr="00E80636" w:rsidRDefault="00B00FA7" w:rsidP="006C308E">
      <w:pPr>
        <w:pStyle w:val="ListParagraph"/>
        <w:numPr>
          <w:ilvl w:val="0"/>
          <w:numId w:val="83"/>
        </w:numPr>
        <w:spacing w:after="160"/>
        <w:contextualSpacing/>
        <w:rPr>
          <w:rFonts w:asciiTheme="majorHAnsi" w:hAnsiTheme="majorHAnsi" w:cstheme="majorHAnsi"/>
          <w:szCs w:val="20"/>
        </w:rPr>
      </w:pPr>
      <w:r w:rsidRPr="00E80636">
        <w:rPr>
          <w:rFonts w:asciiTheme="majorHAnsi" w:hAnsiTheme="majorHAnsi" w:cstheme="majorHAnsi"/>
          <w:szCs w:val="20"/>
        </w:rPr>
        <w:t xml:space="preserve">Shreela Sharma, PhD, is a professor in the Department of Epidemiology, Human Genetics, and Environmental Sciences. Dr. Sharma’s research focuses on developing, evaluating, and disseminating school, preschool, family, and community-based interventions promoting child health in underserved communities. Specifically, her research projects are focused on prevention of nutrition and food insecurity-related chronic diseases in children, including obesity, diabetes and, more recently, dental caries. Her research is grounded in public health practice, including training dietetic interns and public health practitioners. She has built a rigorous teaching and mentoring program for students to acquire and practice the knowledge and skills in epidemiology and nutrition, and serves in various leadership positions at the school and outside to improve quality of public health education, research, and practice. She teaches the fundamentals of epidemiology and experimental methods in epidemiology. Dr. Sharma is actively engaged in the dietetic internship program and enhances her instruction of students using her research experience and community partnerships. Dr. Sharma not only uses examples of her research in classroom instruction, but she provides opportunities for students to volunteer, observe, and work on research studies. </w:t>
      </w:r>
    </w:p>
    <w:p w:rsidR="00933038" w:rsidRPr="00E80636" w:rsidRDefault="00933038" w:rsidP="006C308E">
      <w:pPr>
        <w:numPr>
          <w:ilvl w:val="0"/>
          <w:numId w:val="34"/>
        </w:numPr>
        <w:contextualSpacing/>
        <w:jc w:val="both"/>
        <w:rPr>
          <w:rFonts w:asciiTheme="majorHAnsi" w:hAnsiTheme="majorHAnsi" w:cstheme="majorHAnsi"/>
          <w:sz w:val="20"/>
          <w:szCs w:val="20"/>
        </w:rPr>
      </w:pPr>
      <w:r w:rsidRPr="00E80636">
        <w:rPr>
          <w:rFonts w:asciiTheme="majorHAnsi" w:hAnsiTheme="majorHAnsi" w:cstheme="majorHAnsi"/>
          <w:sz w:val="20"/>
          <w:szCs w:val="20"/>
        </w:rPr>
        <w:t xml:space="preserve">Describe and provide three to five examples of student opportunities for involvement in faculty research and scholarly activities. </w:t>
      </w:r>
    </w:p>
    <w:p w:rsidR="00933038" w:rsidRPr="00E80636" w:rsidRDefault="00933038" w:rsidP="006C308E">
      <w:pPr>
        <w:contextualSpacing/>
        <w:jc w:val="both"/>
        <w:rPr>
          <w:rFonts w:asciiTheme="majorHAnsi" w:hAnsiTheme="majorHAnsi" w:cstheme="majorHAnsi"/>
          <w:sz w:val="20"/>
          <w:szCs w:val="20"/>
        </w:rPr>
      </w:pPr>
    </w:p>
    <w:p w:rsidR="00121996" w:rsidRPr="00E80636" w:rsidRDefault="00121996" w:rsidP="006C308E">
      <w:pPr>
        <w:ind w:left="720"/>
        <w:rPr>
          <w:rFonts w:asciiTheme="majorHAnsi" w:hAnsiTheme="majorHAnsi" w:cstheme="majorHAnsi"/>
          <w:color w:val="000000"/>
          <w:sz w:val="20"/>
          <w:szCs w:val="20"/>
        </w:rPr>
      </w:pPr>
      <w:r w:rsidRPr="00E80636">
        <w:rPr>
          <w:rFonts w:asciiTheme="majorHAnsi" w:hAnsiTheme="majorHAnsi" w:cstheme="majorHAnsi"/>
          <w:sz w:val="20"/>
          <w:szCs w:val="20"/>
        </w:rPr>
        <w:t xml:space="preserve">There are many ways that students can be involved in faculty research and scholarly activities. Students can work on faculty projects as graduate research assistants, they can enroll in independent studies with faculty, and they can work with faculty on a voluntary basis to get research experience. </w:t>
      </w:r>
      <w:r w:rsidRPr="00E80636">
        <w:rPr>
          <w:rFonts w:asciiTheme="majorHAnsi" w:hAnsiTheme="majorHAnsi" w:cstheme="majorHAnsi"/>
          <w:color w:val="000000"/>
          <w:sz w:val="20"/>
          <w:szCs w:val="20"/>
        </w:rPr>
        <w:t>Some examples follow:</w:t>
      </w:r>
    </w:p>
    <w:p w:rsidR="00121996" w:rsidRPr="00E80636" w:rsidRDefault="00121996" w:rsidP="006C308E">
      <w:pPr>
        <w:ind w:left="720"/>
        <w:rPr>
          <w:rFonts w:asciiTheme="majorHAnsi" w:hAnsiTheme="majorHAnsi" w:cstheme="majorHAnsi"/>
          <w:sz w:val="20"/>
          <w:szCs w:val="20"/>
        </w:rPr>
      </w:pPr>
    </w:p>
    <w:p w:rsidR="00871E51" w:rsidRPr="00E80636" w:rsidRDefault="00871E51" w:rsidP="006C308E">
      <w:pPr>
        <w:ind w:left="720"/>
        <w:rPr>
          <w:rFonts w:asciiTheme="majorHAnsi" w:hAnsiTheme="majorHAnsi" w:cstheme="majorHAnsi"/>
          <w:color w:val="000000"/>
          <w:sz w:val="20"/>
          <w:szCs w:val="20"/>
        </w:rPr>
      </w:pPr>
      <w:r w:rsidRPr="00E80636">
        <w:rPr>
          <w:rFonts w:asciiTheme="majorHAnsi" w:hAnsiTheme="majorHAnsi" w:cstheme="majorHAnsi"/>
          <w:sz w:val="20"/>
          <w:szCs w:val="20"/>
        </w:rPr>
        <w:t xml:space="preserve">There are many ways that students can be involved in faculty research and scholarly activities. Students can work on faculty projects as graduate research assistants, they can enroll in independent studies with faculty, and they can work with faculty on a voluntary basis to get research experience. </w:t>
      </w:r>
      <w:r w:rsidRPr="00E80636">
        <w:rPr>
          <w:rFonts w:asciiTheme="majorHAnsi" w:hAnsiTheme="majorHAnsi" w:cstheme="majorHAnsi"/>
          <w:color w:val="000000"/>
          <w:sz w:val="20"/>
          <w:szCs w:val="20"/>
        </w:rPr>
        <w:t>Some examples follow:</w:t>
      </w:r>
    </w:p>
    <w:p w:rsidR="00871E51" w:rsidRPr="00E80636" w:rsidRDefault="00871E51" w:rsidP="006C308E">
      <w:pPr>
        <w:ind w:left="720"/>
        <w:rPr>
          <w:rFonts w:asciiTheme="majorHAnsi" w:hAnsiTheme="majorHAnsi" w:cstheme="majorHAnsi"/>
          <w:sz w:val="20"/>
          <w:szCs w:val="20"/>
        </w:rPr>
      </w:pPr>
    </w:p>
    <w:p w:rsidR="00871E51" w:rsidRPr="00E80636" w:rsidRDefault="00871E51" w:rsidP="006C308E">
      <w:pPr>
        <w:pStyle w:val="BodyText"/>
        <w:numPr>
          <w:ilvl w:val="0"/>
          <w:numId w:val="84"/>
        </w:numPr>
        <w:ind w:right="153"/>
        <w:rPr>
          <w:rFonts w:asciiTheme="majorHAnsi" w:hAnsiTheme="majorHAnsi" w:cstheme="majorHAnsi"/>
        </w:rPr>
      </w:pPr>
      <w:r w:rsidRPr="00E80636">
        <w:rPr>
          <w:rFonts w:asciiTheme="majorHAnsi" w:hAnsiTheme="majorHAnsi" w:cstheme="majorHAnsi"/>
        </w:rPr>
        <w:t>A. J. Agopian, PhD, is tenured associate</w:t>
      </w:r>
      <w:r w:rsidRPr="00E80636">
        <w:rPr>
          <w:rFonts w:asciiTheme="majorHAnsi" w:hAnsiTheme="majorHAnsi" w:cstheme="majorHAnsi"/>
          <w:spacing w:val="-25"/>
        </w:rPr>
        <w:t xml:space="preserve"> p</w:t>
      </w:r>
      <w:r w:rsidRPr="00E80636">
        <w:rPr>
          <w:rFonts w:asciiTheme="majorHAnsi" w:hAnsiTheme="majorHAnsi" w:cstheme="majorHAnsi"/>
        </w:rPr>
        <w:t>rofessor in the Department of Epidemiology, Human Genetics, and Environmental Sciences whose research focuses on</w:t>
      </w:r>
      <w:r w:rsidRPr="00E80636">
        <w:rPr>
          <w:rFonts w:asciiTheme="majorHAnsi" w:hAnsiTheme="majorHAnsi" w:cstheme="majorHAnsi"/>
          <w:spacing w:val="-7"/>
        </w:rPr>
        <w:t xml:space="preserve"> </w:t>
      </w:r>
      <w:r w:rsidRPr="00E80636">
        <w:rPr>
          <w:rFonts w:asciiTheme="majorHAnsi" w:hAnsiTheme="majorHAnsi" w:cstheme="majorHAnsi"/>
        </w:rPr>
        <w:t>genetic</w:t>
      </w:r>
      <w:r w:rsidRPr="00E80636">
        <w:rPr>
          <w:rFonts w:asciiTheme="majorHAnsi" w:hAnsiTheme="majorHAnsi" w:cstheme="majorHAnsi"/>
          <w:spacing w:val="-7"/>
        </w:rPr>
        <w:t xml:space="preserve"> </w:t>
      </w:r>
      <w:r w:rsidRPr="00E80636">
        <w:rPr>
          <w:rFonts w:asciiTheme="majorHAnsi" w:hAnsiTheme="majorHAnsi" w:cstheme="majorHAnsi"/>
        </w:rPr>
        <w:t>and</w:t>
      </w:r>
      <w:r w:rsidRPr="00E80636">
        <w:rPr>
          <w:rFonts w:asciiTheme="majorHAnsi" w:hAnsiTheme="majorHAnsi" w:cstheme="majorHAnsi"/>
          <w:spacing w:val="-10"/>
        </w:rPr>
        <w:t xml:space="preserve"> </w:t>
      </w:r>
      <w:r w:rsidRPr="00E80636">
        <w:rPr>
          <w:rFonts w:asciiTheme="majorHAnsi" w:hAnsiTheme="majorHAnsi" w:cstheme="majorHAnsi"/>
        </w:rPr>
        <w:t>non-genetic risk</w:t>
      </w:r>
      <w:r w:rsidRPr="00E80636">
        <w:rPr>
          <w:rFonts w:asciiTheme="majorHAnsi" w:hAnsiTheme="majorHAnsi" w:cstheme="majorHAnsi"/>
          <w:spacing w:val="26"/>
        </w:rPr>
        <w:t xml:space="preserve"> </w:t>
      </w:r>
      <w:r w:rsidRPr="00E80636">
        <w:rPr>
          <w:rFonts w:asciiTheme="majorHAnsi" w:hAnsiTheme="majorHAnsi" w:cstheme="majorHAnsi"/>
        </w:rPr>
        <w:t>factors</w:t>
      </w:r>
      <w:r w:rsidRPr="00E80636">
        <w:rPr>
          <w:rFonts w:asciiTheme="majorHAnsi" w:hAnsiTheme="majorHAnsi" w:cstheme="majorHAnsi"/>
          <w:spacing w:val="23"/>
        </w:rPr>
        <w:t xml:space="preserve"> </w:t>
      </w:r>
      <w:r w:rsidRPr="00E80636">
        <w:rPr>
          <w:rFonts w:asciiTheme="majorHAnsi" w:hAnsiTheme="majorHAnsi" w:cstheme="majorHAnsi"/>
        </w:rPr>
        <w:t>for</w:t>
      </w:r>
      <w:r w:rsidRPr="00E80636">
        <w:rPr>
          <w:rFonts w:asciiTheme="majorHAnsi" w:hAnsiTheme="majorHAnsi" w:cstheme="majorHAnsi"/>
          <w:spacing w:val="27"/>
        </w:rPr>
        <w:t xml:space="preserve"> </w:t>
      </w:r>
      <w:r w:rsidRPr="00E80636">
        <w:rPr>
          <w:rFonts w:asciiTheme="majorHAnsi" w:hAnsiTheme="majorHAnsi" w:cstheme="majorHAnsi"/>
        </w:rPr>
        <w:t>birth</w:t>
      </w:r>
      <w:r w:rsidRPr="00E80636">
        <w:rPr>
          <w:rFonts w:asciiTheme="majorHAnsi" w:hAnsiTheme="majorHAnsi" w:cstheme="majorHAnsi"/>
          <w:spacing w:val="25"/>
        </w:rPr>
        <w:t xml:space="preserve"> </w:t>
      </w:r>
      <w:r w:rsidRPr="00E80636">
        <w:rPr>
          <w:rFonts w:asciiTheme="majorHAnsi" w:hAnsiTheme="majorHAnsi" w:cstheme="majorHAnsi"/>
        </w:rPr>
        <w:t>defects.</w:t>
      </w:r>
      <w:r w:rsidRPr="00E80636">
        <w:rPr>
          <w:rFonts w:asciiTheme="majorHAnsi" w:hAnsiTheme="majorHAnsi" w:cstheme="majorHAnsi"/>
          <w:spacing w:val="25"/>
        </w:rPr>
        <w:t xml:space="preserve"> </w:t>
      </w:r>
      <w:r w:rsidRPr="00E80636">
        <w:rPr>
          <w:rFonts w:asciiTheme="majorHAnsi" w:hAnsiTheme="majorHAnsi" w:cstheme="majorHAnsi"/>
        </w:rPr>
        <w:t>His areas</w:t>
      </w:r>
      <w:r w:rsidRPr="00E80636">
        <w:rPr>
          <w:rFonts w:asciiTheme="majorHAnsi" w:hAnsiTheme="majorHAnsi" w:cstheme="majorHAnsi"/>
          <w:spacing w:val="11"/>
        </w:rPr>
        <w:t xml:space="preserve"> </w:t>
      </w:r>
      <w:r w:rsidRPr="00E80636">
        <w:rPr>
          <w:rFonts w:asciiTheme="majorHAnsi" w:hAnsiTheme="majorHAnsi" w:cstheme="majorHAnsi"/>
        </w:rPr>
        <w:t>of independent</w:t>
      </w:r>
      <w:r w:rsidRPr="00E80636">
        <w:rPr>
          <w:rFonts w:asciiTheme="majorHAnsi" w:hAnsiTheme="majorHAnsi" w:cstheme="majorHAnsi"/>
          <w:spacing w:val="20"/>
        </w:rPr>
        <w:t xml:space="preserve"> </w:t>
      </w:r>
      <w:r w:rsidRPr="00E80636">
        <w:rPr>
          <w:rFonts w:asciiTheme="majorHAnsi" w:hAnsiTheme="majorHAnsi" w:cstheme="majorHAnsi"/>
        </w:rPr>
        <w:t>expertise</w:t>
      </w:r>
      <w:r w:rsidRPr="00E80636">
        <w:rPr>
          <w:rFonts w:asciiTheme="majorHAnsi" w:hAnsiTheme="majorHAnsi" w:cstheme="majorHAnsi"/>
          <w:spacing w:val="19"/>
        </w:rPr>
        <w:t xml:space="preserve"> </w:t>
      </w:r>
      <w:r w:rsidRPr="00E80636">
        <w:rPr>
          <w:rFonts w:asciiTheme="majorHAnsi" w:hAnsiTheme="majorHAnsi" w:cstheme="majorHAnsi"/>
        </w:rPr>
        <w:t>include</w:t>
      </w:r>
      <w:r w:rsidRPr="00E80636">
        <w:rPr>
          <w:rFonts w:asciiTheme="majorHAnsi" w:hAnsiTheme="majorHAnsi" w:cstheme="majorHAnsi"/>
          <w:spacing w:val="20"/>
        </w:rPr>
        <w:t xml:space="preserve"> </w:t>
      </w:r>
      <w:r w:rsidRPr="00E80636">
        <w:rPr>
          <w:rFonts w:asciiTheme="majorHAnsi" w:hAnsiTheme="majorHAnsi" w:cstheme="majorHAnsi"/>
        </w:rPr>
        <w:t>environmental</w:t>
      </w:r>
      <w:r w:rsidRPr="00E80636">
        <w:rPr>
          <w:rFonts w:asciiTheme="majorHAnsi" w:hAnsiTheme="majorHAnsi" w:cstheme="majorHAnsi"/>
          <w:spacing w:val="15"/>
        </w:rPr>
        <w:t xml:space="preserve"> </w:t>
      </w:r>
      <w:r w:rsidRPr="00E80636">
        <w:rPr>
          <w:rFonts w:asciiTheme="majorHAnsi" w:hAnsiTheme="majorHAnsi" w:cstheme="majorHAnsi"/>
        </w:rPr>
        <w:t>and</w:t>
      </w:r>
      <w:r w:rsidRPr="00E80636">
        <w:rPr>
          <w:rFonts w:asciiTheme="majorHAnsi" w:hAnsiTheme="majorHAnsi" w:cstheme="majorHAnsi"/>
          <w:spacing w:val="16"/>
        </w:rPr>
        <w:t xml:space="preserve"> </w:t>
      </w:r>
      <w:r w:rsidRPr="00E80636">
        <w:rPr>
          <w:rFonts w:asciiTheme="majorHAnsi" w:hAnsiTheme="majorHAnsi" w:cstheme="majorHAnsi"/>
        </w:rPr>
        <w:t>occupational</w:t>
      </w:r>
      <w:r w:rsidRPr="00E80636">
        <w:rPr>
          <w:rFonts w:asciiTheme="majorHAnsi" w:hAnsiTheme="majorHAnsi" w:cstheme="majorHAnsi"/>
          <w:spacing w:val="16"/>
        </w:rPr>
        <w:t xml:space="preserve"> </w:t>
      </w:r>
      <w:r w:rsidRPr="00E80636">
        <w:rPr>
          <w:rFonts w:asciiTheme="majorHAnsi" w:hAnsiTheme="majorHAnsi" w:cstheme="majorHAnsi"/>
        </w:rPr>
        <w:t>teratogenic</w:t>
      </w:r>
      <w:r w:rsidRPr="00E80636">
        <w:rPr>
          <w:rFonts w:asciiTheme="majorHAnsi" w:hAnsiTheme="majorHAnsi" w:cstheme="majorHAnsi"/>
          <w:spacing w:val="19"/>
        </w:rPr>
        <w:t xml:space="preserve"> </w:t>
      </w:r>
      <w:r w:rsidRPr="00E80636">
        <w:rPr>
          <w:rFonts w:asciiTheme="majorHAnsi" w:hAnsiTheme="majorHAnsi" w:cstheme="majorHAnsi"/>
        </w:rPr>
        <w:t>exposures,</w:t>
      </w:r>
      <w:r w:rsidRPr="00E80636">
        <w:rPr>
          <w:rFonts w:asciiTheme="majorHAnsi" w:hAnsiTheme="majorHAnsi" w:cstheme="majorHAnsi"/>
          <w:spacing w:val="18"/>
        </w:rPr>
        <w:t xml:space="preserve"> </w:t>
      </w:r>
      <w:r w:rsidRPr="00E80636">
        <w:rPr>
          <w:rFonts w:asciiTheme="majorHAnsi" w:hAnsiTheme="majorHAnsi" w:cstheme="majorHAnsi"/>
        </w:rPr>
        <w:t>as</w:t>
      </w:r>
      <w:r w:rsidRPr="00E80636">
        <w:rPr>
          <w:rFonts w:asciiTheme="majorHAnsi" w:hAnsiTheme="majorHAnsi" w:cstheme="majorHAnsi"/>
          <w:spacing w:val="16"/>
        </w:rPr>
        <w:t xml:space="preserve"> </w:t>
      </w:r>
      <w:r w:rsidRPr="00E80636">
        <w:rPr>
          <w:rFonts w:asciiTheme="majorHAnsi" w:hAnsiTheme="majorHAnsi" w:cstheme="majorHAnsi"/>
        </w:rPr>
        <w:t>well</w:t>
      </w:r>
      <w:r w:rsidRPr="00E80636">
        <w:rPr>
          <w:rFonts w:asciiTheme="majorHAnsi" w:hAnsiTheme="majorHAnsi" w:cstheme="majorHAnsi"/>
          <w:spacing w:val="18"/>
        </w:rPr>
        <w:t xml:space="preserve"> </w:t>
      </w:r>
      <w:r w:rsidRPr="00E80636">
        <w:rPr>
          <w:rFonts w:asciiTheme="majorHAnsi" w:hAnsiTheme="majorHAnsi" w:cstheme="majorHAnsi"/>
        </w:rPr>
        <w:t>as</w:t>
      </w:r>
      <w:r w:rsidRPr="00E80636">
        <w:rPr>
          <w:rFonts w:asciiTheme="majorHAnsi" w:hAnsiTheme="majorHAnsi" w:cstheme="majorHAnsi"/>
          <w:spacing w:val="16"/>
        </w:rPr>
        <w:t xml:space="preserve"> </w:t>
      </w:r>
      <w:r w:rsidRPr="00E80636">
        <w:rPr>
          <w:rFonts w:asciiTheme="majorHAnsi" w:hAnsiTheme="majorHAnsi" w:cstheme="majorHAnsi"/>
        </w:rPr>
        <w:t>birth</w:t>
      </w:r>
      <w:r w:rsidRPr="00E80636">
        <w:rPr>
          <w:rFonts w:asciiTheme="majorHAnsi" w:hAnsiTheme="majorHAnsi" w:cstheme="majorHAnsi"/>
          <w:spacing w:val="16"/>
        </w:rPr>
        <w:t xml:space="preserve"> </w:t>
      </w:r>
      <w:r w:rsidRPr="00E80636">
        <w:rPr>
          <w:rFonts w:asciiTheme="majorHAnsi" w:hAnsiTheme="majorHAnsi" w:cstheme="majorHAnsi"/>
        </w:rPr>
        <w:t>defect clinical outcomes</w:t>
      </w:r>
      <w:r w:rsidRPr="00E80636">
        <w:rPr>
          <w:rFonts w:asciiTheme="majorHAnsi" w:hAnsiTheme="majorHAnsi" w:cstheme="majorHAnsi"/>
          <w:spacing w:val="-7"/>
        </w:rPr>
        <w:t xml:space="preserve"> </w:t>
      </w:r>
      <w:r w:rsidRPr="00E80636">
        <w:rPr>
          <w:rFonts w:asciiTheme="majorHAnsi" w:hAnsiTheme="majorHAnsi" w:cstheme="majorHAnsi"/>
        </w:rPr>
        <w:t>research. Through his research grants, he employs graduate research assistants and a postdoctoral fellow. He has published 8 papers, and has 3 in review for which he is the senior author and</w:t>
      </w:r>
      <w:r w:rsidRPr="00E80636">
        <w:rPr>
          <w:rFonts w:asciiTheme="majorHAnsi" w:hAnsiTheme="majorHAnsi" w:cstheme="majorHAnsi"/>
          <w:spacing w:val="-20"/>
        </w:rPr>
        <w:t xml:space="preserve"> </w:t>
      </w:r>
      <w:r w:rsidRPr="00E80636">
        <w:rPr>
          <w:rFonts w:asciiTheme="majorHAnsi" w:hAnsiTheme="majorHAnsi" w:cstheme="majorHAnsi"/>
        </w:rPr>
        <w:t>a student/trainee is the first author.  His master’s and doctoral students regularly present work at international conferences. Through</w:t>
      </w:r>
      <w:r w:rsidRPr="00E80636">
        <w:rPr>
          <w:rFonts w:asciiTheme="majorHAnsi" w:hAnsiTheme="majorHAnsi" w:cstheme="majorHAnsi"/>
          <w:spacing w:val="-22"/>
        </w:rPr>
        <w:t xml:space="preserve"> </w:t>
      </w:r>
      <w:r w:rsidRPr="00E80636">
        <w:rPr>
          <w:rFonts w:asciiTheme="majorHAnsi" w:hAnsiTheme="majorHAnsi" w:cstheme="majorHAnsi"/>
        </w:rPr>
        <w:t>these interactions, Dr. Agopian strives to provide hands-on learning experiences, as well as academic and</w:t>
      </w:r>
      <w:r w:rsidRPr="00E80636">
        <w:rPr>
          <w:rFonts w:asciiTheme="majorHAnsi" w:hAnsiTheme="majorHAnsi" w:cstheme="majorHAnsi"/>
          <w:spacing w:val="-11"/>
        </w:rPr>
        <w:t xml:space="preserve"> </w:t>
      </w:r>
      <w:r w:rsidRPr="00E80636">
        <w:rPr>
          <w:rFonts w:asciiTheme="majorHAnsi" w:hAnsiTheme="majorHAnsi" w:cstheme="majorHAnsi"/>
        </w:rPr>
        <w:t>professional mentorship.</w:t>
      </w:r>
    </w:p>
    <w:p w:rsidR="00871E51" w:rsidRPr="00E80636" w:rsidRDefault="00871E51" w:rsidP="006C308E">
      <w:pPr>
        <w:pStyle w:val="ListParagraph"/>
        <w:ind w:left="1440" w:right="111"/>
        <w:contextualSpacing/>
        <w:rPr>
          <w:rFonts w:asciiTheme="majorHAnsi" w:hAnsiTheme="majorHAnsi" w:cstheme="majorHAnsi"/>
          <w:szCs w:val="20"/>
        </w:rPr>
      </w:pPr>
    </w:p>
    <w:p w:rsidR="00871E51" w:rsidRPr="00E80636" w:rsidRDefault="00871E51" w:rsidP="006C308E">
      <w:pPr>
        <w:pStyle w:val="ListParagraph"/>
        <w:numPr>
          <w:ilvl w:val="0"/>
          <w:numId w:val="84"/>
        </w:numPr>
        <w:ind w:right="111"/>
        <w:contextualSpacing/>
        <w:rPr>
          <w:rFonts w:asciiTheme="majorHAnsi" w:hAnsiTheme="majorHAnsi" w:cstheme="majorHAnsi"/>
          <w:szCs w:val="20"/>
        </w:rPr>
      </w:pPr>
      <w:r w:rsidRPr="00E80636">
        <w:rPr>
          <w:rFonts w:asciiTheme="majorHAnsi" w:hAnsiTheme="majorHAnsi" w:cstheme="majorHAnsi"/>
          <w:color w:val="000000"/>
          <w:szCs w:val="20"/>
        </w:rPr>
        <w:t xml:space="preserve">Charles Darkoh, PhD, is a tenured associate professor in </w:t>
      </w:r>
      <w:r w:rsidRPr="00E80636">
        <w:rPr>
          <w:rFonts w:asciiTheme="majorHAnsi" w:hAnsiTheme="majorHAnsi" w:cstheme="majorHAnsi"/>
          <w:szCs w:val="20"/>
        </w:rPr>
        <w:t xml:space="preserve">in the Department of Epidemiology, Human Genetics, and Environmental Sciences whose research focuses on </w:t>
      </w:r>
      <w:r w:rsidRPr="00E80636">
        <w:rPr>
          <w:rFonts w:asciiTheme="majorHAnsi" w:hAnsiTheme="majorHAnsi" w:cstheme="majorHAnsi"/>
          <w:color w:val="000000"/>
          <w:szCs w:val="20"/>
        </w:rPr>
        <w:t xml:space="preserve">infectious diseases and how bacteria have evolved to inflict disproportional harm on humanity. His research efforts have focused on molecular epidemiology, pathogenesis, and the molecular basis of enteric infectious diseases. The overarching goals of his research are to identify and elucidate mechanisms of action of novel virulence factors, pathways, and unique bacterial products that can be harnessed for diagnostics and therapy. Dr. Darkoh’s research program affords master’s and doctoral students the opportunity to learn laboratory techniques and to </w:t>
      </w:r>
      <w:r w:rsidRPr="00E80636">
        <w:rPr>
          <w:rFonts w:asciiTheme="majorHAnsi" w:hAnsiTheme="majorHAnsi" w:cstheme="majorHAnsi"/>
          <w:szCs w:val="20"/>
        </w:rPr>
        <w:t xml:space="preserve">work on their thesis and dissertation research or do an internship in his laboratory, while being fully funded from his research grants. </w:t>
      </w:r>
    </w:p>
    <w:p w:rsidR="00871E51" w:rsidRPr="00E80636" w:rsidRDefault="00871E51" w:rsidP="006C308E">
      <w:pPr>
        <w:pStyle w:val="ListParagraph"/>
        <w:autoSpaceDE w:val="0"/>
        <w:autoSpaceDN w:val="0"/>
        <w:adjustRightInd w:val="0"/>
        <w:ind w:left="1440"/>
        <w:contextualSpacing/>
        <w:rPr>
          <w:rFonts w:asciiTheme="majorHAnsi" w:hAnsiTheme="majorHAnsi" w:cstheme="majorHAnsi"/>
          <w:color w:val="000000"/>
          <w:szCs w:val="20"/>
        </w:rPr>
      </w:pPr>
    </w:p>
    <w:p w:rsidR="00871E51" w:rsidRPr="00E80636" w:rsidRDefault="00871E51" w:rsidP="006C308E">
      <w:pPr>
        <w:pStyle w:val="ListParagraph"/>
        <w:numPr>
          <w:ilvl w:val="0"/>
          <w:numId w:val="84"/>
        </w:numPr>
        <w:autoSpaceDE w:val="0"/>
        <w:autoSpaceDN w:val="0"/>
        <w:adjustRightInd w:val="0"/>
        <w:contextualSpacing/>
        <w:rPr>
          <w:rFonts w:asciiTheme="majorHAnsi" w:hAnsiTheme="majorHAnsi" w:cstheme="majorHAnsi"/>
          <w:color w:val="000000"/>
          <w:szCs w:val="20"/>
        </w:rPr>
      </w:pPr>
      <w:r w:rsidRPr="00E80636">
        <w:rPr>
          <w:rFonts w:asciiTheme="majorHAnsi" w:hAnsiTheme="majorHAnsi" w:cstheme="majorHAnsi"/>
          <w:color w:val="000000"/>
          <w:szCs w:val="20"/>
        </w:rPr>
        <w:t xml:space="preserve">R. Sue Day, PhD, is a tenured professor in the </w:t>
      </w:r>
      <w:r w:rsidRPr="00E80636">
        <w:rPr>
          <w:rFonts w:asciiTheme="majorHAnsi" w:hAnsiTheme="majorHAnsi" w:cstheme="majorHAnsi"/>
          <w:szCs w:val="20"/>
        </w:rPr>
        <w:t xml:space="preserve">Department of Epidemiology, Human Genetics, and Environmental Sciences whose research focuses on </w:t>
      </w:r>
      <w:r w:rsidRPr="00E80636">
        <w:rPr>
          <w:rFonts w:asciiTheme="majorHAnsi" w:hAnsiTheme="majorHAnsi" w:cstheme="majorHAnsi"/>
          <w:color w:val="000000"/>
          <w:szCs w:val="20"/>
        </w:rPr>
        <w:t xml:space="preserve">understanding the role of nutrition in preventing chronic diseases. Dr. Day is an internationally recognized diet assessment expert, guiding the creation of food and nutrient analysis systems used in several national health surveys. She has conducted dietary assessments in large-scale epidemiologic studies of obesity, cardiovascular disease (CVD), cancer, </w:t>
      </w:r>
      <w:r w:rsidRPr="00E80636">
        <w:rPr>
          <w:rFonts w:asciiTheme="majorHAnsi" w:hAnsiTheme="majorHAnsi" w:cstheme="majorHAnsi"/>
          <w:i/>
          <w:iCs/>
          <w:color w:val="000000"/>
          <w:szCs w:val="20"/>
        </w:rPr>
        <w:t xml:space="preserve">Helicobacter pylori </w:t>
      </w:r>
      <w:r w:rsidRPr="00E80636">
        <w:rPr>
          <w:rFonts w:asciiTheme="majorHAnsi" w:hAnsiTheme="majorHAnsi" w:cstheme="majorHAnsi"/>
          <w:iCs/>
          <w:color w:val="000000"/>
          <w:szCs w:val="20"/>
        </w:rPr>
        <w:t xml:space="preserve">infection, </w:t>
      </w:r>
      <w:r w:rsidRPr="00E80636">
        <w:rPr>
          <w:rFonts w:asciiTheme="majorHAnsi" w:hAnsiTheme="majorHAnsi" w:cstheme="majorHAnsi"/>
          <w:color w:val="000000"/>
          <w:szCs w:val="20"/>
        </w:rPr>
        <w:t xml:space="preserve">and osteoporosis in children and adults. She is currently studying firefighters, an at-risk worker population, and the impact of poor nutrition on CVD outcomes. Dr. Day has consistently supported </w:t>
      </w:r>
      <w:r w:rsidR="00AD6F36" w:rsidRPr="00E80636">
        <w:rPr>
          <w:rFonts w:asciiTheme="majorHAnsi" w:hAnsiTheme="majorHAnsi" w:cstheme="majorHAnsi"/>
          <w:color w:val="000000"/>
          <w:szCs w:val="20"/>
        </w:rPr>
        <w:t>masters</w:t>
      </w:r>
      <w:r w:rsidRPr="00E80636">
        <w:rPr>
          <w:rFonts w:asciiTheme="majorHAnsi" w:hAnsiTheme="majorHAnsi" w:cstheme="majorHAnsi"/>
          <w:color w:val="000000"/>
          <w:szCs w:val="20"/>
        </w:rPr>
        <w:t xml:space="preserve"> and doctoral students as graduate assistants on her studies and provides opportunities for students to publish. For example, </w:t>
      </w:r>
      <w:r w:rsidRPr="00E80636">
        <w:rPr>
          <w:rFonts w:asciiTheme="majorHAnsi" w:hAnsiTheme="majorHAnsi" w:cstheme="majorHAnsi"/>
          <w:szCs w:val="20"/>
        </w:rPr>
        <w:t xml:space="preserve">her article, “Physician weight recommendations for overweight and obese firefighters, United States, 2011-2012” (Wilkinson et al., </w:t>
      </w:r>
      <w:r w:rsidRPr="00E80636">
        <w:rPr>
          <w:rFonts w:asciiTheme="majorHAnsi" w:hAnsiTheme="majorHAnsi" w:cstheme="majorHAnsi"/>
          <w:i/>
          <w:szCs w:val="20"/>
        </w:rPr>
        <w:t>Prev Chronic Dis.</w:t>
      </w:r>
      <w:r w:rsidRPr="00E80636">
        <w:rPr>
          <w:rFonts w:asciiTheme="majorHAnsi" w:hAnsiTheme="majorHAnsi" w:cstheme="majorHAnsi"/>
          <w:szCs w:val="20"/>
        </w:rPr>
        <w:t xml:space="preserve">, 2014), brought media attention to the lack of </w:t>
      </w:r>
      <w:r w:rsidR="00D06EEE" w:rsidRPr="00E80636">
        <w:rPr>
          <w:rFonts w:asciiTheme="majorHAnsi" w:hAnsiTheme="majorHAnsi" w:cstheme="majorHAnsi"/>
          <w:szCs w:val="20"/>
        </w:rPr>
        <w:t>healthcare</w:t>
      </w:r>
      <w:r w:rsidRPr="00E80636">
        <w:rPr>
          <w:rFonts w:asciiTheme="majorHAnsi" w:hAnsiTheme="majorHAnsi" w:cstheme="majorHAnsi"/>
          <w:szCs w:val="20"/>
        </w:rPr>
        <w:t xml:space="preserve"> professional weight advice for firefighters, especially those who are young, overweight, and mildly obese, compared with those who are older and heavier. Dr. Day is passionate in mentoring students’ research. Of the MPH students she has advised, 40% completed a research thesis, and she has provided data or guided students to collect data for all the PhD dissertations she has chaired, of which 83% resulted in publications, a reflection of her tremendous mentoring ability.</w:t>
      </w:r>
    </w:p>
    <w:p w:rsidR="00871E51" w:rsidRPr="00E80636" w:rsidRDefault="00871E51" w:rsidP="006C308E">
      <w:pPr>
        <w:pStyle w:val="ListParagraph"/>
        <w:autoSpaceDE w:val="0"/>
        <w:autoSpaceDN w:val="0"/>
        <w:adjustRightInd w:val="0"/>
        <w:ind w:left="1440"/>
        <w:contextualSpacing/>
        <w:rPr>
          <w:rFonts w:asciiTheme="majorHAnsi" w:hAnsiTheme="majorHAnsi" w:cstheme="majorHAnsi"/>
          <w:color w:val="000000"/>
          <w:szCs w:val="20"/>
        </w:rPr>
      </w:pPr>
    </w:p>
    <w:p w:rsidR="00871E51" w:rsidRPr="00E80636" w:rsidRDefault="00871E51" w:rsidP="006C308E">
      <w:pPr>
        <w:pStyle w:val="ListParagraph"/>
        <w:numPr>
          <w:ilvl w:val="0"/>
          <w:numId w:val="84"/>
        </w:numPr>
        <w:autoSpaceDE w:val="0"/>
        <w:autoSpaceDN w:val="0"/>
        <w:adjustRightInd w:val="0"/>
        <w:contextualSpacing/>
        <w:rPr>
          <w:rFonts w:asciiTheme="majorHAnsi" w:hAnsiTheme="majorHAnsi" w:cstheme="majorHAnsi"/>
          <w:color w:val="000000"/>
          <w:szCs w:val="20"/>
        </w:rPr>
      </w:pPr>
      <w:r w:rsidRPr="00E80636">
        <w:rPr>
          <w:rFonts w:asciiTheme="majorHAnsi" w:hAnsiTheme="majorHAnsi" w:cstheme="majorHAnsi"/>
          <w:bCs/>
          <w:color w:val="000000"/>
          <w:szCs w:val="20"/>
        </w:rPr>
        <w:t xml:space="preserve">Alexandra E.M. van den Berg, PhD, MPH, is a tenured professor in the Department of Health Promotion and Behavioral Sciences who has </w:t>
      </w:r>
      <w:r w:rsidRPr="00E80636">
        <w:rPr>
          <w:rFonts w:asciiTheme="majorHAnsi" w:hAnsiTheme="majorHAnsi" w:cstheme="majorHAnsi"/>
          <w:color w:val="000000"/>
          <w:szCs w:val="20"/>
        </w:rPr>
        <w:t xml:space="preserve">built a research program focused on improving the health of families who experience health disparities due to the environments in which they live. Her research is specifically focused on health disparities related to limited access to healthful foods. Her research is informed by both community-based participatory research and team science, and most of her studies involve extensive collaborations among many different partners, including community organizations, faculty from other universities, community residents, and local health workers. Dr. van den Berg conducts large studies with opportunities for master’s and doctoral students to be involved in coalition building, team science, data collection, data analysis, grant writing, and publishing. </w:t>
      </w:r>
      <w:r w:rsidRPr="00E80636">
        <w:rPr>
          <w:rFonts w:asciiTheme="majorHAnsi" w:hAnsiTheme="majorHAnsi" w:cstheme="majorHAnsi"/>
          <w:szCs w:val="20"/>
        </w:rPr>
        <w:t xml:space="preserve">In collaboration with a researcher at the U.S. Environmental Protection Agency (EPA), </w:t>
      </w:r>
      <w:r w:rsidRPr="00E80636">
        <w:rPr>
          <w:rFonts w:asciiTheme="majorHAnsi" w:hAnsiTheme="majorHAnsi" w:cstheme="majorHAnsi"/>
          <w:color w:val="000000"/>
          <w:szCs w:val="20"/>
        </w:rPr>
        <w:t>Dr. van den Berg involved students in</w:t>
      </w:r>
      <w:r w:rsidRPr="00E80636">
        <w:rPr>
          <w:rFonts w:asciiTheme="majorHAnsi" w:hAnsiTheme="majorHAnsi" w:cstheme="majorHAnsi"/>
          <w:szCs w:val="20"/>
        </w:rPr>
        <w:t xml:space="preserve"> the analysis of the environmental impact of different dietary patterns, and how much land and water use are required for these patterns, as well as the impact of greenhouse gas emissions on these dietary patterns.</w:t>
      </w:r>
    </w:p>
    <w:p w:rsidR="00933038" w:rsidRPr="00E80636" w:rsidRDefault="00933038" w:rsidP="006C308E">
      <w:pPr>
        <w:ind w:left="720"/>
        <w:contextualSpacing/>
        <w:rPr>
          <w:rFonts w:asciiTheme="majorHAnsi" w:hAnsiTheme="majorHAnsi" w:cstheme="majorHAnsi"/>
          <w:sz w:val="20"/>
          <w:szCs w:val="20"/>
        </w:rPr>
      </w:pPr>
    </w:p>
    <w:p w:rsidR="00933038" w:rsidRPr="00E80636" w:rsidRDefault="00933038" w:rsidP="006C308E">
      <w:pPr>
        <w:numPr>
          <w:ilvl w:val="0"/>
          <w:numId w:val="34"/>
        </w:numPr>
        <w:contextualSpacing/>
        <w:jc w:val="both"/>
        <w:rPr>
          <w:rFonts w:asciiTheme="majorHAnsi" w:hAnsiTheme="majorHAnsi" w:cstheme="majorHAnsi"/>
          <w:sz w:val="20"/>
          <w:szCs w:val="20"/>
        </w:rPr>
      </w:pPr>
      <w:r w:rsidRPr="00E80636">
        <w:rPr>
          <w:rFonts w:asciiTheme="majorHAnsi" w:hAnsiTheme="majorHAnsi" w:cstheme="majorHAnsi"/>
          <w:sz w:val="20"/>
          <w:szCs w:val="20"/>
        </w:rPr>
        <w:t xml:space="preserve">Describe the role of research and scholarly activity in decisions about faculty advancement. </w:t>
      </w:r>
    </w:p>
    <w:p w:rsidR="00933038" w:rsidRPr="00E80636" w:rsidRDefault="00933038" w:rsidP="006C308E">
      <w:pPr>
        <w:contextualSpacing/>
        <w:jc w:val="both"/>
        <w:rPr>
          <w:rFonts w:asciiTheme="majorHAnsi" w:hAnsiTheme="majorHAnsi" w:cstheme="majorHAnsi"/>
          <w:sz w:val="20"/>
          <w:szCs w:val="20"/>
        </w:rPr>
      </w:pPr>
    </w:p>
    <w:p w:rsidR="00121996" w:rsidRPr="00E80636" w:rsidRDefault="00121996" w:rsidP="006C308E">
      <w:pPr>
        <w:ind w:left="720"/>
        <w:rPr>
          <w:rFonts w:asciiTheme="majorHAnsi" w:hAnsiTheme="majorHAnsi" w:cstheme="majorHAnsi"/>
          <w:sz w:val="20"/>
          <w:szCs w:val="20"/>
        </w:rPr>
      </w:pPr>
      <w:r w:rsidRPr="00E80636">
        <w:rPr>
          <w:rFonts w:asciiTheme="majorHAnsi" w:hAnsiTheme="majorHAnsi" w:cstheme="majorHAnsi"/>
          <w:sz w:val="20"/>
          <w:szCs w:val="20"/>
        </w:rPr>
        <w:t xml:space="preserve">Research and scholarly activities are an integral part of faculty advancement and are evaluated as part of the faculty annual activity review (AAR) and the review for promotion and tenure. </w:t>
      </w:r>
    </w:p>
    <w:p w:rsidR="00121996" w:rsidRPr="00E80636" w:rsidRDefault="00121996" w:rsidP="006C308E">
      <w:pPr>
        <w:ind w:left="720"/>
        <w:rPr>
          <w:rFonts w:asciiTheme="majorHAnsi" w:hAnsiTheme="majorHAnsi" w:cstheme="majorHAnsi"/>
          <w:sz w:val="20"/>
          <w:szCs w:val="20"/>
        </w:rPr>
      </w:pPr>
    </w:p>
    <w:p w:rsidR="00871E51" w:rsidRPr="00E80636" w:rsidRDefault="00871E51" w:rsidP="006C308E">
      <w:pPr>
        <w:ind w:left="720"/>
        <w:rPr>
          <w:rFonts w:asciiTheme="majorHAnsi" w:hAnsiTheme="majorHAnsi" w:cstheme="majorHAnsi"/>
          <w:sz w:val="20"/>
          <w:szCs w:val="20"/>
        </w:rPr>
      </w:pPr>
      <w:r w:rsidRPr="00E80636">
        <w:rPr>
          <w:rFonts w:asciiTheme="majorHAnsi" w:hAnsiTheme="majorHAnsi" w:cstheme="majorHAnsi"/>
          <w:sz w:val="20"/>
          <w:szCs w:val="20"/>
        </w:rPr>
        <w:t xml:space="preserve">Research and scholarly activities are an integral part of faculty advancement and are evaluated as part of the faculty Annual Activity Report (AAR) and the review for promotion and tenure. </w:t>
      </w:r>
    </w:p>
    <w:p w:rsidR="00871E51" w:rsidRPr="00E80636" w:rsidRDefault="00871E51" w:rsidP="006C308E">
      <w:pPr>
        <w:ind w:left="720"/>
        <w:rPr>
          <w:rFonts w:asciiTheme="majorHAnsi" w:hAnsiTheme="majorHAnsi" w:cstheme="majorHAnsi"/>
          <w:sz w:val="20"/>
          <w:szCs w:val="20"/>
        </w:rPr>
      </w:pPr>
    </w:p>
    <w:p w:rsidR="00871E51" w:rsidRPr="00E80636" w:rsidRDefault="00871E51" w:rsidP="006C308E">
      <w:pPr>
        <w:ind w:left="720"/>
        <w:rPr>
          <w:rFonts w:asciiTheme="majorHAnsi" w:hAnsiTheme="majorHAnsi" w:cstheme="majorHAnsi"/>
          <w:sz w:val="20"/>
          <w:szCs w:val="20"/>
        </w:rPr>
      </w:pPr>
      <w:r w:rsidRPr="00E80636">
        <w:rPr>
          <w:rFonts w:asciiTheme="majorHAnsi" w:hAnsiTheme="majorHAnsi" w:cstheme="majorHAnsi"/>
          <w:sz w:val="20"/>
          <w:szCs w:val="20"/>
        </w:rPr>
        <w:t>The AAR is the faculty annual peer evaluation managed by the UTHealth School of Public Health Faculty Council. Each fall, after the fiscal year closes, information about faculty teaching, research, and service is automatically uploaded into the AAR dashboard. Faculty then manually enter additional information about publications, service, teaching, and administrative activities into the AAR dashboard. After all information is entered into the system, faculty are asked to view the AARs for faculty in their primary department and to score each other using a five (5)-point rating scale, with separate scores for teaching, research, service, and overall. Department chairs also meet with each faculty member to review their peer-review scores, faculty goals, research plans, and teaching responsibilities for the upcoming year.</w:t>
      </w:r>
    </w:p>
    <w:p w:rsidR="00871E51" w:rsidRPr="00E80636" w:rsidRDefault="00871E51" w:rsidP="006C308E">
      <w:pPr>
        <w:ind w:left="720"/>
        <w:rPr>
          <w:rFonts w:asciiTheme="majorHAnsi" w:hAnsiTheme="majorHAnsi" w:cstheme="majorHAnsi"/>
          <w:color w:val="000000"/>
          <w:sz w:val="20"/>
          <w:szCs w:val="20"/>
        </w:rPr>
      </w:pPr>
    </w:p>
    <w:p w:rsidR="00871E51" w:rsidRPr="00E80636" w:rsidRDefault="00871E51" w:rsidP="006C308E">
      <w:pPr>
        <w:ind w:left="720"/>
        <w:contextualSpacing/>
        <w:rPr>
          <w:rFonts w:asciiTheme="majorHAnsi" w:hAnsiTheme="majorHAnsi" w:cstheme="majorHAnsi"/>
          <w:sz w:val="20"/>
          <w:szCs w:val="20"/>
        </w:rPr>
      </w:pPr>
      <w:r w:rsidRPr="00E80636">
        <w:rPr>
          <w:rFonts w:asciiTheme="majorHAnsi" w:hAnsiTheme="majorHAnsi" w:cstheme="majorHAnsi"/>
          <w:color w:val="000000"/>
          <w:sz w:val="20"/>
          <w:szCs w:val="20"/>
        </w:rPr>
        <w:t xml:space="preserve">The expectations for faculty research and scholarly activity for tenure and promotion (T&amp;P) are explained in the </w:t>
      </w:r>
      <w:r w:rsidRPr="006E28EE">
        <w:t>T</w:t>
      </w:r>
      <w:r w:rsidR="00D87FC2" w:rsidRPr="00E80636">
        <w:rPr>
          <w:rFonts w:asciiTheme="majorHAnsi" w:hAnsiTheme="majorHAnsi" w:cstheme="majorHAnsi"/>
          <w:color w:val="000000"/>
          <w:sz w:val="20"/>
          <w:szCs w:val="20"/>
        </w:rPr>
        <w:t>enure and Promotion Guidelines (</w:t>
      </w:r>
      <w:r w:rsidR="00D87FC2" w:rsidRPr="006E28EE">
        <w:rPr>
          <w:rFonts w:asciiTheme="majorHAnsi" w:hAnsiTheme="majorHAnsi" w:cstheme="majorHAnsi"/>
          <w:i/>
          <w:color w:val="000000"/>
          <w:sz w:val="20"/>
          <w:szCs w:val="20"/>
        </w:rPr>
        <w:t>ERF, E4. Faculty Scholarship</w:t>
      </w:r>
      <w:r w:rsidR="00D87FC2" w:rsidRPr="00E80636">
        <w:rPr>
          <w:rFonts w:asciiTheme="majorHAnsi" w:hAnsiTheme="majorHAnsi" w:cstheme="majorHAnsi"/>
          <w:color w:val="000000"/>
          <w:sz w:val="20"/>
          <w:szCs w:val="20"/>
        </w:rPr>
        <w:t xml:space="preserve">) </w:t>
      </w:r>
      <w:r w:rsidRPr="00E80636">
        <w:rPr>
          <w:rFonts w:asciiTheme="majorHAnsi" w:hAnsiTheme="majorHAnsi" w:cstheme="majorHAnsi"/>
          <w:color w:val="000000"/>
          <w:sz w:val="20"/>
          <w:szCs w:val="20"/>
        </w:rPr>
        <w:t xml:space="preserve">for each rank. </w:t>
      </w:r>
      <w:r w:rsidRPr="00E80636">
        <w:rPr>
          <w:rFonts w:asciiTheme="majorHAnsi" w:hAnsiTheme="majorHAnsi" w:cstheme="majorHAnsi"/>
          <w:sz w:val="20"/>
          <w:szCs w:val="20"/>
        </w:rPr>
        <w:t>Promotion is the process by which the candidate progresses through a series of well-defined ranks. Traditionally, these steps have been from the rank of assistant professor to the rank of associate professor, and from the rank of associate professor to the rank of full professor. The criterion for these promotions is the candidate faculty member’s scholarship record. Thus, the abilities of the faculty member to effectively compete for research funding and to convert these grant awards into publications that appear in the peer-reviewed literature are central to the consideration for promotion.</w:t>
      </w:r>
    </w:p>
    <w:p w:rsidR="00933038" w:rsidRPr="00E80636" w:rsidRDefault="00933038" w:rsidP="006C308E">
      <w:pPr>
        <w:ind w:left="720"/>
        <w:contextualSpacing/>
        <w:jc w:val="both"/>
        <w:rPr>
          <w:rFonts w:asciiTheme="majorHAnsi" w:hAnsiTheme="majorHAnsi" w:cstheme="majorHAnsi"/>
          <w:sz w:val="20"/>
          <w:szCs w:val="20"/>
        </w:rPr>
      </w:pPr>
    </w:p>
    <w:p w:rsidR="00933038" w:rsidRPr="00E80636" w:rsidRDefault="00933038" w:rsidP="006C308E">
      <w:pPr>
        <w:numPr>
          <w:ilvl w:val="0"/>
          <w:numId w:val="34"/>
        </w:numPr>
        <w:contextualSpacing/>
        <w:jc w:val="both"/>
        <w:rPr>
          <w:rFonts w:asciiTheme="majorHAnsi" w:hAnsiTheme="majorHAnsi" w:cstheme="majorHAnsi"/>
          <w:sz w:val="20"/>
          <w:szCs w:val="20"/>
        </w:rPr>
      </w:pPr>
      <w:r w:rsidRPr="00E80636">
        <w:rPr>
          <w:rFonts w:asciiTheme="majorHAnsi" w:hAnsiTheme="majorHAnsi" w:cstheme="majorHAnsi"/>
          <w:sz w:val="20"/>
          <w:szCs w:val="20"/>
        </w:rPr>
        <w:t>Select at least three of the measures that are meaningful to the school and demonstrate its success in research and scholarly activities. Provide a target for each measure and data from the last three years in the format of Template E4-1. In addition to at least three from the list</w:t>
      </w:r>
      <w:r w:rsidR="00973ED4" w:rsidRPr="00E80636">
        <w:rPr>
          <w:rFonts w:asciiTheme="majorHAnsi" w:hAnsiTheme="majorHAnsi" w:cstheme="majorHAnsi"/>
          <w:sz w:val="20"/>
          <w:szCs w:val="20"/>
        </w:rPr>
        <w:t xml:space="preserve"> in the criteria</w:t>
      </w:r>
      <w:r w:rsidRPr="00E80636">
        <w:rPr>
          <w:rFonts w:asciiTheme="majorHAnsi" w:hAnsiTheme="majorHAnsi" w:cstheme="majorHAnsi"/>
          <w:sz w:val="20"/>
          <w:szCs w:val="20"/>
        </w:rPr>
        <w:t>, the school may add measures that are significant to its own mission and context.</w:t>
      </w:r>
    </w:p>
    <w:p w:rsidR="00933038" w:rsidRPr="00E80636" w:rsidRDefault="00933038" w:rsidP="006C308E">
      <w:pPr>
        <w:contextualSpacing/>
        <w:jc w:val="both"/>
        <w:rPr>
          <w:rFonts w:asciiTheme="majorHAnsi" w:hAnsiTheme="majorHAnsi" w:cstheme="majorHAnsi"/>
          <w:sz w:val="20"/>
          <w:szCs w:val="20"/>
        </w:rPr>
      </w:pPr>
    </w:p>
    <w:p w:rsidR="00871E51" w:rsidRPr="00E80636" w:rsidRDefault="00871E51" w:rsidP="006C308E">
      <w:pPr>
        <w:pStyle w:val="ListParagraph"/>
        <w:contextualSpacing/>
        <w:rPr>
          <w:rFonts w:asciiTheme="majorHAnsi" w:hAnsiTheme="majorHAnsi" w:cstheme="majorHAnsi"/>
          <w:szCs w:val="20"/>
        </w:rPr>
      </w:pPr>
      <w:r w:rsidRPr="00E80636">
        <w:rPr>
          <w:rFonts w:asciiTheme="majorHAnsi" w:hAnsiTheme="majorHAnsi" w:cstheme="majorHAnsi"/>
          <w:szCs w:val="20"/>
        </w:rPr>
        <w:t xml:space="preserve">The UTHealth School of Public Health has chosen the following three indicators as meaningful to its success in research and scholarly activities: </w:t>
      </w:r>
      <w:r w:rsidR="003629C2" w:rsidRPr="00E80636">
        <w:rPr>
          <w:rFonts w:asciiTheme="majorHAnsi" w:hAnsiTheme="majorHAnsi" w:cstheme="majorHAnsi"/>
          <w:szCs w:val="20"/>
        </w:rPr>
        <w:t xml:space="preserve">(1) percentage of total faculty participating in research activities as principal investigator by rank, (2) total research funding, and (3) number of grant submissions. In addition to these indicators, the school uses the following six indicators to assess scholarly activities: (1) portion of funding from federal sources, (2) average research score on peer review, (3) average research funding per faculty, (4) average number of grant awards per faculty by rank, </w:t>
      </w:r>
      <w:r w:rsidR="00A32FE1" w:rsidRPr="00E80636">
        <w:rPr>
          <w:rFonts w:asciiTheme="majorHAnsi" w:hAnsiTheme="majorHAnsi" w:cstheme="majorHAnsi"/>
          <w:szCs w:val="20"/>
        </w:rPr>
        <w:t>(</w:t>
      </w:r>
      <w:r w:rsidR="003629C2" w:rsidRPr="00E80636">
        <w:rPr>
          <w:rFonts w:asciiTheme="majorHAnsi" w:hAnsiTheme="majorHAnsi" w:cstheme="majorHAnsi"/>
          <w:szCs w:val="20"/>
        </w:rPr>
        <w:t>5) average number of grant submissions per faculty by rank, and (6) average percent salary offset by rank.</w:t>
      </w:r>
      <w:r w:rsidR="003629C2" w:rsidRPr="00E80636" w:rsidDel="003629C2">
        <w:rPr>
          <w:rFonts w:asciiTheme="majorHAnsi" w:hAnsiTheme="majorHAnsi" w:cstheme="majorHAnsi"/>
          <w:szCs w:val="20"/>
        </w:rPr>
        <w:t xml:space="preserve"> </w:t>
      </w:r>
    </w:p>
    <w:p w:rsidR="00871E51" w:rsidRPr="00E80636" w:rsidRDefault="00871E51" w:rsidP="006C308E">
      <w:pPr>
        <w:pStyle w:val="ListParagraph"/>
        <w:ind w:hanging="1080"/>
        <w:contextualSpacing/>
        <w:rPr>
          <w:rFonts w:asciiTheme="majorHAnsi" w:hAnsiTheme="majorHAnsi" w:cstheme="majorHAnsi"/>
          <w:szCs w:val="20"/>
        </w:rPr>
      </w:pPr>
    </w:p>
    <w:bookmarkStart w:id="130" w:name="tablee46"/>
    <w:p w:rsidR="00871E51" w:rsidRPr="00E80636" w:rsidRDefault="003544D6" w:rsidP="006C308E">
      <w:pPr>
        <w:pStyle w:val="ListParagraph"/>
        <w:contextualSpacing/>
        <w:rPr>
          <w:rFonts w:asciiTheme="majorHAnsi" w:eastAsia="Arial" w:hAnsiTheme="majorHAnsi" w:cstheme="majorHAnsi"/>
          <w:szCs w:val="20"/>
        </w:rPr>
      </w:pPr>
      <w:r w:rsidRPr="00E80636">
        <w:rPr>
          <w:rFonts w:asciiTheme="majorHAnsi" w:eastAsia="Arial" w:hAnsiTheme="majorHAnsi" w:cstheme="majorHAnsi"/>
          <w:szCs w:val="20"/>
          <w:highlight w:val="yellow"/>
        </w:rPr>
        <w:fldChar w:fldCharType="begin"/>
      </w:r>
      <w:r w:rsidRPr="00E80636">
        <w:rPr>
          <w:rFonts w:asciiTheme="majorHAnsi" w:eastAsia="Arial" w:hAnsiTheme="majorHAnsi" w:cstheme="majorHAnsi"/>
          <w:szCs w:val="20"/>
          <w:highlight w:val="yellow"/>
        </w:rPr>
        <w:instrText xml:space="preserve"> HYPERLINK  \l "tablee46b" </w:instrText>
      </w:r>
      <w:r w:rsidRPr="00E80636">
        <w:rPr>
          <w:rFonts w:asciiTheme="majorHAnsi" w:eastAsia="Arial" w:hAnsiTheme="majorHAnsi" w:cstheme="majorHAnsi"/>
          <w:szCs w:val="20"/>
          <w:highlight w:val="yellow"/>
        </w:rPr>
        <w:fldChar w:fldCharType="separate"/>
      </w:r>
      <w:r w:rsidR="008F4EAE" w:rsidRPr="00E80636">
        <w:rPr>
          <w:rStyle w:val="Hyperlink"/>
          <w:rFonts w:asciiTheme="majorHAnsi" w:eastAsia="Arial" w:hAnsiTheme="majorHAnsi" w:cstheme="majorHAnsi"/>
          <w:szCs w:val="20"/>
        </w:rPr>
        <w:t>Table E.4.6.</w:t>
      </w:r>
      <w:r w:rsidRPr="00E80636">
        <w:rPr>
          <w:rFonts w:asciiTheme="majorHAnsi" w:eastAsia="Arial" w:hAnsiTheme="majorHAnsi" w:cstheme="majorHAnsi"/>
          <w:szCs w:val="20"/>
          <w:highlight w:val="yellow"/>
        </w:rPr>
        <w:fldChar w:fldCharType="end"/>
      </w:r>
      <w:r w:rsidR="00871E51" w:rsidRPr="00E80636">
        <w:rPr>
          <w:rFonts w:asciiTheme="majorHAnsi" w:eastAsia="Arial" w:hAnsiTheme="majorHAnsi" w:cstheme="majorHAnsi"/>
          <w:szCs w:val="20"/>
        </w:rPr>
        <w:t xml:space="preserve"> </w:t>
      </w:r>
      <w:bookmarkEnd w:id="130"/>
      <w:r w:rsidR="00871E51" w:rsidRPr="00E80636">
        <w:rPr>
          <w:rFonts w:asciiTheme="majorHAnsi" w:eastAsia="Arial" w:hAnsiTheme="majorHAnsi" w:cstheme="majorHAnsi"/>
          <w:szCs w:val="20"/>
        </w:rPr>
        <w:t xml:space="preserve">provides measures that the school uses to track its success in scholarly activities. These measures are reported in the Annual Research Report and through the Annual Activity Report. The Research Report is reviewed by the Research Council and shared with department chairs and faculty through department meetings. The Research Council routinely discusses strategies to support scholarly activities and research goals. </w:t>
      </w:r>
    </w:p>
    <w:p w:rsidR="00871E51" w:rsidRPr="00E80636" w:rsidRDefault="00871E51" w:rsidP="006C308E">
      <w:pPr>
        <w:pStyle w:val="ListParagraph"/>
        <w:ind w:hanging="1080"/>
        <w:contextualSpacing/>
        <w:rPr>
          <w:rFonts w:asciiTheme="majorHAnsi" w:eastAsia="Arial" w:hAnsiTheme="majorHAnsi" w:cstheme="majorHAnsi"/>
          <w:szCs w:val="20"/>
        </w:rPr>
      </w:pPr>
    </w:p>
    <w:p w:rsidR="00871E51" w:rsidRPr="00E80636" w:rsidRDefault="008A13AC" w:rsidP="006C308E">
      <w:pPr>
        <w:ind w:left="720"/>
        <w:contextualSpacing/>
        <w:rPr>
          <w:rFonts w:asciiTheme="majorHAnsi" w:eastAsia="Arial" w:hAnsiTheme="majorHAnsi" w:cstheme="majorHAnsi"/>
          <w:sz w:val="20"/>
          <w:szCs w:val="20"/>
          <w:highlight w:val="yellow"/>
        </w:rPr>
      </w:pPr>
      <w:r w:rsidRPr="00E80636">
        <w:rPr>
          <w:rFonts w:asciiTheme="majorHAnsi" w:hAnsiTheme="majorHAnsi" w:cstheme="majorHAnsi"/>
          <w:sz w:val="20"/>
          <w:szCs w:val="20"/>
        </w:rPr>
        <w:t>While the research portfolio and productivity of the school have remained steady over the last three years, the UTHealth School of Public Health aspires to grow its research portfolio to $55,000,000 per year over the next three years. In order to reach this goal, we estimate that the average number of grant submission per faculty would need to increase slightly (from 3 to 3.5 per year) and the average amount of research funding per faculty would increase from $199,892 to $300,000.  The data over the last three years demonstrate that the portion of funding from federal sources has declined from 77% in 2016 to 71% in 2018. The school aspires to maintain at least 70% of its research portfolio from federal sources</w:t>
      </w:r>
    </w:p>
    <w:p w:rsidR="00871E51" w:rsidRPr="00E80636" w:rsidRDefault="00871E51" w:rsidP="006C308E">
      <w:pPr>
        <w:contextualSpacing/>
        <w:rPr>
          <w:rFonts w:asciiTheme="majorHAnsi" w:eastAsia="Arial" w:hAnsiTheme="majorHAnsi" w:cstheme="majorHAnsi"/>
          <w:sz w:val="20"/>
          <w:szCs w:val="20"/>
        </w:rPr>
      </w:pPr>
    </w:p>
    <w:p w:rsidR="008A13AC" w:rsidRPr="00E80636" w:rsidRDefault="008A13AC" w:rsidP="006C308E">
      <w:pPr>
        <w:ind w:firstLine="720"/>
        <w:contextualSpacing/>
        <w:rPr>
          <w:rFonts w:asciiTheme="majorHAnsi" w:eastAsia="Arial" w:hAnsiTheme="majorHAnsi" w:cstheme="majorHAnsi"/>
          <w:sz w:val="20"/>
          <w:szCs w:val="20"/>
        </w:rPr>
      </w:pPr>
      <w:bookmarkStart w:id="131" w:name="tablee46b"/>
      <w:r w:rsidRPr="00E80636">
        <w:rPr>
          <w:rFonts w:asciiTheme="majorHAnsi" w:eastAsia="Arial" w:hAnsiTheme="majorHAnsi" w:cstheme="majorHAnsi"/>
          <w:sz w:val="20"/>
          <w:szCs w:val="20"/>
        </w:rPr>
        <w:t xml:space="preserve">Table E.4.6. </w:t>
      </w:r>
      <w:bookmarkEnd w:id="131"/>
      <w:r w:rsidRPr="00E80636">
        <w:rPr>
          <w:rFonts w:asciiTheme="majorHAnsi" w:eastAsia="Arial" w:hAnsiTheme="majorHAnsi" w:cstheme="majorHAnsi"/>
          <w:sz w:val="20"/>
          <w:szCs w:val="20"/>
        </w:rPr>
        <w:t xml:space="preserve">UTHealth School of Public Health, Faculty Scholarship Indicators </w:t>
      </w:r>
    </w:p>
    <w:tbl>
      <w:tblPr>
        <w:tblStyle w:val="15"/>
        <w:tblW w:w="8789"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339"/>
        <w:gridCol w:w="1395"/>
        <w:gridCol w:w="1316"/>
        <w:gridCol w:w="1319"/>
      </w:tblGrid>
      <w:tr w:rsidR="004C5040" w:rsidRPr="00743A41" w:rsidTr="006E28EE">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3420" w:type="dxa"/>
            <w:tcBorders>
              <w:top w:val="none" w:sz="0" w:space="0" w:color="auto"/>
              <w:bottom w:val="none" w:sz="0" w:space="0" w:color="auto"/>
              <w:right w:val="none" w:sz="0" w:space="0" w:color="auto"/>
            </w:tcBorders>
            <w:hideMark/>
          </w:tcPr>
          <w:p w:rsidR="00871E51" w:rsidRPr="00E80636" w:rsidRDefault="00871E51" w:rsidP="006C308E">
            <w:pPr>
              <w:rPr>
                <w:rFonts w:asciiTheme="majorHAnsi" w:eastAsia="Times New Roman" w:hAnsiTheme="majorHAnsi" w:cstheme="majorHAnsi"/>
                <w:bCs/>
                <w:color w:val="000000"/>
                <w:sz w:val="20"/>
                <w:szCs w:val="20"/>
              </w:rPr>
            </w:pPr>
            <w:r w:rsidRPr="00E80636">
              <w:rPr>
                <w:rFonts w:asciiTheme="majorHAnsi" w:eastAsia="Times New Roman" w:hAnsiTheme="majorHAnsi" w:cstheme="majorHAnsi"/>
                <w:bCs/>
                <w:color w:val="000000"/>
                <w:sz w:val="20"/>
                <w:szCs w:val="20"/>
              </w:rPr>
              <w:t>Outcome Measure</w:t>
            </w:r>
          </w:p>
        </w:tc>
        <w:tc>
          <w:tcPr>
            <w:tcW w:w="1339" w:type="dxa"/>
            <w:tcBorders>
              <w:top w:val="none" w:sz="0" w:space="0" w:color="auto"/>
              <w:left w:val="none" w:sz="0" w:space="0" w:color="auto"/>
              <w:bottom w:val="none" w:sz="0" w:space="0" w:color="auto"/>
              <w:right w:val="none" w:sz="0" w:space="0" w:color="auto"/>
            </w:tcBorders>
            <w:hideMark/>
          </w:tcPr>
          <w:p w:rsidR="00871E51" w:rsidRPr="00E80636" w:rsidRDefault="00871E51" w:rsidP="006C308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rPr>
            </w:pPr>
            <w:r w:rsidRPr="00E80636">
              <w:rPr>
                <w:rFonts w:asciiTheme="majorHAnsi" w:eastAsia="Times New Roman" w:hAnsiTheme="majorHAnsi" w:cstheme="majorHAnsi"/>
                <w:bCs/>
                <w:color w:val="000000"/>
                <w:sz w:val="20"/>
                <w:szCs w:val="20"/>
              </w:rPr>
              <w:t>Target</w:t>
            </w:r>
          </w:p>
        </w:tc>
        <w:tc>
          <w:tcPr>
            <w:tcW w:w="1395" w:type="dxa"/>
            <w:tcBorders>
              <w:top w:val="none" w:sz="0" w:space="0" w:color="auto"/>
              <w:left w:val="none" w:sz="0" w:space="0" w:color="auto"/>
              <w:bottom w:val="none" w:sz="0" w:space="0" w:color="auto"/>
              <w:right w:val="none" w:sz="0" w:space="0" w:color="auto"/>
            </w:tcBorders>
            <w:hideMark/>
          </w:tcPr>
          <w:p w:rsidR="00871E51" w:rsidRPr="00E80636" w:rsidRDefault="00871E51" w:rsidP="006C308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rPr>
            </w:pPr>
            <w:r w:rsidRPr="00E80636">
              <w:rPr>
                <w:rFonts w:asciiTheme="majorHAnsi" w:eastAsia="Times New Roman" w:hAnsiTheme="majorHAnsi" w:cstheme="majorHAnsi"/>
                <w:bCs/>
                <w:color w:val="000000"/>
                <w:sz w:val="20"/>
                <w:szCs w:val="20"/>
              </w:rPr>
              <w:t>2016</w:t>
            </w:r>
          </w:p>
        </w:tc>
        <w:tc>
          <w:tcPr>
            <w:tcW w:w="1316" w:type="dxa"/>
            <w:tcBorders>
              <w:top w:val="none" w:sz="0" w:space="0" w:color="auto"/>
              <w:left w:val="none" w:sz="0" w:space="0" w:color="auto"/>
              <w:bottom w:val="none" w:sz="0" w:space="0" w:color="auto"/>
              <w:right w:val="none" w:sz="0" w:space="0" w:color="auto"/>
            </w:tcBorders>
            <w:hideMark/>
          </w:tcPr>
          <w:p w:rsidR="00871E51" w:rsidRPr="00E80636" w:rsidRDefault="00871E51" w:rsidP="006C308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rPr>
            </w:pPr>
            <w:r w:rsidRPr="00E80636">
              <w:rPr>
                <w:rFonts w:asciiTheme="majorHAnsi" w:eastAsia="Times New Roman" w:hAnsiTheme="majorHAnsi" w:cstheme="majorHAnsi"/>
                <w:bCs/>
                <w:color w:val="000000"/>
                <w:sz w:val="20"/>
                <w:szCs w:val="20"/>
              </w:rPr>
              <w:t>2017</w:t>
            </w:r>
          </w:p>
        </w:tc>
        <w:tc>
          <w:tcPr>
            <w:tcW w:w="1316" w:type="dxa"/>
            <w:tcBorders>
              <w:top w:val="none" w:sz="0" w:space="0" w:color="auto"/>
              <w:left w:val="none" w:sz="0" w:space="0" w:color="auto"/>
              <w:bottom w:val="none" w:sz="0" w:space="0" w:color="auto"/>
            </w:tcBorders>
            <w:hideMark/>
          </w:tcPr>
          <w:p w:rsidR="00871E51" w:rsidRPr="00E80636" w:rsidRDefault="00871E51" w:rsidP="006C308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rPr>
            </w:pPr>
            <w:r w:rsidRPr="00E80636">
              <w:rPr>
                <w:rFonts w:asciiTheme="majorHAnsi" w:eastAsia="Times New Roman" w:hAnsiTheme="majorHAnsi" w:cstheme="majorHAnsi"/>
                <w:bCs/>
                <w:color w:val="000000"/>
                <w:sz w:val="20"/>
                <w:szCs w:val="20"/>
              </w:rPr>
              <w:t>2018</w:t>
            </w:r>
          </w:p>
        </w:tc>
      </w:tr>
      <w:tr w:rsidR="004C5040" w:rsidRPr="00743A41" w:rsidTr="006E28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hideMark/>
          </w:tcPr>
          <w:p w:rsidR="008A13AC" w:rsidRPr="00E80636" w:rsidRDefault="008A13AC" w:rsidP="006C308E">
            <w:pPr>
              <w:rPr>
                <w:rFonts w:asciiTheme="majorHAnsi" w:eastAsia="Times New Roman" w:hAnsiTheme="majorHAnsi" w:cstheme="majorHAnsi"/>
                <w:b w:val="0"/>
                <w:color w:val="000000"/>
                <w:sz w:val="20"/>
                <w:szCs w:val="20"/>
              </w:rPr>
            </w:pPr>
            <w:r w:rsidRPr="00E80636">
              <w:rPr>
                <w:rFonts w:asciiTheme="majorHAnsi" w:eastAsia="Times New Roman" w:hAnsiTheme="majorHAnsi" w:cstheme="majorHAnsi"/>
                <w:b w:val="0"/>
                <w:color w:val="000000"/>
                <w:sz w:val="20"/>
                <w:szCs w:val="20"/>
              </w:rPr>
              <w:t xml:space="preserve">Total research funding </w:t>
            </w:r>
          </w:p>
        </w:tc>
        <w:tc>
          <w:tcPr>
            <w:tcW w:w="1339" w:type="dxa"/>
            <w:hideMark/>
          </w:tcPr>
          <w:p w:rsidR="008A13AC" w:rsidRPr="00E80636" w:rsidRDefault="008A13AC"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$55,000,000 </w:t>
            </w:r>
          </w:p>
        </w:tc>
        <w:tc>
          <w:tcPr>
            <w:tcW w:w="1395" w:type="dxa"/>
            <w:hideMark/>
          </w:tcPr>
          <w:p w:rsidR="008A13AC" w:rsidRPr="00E80636" w:rsidRDefault="008A13AC"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 xml:space="preserve">$46,307,344 </w:t>
            </w:r>
          </w:p>
        </w:tc>
        <w:tc>
          <w:tcPr>
            <w:tcW w:w="1316" w:type="dxa"/>
            <w:hideMark/>
          </w:tcPr>
          <w:p w:rsidR="008A13AC" w:rsidRPr="00E80636" w:rsidRDefault="008A13AC"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 xml:space="preserve"> $47,411,951 </w:t>
            </w:r>
          </w:p>
        </w:tc>
        <w:tc>
          <w:tcPr>
            <w:tcW w:w="1316" w:type="dxa"/>
            <w:hideMark/>
          </w:tcPr>
          <w:p w:rsidR="008A13AC" w:rsidRPr="00E80636" w:rsidRDefault="008A13AC"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 xml:space="preserve"> $45,575,402 </w:t>
            </w:r>
          </w:p>
        </w:tc>
      </w:tr>
      <w:tr w:rsidR="004C5040" w:rsidRPr="00743A41" w:rsidTr="004C5040">
        <w:trPr>
          <w:trHeight w:val="323"/>
        </w:trPr>
        <w:tc>
          <w:tcPr>
            <w:cnfStyle w:val="001000000000" w:firstRow="0" w:lastRow="0" w:firstColumn="1" w:lastColumn="0" w:oddVBand="0" w:evenVBand="0" w:oddHBand="0" w:evenHBand="0" w:firstRowFirstColumn="0" w:firstRowLastColumn="0" w:lastRowFirstColumn="0" w:lastRowLastColumn="0"/>
            <w:tcW w:w="3420" w:type="dxa"/>
          </w:tcPr>
          <w:p w:rsidR="008A13AC" w:rsidRPr="00E80636" w:rsidRDefault="008A13AC" w:rsidP="006C308E">
            <w:pPr>
              <w:rPr>
                <w:rFonts w:asciiTheme="majorHAnsi" w:eastAsia="Times New Roman" w:hAnsiTheme="majorHAnsi" w:cstheme="majorHAnsi"/>
                <w:b w:val="0"/>
                <w:color w:val="000000"/>
                <w:sz w:val="20"/>
                <w:szCs w:val="20"/>
              </w:rPr>
            </w:pPr>
            <w:r w:rsidRPr="00E80636">
              <w:rPr>
                <w:rFonts w:asciiTheme="majorHAnsi" w:eastAsia="Times New Roman" w:hAnsiTheme="majorHAnsi" w:cstheme="majorHAnsi"/>
                <w:b w:val="0"/>
                <w:color w:val="000000"/>
                <w:sz w:val="20"/>
                <w:szCs w:val="20"/>
              </w:rPr>
              <w:t>Average research funding per faculty</w:t>
            </w:r>
          </w:p>
        </w:tc>
        <w:tc>
          <w:tcPr>
            <w:tcW w:w="1339" w:type="dxa"/>
          </w:tcPr>
          <w:p w:rsidR="008A13AC" w:rsidRPr="00E80636" w:rsidRDefault="008A13AC" w:rsidP="006C30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E80636">
              <w:rPr>
                <w:rFonts w:asciiTheme="majorHAnsi" w:hAnsiTheme="majorHAnsi" w:cstheme="majorHAnsi"/>
                <w:color w:val="000000"/>
                <w:sz w:val="20"/>
                <w:szCs w:val="20"/>
              </w:rPr>
              <w:t> $300,000</w:t>
            </w:r>
          </w:p>
        </w:tc>
        <w:tc>
          <w:tcPr>
            <w:tcW w:w="1395" w:type="dxa"/>
          </w:tcPr>
          <w:p w:rsidR="008A13AC" w:rsidRPr="00E80636" w:rsidRDefault="008A13AC" w:rsidP="006C30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$204,900</w:t>
            </w:r>
          </w:p>
        </w:tc>
        <w:tc>
          <w:tcPr>
            <w:tcW w:w="1316" w:type="dxa"/>
          </w:tcPr>
          <w:p w:rsidR="008A13AC" w:rsidRPr="00E80636" w:rsidRDefault="008A13AC" w:rsidP="006C30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$212,610</w:t>
            </w:r>
          </w:p>
        </w:tc>
        <w:tc>
          <w:tcPr>
            <w:tcW w:w="1316" w:type="dxa"/>
          </w:tcPr>
          <w:p w:rsidR="008A13AC" w:rsidRPr="00E80636" w:rsidRDefault="008A13AC" w:rsidP="006C30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$199,892</w:t>
            </w:r>
          </w:p>
        </w:tc>
      </w:tr>
      <w:tr w:rsidR="004C5040" w:rsidRPr="00743A41" w:rsidTr="006E28E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420" w:type="dxa"/>
            <w:hideMark/>
          </w:tcPr>
          <w:p w:rsidR="008A13AC" w:rsidRPr="00E80636" w:rsidRDefault="008A13AC" w:rsidP="006C308E">
            <w:pPr>
              <w:rPr>
                <w:rFonts w:asciiTheme="majorHAnsi" w:eastAsia="Times New Roman" w:hAnsiTheme="majorHAnsi" w:cstheme="majorHAnsi"/>
                <w:b w:val="0"/>
                <w:color w:val="000000"/>
                <w:sz w:val="20"/>
                <w:szCs w:val="20"/>
              </w:rPr>
            </w:pPr>
            <w:r w:rsidRPr="00E80636">
              <w:rPr>
                <w:rFonts w:asciiTheme="majorHAnsi" w:eastAsia="Times New Roman" w:hAnsiTheme="majorHAnsi" w:cstheme="majorHAnsi"/>
                <w:b w:val="0"/>
                <w:color w:val="000000"/>
                <w:sz w:val="20"/>
                <w:szCs w:val="20"/>
              </w:rPr>
              <w:t>Portion of funding from federal sources</w:t>
            </w:r>
          </w:p>
        </w:tc>
        <w:tc>
          <w:tcPr>
            <w:tcW w:w="1339" w:type="dxa"/>
            <w:hideMark/>
          </w:tcPr>
          <w:p w:rsidR="008A13AC" w:rsidRPr="00E80636" w:rsidRDefault="008A13AC"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E80636">
              <w:rPr>
                <w:rFonts w:asciiTheme="majorHAnsi" w:hAnsiTheme="majorHAnsi" w:cstheme="majorHAnsi"/>
                <w:color w:val="000000"/>
                <w:sz w:val="20"/>
                <w:szCs w:val="20"/>
              </w:rPr>
              <w:t>70%</w:t>
            </w:r>
          </w:p>
        </w:tc>
        <w:tc>
          <w:tcPr>
            <w:tcW w:w="1395" w:type="dxa"/>
            <w:hideMark/>
          </w:tcPr>
          <w:p w:rsidR="008A13AC" w:rsidRPr="00E80636" w:rsidRDefault="008A13AC"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77%</w:t>
            </w:r>
          </w:p>
        </w:tc>
        <w:tc>
          <w:tcPr>
            <w:tcW w:w="1316" w:type="dxa"/>
            <w:hideMark/>
          </w:tcPr>
          <w:p w:rsidR="008A13AC" w:rsidRPr="00E80636" w:rsidRDefault="008A13AC"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72%</w:t>
            </w:r>
          </w:p>
        </w:tc>
        <w:tc>
          <w:tcPr>
            <w:tcW w:w="1316" w:type="dxa"/>
            <w:hideMark/>
          </w:tcPr>
          <w:p w:rsidR="008A13AC" w:rsidRPr="00E80636" w:rsidRDefault="008A13AC"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71%</w:t>
            </w:r>
          </w:p>
        </w:tc>
      </w:tr>
      <w:tr w:rsidR="008A13AC" w:rsidRPr="00743A41" w:rsidTr="006E28EE">
        <w:trPr>
          <w:trHeight w:val="341"/>
        </w:trPr>
        <w:tc>
          <w:tcPr>
            <w:cnfStyle w:val="001000000000" w:firstRow="0" w:lastRow="0" w:firstColumn="1" w:lastColumn="0" w:oddVBand="0" w:evenVBand="0" w:oddHBand="0" w:evenHBand="0" w:firstRowFirstColumn="0" w:firstRowLastColumn="0" w:lastRowFirstColumn="0" w:lastRowLastColumn="0"/>
            <w:tcW w:w="8789" w:type="dxa"/>
            <w:gridSpan w:val="5"/>
            <w:hideMark/>
          </w:tcPr>
          <w:p w:rsidR="008A13AC" w:rsidRPr="00E80636" w:rsidRDefault="008A13AC" w:rsidP="006C308E">
            <w:pPr>
              <w:rPr>
                <w:rFonts w:asciiTheme="majorHAnsi" w:eastAsia="Times New Roman" w:hAnsiTheme="majorHAnsi" w:cstheme="majorHAnsi"/>
                <w:b w:val="0"/>
                <w:color w:val="000000"/>
                <w:sz w:val="20"/>
                <w:szCs w:val="20"/>
              </w:rPr>
            </w:pPr>
            <w:r w:rsidRPr="00E80636">
              <w:rPr>
                <w:rFonts w:asciiTheme="majorHAnsi" w:eastAsia="Times New Roman" w:hAnsiTheme="majorHAnsi" w:cstheme="majorHAnsi"/>
                <w:b w:val="0"/>
                <w:color w:val="000000"/>
                <w:sz w:val="20"/>
                <w:szCs w:val="20"/>
              </w:rPr>
              <w:t xml:space="preserve">Percentage of faculty who participate in research activities as PI by rank </w:t>
            </w:r>
          </w:p>
        </w:tc>
      </w:tr>
      <w:tr w:rsidR="004C5040" w:rsidRPr="00743A41" w:rsidTr="006E28E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20" w:type="dxa"/>
            <w:hideMark/>
          </w:tcPr>
          <w:p w:rsidR="008A13AC" w:rsidRPr="00E80636" w:rsidRDefault="008A13AC" w:rsidP="006C308E">
            <w:pPr>
              <w:jc w:val="right"/>
              <w:rPr>
                <w:rFonts w:asciiTheme="majorHAnsi" w:eastAsia="Times New Roman" w:hAnsiTheme="majorHAnsi" w:cstheme="majorHAnsi"/>
                <w:b w:val="0"/>
                <w:color w:val="000000"/>
                <w:sz w:val="20"/>
                <w:szCs w:val="20"/>
              </w:rPr>
            </w:pPr>
            <w:r w:rsidRPr="00E80636">
              <w:rPr>
                <w:rFonts w:asciiTheme="majorHAnsi" w:eastAsia="Times New Roman" w:hAnsiTheme="majorHAnsi" w:cstheme="majorHAnsi"/>
                <w:b w:val="0"/>
                <w:color w:val="000000"/>
                <w:sz w:val="20"/>
                <w:szCs w:val="20"/>
              </w:rPr>
              <w:t>assistant</w:t>
            </w:r>
          </w:p>
        </w:tc>
        <w:tc>
          <w:tcPr>
            <w:tcW w:w="1339" w:type="dxa"/>
            <w:hideMark/>
          </w:tcPr>
          <w:p w:rsidR="008A13AC" w:rsidRPr="00E80636" w:rsidRDefault="008A13AC"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E80636">
              <w:rPr>
                <w:rFonts w:asciiTheme="majorHAnsi" w:hAnsiTheme="majorHAnsi" w:cstheme="majorHAnsi"/>
                <w:color w:val="000000"/>
                <w:sz w:val="20"/>
                <w:szCs w:val="20"/>
              </w:rPr>
              <w:t>45% </w:t>
            </w:r>
          </w:p>
        </w:tc>
        <w:tc>
          <w:tcPr>
            <w:tcW w:w="1395" w:type="dxa"/>
            <w:hideMark/>
          </w:tcPr>
          <w:p w:rsidR="008A13AC" w:rsidRPr="00E80636" w:rsidRDefault="008A13AC"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38%</w:t>
            </w:r>
          </w:p>
        </w:tc>
        <w:tc>
          <w:tcPr>
            <w:tcW w:w="1316" w:type="dxa"/>
            <w:hideMark/>
          </w:tcPr>
          <w:p w:rsidR="008A13AC" w:rsidRPr="00E80636" w:rsidRDefault="008A13AC"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43%</w:t>
            </w:r>
          </w:p>
        </w:tc>
        <w:tc>
          <w:tcPr>
            <w:tcW w:w="1316" w:type="dxa"/>
            <w:hideMark/>
          </w:tcPr>
          <w:p w:rsidR="008A13AC" w:rsidRPr="00E80636" w:rsidRDefault="008A13AC"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46%</w:t>
            </w:r>
          </w:p>
        </w:tc>
      </w:tr>
      <w:tr w:rsidR="004C5040" w:rsidRPr="00743A41" w:rsidTr="004C5040">
        <w:trPr>
          <w:trHeight w:val="290"/>
        </w:trPr>
        <w:tc>
          <w:tcPr>
            <w:cnfStyle w:val="001000000000" w:firstRow="0" w:lastRow="0" w:firstColumn="1" w:lastColumn="0" w:oddVBand="0" w:evenVBand="0" w:oddHBand="0" w:evenHBand="0" w:firstRowFirstColumn="0" w:firstRowLastColumn="0" w:lastRowFirstColumn="0" w:lastRowLastColumn="0"/>
            <w:tcW w:w="3420" w:type="dxa"/>
            <w:hideMark/>
          </w:tcPr>
          <w:p w:rsidR="008A13AC" w:rsidRPr="00E80636" w:rsidRDefault="008A13AC" w:rsidP="006C308E">
            <w:pPr>
              <w:jc w:val="right"/>
              <w:rPr>
                <w:rFonts w:asciiTheme="majorHAnsi" w:eastAsia="Times New Roman" w:hAnsiTheme="majorHAnsi" w:cstheme="majorHAnsi"/>
                <w:b w:val="0"/>
                <w:color w:val="000000"/>
                <w:sz w:val="20"/>
                <w:szCs w:val="20"/>
              </w:rPr>
            </w:pPr>
            <w:r w:rsidRPr="00E80636">
              <w:rPr>
                <w:rFonts w:asciiTheme="majorHAnsi" w:eastAsia="Times New Roman" w:hAnsiTheme="majorHAnsi" w:cstheme="majorHAnsi"/>
                <w:b w:val="0"/>
                <w:color w:val="000000"/>
                <w:sz w:val="20"/>
                <w:szCs w:val="20"/>
              </w:rPr>
              <w:t>associate</w:t>
            </w:r>
          </w:p>
        </w:tc>
        <w:tc>
          <w:tcPr>
            <w:tcW w:w="1339" w:type="dxa"/>
            <w:hideMark/>
          </w:tcPr>
          <w:p w:rsidR="008A13AC" w:rsidRPr="00E80636" w:rsidRDefault="008A13AC" w:rsidP="006C30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E80636">
              <w:rPr>
                <w:rFonts w:asciiTheme="majorHAnsi" w:hAnsiTheme="majorHAnsi" w:cstheme="majorHAnsi"/>
                <w:color w:val="000000"/>
                <w:sz w:val="20"/>
                <w:szCs w:val="20"/>
              </w:rPr>
              <w:t> 70%</w:t>
            </w:r>
          </w:p>
        </w:tc>
        <w:tc>
          <w:tcPr>
            <w:tcW w:w="1395" w:type="dxa"/>
            <w:hideMark/>
          </w:tcPr>
          <w:p w:rsidR="008A13AC" w:rsidRPr="00E80636" w:rsidRDefault="008A13AC" w:rsidP="006C30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79%</w:t>
            </w:r>
          </w:p>
        </w:tc>
        <w:tc>
          <w:tcPr>
            <w:tcW w:w="1316" w:type="dxa"/>
            <w:hideMark/>
          </w:tcPr>
          <w:p w:rsidR="008A13AC" w:rsidRPr="00E80636" w:rsidRDefault="008A13AC" w:rsidP="006C30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65%</w:t>
            </w:r>
          </w:p>
        </w:tc>
        <w:tc>
          <w:tcPr>
            <w:tcW w:w="1316" w:type="dxa"/>
            <w:hideMark/>
          </w:tcPr>
          <w:p w:rsidR="008A13AC" w:rsidRPr="00E80636" w:rsidRDefault="008A13AC" w:rsidP="006C30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60%</w:t>
            </w:r>
          </w:p>
        </w:tc>
      </w:tr>
      <w:tr w:rsidR="004C5040" w:rsidRPr="00743A41" w:rsidTr="006E28E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20" w:type="dxa"/>
            <w:hideMark/>
          </w:tcPr>
          <w:p w:rsidR="008A13AC" w:rsidRPr="00E80636" w:rsidRDefault="008A13AC" w:rsidP="006C308E">
            <w:pPr>
              <w:jc w:val="right"/>
              <w:rPr>
                <w:rFonts w:asciiTheme="majorHAnsi" w:eastAsia="Times New Roman" w:hAnsiTheme="majorHAnsi" w:cstheme="majorHAnsi"/>
                <w:b w:val="0"/>
                <w:color w:val="000000"/>
                <w:sz w:val="20"/>
                <w:szCs w:val="20"/>
              </w:rPr>
            </w:pPr>
            <w:r w:rsidRPr="00E80636">
              <w:rPr>
                <w:rFonts w:asciiTheme="majorHAnsi" w:eastAsia="Times New Roman" w:hAnsiTheme="majorHAnsi" w:cstheme="majorHAnsi"/>
                <w:b w:val="0"/>
                <w:color w:val="000000"/>
                <w:sz w:val="20"/>
                <w:szCs w:val="20"/>
              </w:rPr>
              <w:t xml:space="preserve">full </w:t>
            </w:r>
          </w:p>
        </w:tc>
        <w:tc>
          <w:tcPr>
            <w:tcW w:w="1339" w:type="dxa"/>
            <w:hideMark/>
          </w:tcPr>
          <w:p w:rsidR="008A13AC" w:rsidRPr="00E80636" w:rsidRDefault="008A13AC"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E80636">
              <w:rPr>
                <w:rFonts w:asciiTheme="majorHAnsi" w:hAnsiTheme="majorHAnsi" w:cstheme="majorHAnsi"/>
                <w:color w:val="000000"/>
                <w:sz w:val="20"/>
                <w:szCs w:val="20"/>
              </w:rPr>
              <w:t> 60%</w:t>
            </w:r>
          </w:p>
        </w:tc>
        <w:tc>
          <w:tcPr>
            <w:tcW w:w="1395" w:type="dxa"/>
            <w:hideMark/>
          </w:tcPr>
          <w:p w:rsidR="008A13AC" w:rsidRPr="00E80636" w:rsidRDefault="008A13AC"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60%</w:t>
            </w:r>
          </w:p>
        </w:tc>
        <w:tc>
          <w:tcPr>
            <w:tcW w:w="1316" w:type="dxa"/>
            <w:hideMark/>
          </w:tcPr>
          <w:p w:rsidR="008A13AC" w:rsidRPr="00E80636" w:rsidRDefault="008A13AC"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57%</w:t>
            </w:r>
          </w:p>
        </w:tc>
        <w:tc>
          <w:tcPr>
            <w:tcW w:w="1316" w:type="dxa"/>
            <w:hideMark/>
          </w:tcPr>
          <w:p w:rsidR="008A13AC" w:rsidRPr="00E80636" w:rsidRDefault="008A13AC"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55%</w:t>
            </w:r>
          </w:p>
        </w:tc>
      </w:tr>
      <w:tr w:rsidR="008A13AC" w:rsidRPr="00743A41" w:rsidTr="006E28EE">
        <w:trPr>
          <w:trHeight w:val="332"/>
        </w:trPr>
        <w:tc>
          <w:tcPr>
            <w:cnfStyle w:val="001000000000" w:firstRow="0" w:lastRow="0" w:firstColumn="1" w:lastColumn="0" w:oddVBand="0" w:evenVBand="0" w:oddHBand="0" w:evenHBand="0" w:firstRowFirstColumn="0" w:firstRowLastColumn="0" w:lastRowFirstColumn="0" w:lastRowLastColumn="0"/>
            <w:tcW w:w="8789" w:type="dxa"/>
            <w:gridSpan w:val="5"/>
            <w:hideMark/>
          </w:tcPr>
          <w:p w:rsidR="008A13AC" w:rsidRPr="00E80636" w:rsidRDefault="008A13AC" w:rsidP="006C308E">
            <w:pPr>
              <w:rPr>
                <w:rFonts w:asciiTheme="majorHAnsi" w:eastAsia="Times New Roman" w:hAnsiTheme="majorHAnsi" w:cstheme="majorHAnsi"/>
                <w:b w:val="0"/>
                <w:color w:val="000000"/>
                <w:sz w:val="20"/>
                <w:szCs w:val="20"/>
              </w:rPr>
            </w:pPr>
            <w:r w:rsidRPr="00E80636">
              <w:rPr>
                <w:rFonts w:asciiTheme="majorHAnsi" w:eastAsia="Times New Roman" w:hAnsiTheme="majorHAnsi" w:cstheme="majorHAnsi"/>
                <w:b w:val="0"/>
                <w:color w:val="000000"/>
                <w:sz w:val="20"/>
                <w:szCs w:val="20"/>
              </w:rPr>
              <w:t>Average number of grant awards per faculty by rank</w:t>
            </w:r>
          </w:p>
        </w:tc>
      </w:tr>
      <w:tr w:rsidR="004C5040" w:rsidRPr="00743A41" w:rsidTr="006E28E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20" w:type="dxa"/>
            <w:hideMark/>
          </w:tcPr>
          <w:p w:rsidR="00871E51" w:rsidRPr="00E80636" w:rsidRDefault="00871E51" w:rsidP="006C308E">
            <w:pPr>
              <w:jc w:val="right"/>
              <w:rPr>
                <w:rFonts w:asciiTheme="majorHAnsi" w:eastAsia="Times New Roman" w:hAnsiTheme="majorHAnsi" w:cstheme="majorHAnsi"/>
                <w:b w:val="0"/>
                <w:color w:val="000000"/>
                <w:sz w:val="20"/>
                <w:szCs w:val="20"/>
              </w:rPr>
            </w:pPr>
            <w:r w:rsidRPr="00E80636">
              <w:rPr>
                <w:rFonts w:asciiTheme="majorHAnsi" w:eastAsia="Times New Roman" w:hAnsiTheme="majorHAnsi" w:cstheme="majorHAnsi"/>
                <w:b w:val="0"/>
                <w:color w:val="000000"/>
                <w:sz w:val="20"/>
                <w:szCs w:val="20"/>
              </w:rPr>
              <w:t>assistant</w:t>
            </w:r>
          </w:p>
        </w:tc>
        <w:tc>
          <w:tcPr>
            <w:tcW w:w="1339" w:type="dxa"/>
            <w:hideMark/>
          </w:tcPr>
          <w:p w:rsidR="00871E51" w:rsidRPr="00E80636" w:rsidRDefault="00871E51"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1 </w:t>
            </w:r>
          </w:p>
        </w:tc>
        <w:tc>
          <w:tcPr>
            <w:tcW w:w="1395" w:type="dxa"/>
            <w:hideMark/>
          </w:tcPr>
          <w:p w:rsidR="00871E51" w:rsidRPr="00E80636" w:rsidRDefault="00871E51"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0.7</w:t>
            </w:r>
          </w:p>
        </w:tc>
        <w:tc>
          <w:tcPr>
            <w:tcW w:w="1316" w:type="dxa"/>
            <w:hideMark/>
          </w:tcPr>
          <w:p w:rsidR="00871E51" w:rsidRPr="00E80636" w:rsidRDefault="00871E51"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0.7</w:t>
            </w:r>
          </w:p>
        </w:tc>
        <w:tc>
          <w:tcPr>
            <w:tcW w:w="1316" w:type="dxa"/>
            <w:hideMark/>
          </w:tcPr>
          <w:p w:rsidR="00871E51" w:rsidRPr="00E80636" w:rsidRDefault="00871E51"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0.8</w:t>
            </w:r>
          </w:p>
        </w:tc>
      </w:tr>
      <w:tr w:rsidR="004C5040" w:rsidRPr="00743A41" w:rsidTr="004C5040">
        <w:trPr>
          <w:trHeight w:val="290"/>
        </w:trPr>
        <w:tc>
          <w:tcPr>
            <w:cnfStyle w:val="001000000000" w:firstRow="0" w:lastRow="0" w:firstColumn="1" w:lastColumn="0" w:oddVBand="0" w:evenVBand="0" w:oddHBand="0" w:evenHBand="0" w:firstRowFirstColumn="0" w:firstRowLastColumn="0" w:lastRowFirstColumn="0" w:lastRowLastColumn="0"/>
            <w:tcW w:w="3420" w:type="dxa"/>
            <w:hideMark/>
          </w:tcPr>
          <w:p w:rsidR="00871E51" w:rsidRPr="00E80636" w:rsidRDefault="00871E51" w:rsidP="006C308E">
            <w:pPr>
              <w:jc w:val="right"/>
              <w:rPr>
                <w:rFonts w:asciiTheme="majorHAnsi" w:eastAsia="Times New Roman" w:hAnsiTheme="majorHAnsi" w:cstheme="majorHAnsi"/>
                <w:b w:val="0"/>
                <w:color w:val="000000"/>
                <w:sz w:val="20"/>
                <w:szCs w:val="20"/>
              </w:rPr>
            </w:pPr>
            <w:r w:rsidRPr="00E80636">
              <w:rPr>
                <w:rFonts w:asciiTheme="majorHAnsi" w:eastAsia="Times New Roman" w:hAnsiTheme="majorHAnsi" w:cstheme="majorHAnsi"/>
                <w:b w:val="0"/>
                <w:color w:val="000000"/>
                <w:sz w:val="20"/>
                <w:szCs w:val="20"/>
              </w:rPr>
              <w:t>associate</w:t>
            </w:r>
          </w:p>
        </w:tc>
        <w:tc>
          <w:tcPr>
            <w:tcW w:w="1339" w:type="dxa"/>
            <w:hideMark/>
          </w:tcPr>
          <w:p w:rsidR="00871E51" w:rsidRPr="00E80636" w:rsidRDefault="008A13AC" w:rsidP="006C30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3</w:t>
            </w:r>
          </w:p>
        </w:tc>
        <w:tc>
          <w:tcPr>
            <w:tcW w:w="1395" w:type="dxa"/>
            <w:hideMark/>
          </w:tcPr>
          <w:p w:rsidR="00871E51" w:rsidRPr="00E80636" w:rsidRDefault="00871E51" w:rsidP="006C30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1.4</w:t>
            </w:r>
          </w:p>
        </w:tc>
        <w:tc>
          <w:tcPr>
            <w:tcW w:w="1316" w:type="dxa"/>
            <w:hideMark/>
          </w:tcPr>
          <w:p w:rsidR="00871E51" w:rsidRPr="00E80636" w:rsidRDefault="00871E51" w:rsidP="006C30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1.4</w:t>
            </w:r>
          </w:p>
        </w:tc>
        <w:tc>
          <w:tcPr>
            <w:tcW w:w="1316" w:type="dxa"/>
            <w:hideMark/>
          </w:tcPr>
          <w:p w:rsidR="00871E51" w:rsidRPr="00E80636" w:rsidRDefault="00871E51" w:rsidP="006C30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1.3</w:t>
            </w:r>
          </w:p>
        </w:tc>
      </w:tr>
      <w:tr w:rsidR="004C5040" w:rsidRPr="00743A41" w:rsidTr="006E28E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20" w:type="dxa"/>
            <w:hideMark/>
          </w:tcPr>
          <w:p w:rsidR="00871E51" w:rsidRPr="00E80636" w:rsidRDefault="00871E51" w:rsidP="006C308E">
            <w:pPr>
              <w:jc w:val="right"/>
              <w:rPr>
                <w:rFonts w:asciiTheme="majorHAnsi" w:eastAsia="Times New Roman" w:hAnsiTheme="majorHAnsi" w:cstheme="majorHAnsi"/>
                <w:b w:val="0"/>
                <w:color w:val="000000"/>
                <w:sz w:val="20"/>
                <w:szCs w:val="20"/>
              </w:rPr>
            </w:pPr>
            <w:r w:rsidRPr="00E80636">
              <w:rPr>
                <w:rFonts w:asciiTheme="majorHAnsi" w:eastAsia="Times New Roman" w:hAnsiTheme="majorHAnsi" w:cstheme="majorHAnsi"/>
                <w:b w:val="0"/>
                <w:color w:val="000000"/>
                <w:sz w:val="20"/>
                <w:szCs w:val="20"/>
              </w:rPr>
              <w:t xml:space="preserve">full </w:t>
            </w:r>
          </w:p>
        </w:tc>
        <w:tc>
          <w:tcPr>
            <w:tcW w:w="1339" w:type="dxa"/>
            <w:hideMark/>
          </w:tcPr>
          <w:p w:rsidR="00871E51" w:rsidRPr="00E80636" w:rsidRDefault="00871E51"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 3</w:t>
            </w:r>
          </w:p>
        </w:tc>
        <w:tc>
          <w:tcPr>
            <w:tcW w:w="1395" w:type="dxa"/>
            <w:hideMark/>
          </w:tcPr>
          <w:p w:rsidR="00871E51" w:rsidRPr="00E80636" w:rsidRDefault="00871E51"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2</w:t>
            </w:r>
          </w:p>
        </w:tc>
        <w:tc>
          <w:tcPr>
            <w:tcW w:w="1316" w:type="dxa"/>
            <w:hideMark/>
          </w:tcPr>
          <w:p w:rsidR="00871E51" w:rsidRPr="00E80636" w:rsidRDefault="00871E51"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2</w:t>
            </w:r>
          </w:p>
        </w:tc>
        <w:tc>
          <w:tcPr>
            <w:tcW w:w="1316" w:type="dxa"/>
            <w:hideMark/>
          </w:tcPr>
          <w:p w:rsidR="00871E51" w:rsidRPr="00E80636" w:rsidRDefault="00871E51"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1.6</w:t>
            </w:r>
          </w:p>
        </w:tc>
      </w:tr>
      <w:tr w:rsidR="004C5040" w:rsidRPr="00743A41" w:rsidTr="004C5040">
        <w:trPr>
          <w:trHeight w:val="290"/>
        </w:trPr>
        <w:tc>
          <w:tcPr>
            <w:cnfStyle w:val="001000000000" w:firstRow="0" w:lastRow="0" w:firstColumn="1" w:lastColumn="0" w:oddVBand="0" w:evenVBand="0" w:oddHBand="0" w:evenHBand="0" w:firstRowFirstColumn="0" w:firstRowLastColumn="0" w:lastRowFirstColumn="0" w:lastRowLastColumn="0"/>
            <w:tcW w:w="3420" w:type="dxa"/>
            <w:hideMark/>
          </w:tcPr>
          <w:p w:rsidR="00871E51" w:rsidRPr="00E80636" w:rsidRDefault="00871E51" w:rsidP="006C308E">
            <w:pPr>
              <w:rPr>
                <w:rFonts w:asciiTheme="majorHAnsi" w:eastAsia="Times New Roman" w:hAnsiTheme="majorHAnsi" w:cstheme="majorHAnsi"/>
                <w:b w:val="0"/>
                <w:color w:val="000000"/>
                <w:sz w:val="20"/>
                <w:szCs w:val="20"/>
              </w:rPr>
            </w:pPr>
            <w:r w:rsidRPr="00E80636">
              <w:rPr>
                <w:rFonts w:asciiTheme="majorHAnsi" w:eastAsia="Times New Roman" w:hAnsiTheme="majorHAnsi" w:cstheme="majorHAnsi"/>
                <w:b w:val="0"/>
                <w:color w:val="000000"/>
                <w:sz w:val="20"/>
                <w:szCs w:val="20"/>
              </w:rPr>
              <w:t xml:space="preserve">Total grant submissions </w:t>
            </w:r>
          </w:p>
        </w:tc>
        <w:tc>
          <w:tcPr>
            <w:tcW w:w="1339" w:type="dxa"/>
            <w:hideMark/>
          </w:tcPr>
          <w:p w:rsidR="00871E51" w:rsidRPr="00E80636" w:rsidRDefault="00871E51" w:rsidP="006C30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551</w:t>
            </w:r>
          </w:p>
        </w:tc>
        <w:tc>
          <w:tcPr>
            <w:tcW w:w="1395" w:type="dxa"/>
            <w:hideMark/>
          </w:tcPr>
          <w:p w:rsidR="00871E51" w:rsidRPr="00E80636" w:rsidRDefault="00871E51" w:rsidP="006C30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479</w:t>
            </w:r>
          </w:p>
        </w:tc>
        <w:tc>
          <w:tcPr>
            <w:tcW w:w="1316" w:type="dxa"/>
            <w:hideMark/>
          </w:tcPr>
          <w:p w:rsidR="00871E51" w:rsidRPr="00E80636" w:rsidRDefault="00871E51" w:rsidP="006C30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498</w:t>
            </w:r>
          </w:p>
        </w:tc>
        <w:tc>
          <w:tcPr>
            <w:tcW w:w="1316" w:type="dxa"/>
            <w:hideMark/>
          </w:tcPr>
          <w:p w:rsidR="00871E51" w:rsidRPr="00E80636" w:rsidRDefault="00871E51" w:rsidP="006C30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538</w:t>
            </w:r>
          </w:p>
        </w:tc>
      </w:tr>
      <w:tr w:rsidR="004C5040" w:rsidRPr="00743A41" w:rsidTr="006E28E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420" w:type="dxa"/>
            <w:hideMark/>
          </w:tcPr>
          <w:p w:rsidR="00871E51" w:rsidRPr="00E80636" w:rsidRDefault="00871E51" w:rsidP="006C308E">
            <w:pPr>
              <w:rPr>
                <w:rFonts w:asciiTheme="majorHAnsi" w:eastAsia="Times New Roman" w:hAnsiTheme="majorHAnsi" w:cstheme="majorHAnsi"/>
                <w:b w:val="0"/>
                <w:color w:val="000000"/>
                <w:sz w:val="20"/>
                <w:szCs w:val="20"/>
              </w:rPr>
            </w:pPr>
            <w:r w:rsidRPr="00E80636">
              <w:rPr>
                <w:rFonts w:asciiTheme="majorHAnsi" w:eastAsia="Times New Roman" w:hAnsiTheme="majorHAnsi" w:cstheme="majorHAnsi"/>
                <w:b w:val="0"/>
                <w:color w:val="000000"/>
                <w:sz w:val="20"/>
                <w:szCs w:val="20"/>
              </w:rPr>
              <w:t>Average number of grant submissions per faculty</w:t>
            </w:r>
          </w:p>
        </w:tc>
        <w:tc>
          <w:tcPr>
            <w:tcW w:w="1339" w:type="dxa"/>
            <w:hideMark/>
          </w:tcPr>
          <w:p w:rsidR="00871E51" w:rsidRPr="00E80636" w:rsidRDefault="00871E51"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3.3  </w:t>
            </w:r>
          </w:p>
        </w:tc>
        <w:tc>
          <w:tcPr>
            <w:tcW w:w="1395" w:type="dxa"/>
            <w:hideMark/>
          </w:tcPr>
          <w:p w:rsidR="00871E51" w:rsidRPr="00E80636" w:rsidRDefault="00871E51"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2.8</w:t>
            </w:r>
          </w:p>
        </w:tc>
        <w:tc>
          <w:tcPr>
            <w:tcW w:w="1316" w:type="dxa"/>
            <w:hideMark/>
          </w:tcPr>
          <w:p w:rsidR="00871E51" w:rsidRPr="00E80636" w:rsidRDefault="00871E51"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2.9</w:t>
            </w:r>
          </w:p>
        </w:tc>
        <w:tc>
          <w:tcPr>
            <w:tcW w:w="1316" w:type="dxa"/>
            <w:hideMark/>
          </w:tcPr>
          <w:p w:rsidR="00871E51" w:rsidRPr="00E80636" w:rsidRDefault="00871E51"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3</w:t>
            </w:r>
          </w:p>
        </w:tc>
      </w:tr>
      <w:tr w:rsidR="00743A41" w:rsidRPr="00E80636" w:rsidTr="004C5040">
        <w:trPr>
          <w:trHeight w:val="510"/>
        </w:trPr>
        <w:tc>
          <w:tcPr>
            <w:cnfStyle w:val="001000000000" w:firstRow="0" w:lastRow="0" w:firstColumn="1" w:lastColumn="0" w:oddVBand="0" w:evenVBand="0" w:oddHBand="0" w:evenHBand="0" w:firstRowFirstColumn="0" w:firstRowLastColumn="0" w:lastRowFirstColumn="0" w:lastRowLastColumn="0"/>
            <w:tcW w:w="3420" w:type="dxa"/>
          </w:tcPr>
          <w:p w:rsidR="00871E51" w:rsidRPr="00E80636" w:rsidRDefault="00871E51" w:rsidP="006C308E">
            <w:pPr>
              <w:rPr>
                <w:rFonts w:asciiTheme="majorHAnsi" w:eastAsia="Times New Roman" w:hAnsiTheme="majorHAnsi" w:cstheme="majorHAnsi"/>
                <w:b w:val="0"/>
                <w:color w:val="000000"/>
                <w:sz w:val="20"/>
                <w:szCs w:val="20"/>
              </w:rPr>
            </w:pPr>
            <w:r w:rsidRPr="00E80636">
              <w:rPr>
                <w:rFonts w:asciiTheme="majorHAnsi" w:eastAsia="Times New Roman" w:hAnsiTheme="majorHAnsi" w:cstheme="majorHAnsi"/>
                <w:b w:val="0"/>
                <w:color w:val="000000"/>
                <w:sz w:val="20"/>
                <w:szCs w:val="20"/>
              </w:rPr>
              <w:t>Percent salary offset</w:t>
            </w:r>
          </w:p>
        </w:tc>
        <w:tc>
          <w:tcPr>
            <w:tcW w:w="1339" w:type="dxa"/>
          </w:tcPr>
          <w:p w:rsidR="00871E51" w:rsidRPr="00E80636" w:rsidRDefault="00871E51" w:rsidP="006C30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 60%</w:t>
            </w:r>
          </w:p>
        </w:tc>
        <w:tc>
          <w:tcPr>
            <w:tcW w:w="1395" w:type="dxa"/>
          </w:tcPr>
          <w:p w:rsidR="00871E51" w:rsidRPr="00E80636" w:rsidRDefault="00871E51" w:rsidP="006C30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49%</w:t>
            </w:r>
          </w:p>
        </w:tc>
        <w:tc>
          <w:tcPr>
            <w:tcW w:w="1316" w:type="dxa"/>
          </w:tcPr>
          <w:p w:rsidR="00871E51" w:rsidRPr="00E80636" w:rsidRDefault="00871E51" w:rsidP="006C30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47%</w:t>
            </w:r>
          </w:p>
        </w:tc>
        <w:tc>
          <w:tcPr>
            <w:tcW w:w="1316" w:type="dxa"/>
          </w:tcPr>
          <w:p w:rsidR="00871E51" w:rsidRPr="00E80636" w:rsidRDefault="00871E51" w:rsidP="006C308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51%</w:t>
            </w:r>
          </w:p>
        </w:tc>
      </w:tr>
      <w:tr w:rsidR="004C5040" w:rsidRPr="00743A41" w:rsidTr="006E28E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420" w:type="dxa"/>
          </w:tcPr>
          <w:p w:rsidR="00871E51" w:rsidRPr="00E80636" w:rsidRDefault="00871E51" w:rsidP="006C308E">
            <w:pPr>
              <w:rPr>
                <w:rFonts w:asciiTheme="majorHAnsi" w:eastAsia="Times New Roman" w:hAnsiTheme="majorHAnsi" w:cstheme="majorHAnsi"/>
                <w:b w:val="0"/>
                <w:color w:val="000000"/>
                <w:sz w:val="20"/>
                <w:szCs w:val="20"/>
              </w:rPr>
            </w:pPr>
            <w:r w:rsidRPr="00E80636">
              <w:rPr>
                <w:rFonts w:asciiTheme="majorHAnsi" w:eastAsia="Times New Roman" w:hAnsiTheme="majorHAnsi" w:cstheme="majorHAnsi"/>
                <w:b w:val="0"/>
                <w:color w:val="000000"/>
                <w:sz w:val="20"/>
                <w:szCs w:val="20"/>
              </w:rPr>
              <w:t>Average research score on peer review (lower scores are better)</w:t>
            </w:r>
          </w:p>
        </w:tc>
        <w:tc>
          <w:tcPr>
            <w:tcW w:w="1339" w:type="dxa"/>
          </w:tcPr>
          <w:p w:rsidR="00871E51" w:rsidRPr="00E80636" w:rsidRDefault="00871E51"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2</w:t>
            </w:r>
          </w:p>
        </w:tc>
        <w:tc>
          <w:tcPr>
            <w:tcW w:w="1395" w:type="dxa"/>
          </w:tcPr>
          <w:p w:rsidR="00871E51" w:rsidRPr="00E80636" w:rsidRDefault="00871E51"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2.21</w:t>
            </w:r>
          </w:p>
        </w:tc>
        <w:tc>
          <w:tcPr>
            <w:tcW w:w="1316" w:type="dxa"/>
          </w:tcPr>
          <w:p w:rsidR="00871E51" w:rsidRPr="00E80636" w:rsidRDefault="00871E51"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2.18</w:t>
            </w:r>
          </w:p>
        </w:tc>
        <w:tc>
          <w:tcPr>
            <w:tcW w:w="1316" w:type="dxa"/>
          </w:tcPr>
          <w:p w:rsidR="00871E51" w:rsidRPr="00E80636" w:rsidRDefault="00871E51" w:rsidP="006C308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2.07</w:t>
            </w:r>
          </w:p>
        </w:tc>
      </w:tr>
    </w:tbl>
    <w:p w:rsidR="00871E51" w:rsidRPr="00E80636" w:rsidRDefault="00871E51" w:rsidP="006C308E">
      <w:pPr>
        <w:contextualSpacing/>
        <w:jc w:val="both"/>
        <w:rPr>
          <w:rFonts w:asciiTheme="majorHAnsi" w:eastAsia="Arial" w:hAnsiTheme="majorHAnsi" w:cstheme="majorHAnsi"/>
          <w:sz w:val="20"/>
          <w:szCs w:val="20"/>
        </w:rPr>
      </w:pPr>
    </w:p>
    <w:p w:rsidR="00933038" w:rsidRPr="00E80636" w:rsidRDefault="00933038" w:rsidP="006C308E">
      <w:pPr>
        <w:numPr>
          <w:ilvl w:val="0"/>
          <w:numId w:val="34"/>
        </w:numPr>
        <w:contextualSpacing/>
        <w:jc w:val="both"/>
        <w:rPr>
          <w:rFonts w:asciiTheme="majorHAnsi" w:hAnsiTheme="majorHAnsi" w:cstheme="majorHAnsi"/>
          <w:sz w:val="20"/>
          <w:szCs w:val="20"/>
        </w:rPr>
      </w:pPr>
      <w:r w:rsidRPr="00E80636">
        <w:rPr>
          <w:rFonts w:asciiTheme="majorHAnsi" w:hAnsiTheme="majorHAnsi" w:cstheme="majorHAnsi"/>
          <w:sz w:val="20"/>
          <w:szCs w:val="20"/>
        </w:rPr>
        <w:t xml:space="preserve">If applicable, assess strengths and weaknesses related to this criterion and plans for improvement in this area. </w:t>
      </w:r>
    </w:p>
    <w:p w:rsidR="00933038" w:rsidRPr="00E80636" w:rsidRDefault="00933038" w:rsidP="006C308E">
      <w:pPr>
        <w:contextualSpacing/>
        <w:jc w:val="both"/>
        <w:rPr>
          <w:rFonts w:asciiTheme="majorHAnsi" w:hAnsiTheme="majorHAnsi" w:cstheme="majorHAnsi"/>
          <w:sz w:val="20"/>
          <w:szCs w:val="20"/>
        </w:rPr>
      </w:pPr>
    </w:p>
    <w:p w:rsidR="00663F9C" w:rsidRPr="00E80636" w:rsidRDefault="00663F9C" w:rsidP="006C308E">
      <w:pPr>
        <w:ind w:left="720"/>
        <w:rPr>
          <w:rFonts w:asciiTheme="majorHAnsi" w:hAnsiTheme="majorHAnsi" w:cstheme="majorHAnsi"/>
          <w:b/>
          <w:sz w:val="20"/>
          <w:szCs w:val="20"/>
        </w:rPr>
      </w:pPr>
      <w:r w:rsidRPr="00E80636">
        <w:rPr>
          <w:rFonts w:asciiTheme="majorHAnsi" w:hAnsiTheme="majorHAnsi" w:cstheme="majorHAnsi"/>
          <w:b/>
          <w:sz w:val="20"/>
          <w:szCs w:val="20"/>
        </w:rPr>
        <w:t>Strengths:</w:t>
      </w:r>
    </w:p>
    <w:p w:rsidR="00663F9C" w:rsidRPr="00E80636" w:rsidRDefault="00663F9C" w:rsidP="006C308E">
      <w:pPr>
        <w:pStyle w:val="ListParagraph"/>
        <w:numPr>
          <w:ilvl w:val="0"/>
          <w:numId w:val="186"/>
        </w:numPr>
        <w:spacing w:after="160"/>
        <w:ind w:left="1440"/>
        <w:contextualSpacing/>
        <w:rPr>
          <w:rFonts w:asciiTheme="majorHAnsi" w:hAnsiTheme="majorHAnsi" w:cstheme="majorHAnsi"/>
          <w:szCs w:val="20"/>
        </w:rPr>
      </w:pPr>
      <w:r w:rsidRPr="00E80636">
        <w:rPr>
          <w:rFonts w:asciiTheme="majorHAnsi" w:hAnsiTheme="majorHAnsi" w:cstheme="majorHAnsi"/>
          <w:szCs w:val="20"/>
        </w:rPr>
        <w:t>The UTHealth School of Public Health has a highly productive faculty with a vibrant research portfolio.</w:t>
      </w:r>
    </w:p>
    <w:p w:rsidR="00663F9C" w:rsidRPr="00E80636" w:rsidRDefault="00663F9C" w:rsidP="006C308E">
      <w:pPr>
        <w:pStyle w:val="ListParagraph"/>
        <w:numPr>
          <w:ilvl w:val="0"/>
          <w:numId w:val="186"/>
        </w:numPr>
        <w:spacing w:after="160"/>
        <w:ind w:left="1440"/>
        <w:contextualSpacing/>
        <w:rPr>
          <w:rFonts w:asciiTheme="majorHAnsi" w:hAnsiTheme="majorHAnsi" w:cstheme="majorHAnsi"/>
          <w:szCs w:val="20"/>
        </w:rPr>
      </w:pPr>
      <w:r w:rsidRPr="00E80636">
        <w:rPr>
          <w:rFonts w:asciiTheme="majorHAnsi" w:hAnsiTheme="majorHAnsi" w:cstheme="majorHAnsi"/>
          <w:szCs w:val="20"/>
        </w:rPr>
        <w:t xml:space="preserve">The UTHealth School of Public Health has a generous research incentive plan, award recognitions, and pilot programs to support faculty research. </w:t>
      </w:r>
    </w:p>
    <w:p w:rsidR="00663F9C" w:rsidRPr="00E80636" w:rsidRDefault="00663F9C" w:rsidP="006C308E">
      <w:pPr>
        <w:pStyle w:val="ListParagraph"/>
        <w:numPr>
          <w:ilvl w:val="0"/>
          <w:numId w:val="186"/>
        </w:numPr>
        <w:spacing w:after="160"/>
        <w:ind w:left="1440"/>
        <w:contextualSpacing/>
        <w:rPr>
          <w:rFonts w:asciiTheme="majorHAnsi" w:hAnsiTheme="majorHAnsi" w:cstheme="majorHAnsi"/>
          <w:szCs w:val="20"/>
        </w:rPr>
      </w:pPr>
      <w:r w:rsidRPr="00E80636">
        <w:rPr>
          <w:rFonts w:asciiTheme="majorHAnsi" w:hAnsiTheme="majorHAnsi" w:cstheme="majorHAnsi"/>
          <w:szCs w:val="20"/>
        </w:rPr>
        <w:t xml:space="preserve">UTHealth School of Public Health faculty regularly integrate their research into teaching and train graduate students through involvement and employment in their research programs.  </w:t>
      </w:r>
    </w:p>
    <w:p w:rsidR="00933038" w:rsidRPr="00E80636" w:rsidRDefault="00933038" w:rsidP="006C308E">
      <w:pPr>
        <w:contextualSpacing/>
        <w:jc w:val="both"/>
        <w:rPr>
          <w:rFonts w:asciiTheme="majorHAnsi" w:hAnsiTheme="majorHAnsi" w:cstheme="majorHAnsi"/>
          <w:sz w:val="20"/>
          <w:szCs w:val="20"/>
        </w:rPr>
      </w:pPr>
    </w:p>
    <w:p w:rsidR="00933038" w:rsidRPr="00E80636" w:rsidRDefault="00933038" w:rsidP="006C308E">
      <w:pPr>
        <w:rPr>
          <w:rStyle w:val="Heading1Char"/>
        </w:rPr>
      </w:pPr>
      <w:r w:rsidRPr="00E80636">
        <w:rPr>
          <w:rStyle w:val="Heading1Char"/>
        </w:rPr>
        <w:br w:type="page"/>
      </w:r>
    </w:p>
    <w:p w:rsidR="00933038" w:rsidRPr="00E80636" w:rsidRDefault="00933038" w:rsidP="007A68BE">
      <w:pPr>
        <w:pStyle w:val="Heading1"/>
      </w:pPr>
      <w:bookmarkStart w:id="132" w:name="_E5._Faculty_Extramural"/>
      <w:bookmarkStart w:id="133" w:name="_Toc7118224"/>
      <w:bookmarkEnd w:id="132"/>
      <w:r w:rsidRPr="00E80636">
        <w:rPr>
          <w:rStyle w:val="Heading1Char"/>
          <w:b/>
        </w:rPr>
        <w:t>E5. Faculty Extramural Service</w:t>
      </w:r>
      <w:bookmarkEnd w:id="133"/>
      <w:r w:rsidRPr="00E80636">
        <w:t xml:space="preserve"> </w:t>
      </w:r>
    </w:p>
    <w:p w:rsidR="00231759" w:rsidRPr="00E80636" w:rsidRDefault="00231759" w:rsidP="006C308E">
      <w:pPr>
        <w:keepNext/>
        <w:rPr>
          <w:rFonts w:asciiTheme="majorHAnsi" w:hAnsiTheme="majorHAnsi" w:cstheme="majorHAnsi"/>
          <w:b/>
          <w:sz w:val="20"/>
          <w:szCs w:val="20"/>
        </w:rPr>
      </w:pPr>
    </w:p>
    <w:p w:rsidR="00933038" w:rsidRPr="00E80636" w:rsidRDefault="00933038" w:rsidP="006C308E">
      <w:pPr>
        <w:contextualSpacing/>
        <w:jc w:val="both"/>
        <w:rPr>
          <w:rFonts w:asciiTheme="majorHAnsi" w:hAnsiTheme="majorHAnsi" w:cstheme="majorHAnsi"/>
          <w:b/>
          <w:sz w:val="20"/>
          <w:szCs w:val="20"/>
        </w:rPr>
      </w:pPr>
      <w:r w:rsidRPr="00E80636">
        <w:rPr>
          <w:rFonts w:asciiTheme="majorHAnsi" w:hAnsiTheme="majorHAnsi" w:cstheme="majorHAnsi"/>
          <w:b/>
          <w:sz w:val="20"/>
          <w:szCs w:val="20"/>
        </w:rPr>
        <w:t>The school defines expectations regarding faculty extramural service activity. Participation in internal university committees is not within the definition of this section. Service as described here refers to contributions of professional expertise to the community, including professional practice. It is an explicit activity undertaken for the benefit of the greater society, over and beyond what is accomplished through instruction and research.</w:t>
      </w:r>
    </w:p>
    <w:p w:rsidR="00933038" w:rsidRPr="00E80636" w:rsidRDefault="00933038" w:rsidP="006C308E">
      <w:pPr>
        <w:contextualSpacing/>
        <w:jc w:val="both"/>
        <w:rPr>
          <w:rFonts w:asciiTheme="majorHAnsi" w:hAnsiTheme="majorHAnsi" w:cstheme="majorHAnsi"/>
          <w:b/>
          <w:sz w:val="20"/>
          <w:szCs w:val="20"/>
        </w:rPr>
      </w:pPr>
    </w:p>
    <w:p w:rsidR="00933038" w:rsidRPr="00E80636" w:rsidRDefault="00933038" w:rsidP="006C308E">
      <w:pPr>
        <w:contextualSpacing/>
        <w:jc w:val="both"/>
        <w:rPr>
          <w:rFonts w:asciiTheme="majorHAnsi" w:hAnsiTheme="majorHAnsi" w:cstheme="majorHAnsi"/>
          <w:b/>
          <w:sz w:val="20"/>
          <w:szCs w:val="20"/>
        </w:rPr>
      </w:pPr>
      <w:r w:rsidRPr="00E80636">
        <w:rPr>
          <w:rFonts w:asciiTheme="majorHAnsi" w:hAnsiTheme="majorHAnsi" w:cstheme="majorHAnsi"/>
          <w:b/>
          <w:sz w:val="20"/>
          <w:szCs w:val="20"/>
        </w:rPr>
        <w:t>As many faculty as possible are actively engaged with the community through communication, collaboration, consultation, provision of technical assistance and other means of sharing the school’s professional knowledge and skills. While these activities may generate revenue, the value of faculty service is not measured in financial terms.</w:t>
      </w:r>
    </w:p>
    <w:p w:rsidR="00933038" w:rsidRPr="00E80636" w:rsidRDefault="00933038" w:rsidP="006C308E">
      <w:pPr>
        <w:keepNext/>
        <w:jc w:val="both"/>
        <w:rPr>
          <w:rFonts w:asciiTheme="majorHAnsi" w:hAnsiTheme="majorHAnsi" w:cstheme="majorHAnsi"/>
          <w:sz w:val="20"/>
          <w:szCs w:val="20"/>
        </w:rPr>
      </w:pPr>
    </w:p>
    <w:p w:rsidR="00933038" w:rsidRPr="00E80636" w:rsidRDefault="00933038" w:rsidP="006C308E">
      <w:pPr>
        <w:numPr>
          <w:ilvl w:val="0"/>
          <w:numId w:val="35"/>
        </w:numPr>
        <w:contextualSpacing/>
        <w:jc w:val="both"/>
        <w:rPr>
          <w:rFonts w:asciiTheme="majorHAnsi" w:hAnsiTheme="majorHAnsi" w:cstheme="majorHAnsi"/>
          <w:sz w:val="20"/>
          <w:szCs w:val="20"/>
        </w:rPr>
      </w:pPr>
      <w:r w:rsidRPr="00E80636">
        <w:rPr>
          <w:rFonts w:asciiTheme="majorHAnsi" w:hAnsiTheme="majorHAnsi" w:cstheme="majorHAnsi"/>
          <w:sz w:val="20"/>
          <w:szCs w:val="20"/>
        </w:rPr>
        <w:t xml:space="preserve">Describe the school’s definition and expectations regarding faculty extramural service activity. Explain how these relate/compare to university definitions and expectations. </w:t>
      </w:r>
    </w:p>
    <w:p w:rsidR="00933038" w:rsidRPr="00E80636" w:rsidRDefault="00933038" w:rsidP="006C308E">
      <w:pPr>
        <w:contextualSpacing/>
        <w:jc w:val="both"/>
        <w:rPr>
          <w:rFonts w:asciiTheme="majorHAnsi" w:hAnsiTheme="majorHAnsi" w:cstheme="majorHAnsi"/>
          <w:sz w:val="20"/>
          <w:szCs w:val="20"/>
        </w:rPr>
      </w:pPr>
    </w:p>
    <w:p w:rsidR="00871E51" w:rsidRPr="00E80636" w:rsidRDefault="00871E51" w:rsidP="006C308E">
      <w:pPr>
        <w:ind w:left="720"/>
        <w:contextualSpacing/>
        <w:rPr>
          <w:rFonts w:asciiTheme="majorHAnsi" w:hAnsiTheme="majorHAnsi" w:cstheme="majorHAnsi"/>
          <w:sz w:val="20"/>
          <w:szCs w:val="20"/>
        </w:rPr>
      </w:pPr>
      <w:r w:rsidRPr="00E80636">
        <w:rPr>
          <w:rFonts w:asciiTheme="majorHAnsi" w:hAnsiTheme="majorHAnsi" w:cstheme="majorHAnsi"/>
          <w:sz w:val="20"/>
          <w:szCs w:val="20"/>
        </w:rPr>
        <w:t xml:space="preserve">Service is defined as an activity beyond research and teaching activities that is explicitly conducted for the benefit of the greater society and that align with the mission of the UTHealth School of Public Health. UTHealth defines scholarship of application as service activities directly related to one's special field of knowledge in which theory and practice interact to generate new intellectual insights, but are distinct from citizenship activities that are meritorious social and civic functions also deserving appropriate recognition. Examples of service include: (1) media spokesperson &amp; legislative testimony; (2) serves on extramural review committees or editorial boards of scientific or professional journals; (3) provides services to the professional or lay community through education, consultation, or other roles; (4) serves as a consultant for or serves on government review committees, study sections, or other national review panels; (5) serves on editorial boards of professional or scientific journals; (6) serves as an officer or committee chair in professional or scientific organizations; and (7) serves in elected, responsible positions on civic boards or organizations concerned with </w:t>
      </w:r>
      <w:r w:rsidR="00D06EEE" w:rsidRPr="00E80636">
        <w:rPr>
          <w:rFonts w:asciiTheme="majorHAnsi" w:hAnsiTheme="majorHAnsi" w:cstheme="majorHAnsi"/>
          <w:sz w:val="20"/>
          <w:szCs w:val="20"/>
        </w:rPr>
        <w:t>healthcare</w:t>
      </w:r>
      <w:r w:rsidRPr="00E80636">
        <w:rPr>
          <w:rFonts w:asciiTheme="majorHAnsi" w:hAnsiTheme="majorHAnsi" w:cstheme="majorHAnsi"/>
          <w:sz w:val="20"/>
          <w:szCs w:val="20"/>
        </w:rPr>
        <w:t xml:space="preserve"> issues at the local, state, regional, national, or international levels.</w:t>
      </w:r>
    </w:p>
    <w:p w:rsidR="00871E51" w:rsidRPr="00E80636" w:rsidRDefault="00871E51" w:rsidP="006C308E">
      <w:pPr>
        <w:ind w:left="720"/>
        <w:contextualSpacing/>
        <w:rPr>
          <w:rFonts w:asciiTheme="majorHAnsi" w:hAnsiTheme="majorHAnsi" w:cstheme="majorHAnsi"/>
          <w:sz w:val="20"/>
          <w:szCs w:val="20"/>
        </w:rPr>
      </w:pPr>
    </w:p>
    <w:p w:rsidR="00933038" w:rsidRPr="00E80636" w:rsidRDefault="00871E51" w:rsidP="006C308E">
      <w:pPr>
        <w:ind w:left="720"/>
        <w:contextualSpacing/>
        <w:jc w:val="both"/>
        <w:rPr>
          <w:rFonts w:asciiTheme="majorHAnsi" w:hAnsiTheme="majorHAnsi" w:cstheme="majorHAnsi"/>
          <w:sz w:val="20"/>
          <w:szCs w:val="20"/>
        </w:rPr>
      </w:pPr>
      <w:r w:rsidRPr="00E80636">
        <w:rPr>
          <w:rFonts w:asciiTheme="majorHAnsi" w:hAnsiTheme="majorHAnsi" w:cstheme="majorHAnsi"/>
          <w:sz w:val="20"/>
          <w:szCs w:val="20"/>
        </w:rPr>
        <w:t xml:space="preserve">Faculty are expected to participate in external service as an essential part of faculty life at the UTHealth School of Public Health. External service is featured prominently in the Annual Activity Report (AAR), and is used to determine academic incentive plan (AIP) compensation. Each year, faculty report their involvement in service to the profession (e.g., grant reviewer, journal reviewer, advisory board); media spokesperson and legislative testimony; and community service/engagement on the AAR. Faculty are scored by their peers for their internal and external service activities. External service is strongly considered in tenure and promotion (T&amp;P) decisions. For example, faculty being considered for promotion from the rank of assistant professor to the rank of associate professor are expected to have a national reputation that is judged, in part, from national-level service, such as grant review panels, government panels, peer-review activities, invited presentations, and professional organization service. </w:t>
      </w:r>
    </w:p>
    <w:p w:rsidR="00663F9C" w:rsidRPr="00E80636" w:rsidRDefault="00663F9C" w:rsidP="006C308E">
      <w:pPr>
        <w:ind w:left="720"/>
        <w:contextualSpacing/>
        <w:jc w:val="both"/>
        <w:rPr>
          <w:rFonts w:asciiTheme="majorHAnsi" w:hAnsiTheme="majorHAnsi" w:cstheme="majorHAnsi"/>
          <w:sz w:val="20"/>
          <w:szCs w:val="20"/>
        </w:rPr>
      </w:pPr>
    </w:p>
    <w:p w:rsidR="00933038" w:rsidRPr="00E80636" w:rsidRDefault="00933038" w:rsidP="006C308E">
      <w:pPr>
        <w:numPr>
          <w:ilvl w:val="0"/>
          <w:numId w:val="35"/>
        </w:numPr>
        <w:contextualSpacing/>
        <w:jc w:val="both"/>
        <w:rPr>
          <w:rFonts w:asciiTheme="majorHAnsi" w:hAnsiTheme="majorHAnsi" w:cstheme="majorHAnsi"/>
          <w:sz w:val="20"/>
          <w:szCs w:val="20"/>
        </w:rPr>
      </w:pPr>
      <w:r w:rsidRPr="00E80636">
        <w:rPr>
          <w:rFonts w:asciiTheme="majorHAnsi" w:hAnsiTheme="majorHAnsi" w:cstheme="majorHAnsi"/>
          <w:sz w:val="20"/>
          <w:szCs w:val="20"/>
        </w:rPr>
        <w:t xml:space="preserve">Describe available university and school support for extramural service activities. </w:t>
      </w:r>
    </w:p>
    <w:p w:rsidR="00871E51" w:rsidRPr="00E80636" w:rsidRDefault="00871E51" w:rsidP="006C308E">
      <w:pPr>
        <w:contextualSpacing/>
        <w:jc w:val="both"/>
        <w:rPr>
          <w:rFonts w:asciiTheme="majorHAnsi" w:hAnsiTheme="majorHAnsi" w:cstheme="majorHAnsi"/>
          <w:sz w:val="20"/>
          <w:szCs w:val="20"/>
        </w:rPr>
      </w:pPr>
    </w:p>
    <w:p w:rsidR="00871E51" w:rsidRPr="00E80636" w:rsidRDefault="00871E51" w:rsidP="006C308E">
      <w:pPr>
        <w:ind w:left="720"/>
        <w:rPr>
          <w:rFonts w:asciiTheme="majorHAnsi" w:hAnsiTheme="majorHAnsi" w:cstheme="majorHAnsi"/>
          <w:sz w:val="20"/>
          <w:szCs w:val="20"/>
        </w:rPr>
      </w:pPr>
      <w:r w:rsidRPr="00E80636">
        <w:rPr>
          <w:rFonts w:asciiTheme="majorHAnsi" w:hAnsiTheme="majorHAnsi" w:cstheme="majorHAnsi"/>
          <w:sz w:val="20"/>
          <w:szCs w:val="20"/>
        </w:rPr>
        <w:t xml:space="preserve">Service is an essential part of the UTHealth School of Public Health’s mission and is incorporated into faculty expectations as part of the annual review and the criteria for promotion and tenure. The UTHealth School of Public Health, in particular, and UTHealth, in general, support service through directly sponsoring service activities and through directly supporting salary for tenured and tenure-track faculty. The school covers up to 20% of each primary tenure-track faculty for service activities. </w:t>
      </w:r>
    </w:p>
    <w:p w:rsidR="00871E51" w:rsidRPr="00E80636" w:rsidRDefault="00871E51" w:rsidP="006C308E">
      <w:pPr>
        <w:ind w:left="720"/>
        <w:rPr>
          <w:rFonts w:asciiTheme="majorHAnsi" w:hAnsiTheme="majorHAnsi" w:cstheme="majorHAnsi"/>
          <w:sz w:val="20"/>
          <w:szCs w:val="20"/>
        </w:rPr>
      </w:pPr>
    </w:p>
    <w:p w:rsidR="00871E51" w:rsidRPr="00E80636" w:rsidRDefault="00871E51" w:rsidP="006C308E">
      <w:pPr>
        <w:keepNext/>
        <w:ind w:left="720"/>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The UTHealth School of Public Health has a culture that encourages service and recognizes its importance in meeting the school’s mission.  Faculty recognize the service contributions of their peers through the Annual Award for Excellence in Community Service, which confers a $1,000 prize. </w:t>
      </w:r>
    </w:p>
    <w:p w:rsidR="00871E51" w:rsidRPr="00E80636" w:rsidRDefault="00871E51" w:rsidP="006C308E">
      <w:pPr>
        <w:keepNext/>
        <w:ind w:left="720"/>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 </w:t>
      </w:r>
    </w:p>
    <w:p w:rsidR="00933038" w:rsidRPr="00E80636" w:rsidRDefault="00871E51" w:rsidP="006C308E">
      <w:pPr>
        <w:ind w:left="720"/>
        <w:contextualSpacing/>
        <w:jc w:val="both"/>
        <w:rPr>
          <w:rFonts w:asciiTheme="majorHAnsi" w:hAnsiTheme="majorHAnsi" w:cstheme="majorHAnsi"/>
          <w:sz w:val="20"/>
          <w:szCs w:val="20"/>
        </w:rPr>
      </w:pPr>
      <w:r w:rsidRPr="00E80636">
        <w:rPr>
          <w:rFonts w:asciiTheme="majorHAnsi" w:eastAsia="Arial" w:hAnsiTheme="majorHAnsi" w:cstheme="majorHAnsi"/>
          <w:sz w:val="20"/>
          <w:szCs w:val="20"/>
        </w:rPr>
        <w:t>The UTHealth School of Public Health promotes service activities through the Practice Council by fostering collaborative practice activities with public and private</w:t>
      </w:r>
      <w:r w:rsidR="00663F9C" w:rsidRPr="00E80636">
        <w:rPr>
          <w:rFonts w:asciiTheme="majorHAnsi" w:eastAsia="Arial" w:hAnsiTheme="majorHAnsi" w:cstheme="majorHAnsi"/>
          <w:sz w:val="20"/>
          <w:szCs w:val="20"/>
        </w:rPr>
        <w:t xml:space="preserve"> organizations and practitioners in the community or with elements of the community themselves.</w:t>
      </w:r>
      <w:r w:rsidRPr="00E80636">
        <w:rPr>
          <w:rFonts w:asciiTheme="majorHAnsi" w:eastAsia="Arial" w:hAnsiTheme="majorHAnsi" w:cstheme="majorHAnsi"/>
          <w:sz w:val="20"/>
          <w:szCs w:val="20"/>
        </w:rPr>
        <w:t xml:space="preserve"> </w:t>
      </w:r>
    </w:p>
    <w:p w:rsidR="00E61589" w:rsidRPr="00E80636" w:rsidRDefault="00E61589" w:rsidP="006C308E">
      <w:pPr>
        <w:ind w:left="720"/>
        <w:contextualSpacing/>
        <w:jc w:val="both"/>
        <w:rPr>
          <w:rFonts w:asciiTheme="majorHAnsi" w:hAnsiTheme="majorHAnsi" w:cstheme="majorHAnsi"/>
          <w:sz w:val="20"/>
          <w:szCs w:val="20"/>
        </w:rPr>
      </w:pPr>
    </w:p>
    <w:p w:rsidR="00933038" w:rsidRPr="00E80636" w:rsidRDefault="00933038" w:rsidP="006C308E">
      <w:pPr>
        <w:numPr>
          <w:ilvl w:val="0"/>
          <w:numId w:val="35"/>
        </w:numPr>
        <w:contextualSpacing/>
        <w:jc w:val="both"/>
        <w:rPr>
          <w:rFonts w:asciiTheme="majorHAnsi" w:hAnsiTheme="majorHAnsi" w:cstheme="majorHAnsi"/>
          <w:sz w:val="20"/>
          <w:szCs w:val="20"/>
        </w:rPr>
      </w:pPr>
      <w:r w:rsidRPr="00E80636">
        <w:rPr>
          <w:rFonts w:asciiTheme="majorHAnsi" w:hAnsiTheme="majorHAnsi" w:cstheme="majorHAnsi"/>
          <w:sz w:val="20"/>
          <w:szCs w:val="20"/>
        </w:rPr>
        <w:t xml:space="preserve">Describe and provide three to five examples of faculty extramural service activities and how faculty integrate service experiences into their instruction of students. </w:t>
      </w:r>
    </w:p>
    <w:p w:rsidR="00933038" w:rsidRPr="00E80636" w:rsidRDefault="00933038" w:rsidP="006C308E">
      <w:pPr>
        <w:contextualSpacing/>
        <w:jc w:val="both"/>
        <w:rPr>
          <w:rFonts w:asciiTheme="majorHAnsi" w:hAnsiTheme="majorHAnsi" w:cstheme="majorHAnsi"/>
          <w:sz w:val="20"/>
          <w:szCs w:val="20"/>
        </w:rPr>
      </w:pPr>
    </w:p>
    <w:p w:rsidR="00871E51" w:rsidRPr="00E80636" w:rsidRDefault="00871E51" w:rsidP="006C308E">
      <w:pPr>
        <w:ind w:left="720"/>
        <w:rPr>
          <w:rFonts w:asciiTheme="majorHAnsi" w:hAnsiTheme="majorHAnsi" w:cstheme="majorHAnsi"/>
          <w:sz w:val="20"/>
          <w:szCs w:val="20"/>
        </w:rPr>
      </w:pPr>
      <w:r w:rsidRPr="00E80636">
        <w:rPr>
          <w:rFonts w:asciiTheme="majorHAnsi" w:hAnsiTheme="majorHAnsi" w:cstheme="majorHAnsi"/>
          <w:sz w:val="20"/>
          <w:szCs w:val="20"/>
        </w:rPr>
        <w:t>More than 60% of UTHealth School of Public Health faculty indicate that they integrate extramural service activities and service into their instruction of students. Four examples are described below:</w:t>
      </w:r>
    </w:p>
    <w:p w:rsidR="00871E51" w:rsidRPr="00E80636" w:rsidRDefault="00871E51" w:rsidP="006C308E">
      <w:pPr>
        <w:rPr>
          <w:rFonts w:asciiTheme="majorHAnsi" w:hAnsiTheme="majorHAnsi" w:cstheme="majorHAnsi"/>
          <w:b/>
          <w:sz w:val="20"/>
          <w:szCs w:val="20"/>
        </w:rPr>
      </w:pPr>
    </w:p>
    <w:p w:rsidR="00871E51" w:rsidRPr="00E80636" w:rsidRDefault="00871E51" w:rsidP="006C308E">
      <w:pPr>
        <w:pStyle w:val="ListParagraph"/>
        <w:numPr>
          <w:ilvl w:val="0"/>
          <w:numId w:val="153"/>
        </w:numPr>
        <w:rPr>
          <w:rFonts w:asciiTheme="majorHAnsi" w:hAnsiTheme="majorHAnsi" w:cstheme="majorHAnsi"/>
          <w:szCs w:val="20"/>
        </w:rPr>
      </w:pPr>
      <w:r w:rsidRPr="00E80636">
        <w:rPr>
          <w:rFonts w:asciiTheme="majorHAnsi" w:hAnsiTheme="majorHAnsi" w:cstheme="majorHAnsi"/>
          <w:szCs w:val="20"/>
        </w:rPr>
        <w:t xml:space="preserve">Catherine Troisi, PhD, is an elected member of the American Public Health Association (APHA) Executive Board (2017–2021) and serves on the Strategic Implementation Committee, the Membership Committee, and the Committee on Social Responsibility. Dr. Troisi is the only academic member on the National Association of County and City Health Officials Epidemiology working group because of her prior health department experience, and she is co-chair of the Houston Viral Hepatitis Task Force. She encourages students to get involved in APHA and Texas Public Health Association activities, and she sponsors memberships for them. She developed and teaches a new advocacy class and uses policy statements from APHA to promote advocacy for public health.  She also gets students involved in her work with the Coalition for the Homeless of Houston/Harris County, serving as </w:t>
      </w:r>
      <w:r w:rsidR="00AD6F36" w:rsidRPr="00E80636">
        <w:rPr>
          <w:rFonts w:asciiTheme="majorHAnsi" w:hAnsiTheme="majorHAnsi" w:cstheme="majorHAnsi"/>
          <w:szCs w:val="20"/>
        </w:rPr>
        <w:t>note takers</w:t>
      </w:r>
      <w:r w:rsidRPr="00E80636">
        <w:rPr>
          <w:rFonts w:asciiTheme="majorHAnsi" w:hAnsiTheme="majorHAnsi" w:cstheme="majorHAnsi"/>
          <w:szCs w:val="20"/>
        </w:rPr>
        <w:t xml:space="preserve"> at focus groups and participating in the annual homeless census. Dr. Troisi is teaching a new course called “Shoeleather Epidemiology,” which focuses on applied epidemiology and “real-life” responses to public health preparedness events and incorporates her extramural service activities into the classroom. </w:t>
      </w:r>
    </w:p>
    <w:p w:rsidR="00871E51" w:rsidRPr="00E80636" w:rsidRDefault="00871E51" w:rsidP="006C308E">
      <w:pPr>
        <w:pStyle w:val="ListParagraph"/>
        <w:ind w:left="1080"/>
        <w:rPr>
          <w:rFonts w:asciiTheme="majorHAnsi" w:hAnsiTheme="majorHAnsi" w:cstheme="majorHAnsi"/>
          <w:szCs w:val="20"/>
        </w:rPr>
      </w:pPr>
    </w:p>
    <w:p w:rsidR="00871E51" w:rsidRPr="00E80636" w:rsidRDefault="00871E51" w:rsidP="006C308E">
      <w:pPr>
        <w:pStyle w:val="ListParagraph"/>
        <w:numPr>
          <w:ilvl w:val="0"/>
          <w:numId w:val="153"/>
        </w:numPr>
        <w:contextualSpacing/>
        <w:rPr>
          <w:rFonts w:asciiTheme="majorHAnsi" w:hAnsiTheme="majorHAnsi" w:cstheme="majorHAnsi"/>
          <w:szCs w:val="20"/>
        </w:rPr>
      </w:pPr>
      <w:r w:rsidRPr="00E80636">
        <w:rPr>
          <w:rFonts w:asciiTheme="majorHAnsi" w:hAnsiTheme="majorHAnsi" w:cstheme="majorHAnsi"/>
          <w:szCs w:val="20"/>
        </w:rPr>
        <w:t xml:space="preserve">Deanna Hoelscher, PhD, works with many organizations including the Partnership for a Healthy Texas to promote obesity prevention policies in Texas, the Texas Medical Association Texas Public Health Coalition, the Texas Department of Agriculture, </w:t>
      </w:r>
      <w:r w:rsidR="00AD6F36" w:rsidRPr="00E80636">
        <w:rPr>
          <w:rFonts w:asciiTheme="majorHAnsi" w:hAnsiTheme="majorHAnsi" w:cstheme="majorHAnsi"/>
          <w:szCs w:val="20"/>
        </w:rPr>
        <w:t>T</w:t>
      </w:r>
      <w:r w:rsidRPr="00E80636">
        <w:rPr>
          <w:rFonts w:asciiTheme="majorHAnsi" w:hAnsiTheme="majorHAnsi" w:cstheme="majorHAnsi"/>
          <w:szCs w:val="20"/>
        </w:rPr>
        <w:t>he Children at Risk Institute, the Texas Department of State Health Services, and Live Smart Texas. Dr. Hoelscher frequently sends students to work with these partnerships and invites students to serve as grant reviewers for community-based awards. Dr. Hoelscher is actively involved in identifying and promoting job opportunities to students and graduates, and she leverages her many community partnerships to do so.</w:t>
      </w:r>
    </w:p>
    <w:p w:rsidR="00871E51" w:rsidRPr="00E80636" w:rsidRDefault="00871E51" w:rsidP="006C308E">
      <w:pPr>
        <w:contextualSpacing/>
        <w:rPr>
          <w:rFonts w:asciiTheme="majorHAnsi" w:hAnsiTheme="majorHAnsi" w:cstheme="majorHAnsi"/>
          <w:sz w:val="20"/>
          <w:szCs w:val="20"/>
        </w:rPr>
      </w:pPr>
    </w:p>
    <w:p w:rsidR="00871E51" w:rsidRPr="00E80636" w:rsidRDefault="00871E51" w:rsidP="006C308E">
      <w:pPr>
        <w:pStyle w:val="ListParagraph"/>
        <w:keepNext/>
        <w:numPr>
          <w:ilvl w:val="0"/>
          <w:numId w:val="153"/>
        </w:numPr>
        <w:contextualSpacing/>
        <w:rPr>
          <w:rFonts w:asciiTheme="majorHAnsi" w:hAnsiTheme="majorHAnsi" w:cstheme="majorHAnsi"/>
          <w:szCs w:val="20"/>
        </w:rPr>
      </w:pPr>
      <w:r w:rsidRPr="00E80636">
        <w:rPr>
          <w:rFonts w:asciiTheme="majorHAnsi" w:hAnsiTheme="majorHAnsi" w:cstheme="majorHAnsi"/>
          <w:szCs w:val="20"/>
        </w:rPr>
        <w:t xml:space="preserve">Melissa Peskin, PhD, has research expertise in program design, implementation, and evaluation. Dr. Peskin has extensive partnerships with community organizations and schools across Texas. She currently serves on an expert panel for the Texas Education Agency to help review and provide guidance for updated Health Education Texas Essential Knowledge and Skills. Dr. Peskin regularly incorporates her experience into the adolescent sexual health course by having students review current legislative bills and policies that directly affect organizations in the state, and by inviting speakers from partner community organizations, all while incorporating lessons learned from her professional experience. Dr. Peskin developed and teaches a course on program evaluation that is instrumental in the training and preparation of our masters and doctoral students. As part of this course, she facilitates student collaborations with community organizations to evaluate an existing program. </w:t>
      </w:r>
    </w:p>
    <w:p w:rsidR="00871E51" w:rsidRPr="00E80636" w:rsidRDefault="00871E51" w:rsidP="006C308E">
      <w:pPr>
        <w:keepNext/>
        <w:contextualSpacing/>
        <w:rPr>
          <w:rFonts w:asciiTheme="majorHAnsi" w:hAnsiTheme="majorHAnsi" w:cstheme="majorHAnsi"/>
          <w:sz w:val="20"/>
          <w:szCs w:val="20"/>
        </w:rPr>
      </w:pPr>
    </w:p>
    <w:p w:rsidR="00871E51" w:rsidRPr="00E80636" w:rsidRDefault="00871E51" w:rsidP="006C308E">
      <w:pPr>
        <w:pStyle w:val="ListParagraph"/>
        <w:numPr>
          <w:ilvl w:val="0"/>
          <w:numId w:val="153"/>
        </w:numPr>
        <w:rPr>
          <w:rFonts w:asciiTheme="majorHAnsi" w:hAnsiTheme="majorHAnsi" w:cstheme="majorHAnsi"/>
          <w:szCs w:val="20"/>
        </w:rPr>
      </w:pPr>
      <w:r w:rsidRPr="00E80636">
        <w:rPr>
          <w:rFonts w:asciiTheme="majorHAnsi" w:hAnsiTheme="majorHAnsi" w:cstheme="majorHAnsi"/>
          <w:szCs w:val="20"/>
        </w:rPr>
        <w:t xml:space="preserve">Stephen Daiger, PhD, serves as Vice Chair of the Scientific Advisory Board of a nonprofit foundation devoted to supporting the visually impaired community; he also serves on committees of the National Eye Institute on the causes and treatments of degenerative eye diseases. He reviews grants and publications in this area. Dr. Daiger uses these experiences in classroom instruction </w:t>
      </w:r>
      <w:r w:rsidRPr="00E80636">
        <w:rPr>
          <w:rFonts w:asciiTheme="majorHAnsi" w:hAnsiTheme="majorHAnsi" w:cstheme="majorHAnsi"/>
          <w:color w:val="000000"/>
          <w:szCs w:val="20"/>
        </w:rPr>
        <w:t>to illustrate public health principles, as well as to provide case examples and classroom exercises on issues in delivering clinical and social services to the visually impaired community.</w:t>
      </w:r>
      <w:r w:rsidRPr="00E80636">
        <w:rPr>
          <w:rFonts w:asciiTheme="majorHAnsi" w:hAnsiTheme="majorHAnsi" w:cstheme="majorHAnsi"/>
          <w:szCs w:val="20"/>
        </w:rPr>
        <w:t xml:space="preserve"> Dr. Daiger also teaches a course on grant writing for graduate students in epidemiology and incorporates his experience in grant review and working with the NIH into his instruction.</w:t>
      </w:r>
    </w:p>
    <w:p w:rsidR="00B63BF9" w:rsidRPr="00E80636" w:rsidRDefault="00871E51" w:rsidP="006C308E">
      <w:pPr>
        <w:pStyle w:val="ListParagraph"/>
        <w:ind w:left="1440"/>
        <w:rPr>
          <w:rFonts w:asciiTheme="majorHAnsi" w:hAnsiTheme="majorHAnsi" w:cstheme="majorHAnsi"/>
          <w:szCs w:val="20"/>
        </w:rPr>
      </w:pPr>
      <w:r w:rsidRPr="00E80636">
        <w:rPr>
          <w:rFonts w:asciiTheme="majorHAnsi" w:hAnsiTheme="majorHAnsi" w:cstheme="majorHAnsi"/>
          <w:szCs w:val="20"/>
        </w:rPr>
        <w:t xml:space="preserve"> </w:t>
      </w:r>
      <w:r w:rsidR="004F715E" w:rsidRPr="00E80636">
        <w:rPr>
          <w:rFonts w:asciiTheme="majorHAnsi" w:hAnsiTheme="majorHAnsi" w:cstheme="majorHAnsi"/>
          <w:szCs w:val="20"/>
        </w:rPr>
        <w:t xml:space="preserve"> </w:t>
      </w:r>
    </w:p>
    <w:p w:rsidR="006B7286" w:rsidRPr="00E80636" w:rsidRDefault="006B7286" w:rsidP="006C308E">
      <w:pPr>
        <w:pStyle w:val="ListParagraph"/>
        <w:ind w:left="1440"/>
        <w:rPr>
          <w:rFonts w:asciiTheme="majorHAnsi" w:hAnsiTheme="majorHAnsi" w:cstheme="majorHAnsi"/>
          <w:szCs w:val="20"/>
        </w:rPr>
      </w:pPr>
    </w:p>
    <w:p w:rsidR="00933038" w:rsidRPr="00E80636" w:rsidRDefault="00933038" w:rsidP="006C308E">
      <w:pPr>
        <w:numPr>
          <w:ilvl w:val="0"/>
          <w:numId w:val="35"/>
        </w:numPr>
        <w:contextualSpacing/>
        <w:jc w:val="both"/>
        <w:rPr>
          <w:rFonts w:asciiTheme="majorHAnsi" w:hAnsiTheme="majorHAnsi" w:cstheme="majorHAnsi"/>
          <w:sz w:val="20"/>
          <w:szCs w:val="20"/>
        </w:rPr>
      </w:pPr>
      <w:r w:rsidRPr="00E80636">
        <w:rPr>
          <w:rFonts w:asciiTheme="majorHAnsi" w:hAnsiTheme="majorHAnsi" w:cstheme="majorHAnsi"/>
          <w:sz w:val="20"/>
          <w:szCs w:val="20"/>
        </w:rPr>
        <w:t xml:space="preserve">Describe and provide three to five examples of student opportunities for involvement in faculty extramural service. </w:t>
      </w:r>
    </w:p>
    <w:p w:rsidR="00933038" w:rsidRPr="00E80636" w:rsidRDefault="00933038" w:rsidP="006C308E">
      <w:pPr>
        <w:contextualSpacing/>
        <w:jc w:val="both"/>
        <w:rPr>
          <w:rFonts w:asciiTheme="majorHAnsi" w:hAnsiTheme="majorHAnsi" w:cstheme="majorHAnsi"/>
          <w:sz w:val="20"/>
          <w:szCs w:val="20"/>
        </w:rPr>
      </w:pPr>
    </w:p>
    <w:p w:rsidR="00871E51" w:rsidRPr="00E80636" w:rsidRDefault="00871E51" w:rsidP="006C308E">
      <w:pPr>
        <w:pStyle w:val="m-2208960558059457134datafield11pt-single"/>
        <w:numPr>
          <w:ilvl w:val="0"/>
          <w:numId w:val="155"/>
        </w:numPr>
        <w:spacing w:before="0" w:beforeAutospacing="0" w:after="0" w:afterAutospacing="0"/>
        <w:ind w:left="1080"/>
        <w:rPr>
          <w:rFonts w:asciiTheme="majorHAnsi" w:hAnsiTheme="majorHAnsi" w:cstheme="majorHAnsi"/>
          <w:sz w:val="20"/>
          <w:szCs w:val="20"/>
        </w:rPr>
      </w:pPr>
      <w:r w:rsidRPr="00E80636">
        <w:rPr>
          <w:rFonts w:asciiTheme="majorHAnsi" w:hAnsiTheme="majorHAnsi" w:cstheme="majorHAnsi"/>
          <w:bCs/>
          <w:sz w:val="20"/>
          <w:szCs w:val="20"/>
        </w:rPr>
        <w:t>Andrew Springer, DrPH,</w:t>
      </w:r>
      <w:r w:rsidRPr="00E80636">
        <w:rPr>
          <w:rFonts w:asciiTheme="majorHAnsi" w:hAnsiTheme="majorHAnsi" w:cstheme="majorHAnsi"/>
          <w:sz w:val="20"/>
          <w:szCs w:val="20"/>
        </w:rPr>
        <w:t xml:space="preserve"> is</w:t>
      </w:r>
      <w:r w:rsidRPr="00E80636">
        <w:rPr>
          <w:rFonts w:asciiTheme="majorHAnsi" w:hAnsiTheme="majorHAnsi" w:cstheme="majorHAnsi"/>
          <w:bCs/>
          <w:sz w:val="20"/>
          <w:szCs w:val="20"/>
        </w:rPr>
        <w:t xml:space="preserve"> </w:t>
      </w:r>
      <w:r w:rsidRPr="00E80636">
        <w:rPr>
          <w:rFonts w:asciiTheme="majorHAnsi" w:hAnsiTheme="majorHAnsi" w:cstheme="majorHAnsi"/>
          <w:sz w:val="20"/>
          <w:szCs w:val="20"/>
        </w:rPr>
        <w:t>a tenured</w:t>
      </w:r>
      <w:r w:rsidRPr="00E80636">
        <w:rPr>
          <w:rFonts w:asciiTheme="majorHAnsi" w:hAnsiTheme="majorHAnsi" w:cstheme="majorHAnsi"/>
          <w:bCs/>
          <w:sz w:val="20"/>
          <w:szCs w:val="20"/>
        </w:rPr>
        <w:t xml:space="preserve"> </w:t>
      </w:r>
      <w:r w:rsidRPr="00E80636">
        <w:rPr>
          <w:rFonts w:asciiTheme="majorHAnsi" w:hAnsiTheme="majorHAnsi" w:cstheme="majorHAnsi"/>
          <w:sz w:val="20"/>
          <w:szCs w:val="20"/>
        </w:rPr>
        <w:t xml:space="preserve">associate professor in the Department of Health Promotion and Behavioral Sciences at the Austin campus of UTHealth School of Public Health, with </w:t>
      </w:r>
      <w:r w:rsidRPr="00E80636">
        <w:rPr>
          <w:rFonts w:asciiTheme="majorHAnsi" w:hAnsiTheme="majorHAnsi" w:cstheme="majorHAnsi"/>
          <w:color w:val="000000"/>
          <w:sz w:val="20"/>
          <w:szCs w:val="20"/>
        </w:rPr>
        <w:t>over 20 years of experience in the design, implementation, and evaluation of child and adolescent health promotion programs and research. </w:t>
      </w:r>
      <w:r w:rsidRPr="00E80636">
        <w:rPr>
          <w:rFonts w:asciiTheme="majorHAnsi" w:hAnsiTheme="majorHAnsi" w:cstheme="majorHAnsi"/>
          <w:sz w:val="20"/>
          <w:szCs w:val="20"/>
        </w:rPr>
        <w:t>He embraces an active community health praxis, which includes his current role as co-chair of the Michael &amp; Susan Dell Community Collaborative for Child Health and service on community health boards that include the Austin/Travis Community Health Improvement Plan and the Capital Area Arc Wellness Committee. Dr. Springer helped a local nonprofit organization that serves individuals with intellectual and physical disabilities with a grant proposal aimed at increasing wellness activities for their population. He created two paid internship opportunities for UTHealth School of Public Health MPH students through this partnership. He also connected students with other city and county-wide initiatives as volunteers, such as the Austin/Travis County Community Health Assessment/Community Health Improvement Plan, as well as placed students with community and university partners in Bogotá, Colombia.</w:t>
      </w:r>
    </w:p>
    <w:p w:rsidR="00871E51" w:rsidRPr="00E80636" w:rsidRDefault="00871E51" w:rsidP="006C308E">
      <w:pPr>
        <w:pStyle w:val="m-2208960558059457134datafield11pt-single"/>
        <w:spacing w:before="0" w:beforeAutospacing="0" w:after="0" w:afterAutospacing="0"/>
        <w:rPr>
          <w:rFonts w:asciiTheme="majorHAnsi" w:hAnsiTheme="majorHAnsi" w:cstheme="majorHAnsi"/>
          <w:sz w:val="20"/>
          <w:szCs w:val="20"/>
        </w:rPr>
      </w:pPr>
    </w:p>
    <w:p w:rsidR="00871E51" w:rsidRPr="00E80636" w:rsidRDefault="00871E51" w:rsidP="006C308E">
      <w:pPr>
        <w:pStyle w:val="ListParagraph"/>
        <w:numPr>
          <w:ilvl w:val="0"/>
          <w:numId w:val="155"/>
        </w:numPr>
        <w:ind w:left="1080"/>
        <w:rPr>
          <w:rFonts w:asciiTheme="majorHAnsi" w:hAnsiTheme="majorHAnsi" w:cstheme="majorHAnsi"/>
          <w:szCs w:val="20"/>
        </w:rPr>
      </w:pPr>
      <w:r w:rsidRPr="00E80636">
        <w:rPr>
          <w:rFonts w:asciiTheme="majorHAnsi" w:hAnsiTheme="majorHAnsi" w:cstheme="majorHAnsi"/>
          <w:szCs w:val="20"/>
        </w:rPr>
        <w:t>Robert Emery, DrPH, who serves as the UTHealth Vice President for Safety, Health, Environment &amp; Risk Management (SHERM) is also professor of occupational health at the UTHealth School of Public Health. This arrangement facilitates many unique extramural service opportunities for students. For example, students have been afforded the opportunity to assemble fact sheets on various emerging public health matters for use during actual media interviews and have been given access to view the filming process. Dr. Emery incorporates students into his service activities by having them participate in the UT System Task Force meetings on the management of high-consequence pathogens and the Texas Radiation Advisory Board meetings and discussions.</w:t>
      </w:r>
    </w:p>
    <w:p w:rsidR="00871E51" w:rsidRPr="00E80636" w:rsidRDefault="00871E51" w:rsidP="006C308E">
      <w:pPr>
        <w:ind w:left="1080" w:hanging="360"/>
        <w:rPr>
          <w:rFonts w:asciiTheme="majorHAnsi" w:hAnsiTheme="majorHAnsi" w:cstheme="majorHAnsi"/>
          <w:sz w:val="20"/>
          <w:szCs w:val="20"/>
        </w:rPr>
      </w:pPr>
    </w:p>
    <w:p w:rsidR="00871E51" w:rsidRPr="00E80636" w:rsidRDefault="00871E51" w:rsidP="006C308E">
      <w:pPr>
        <w:pStyle w:val="ListParagraph"/>
        <w:numPr>
          <w:ilvl w:val="0"/>
          <w:numId w:val="155"/>
        </w:numPr>
        <w:ind w:left="1080"/>
        <w:rPr>
          <w:rFonts w:asciiTheme="majorHAnsi" w:hAnsiTheme="majorHAnsi" w:cstheme="majorHAnsi"/>
          <w:szCs w:val="20"/>
        </w:rPr>
      </w:pPr>
      <w:r w:rsidRPr="00E80636">
        <w:rPr>
          <w:rFonts w:asciiTheme="majorHAnsi" w:hAnsiTheme="majorHAnsi" w:cstheme="majorHAnsi"/>
          <w:szCs w:val="20"/>
        </w:rPr>
        <w:t xml:space="preserve">Shreela Sharma, PhD, is an associate professor in the Department of Epidemiology, Human Genetics and Environmental Sciences, with a secondary appointment in the Department of Health Promotion and Behavioral Sciences. Dr. Sharma is heavily involved in the dietetic internship program at UTHealth School of Public Health, and she regularly involves students in external service with various nonprofit organizations, government entities, school districts, and </w:t>
      </w:r>
      <w:r w:rsidR="00D06EEE" w:rsidRPr="00E80636">
        <w:rPr>
          <w:rFonts w:asciiTheme="majorHAnsi" w:hAnsiTheme="majorHAnsi" w:cstheme="majorHAnsi"/>
          <w:szCs w:val="20"/>
        </w:rPr>
        <w:t>healthcare</w:t>
      </w:r>
      <w:r w:rsidRPr="00E80636">
        <w:rPr>
          <w:rFonts w:asciiTheme="majorHAnsi" w:hAnsiTheme="majorHAnsi" w:cstheme="majorHAnsi"/>
          <w:szCs w:val="20"/>
        </w:rPr>
        <w:t xml:space="preserve"> organizations providing nutrition services within the Greater Houston area. Students gain in-depth experience across two primary areas of community nutrition and food service nutrition: school and hospital foodservice. Dr. Sharma also maintains strong ongoing partnerships with nonprofit organizations such as Brighter Bites and assists in continued evaluation efforts. Through this partnership, Dr. Sharma has facilitated numerous student experiences with Brighter Bites, allowing students to gain experience across the various facets of the organization, including program partnerships, implementation, and evaluation. Students learn how academic–nonprofit partnerships are formed, how to conduct needs assessments as they relate to food systems, how to successfully implement health promotion programs in the community, and about facilitators and barriers to implementing programs such as Brighter Bites. Additionally, Dr. Sharma has facilitated experiences in which students have participated in community-driven impact frameworks to improve social determinants of health in the Greater Houston area. For example, in 2015–2017, the </w:t>
      </w:r>
      <w:r w:rsidRPr="00E80636">
        <w:rPr>
          <w:rFonts w:asciiTheme="majorHAnsi" w:hAnsiTheme="majorHAnsi" w:cstheme="majorHAnsi"/>
          <w:i/>
          <w:szCs w:val="20"/>
        </w:rPr>
        <w:t>BUILD</w:t>
      </w:r>
      <w:r w:rsidRPr="00E80636">
        <w:rPr>
          <w:rFonts w:asciiTheme="majorHAnsi" w:hAnsiTheme="majorHAnsi" w:cstheme="majorHAnsi"/>
          <w:szCs w:val="20"/>
        </w:rPr>
        <w:t xml:space="preserve"> collective impact framework was implemented in the north Pasadena community of Harris County, TX, to create a healthy and sustainable food system to mitigate food insecurity among north Pasadena residents. This framework included 21 partner organizations and was anchored by Harris County Public Health, the Houston Food Bank, and the MD Anderson Cancer Center. UTHealth School of Public Health was engaged in evaluation efforts of the entire collective impact framework. Three students participated in various aspects of the project, including strategic planning, implementation of various </w:t>
      </w:r>
      <w:r w:rsidRPr="00E80636">
        <w:rPr>
          <w:rFonts w:asciiTheme="majorHAnsi" w:hAnsiTheme="majorHAnsi" w:cstheme="majorHAnsi"/>
          <w:i/>
          <w:szCs w:val="20"/>
        </w:rPr>
        <w:t>BUILD</w:t>
      </w:r>
      <w:r w:rsidRPr="00E80636">
        <w:rPr>
          <w:rFonts w:asciiTheme="majorHAnsi" w:hAnsiTheme="majorHAnsi" w:cstheme="majorHAnsi"/>
          <w:szCs w:val="20"/>
        </w:rPr>
        <w:t xml:space="preserve"> programs, and evaluation efforts. </w:t>
      </w:r>
    </w:p>
    <w:p w:rsidR="00871E51" w:rsidRPr="00E80636" w:rsidRDefault="00871E51" w:rsidP="006C308E">
      <w:pPr>
        <w:ind w:left="1080" w:hanging="360"/>
        <w:rPr>
          <w:rFonts w:asciiTheme="majorHAnsi" w:hAnsiTheme="majorHAnsi" w:cstheme="majorHAnsi"/>
          <w:sz w:val="20"/>
          <w:szCs w:val="20"/>
        </w:rPr>
      </w:pPr>
    </w:p>
    <w:p w:rsidR="00871E51" w:rsidRPr="00E80636" w:rsidRDefault="00871E51" w:rsidP="006C308E">
      <w:pPr>
        <w:pStyle w:val="ListParagraph"/>
        <w:keepNext/>
        <w:numPr>
          <w:ilvl w:val="0"/>
          <w:numId w:val="155"/>
        </w:numPr>
        <w:ind w:left="1080"/>
        <w:rPr>
          <w:rFonts w:asciiTheme="majorHAnsi" w:eastAsia="Arial" w:hAnsiTheme="majorHAnsi" w:cstheme="majorHAnsi"/>
          <w:szCs w:val="20"/>
        </w:rPr>
      </w:pPr>
      <w:r w:rsidRPr="00E80636">
        <w:rPr>
          <w:rFonts w:asciiTheme="majorHAnsi" w:hAnsiTheme="majorHAnsi" w:cstheme="majorHAnsi"/>
          <w:szCs w:val="20"/>
        </w:rPr>
        <w:t xml:space="preserve">Vanessa Schick, PhD, assistant professor in the Department of Management, Policy and Community Health Practice, engages students in external services activities in ways that directly meet the needs and requests of community partners. Specifically, through her course, Enhancing Cultural Humility through Social Justice: Working in Diverse Communities, Dr. Schick invites community partners to attend class and to speak with students about the wants and needs of the communities they serve. Based on this information, students pick a community partner and engage in 10 or more hours of service learning. Dr. Schick also regularly connect students with community partners for practicum sites, independent study opportunities, and dissertation research. For example, Dr. Schick was asked to conduct a needs assessment for Healthcare for the Homeless Houston, a Federally Qualified Health Center, in the summer of 2017. A group of students at various academic stages assisted in the needs assessment in different ways. One DrPH students identified validated scales and previously used items to assess survey constructs, while another DrPH student conducted a literature review and assisted in the design of a representative sampling strategy for those with experiences of homelessness. A third DrPH student developed a volunteer training, and an MPH student helped to organize the group, put the materials online, connected with community partners and assisted with data collection. All students assisted with the community report. After completion, a subset of the data was published in a peer-reviewed journal with the community partners and students listed as co-authors. Since this successful experience, Dr. Schick has engaged multiple students in community-requested projects (e.g., needs assessment, program development, and program evaluation). </w:t>
      </w:r>
    </w:p>
    <w:p w:rsidR="004F715E" w:rsidRPr="00E80636" w:rsidRDefault="004F715E" w:rsidP="006C308E">
      <w:pPr>
        <w:pStyle w:val="m-2208960558059457134datafield11pt-single"/>
        <w:spacing w:before="0" w:beforeAutospacing="0" w:after="0" w:afterAutospacing="0"/>
        <w:ind w:left="720"/>
        <w:rPr>
          <w:rFonts w:asciiTheme="majorHAnsi" w:hAnsiTheme="majorHAnsi" w:cstheme="majorHAnsi"/>
          <w:sz w:val="20"/>
          <w:szCs w:val="20"/>
        </w:rPr>
      </w:pPr>
    </w:p>
    <w:p w:rsidR="00933038" w:rsidRPr="00E80636" w:rsidRDefault="00933038" w:rsidP="006C308E">
      <w:pPr>
        <w:numPr>
          <w:ilvl w:val="0"/>
          <w:numId w:val="35"/>
        </w:numPr>
        <w:contextualSpacing/>
        <w:jc w:val="both"/>
        <w:rPr>
          <w:rFonts w:asciiTheme="majorHAnsi" w:hAnsiTheme="majorHAnsi" w:cstheme="majorHAnsi"/>
          <w:sz w:val="20"/>
          <w:szCs w:val="20"/>
        </w:rPr>
      </w:pPr>
      <w:r w:rsidRPr="00E80636">
        <w:rPr>
          <w:rFonts w:asciiTheme="majorHAnsi" w:hAnsiTheme="majorHAnsi" w:cstheme="majorHAnsi"/>
          <w:sz w:val="20"/>
          <w:szCs w:val="20"/>
        </w:rPr>
        <w:t xml:space="preserve">Select at least three of the indicators that are meaningful to the school and relate to service. Describe the school’s approach and progress over the last three years for each of the chosen indicators. In addition to at least three from the list </w:t>
      </w:r>
      <w:r w:rsidR="00B47F4B" w:rsidRPr="00E80636">
        <w:rPr>
          <w:rFonts w:asciiTheme="majorHAnsi" w:hAnsiTheme="majorHAnsi" w:cstheme="majorHAnsi"/>
          <w:sz w:val="20"/>
          <w:szCs w:val="20"/>
        </w:rPr>
        <w:t>in the criteria</w:t>
      </w:r>
      <w:r w:rsidRPr="00E80636">
        <w:rPr>
          <w:rFonts w:asciiTheme="majorHAnsi" w:hAnsiTheme="majorHAnsi" w:cstheme="majorHAnsi"/>
          <w:sz w:val="20"/>
          <w:szCs w:val="20"/>
        </w:rPr>
        <w:t>, the school may add indicators that are significant to its own mission and context.</w:t>
      </w:r>
    </w:p>
    <w:p w:rsidR="00933038" w:rsidRPr="00E80636" w:rsidRDefault="00933038" w:rsidP="006C308E">
      <w:pPr>
        <w:contextualSpacing/>
        <w:jc w:val="both"/>
        <w:rPr>
          <w:rFonts w:asciiTheme="majorHAnsi" w:hAnsiTheme="majorHAnsi" w:cstheme="majorHAnsi"/>
          <w:sz w:val="20"/>
          <w:szCs w:val="20"/>
        </w:rPr>
      </w:pPr>
    </w:p>
    <w:p w:rsidR="006D6125" w:rsidRPr="00E80636" w:rsidRDefault="006E3D5E" w:rsidP="006C308E">
      <w:pPr>
        <w:ind w:left="720"/>
        <w:rPr>
          <w:rFonts w:asciiTheme="majorHAnsi" w:hAnsiTheme="majorHAnsi" w:cstheme="majorHAnsi"/>
          <w:sz w:val="20"/>
          <w:szCs w:val="20"/>
        </w:rPr>
      </w:pPr>
      <w:hyperlink w:anchor="tablee5a" w:history="1">
        <w:r w:rsidR="006D6125" w:rsidRPr="00E80636">
          <w:rPr>
            <w:rStyle w:val="Hyperlink"/>
            <w:rFonts w:asciiTheme="majorHAnsi" w:hAnsiTheme="majorHAnsi" w:cstheme="majorHAnsi"/>
            <w:sz w:val="20"/>
            <w:szCs w:val="20"/>
          </w:rPr>
          <w:t>Table E.5.5.</w:t>
        </w:r>
      </w:hyperlink>
      <w:r w:rsidR="006D6125" w:rsidRPr="00E80636">
        <w:rPr>
          <w:rFonts w:asciiTheme="majorHAnsi" w:hAnsiTheme="majorHAnsi" w:cstheme="majorHAnsi"/>
          <w:sz w:val="20"/>
          <w:szCs w:val="20"/>
        </w:rPr>
        <w:t xml:space="preserve"> Displays the indicators for extramural service activities from 2016 to 2018. Although the total service funding has declined over the past three years, the total number of projects has increased substantially. In 2018, the school had more community-based collaborations; however, funding support for those collaborations has decreased. The average service score on the annual peer review is lower, indicating that faculty service scores are improving.  Moreover, fewer faculty are receiving poor service scores. </w:t>
      </w:r>
    </w:p>
    <w:p w:rsidR="006D6125" w:rsidRPr="00E80636" w:rsidRDefault="006D6125" w:rsidP="006C308E">
      <w:pPr>
        <w:contextualSpacing/>
        <w:jc w:val="both"/>
        <w:rPr>
          <w:rFonts w:asciiTheme="majorHAnsi" w:hAnsiTheme="majorHAnsi" w:cstheme="majorHAnsi"/>
          <w:sz w:val="20"/>
          <w:szCs w:val="20"/>
        </w:rPr>
      </w:pPr>
    </w:p>
    <w:p w:rsidR="00112818" w:rsidRPr="00E80636" w:rsidRDefault="00112818" w:rsidP="006C308E">
      <w:pPr>
        <w:pStyle w:val="Default"/>
        <w:ind w:left="720"/>
        <w:rPr>
          <w:rFonts w:asciiTheme="majorHAnsi" w:hAnsiTheme="majorHAnsi" w:cstheme="majorHAnsi"/>
          <w:szCs w:val="20"/>
        </w:rPr>
      </w:pPr>
      <w:r w:rsidRPr="00E80636">
        <w:rPr>
          <w:rFonts w:asciiTheme="majorHAnsi" w:hAnsiTheme="majorHAnsi" w:cstheme="majorHAnsi"/>
          <w:szCs w:val="20"/>
        </w:rPr>
        <w:t>Service activities are reviewed by department chairs and campus deans, as well as by the Practice Council. The UTHealth School of Public Health uses the following criteria to evaluate faculty extramural service</w:t>
      </w:r>
      <w:r w:rsidR="00C608E8" w:rsidRPr="00E80636">
        <w:rPr>
          <w:rFonts w:asciiTheme="majorHAnsi" w:hAnsiTheme="majorHAnsi" w:cstheme="majorHAnsi"/>
          <w:szCs w:val="20"/>
        </w:rPr>
        <w:t xml:space="preserve">, as indicated in </w:t>
      </w:r>
      <w:hyperlink w:anchor="tablee5a" w:history="1">
        <w:r w:rsidR="004A2A59">
          <w:rPr>
            <w:rStyle w:val="Hyperlink"/>
            <w:rFonts w:asciiTheme="majorHAnsi" w:hAnsiTheme="majorHAnsi" w:cstheme="majorHAnsi"/>
            <w:szCs w:val="20"/>
          </w:rPr>
          <w:t>Table E.5.5.</w:t>
        </w:r>
      </w:hyperlink>
      <w:r w:rsidRPr="00E80636">
        <w:rPr>
          <w:rFonts w:asciiTheme="majorHAnsi" w:hAnsiTheme="majorHAnsi" w:cstheme="majorHAnsi"/>
          <w:szCs w:val="20"/>
        </w:rPr>
        <w:t>:</w:t>
      </w:r>
    </w:p>
    <w:p w:rsidR="00112818" w:rsidRPr="00E80636" w:rsidRDefault="00112818" w:rsidP="006C308E">
      <w:pPr>
        <w:pStyle w:val="Default"/>
        <w:numPr>
          <w:ilvl w:val="0"/>
          <w:numId w:val="121"/>
        </w:numPr>
        <w:rPr>
          <w:rFonts w:asciiTheme="majorHAnsi" w:hAnsiTheme="majorHAnsi" w:cstheme="majorHAnsi"/>
          <w:szCs w:val="20"/>
        </w:rPr>
      </w:pPr>
      <w:r w:rsidRPr="00E80636">
        <w:rPr>
          <w:rFonts w:asciiTheme="majorHAnsi" w:hAnsiTheme="majorHAnsi" w:cstheme="majorHAnsi"/>
          <w:szCs w:val="20"/>
        </w:rPr>
        <w:t>The service score faculty receive from their peers during their annual review.</w:t>
      </w:r>
    </w:p>
    <w:p w:rsidR="00112818" w:rsidRPr="00E80636" w:rsidRDefault="00112818" w:rsidP="006C308E">
      <w:pPr>
        <w:pStyle w:val="Default"/>
        <w:numPr>
          <w:ilvl w:val="0"/>
          <w:numId w:val="121"/>
        </w:numPr>
        <w:rPr>
          <w:rFonts w:asciiTheme="majorHAnsi" w:hAnsiTheme="majorHAnsi" w:cstheme="majorHAnsi"/>
          <w:szCs w:val="20"/>
        </w:rPr>
      </w:pPr>
      <w:r w:rsidRPr="00E80636">
        <w:rPr>
          <w:rFonts w:asciiTheme="majorHAnsi" w:hAnsiTheme="majorHAnsi" w:cstheme="majorHAnsi"/>
          <w:szCs w:val="20"/>
        </w:rPr>
        <w:t>The percentage of faculty participating in extramural service.</w:t>
      </w:r>
    </w:p>
    <w:p w:rsidR="00112818" w:rsidRPr="00E80636" w:rsidRDefault="00112818" w:rsidP="006C308E">
      <w:pPr>
        <w:pStyle w:val="Default"/>
        <w:numPr>
          <w:ilvl w:val="0"/>
          <w:numId w:val="121"/>
        </w:numPr>
        <w:rPr>
          <w:rFonts w:asciiTheme="majorHAnsi" w:hAnsiTheme="majorHAnsi" w:cstheme="majorHAnsi"/>
          <w:szCs w:val="20"/>
        </w:rPr>
      </w:pPr>
      <w:r w:rsidRPr="00E80636">
        <w:rPr>
          <w:rFonts w:asciiTheme="majorHAnsi" w:eastAsia="Times New Roman" w:hAnsiTheme="majorHAnsi" w:cstheme="majorHAnsi"/>
          <w:szCs w:val="20"/>
        </w:rPr>
        <w:t>Total service funding (funding with community-based organizations).</w:t>
      </w:r>
    </w:p>
    <w:p w:rsidR="00112818" w:rsidRPr="00E80636" w:rsidRDefault="00911905" w:rsidP="006C308E">
      <w:pPr>
        <w:pStyle w:val="Default"/>
        <w:numPr>
          <w:ilvl w:val="0"/>
          <w:numId w:val="121"/>
        </w:numPr>
        <w:rPr>
          <w:rFonts w:asciiTheme="majorHAnsi" w:hAnsiTheme="majorHAnsi" w:cstheme="majorHAnsi"/>
          <w:szCs w:val="20"/>
        </w:rPr>
      </w:pPr>
      <w:r w:rsidRPr="00E80636">
        <w:rPr>
          <w:rFonts w:asciiTheme="majorHAnsi" w:hAnsiTheme="majorHAnsi" w:cstheme="majorHAnsi"/>
          <w:szCs w:val="20"/>
        </w:rPr>
        <w:t>The total number of community-based service projects</w:t>
      </w:r>
      <w:r w:rsidR="00112818" w:rsidRPr="00E80636">
        <w:rPr>
          <w:rFonts w:asciiTheme="majorHAnsi" w:hAnsiTheme="majorHAnsi" w:cstheme="majorHAnsi"/>
          <w:szCs w:val="20"/>
        </w:rPr>
        <w:t>.</w:t>
      </w:r>
    </w:p>
    <w:p w:rsidR="00112818" w:rsidRPr="00E80636" w:rsidRDefault="00112818" w:rsidP="006C308E">
      <w:pPr>
        <w:pStyle w:val="Default"/>
        <w:ind w:left="720"/>
        <w:rPr>
          <w:rFonts w:asciiTheme="majorHAnsi" w:hAnsiTheme="majorHAnsi" w:cstheme="majorHAnsi"/>
          <w:szCs w:val="20"/>
        </w:rPr>
      </w:pPr>
    </w:p>
    <w:p w:rsidR="00112818" w:rsidRPr="00E80636" w:rsidRDefault="00112818" w:rsidP="006C308E">
      <w:pPr>
        <w:pStyle w:val="Default"/>
        <w:ind w:left="720"/>
        <w:rPr>
          <w:rFonts w:asciiTheme="majorHAnsi" w:hAnsiTheme="majorHAnsi" w:cstheme="majorHAnsi"/>
          <w:szCs w:val="20"/>
        </w:rPr>
      </w:pPr>
      <w:bookmarkStart w:id="134" w:name="tablee5a"/>
      <w:r w:rsidRPr="00E80636">
        <w:rPr>
          <w:rFonts w:asciiTheme="majorHAnsi" w:hAnsiTheme="majorHAnsi" w:cstheme="majorHAnsi"/>
          <w:szCs w:val="20"/>
        </w:rPr>
        <w:t>Table E</w:t>
      </w:r>
      <w:r w:rsidR="00C608E8" w:rsidRPr="00E80636">
        <w:rPr>
          <w:rFonts w:asciiTheme="majorHAnsi" w:hAnsiTheme="majorHAnsi" w:cstheme="majorHAnsi"/>
          <w:szCs w:val="20"/>
        </w:rPr>
        <w:t>.</w:t>
      </w:r>
      <w:r w:rsidRPr="00E80636">
        <w:rPr>
          <w:rFonts w:asciiTheme="majorHAnsi" w:hAnsiTheme="majorHAnsi" w:cstheme="majorHAnsi"/>
          <w:szCs w:val="20"/>
        </w:rPr>
        <w:t>5.</w:t>
      </w:r>
      <w:r w:rsidR="006D6125" w:rsidRPr="00E80636">
        <w:rPr>
          <w:rFonts w:asciiTheme="majorHAnsi" w:hAnsiTheme="majorHAnsi" w:cstheme="majorHAnsi"/>
          <w:szCs w:val="20"/>
        </w:rPr>
        <w:t>5</w:t>
      </w:r>
      <w:r w:rsidRPr="00E80636">
        <w:rPr>
          <w:rFonts w:asciiTheme="majorHAnsi" w:hAnsiTheme="majorHAnsi" w:cstheme="majorHAnsi"/>
          <w:szCs w:val="20"/>
        </w:rPr>
        <w:t xml:space="preserve">. </w:t>
      </w:r>
      <w:bookmarkEnd w:id="134"/>
      <w:r w:rsidRPr="00E80636">
        <w:rPr>
          <w:rFonts w:asciiTheme="majorHAnsi" w:hAnsiTheme="majorHAnsi" w:cstheme="majorHAnsi"/>
          <w:szCs w:val="20"/>
        </w:rPr>
        <w:t>– Faculty Extramural Service</w:t>
      </w:r>
    </w:p>
    <w:tbl>
      <w:tblPr>
        <w:tblStyle w:val="GridTable6Colorful"/>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770"/>
        <w:gridCol w:w="1770"/>
        <w:gridCol w:w="1770"/>
      </w:tblGrid>
      <w:tr w:rsidR="00112818" w:rsidRPr="00743A41" w:rsidTr="009E7103">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30" w:type="dxa"/>
            <w:shd w:val="clear" w:color="auto" w:fill="BFBFBF" w:themeFill="background1" w:themeFillShade="BF"/>
            <w:noWrap/>
            <w:hideMark/>
          </w:tcPr>
          <w:p w:rsidR="00112818" w:rsidRPr="00E80636" w:rsidRDefault="00112818" w:rsidP="006C308E">
            <w:pPr>
              <w:rPr>
                <w:rFonts w:asciiTheme="majorHAnsi" w:eastAsia="Times New Roman" w:hAnsiTheme="majorHAnsi" w:cstheme="majorHAnsi"/>
                <w:sz w:val="20"/>
                <w:szCs w:val="20"/>
              </w:rPr>
            </w:pPr>
          </w:p>
        </w:tc>
        <w:tc>
          <w:tcPr>
            <w:tcW w:w="1770" w:type="dxa"/>
            <w:shd w:val="clear" w:color="auto" w:fill="BFBFBF" w:themeFill="background1" w:themeFillShade="BF"/>
            <w:noWrap/>
            <w:hideMark/>
          </w:tcPr>
          <w:p w:rsidR="00112818" w:rsidRPr="00E80636" w:rsidRDefault="00112818" w:rsidP="006C308E">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2016</w:t>
            </w:r>
          </w:p>
        </w:tc>
        <w:tc>
          <w:tcPr>
            <w:tcW w:w="1770" w:type="dxa"/>
            <w:shd w:val="clear" w:color="auto" w:fill="BFBFBF" w:themeFill="background1" w:themeFillShade="BF"/>
            <w:noWrap/>
            <w:hideMark/>
          </w:tcPr>
          <w:p w:rsidR="00112818" w:rsidRPr="00E80636" w:rsidRDefault="00112818" w:rsidP="006C308E">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2017</w:t>
            </w:r>
          </w:p>
        </w:tc>
        <w:tc>
          <w:tcPr>
            <w:tcW w:w="1770" w:type="dxa"/>
            <w:shd w:val="clear" w:color="auto" w:fill="BFBFBF" w:themeFill="background1" w:themeFillShade="BF"/>
            <w:noWrap/>
            <w:hideMark/>
          </w:tcPr>
          <w:p w:rsidR="00112818" w:rsidRPr="00E80636" w:rsidRDefault="00112818" w:rsidP="006C308E">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2018</w:t>
            </w:r>
          </w:p>
        </w:tc>
      </w:tr>
      <w:tr w:rsidR="00112818" w:rsidRPr="00743A41" w:rsidTr="009E7103">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330" w:type="dxa"/>
            <w:shd w:val="clear" w:color="auto" w:fill="auto"/>
            <w:vAlign w:val="center"/>
            <w:hideMark/>
          </w:tcPr>
          <w:p w:rsidR="00112818" w:rsidRPr="00E80636" w:rsidRDefault="00112818" w:rsidP="006C308E">
            <w:pPr>
              <w:rPr>
                <w:rFonts w:asciiTheme="majorHAnsi" w:eastAsia="Times New Roman" w:hAnsiTheme="majorHAnsi" w:cstheme="majorHAnsi"/>
                <w:b w:val="0"/>
                <w:color w:val="000000"/>
                <w:sz w:val="20"/>
                <w:szCs w:val="20"/>
              </w:rPr>
            </w:pPr>
            <w:r w:rsidRPr="00E80636">
              <w:rPr>
                <w:rFonts w:asciiTheme="majorHAnsi" w:eastAsia="Times New Roman" w:hAnsiTheme="majorHAnsi" w:cstheme="majorHAnsi"/>
                <w:b w:val="0"/>
                <w:color w:val="000000"/>
                <w:sz w:val="20"/>
                <w:szCs w:val="20"/>
              </w:rPr>
              <w:t>Total service funding (funding with community-based organizations)</w:t>
            </w:r>
          </w:p>
        </w:tc>
        <w:tc>
          <w:tcPr>
            <w:tcW w:w="1770" w:type="dxa"/>
            <w:shd w:val="clear" w:color="auto" w:fill="auto"/>
            <w:noWrap/>
            <w:vAlign w:val="center"/>
            <w:hideMark/>
          </w:tcPr>
          <w:p w:rsidR="00112818" w:rsidRPr="00E80636" w:rsidRDefault="00112818" w:rsidP="006C30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$ 318,524.80</w:t>
            </w:r>
          </w:p>
        </w:tc>
        <w:tc>
          <w:tcPr>
            <w:tcW w:w="1770" w:type="dxa"/>
            <w:shd w:val="clear" w:color="auto" w:fill="auto"/>
            <w:noWrap/>
            <w:vAlign w:val="center"/>
            <w:hideMark/>
          </w:tcPr>
          <w:p w:rsidR="00112818" w:rsidRPr="00E80636" w:rsidRDefault="00112818" w:rsidP="006C30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$ 133,780.45</w:t>
            </w:r>
          </w:p>
        </w:tc>
        <w:tc>
          <w:tcPr>
            <w:tcW w:w="1770" w:type="dxa"/>
            <w:shd w:val="clear" w:color="auto" w:fill="auto"/>
            <w:noWrap/>
            <w:vAlign w:val="center"/>
            <w:hideMark/>
          </w:tcPr>
          <w:p w:rsidR="00112818" w:rsidRPr="00E80636" w:rsidRDefault="00112818" w:rsidP="006C30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$ 219,504.42</w:t>
            </w:r>
          </w:p>
        </w:tc>
      </w:tr>
      <w:tr w:rsidR="00112818" w:rsidRPr="00743A41" w:rsidTr="009E7103">
        <w:trPr>
          <w:trHeight w:val="575"/>
        </w:trPr>
        <w:tc>
          <w:tcPr>
            <w:cnfStyle w:val="001000000000" w:firstRow="0" w:lastRow="0" w:firstColumn="1" w:lastColumn="0" w:oddVBand="0" w:evenVBand="0" w:oddHBand="0" w:evenHBand="0" w:firstRowFirstColumn="0" w:firstRowLastColumn="0" w:lastRowFirstColumn="0" w:lastRowLastColumn="0"/>
            <w:tcW w:w="3330" w:type="dxa"/>
            <w:shd w:val="clear" w:color="auto" w:fill="D9D9D9" w:themeFill="background1" w:themeFillShade="D9"/>
            <w:vAlign w:val="center"/>
            <w:hideMark/>
          </w:tcPr>
          <w:p w:rsidR="00112818" w:rsidRPr="00E80636" w:rsidRDefault="00112818" w:rsidP="006C308E">
            <w:pPr>
              <w:rPr>
                <w:rFonts w:asciiTheme="majorHAnsi" w:eastAsia="Times New Roman" w:hAnsiTheme="majorHAnsi" w:cstheme="majorHAnsi"/>
                <w:b w:val="0"/>
                <w:color w:val="000000"/>
                <w:sz w:val="20"/>
                <w:szCs w:val="20"/>
              </w:rPr>
            </w:pPr>
            <w:r w:rsidRPr="00E80636">
              <w:rPr>
                <w:rFonts w:asciiTheme="majorHAnsi" w:eastAsia="Times New Roman" w:hAnsiTheme="majorHAnsi" w:cstheme="majorHAnsi"/>
                <w:b w:val="0"/>
                <w:color w:val="000000"/>
                <w:sz w:val="20"/>
                <w:szCs w:val="20"/>
              </w:rPr>
              <w:t>Total number of community-based service projects</w:t>
            </w:r>
          </w:p>
        </w:tc>
        <w:tc>
          <w:tcPr>
            <w:tcW w:w="1770" w:type="dxa"/>
            <w:shd w:val="clear" w:color="auto" w:fill="D9D9D9" w:themeFill="background1" w:themeFillShade="D9"/>
            <w:noWrap/>
            <w:vAlign w:val="center"/>
            <w:hideMark/>
          </w:tcPr>
          <w:p w:rsidR="00112818" w:rsidRPr="00E80636" w:rsidRDefault="00112818" w:rsidP="006C30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43</w:t>
            </w:r>
          </w:p>
        </w:tc>
        <w:tc>
          <w:tcPr>
            <w:tcW w:w="1770" w:type="dxa"/>
            <w:shd w:val="clear" w:color="auto" w:fill="D9D9D9" w:themeFill="background1" w:themeFillShade="D9"/>
            <w:noWrap/>
            <w:vAlign w:val="center"/>
            <w:hideMark/>
          </w:tcPr>
          <w:p w:rsidR="00112818" w:rsidRPr="00E80636" w:rsidRDefault="00112818" w:rsidP="006C30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25</w:t>
            </w:r>
          </w:p>
        </w:tc>
        <w:tc>
          <w:tcPr>
            <w:tcW w:w="1770" w:type="dxa"/>
            <w:shd w:val="clear" w:color="auto" w:fill="D9D9D9" w:themeFill="background1" w:themeFillShade="D9"/>
            <w:noWrap/>
            <w:vAlign w:val="center"/>
            <w:hideMark/>
          </w:tcPr>
          <w:p w:rsidR="00112818" w:rsidRPr="00E80636" w:rsidRDefault="00112818" w:rsidP="006C30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67</w:t>
            </w:r>
          </w:p>
        </w:tc>
      </w:tr>
      <w:tr w:rsidR="00112818" w:rsidRPr="00743A41" w:rsidTr="009E7103">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330" w:type="dxa"/>
            <w:shd w:val="clear" w:color="auto" w:fill="auto"/>
            <w:vAlign w:val="center"/>
          </w:tcPr>
          <w:p w:rsidR="00112818" w:rsidRPr="00E80636" w:rsidRDefault="00112818" w:rsidP="006C308E">
            <w:pPr>
              <w:rPr>
                <w:rFonts w:asciiTheme="majorHAnsi" w:eastAsia="Times New Roman" w:hAnsiTheme="majorHAnsi" w:cstheme="majorHAnsi"/>
                <w:b w:val="0"/>
                <w:color w:val="000000"/>
                <w:sz w:val="20"/>
                <w:szCs w:val="20"/>
              </w:rPr>
            </w:pPr>
            <w:r w:rsidRPr="00E80636">
              <w:rPr>
                <w:rFonts w:asciiTheme="majorHAnsi" w:eastAsia="Times New Roman" w:hAnsiTheme="majorHAnsi" w:cstheme="majorHAnsi"/>
                <w:b w:val="0"/>
                <w:color w:val="000000"/>
                <w:sz w:val="20"/>
                <w:szCs w:val="20"/>
              </w:rPr>
              <w:t>Average service score on annual peer review (lower scores are better)</w:t>
            </w:r>
          </w:p>
        </w:tc>
        <w:tc>
          <w:tcPr>
            <w:tcW w:w="1770" w:type="dxa"/>
            <w:shd w:val="clear" w:color="auto" w:fill="auto"/>
            <w:noWrap/>
            <w:vAlign w:val="center"/>
          </w:tcPr>
          <w:p w:rsidR="00112818" w:rsidRPr="00E80636" w:rsidRDefault="00112818" w:rsidP="006C30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2.22</w:t>
            </w:r>
          </w:p>
        </w:tc>
        <w:tc>
          <w:tcPr>
            <w:tcW w:w="1770" w:type="dxa"/>
            <w:shd w:val="clear" w:color="auto" w:fill="auto"/>
            <w:noWrap/>
            <w:vAlign w:val="center"/>
          </w:tcPr>
          <w:p w:rsidR="00112818" w:rsidRPr="00E80636" w:rsidRDefault="00112818" w:rsidP="006C30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2.19</w:t>
            </w:r>
          </w:p>
        </w:tc>
        <w:tc>
          <w:tcPr>
            <w:tcW w:w="1770" w:type="dxa"/>
            <w:shd w:val="clear" w:color="auto" w:fill="auto"/>
            <w:noWrap/>
            <w:vAlign w:val="center"/>
          </w:tcPr>
          <w:p w:rsidR="00112818" w:rsidRPr="00E80636" w:rsidRDefault="00112818" w:rsidP="006C30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 xml:space="preserve">2.12 </w:t>
            </w:r>
          </w:p>
        </w:tc>
      </w:tr>
      <w:tr w:rsidR="00112818" w:rsidRPr="00743A41" w:rsidTr="009E7103">
        <w:trPr>
          <w:trHeight w:val="530"/>
        </w:trPr>
        <w:tc>
          <w:tcPr>
            <w:cnfStyle w:val="001000000000" w:firstRow="0" w:lastRow="0" w:firstColumn="1" w:lastColumn="0" w:oddVBand="0" w:evenVBand="0" w:oddHBand="0" w:evenHBand="0" w:firstRowFirstColumn="0" w:firstRowLastColumn="0" w:lastRowFirstColumn="0" w:lastRowLastColumn="0"/>
            <w:tcW w:w="3330" w:type="dxa"/>
            <w:shd w:val="clear" w:color="auto" w:fill="auto"/>
            <w:vAlign w:val="center"/>
          </w:tcPr>
          <w:p w:rsidR="00112818" w:rsidRPr="00E80636" w:rsidRDefault="00112818" w:rsidP="006C308E">
            <w:pPr>
              <w:rPr>
                <w:rFonts w:asciiTheme="majorHAnsi" w:eastAsia="Times New Roman" w:hAnsiTheme="majorHAnsi" w:cstheme="majorHAnsi"/>
                <w:b w:val="0"/>
                <w:color w:val="000000"/>
                <w:sz w:val="20"/>
                <w:szCs w:val="20"/>
              </w:rPr>
            </w:pPr>
            <w:r w:rsidRPr="00E80636">
              <w:rPr>
                <w:rFonts w:asciiTheme="majorHAnsi" w:eastAsia="Times New Roman" w:hAnsiTheme="majorHAnsi" w:cstheme="majorHAnsi"/>
                <w:b w:val="0"/>
                <w:color w:val="000000"/>
                <w:sz w:val="20"/>
                <w:szCs w:val="20"/>
              </w:rPr>
              <w:t>Percentage of faculty with average service scores &lt; 3.00</w:t>
            </w:r>
          </w:p>
        </w:tc>
        <w:tc>
          <w:tcPr>
            <w:tcW w:w="1770" w:type="dxa"/>
            <w:shd w:val="clear" w:color="auto" w:fill="auto"/>
            <w:noWrap/>
            <w:vAlign w:val="center"/>
          </w:tcPr>
          <w:p w:rsidR="00112818" w:rsidRPr="00E80636" w:rsidRDefault="00112818" w:rsidP="006C30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6%</w:t>
            </w:r>
          </w:p>
        </w:tc>
        <w:tc>
          <w:tcPr>
            <w:tcW w:w="1770" w:type="dxa"/>
            <w:shd w:val="clear" w:color="auto" w:fill="auto"/>
            <w:noWrap/>
            <w:vAlign w:val="center"/>
          </w:tcPr>
          <w:p w:rsidR="00112818" w:rsidRPr="00E80636" w:rsidRDefault="00112818" w:rsidP="006C30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w:t>
            </w:r>
          </w:p>
        </w:tc>
        <w:tc>
          <w:tcPr>
            <w:tcW w:w="1770" w:type="dxa"/>
            <w:shd w:val="clear" w:color="auto" w:fill="auto"/>
            <w:noWrap/>
            <w:vAlign w:val="center"/>
          </w:tcPr>
          <w:p w:rsidR="00112818" w:rsidRPr="00E80636" w:rsidRDefault="00112818" w:rsidP="006C30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2%</w:t>
            </w:r>
          </w:p>
        </w:tc>
      </w:tr>
      <w:tr w:rsidR="00112818" w:rsidRPr="00743A41" w:rsidTr="009E7103">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330" w:type="dxa"/>
            <w:shd w:val="clear" w:color="auto" w:fill="D9D9D9" w:themeFill="background1" w:themeFillShade="D9"/>
            <w:vAlign w:val="center"/>
          </w:tcPr>
          <w:p w:rsidR="00112818" w:rsidRPr="00E80636" w:rsidRDefault="00112818" w:rsidP="006C308E">
            <w:pPr>
              <w:rPr>
                <w:rFonts w:asciiTheme="majorHAnsi" w:eastAsia="Times New Roman" w:hAnsiTheme="majorHAnsi" w:cstheme="majorHAnsi"/>
                <w:b w:val="0"/>
                <w:color w:val="000000"/>
                <w:sz w:val="20"/>
                <w:szCs w:val="20"/>
              </w:rPr>
            </w:pPr>
            <w:r w:rsidRPr="00E80636">
              <w:rPr>
                <w:rFonts w:asciiTheme="majorHAnsi" w:eastAsia="Times New Roman" w:hAnsiTheme="majorHAnsi" w:cstheme="majorHAnsi"/>
                <w:b w:val="0"/>
                <w:color w:val="000000"/>
                <w:sz w:val="20"/>
                <w:szCs w:val="20"/>
              </w:rPr>
              <w:t>Percentage of primary faculty participating in extramural service</w:t>
            </w:r>
          </w:p>
        </w:tc>
        <w:tc>
          <w:tcPr>
            <w:tcW w:w="1770" w:type="dxa"/>
            <w:shd w:val="clear" w:color="auto" w:fill="D9D9D9" w:themeFill="background1" w:themeFillShade="D9"/>
            <w:noWrap/>
            <w:vAlign w:val="center"/>
          </w:tcPr>
          <w:p w:rsidR="00112818" w:rsidRPr="00E80636" w:rsidRDefault="00112818" w:rsidP="006C30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100%</w:t>
            </w:r>
          </w:p>
        </w:tc>
        <w:tc>
          <w:tcPr>
            <w:tcW w:w="1770" w:type="dxa"/>
            <w:shd w:val="clear" w:color="auto" w:fill="D9D9D9" w:themeFill="background1" w:themeFillShade="D9"/>
            <w:noWrap/>
            <w:vAlign w:val="center"/>
          </w:tcPr>
          <w:p w:rsidR="00112818" w:rsidRPr="00E80636" w:rsidRDefault="00112818" w:rsidP="006C30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100%</w:t>
            </w:r>
          </w:p>
        </w:tc>
        <w:tc>
          <w:tcPr>
            <w:tcW w:w="1770" w:type="dxa"/>
            <w:shd w:val="clear" w:color="auto" w:fill="D9D9D9" w:themeFill="background1" w:themeFillShade="D9"/>
            <w:noWrap/>
            <w:vAlign w:val="center"/>
          </w:tcPr>
          <w:p w:rsidR="00112818" w:rsidRPr="00E80636" w:rsidRDefault="00112818" w:rsidP="006C308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100%</w:t>
            </w:r>
          </w:p>
        </w:tc>
      </w:tr>
    </w:tbl>
    <w:p w:rsidR="00112818" w:rsidRPr="00E80636" w:rsidRDefault="00112818" w:rsidP="006C308E">
      <w:pPr>
        <w:ind w:left="720"/>
        <w:contextualSpacing/>
        <w:rPr>
          <w:rFonts w:asciiTheme="majorHAnsi" w:hAnsiTheme="majorHAnsi" w:cstheme="majorHAnsi"/>
          <w:i/>
          <w:sz w:val="20"/>
          <w:szCs w:val="20"/>
        </w:rPr>
      </w:pPr>
    </w:p>
    <w:p w:rsidR="007019A1" w:rsidRPr="00E80636" w:rsidRDefault="007019A1" w:rsidP="006C308E">
      <w:pPr>
        <w:ind w:left="720"/>
        <w:contextualSpacing/>
        <w:rPr>
          <w:rFonts w:asciiTheme="majorHAnsi" w:hAnsiTheme="majorHAnsi" w:cstheme="majorHAnsi"/>
          <w:sz w:val="20"/>
          <w:szCs w:val="20"/>
        </w:rPr>
      </w:pPr>
      <w:r w:rsidRPr="00E80636">
        <w:rPr>
          <w:rFonts w:asciiTheme="majorHAnsi" w:hAnsiTheme="majorHAnsi" w:cstheme="majorHAnsi"/>
          <w:sz w:val="20"/>
          <w:szCs w:val="20"/>
        </w:rPr>
        <w:t>Associated documents in the electronic resource file:</w:t>
      </w:r>
    </w:p>
    <w:p w:rsidR="006A2A41" w:rsidRPr="006E28EE" w:rsidRDefault="006A2A41" w:rsidP="006C308E">
      <w:pPr>
        <w:pStyle w:val="ListParagraph"/>
        <w:numPr>
          <w:ilvl w:val="0"/>
          <w:numId w:val="78"/>
        </w:numPr>
        <w:ind w:left="1440"/>
        <w:contextualSpacing/>
        <w:rPr>
          <w:rFonts w:asciiTheme="majorHAnsi" w:hAnsiTheme="majorHAnsi" w:cstheme="majorHAnsi"/>
          <w:i/>
          <w:szCs w:val="20"/>
        </w:rPr>
      </w:pPr>
      <w:r w:rsidRPr="00E80636">
        <w:rPr>
          <w:rFonts w:asciiTheme="majorHAnsi" w:hAnsiTheme="majorHAnsi" w:cstheme="majorHAnsi"/>
          <w:i/>
          <w:szCs w:val="20"/>
        </w:rPr>
        <w:t>E5. Faculty Extramural Service</w:t>
      </w:r>
    </w:p>
    <w:p w:rsidR="007019A1" w:rsidRPr="00B71114" w:rsidRDefault="006A2A41" w:rsidP="006E28EE">
      <w:pPr>
        <w:pStyle w:val="ListParagraph"/>
        <w:numPr>
          <w:ilvl w:val="1"/>
          <w:numId w:val="78"/>
        </w:numPr>
        <w:contextualSpacing/>
        <w:rPr>
          <w:rFonts w:asciiTheme="majorHAnsi" w:hAnsiTheme="majorHAnsi" w:cstheme="majorHAnsi"/>
          <w:i/>
          <w:szCs w:val="20"/>
        </w:rPr>
      </w:pPr>
      <w:r w:rsidRPr="00E80636">
        <w:rPr>
          <w:rFonts w:asciiTheme="majorHAnsi" w:hAnsiTheme="majorHAnsi" w:cstheme="majorHAnsi"/>
          <w:i/>
          <w:szCs w:val="20"/>
        </w:rPr>
        <w:t xml:space="preserve">Data </w:t>
      </w:r>
      <w:r w:rsidRPr="00B71114">
        <w:rPr>
          <w:rFonts w:asciiTheme="majorHAnsi" w:hAnsiTheme="majorHAnsi" w:cstheme="majorHAnsi"/>
          <w:i/>
          <w:szCs w:val="20"/>
        </w:rPr>
        <w:t>on Community-Based P</w:t>
      </w:r>
      <w:r w:rsidRPr="00B71114">
        <w:rPr>
          <w:rFonts w:asciiTheme="majorHAnsi" w:hAnsiTheme="majorHAnsi" w:cstheme="majorHAnsi"/>
          <w:i/>
        </w:rPr>
        <w:t>rojects</w:t>
      </w:r>
    </w:p>
    <w:p w:rsidR="007019A1" w:rsidRPr="00B71114" w:rsidRDefault="006A2A41" w:rsidP="006E28EE">
      <w:pPr>
        <w:pStyle w:val="ListParagraph"/>
        <w:numPr>
          <w:ilvl w:val="1"/>
          <w:numId w:val="78"/>
        </w:numPr>
        <w:contextualSpacing/>
        <w:rPr>
          <w:rFonts w:asciiTheme="majorHAnsi" w:hAnsiTheme="majorHAnsi" w:cstheme="majorHAnsi"/>
          <w:i/>
          <w:szCs w:val="20"/>
        </w:rPr>
      </w:pPr>
      <w:r w:rsidRPr="00B71114">
        <w:rPr>
          <w:rFonts w:asciiTheme="majorHAnsi" w:hAnsiTheme="majorHAnsi" w:cstheme="majorHAnsi"/>
          <w:i/>
          <w:szCs w:val="20"/>
        </w:rPr>
        <w:t>Faculty S</w:t>
      </w:r>
      <w:r w:rsidRPr="00B71114">
        <w:rPr>
          <w:rFonts w:asciiTheme="majorHAnsi" w:hAnsiTheme="majorHAnsi" w:cstheme="majorHAnsi"/>
          <w:i/>
        </w:rPr>
        <w:t>ervice, 2016-2018</w:t>
      </w:r>
    </w:p>
    <w:p w:rsidR="007C5D04" w:rsidRPr="00E80636" w:rsidRDefault="007C5D04" w:rsidP="006C308E">
      <w:pPr>
        <w:jc w:val="both"/>
        <w:rPr>
          <w:rFonts w:asciiTheme="majorHAnsi" w:hAnsiTheme="majorHAnsi" w:cstheme="majorHAnsi"/>
          <w:sz w:val="20"/>
          <w:szCs w:val="20"/>
        </w:rPr>
      </w:pPr>
    </w:p>
    <w:p w:rsidR="00933038" w:rsidRPr="00E80636" w:rsidRDefault="00933038" w:rsidP="006C308E">
      <w:pPr>
        <w:numPr>
          <w:ilvl w:val="0"/>
          <w:numId w:val="35"/>
        </w:numPr>
        <w:contextualSpacing/>
        <w:jc w:val="both"/>
        <w:rPr>
          <w:rFonts w:asciiTheme="majorHAnsi" w:hAnsiTheme="majorHAnsi" w:cstheme="majorHAnsi"/>
          <w:sz w:val="20"/>
          <w:szCs w:val="20"/>
        </w:rPr>
      </w:pPr>
      <w:r w:rsidRPr="00E80636">
        <w:rPr>
          <w:rFonts w:asciiTheme="majorHAnsi" w:hAnsiTheme="majorHAnsi" w:cstheme="majorHAnsi"/>
          <w:sz w:val="20"/>
          <w:szCs w:val="20"/>
        </w:rPr>
        <w:t xml:space="preserve">Describe the role of service in decisions about faculty advancement. </w:t>
      </w:r>
    </w:p>
    <w:p w:rsidR="00933038" w:rsidRPr="00E80636" w:rsidRDefault="00933038" w:rsidP="006C308E">
      <w:pPr>
        <w:contextualSpacing/>
        <w:jc w:val="both"/>
        <w:rPr>
          <w:rFonts w:asciiTheme="majorHAnsi" w:hAnsiTheme="majorHAnsi" w:cstheme="majorHAnsi"/>
          <w:sz w:val="20"/>
          <w:szCs w:val="20"/>
        </w:rPr>
      </w:pPr>
    </w:p>
    <w:p w:rsidR="00112818" w:rsidRPr="00E80636" w:rsidRDefault="00112818" w:rsidP="006C308E">
      <w:pPr>
        <w:keepNext/>
        <w:ind w:left="720"/>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External service is strongly considered in tenure and promotion (T&amp;P) decisions at the UTHealth School of Public Health. For example, faculty being considered for promotion from the rank of assistant professor to the rank of associate professor are expected to have a national reputation that is judged, in part, from national-level service, such as grant review panels, government panels, peer-review activities, invited presentations, and professional organization service. </w:t>
      </w:r>
    </w:p>
    <w:p w:rsidR="00112818" w:rsidRPr="00E80636" w:rsidRDefault="00112818" w:rsidP="006C308E">
      <w:pPr>
        <w:keepNext/>
        <w:ind w:left="720"/>
        <w:rPr>
          <w:rFonts w:asciiTheme="majorHAnsi" w:eastAsia="Arial" w:hAnsiTheme="majorHAnsi" w:cstheme="majorHAnsi"/>
          <w:sz w:val="20"/>
          <w:szCs w:val="20"/>
        </w:rPr>
      </w:pPr>
    </w:p>
    <w:p w:rsidR="00112818" w:rsidRPr="00E80636" w:rsidRDefault="00112818" w:rsidP="006C308E">
      <w:pPr>
        <w:ind w:left="720"/>
        <w:contextualSpacing/>
        <w:rPr>
          <w:rFonts w:asciiTheme="majorHAnsi" w:hAnsiTheme="majorHAnsi" w:cstheme="majorHAnsi"/>
          <w:i/>
          <w:sz w:val="20"/>
          <w:szCs w:val="20"/>
        </w:rPr>
      </w:pPr>
      <w:r w:rsidRPr="00E80636">
        <w:rPr>
          <w:rFonts w:asciiTheme="majorHAnsi" w:eastAsia="Arial" w:hAnsiTheme="majorHAnsi" w:cstheme="majorHAnsi"/>
          <w:sz w:val="20"/>
          <w:szCs w:val="20"/>
        </w:rPr>
        <w:t>Service is considered throughout the promotion and tenure process. In addition to the yearly review of faculty performance, assistant professors receive a three (3)-year review and all faculty members receive a formal six (6)-year review. The faculty candidate provides review materials consisting of an updated CV; AARs; peer-review results (overall, teaching, research, and service scores); annual performance review documents; and a career statement of up to three (3) pages in length, describing teaching, research, and service accomplishments and future goals.</w:t>
      </w:r>
    </w:p>
    <w:p w:rsidR="00933038" w:rsidRPr="00E80636" w:rsidRDefault="00933038" w:rsidP="006C308E">
      <w:pPr>
        <w:ind w:left="720"/>
        <w:contextualSpacing/>
        <w:jc w:val="both"/>
        <w:rPr>
          <w:rFonts w:asciiTheme="majorHAnsi" w:hAnsiTheme="majorHAnsi" w:cstheme="majorHAnsi"/>
          <w:sz w:val="20"/>
          <w:szCs w:val="20"/>
        </w:rPr>
      </w:pPr>
    </w:p>
    <w:p w:rsidR="00933038" w:rsidRPr="00E80636" w:rsidRDefault="00933038" w:rsidP="006C308E">
      <w:pPr>
        <w:numPr>
          <w:ilvl w:val="0"/>
          <w:numId w:val="35"/>
        </w:numPr>
        <w:contextualSpacing/>
        <w:jc w:val="both"/>
        <w:rPr>
          <w:rFonts w:asciiTheme="majorHAnsi" w:hAnsiTheme="majorHAnsi" w:cstheme="majorHAnsi"/>
          <w:sz w:val="20"/>
          <w:szCs w:val="20"/>
        </w:rPr>
      </w:pPr>
      <w:r w:rsidRPr="00E80636">
        <w:rPr>
          <w:rFonts w:asciiTheme="majorHAnsi" w:hAnsiTheme="majorHAnsi" w:cstheme="majorHAnsi"/>
          <w:sz w:val="20"/>
          <w:szCs w:val="20"/>
        </w:rPr>
        <w:t xml:space="preserve">If applicable, assess strengths and weaknesses related to this criterion and plans for improvement in this area. </w:t>
      </w:r>
    </w:p>
    <w:p w:rsidR="00933038" w:rsidRPr="00E80636" w:rsidRDefault="00933038" w:rsidP="006C308E">
      <w:pPr>
        <w:contextualSpacing/>
        <w:jc w:val="both"/>
        <w:rPr>
          <w:rFonts w:asciiTheme="majorHAnsi" w:hAnsiTheme="majorHAnsi" w:cstheme="majorHAnsi"/>
          <w:sz w:val="20"/>
          <w:szCs w:val="20"/>
        </w:rPr>
      </w:pPr>
    </w:p>
    <w:p w:rsidR="00112818" w:rsidRPr="00E80636" w:rsidRDefault="00112818" w:rsidP="006C308E">
      <w:pPr>
        <w:ind w:left="720"/>
        <w:rPr>
          <w:rFonts w:asciiTheme="majorHAnsi" w:hAnsiTheme="majorHAnsi" w:cstheme="majorHAnsi"/>
          <w:b/>
          <w:sz w:val="20"/>
          <w:szCs w:val="20"/>
        </w:rPr>
      </w:pPr>
      <w:r w:rsidRPr="00E80636">
        <w:rPr>
          <w:rFonts w:asciiTheme="majorHAnsi" w:hAnsiTheme="majorHAnsi" w:cstheme="majorHAnsi"/>
          <w:b/>
          <w:sz w:val="20"/>
          <w:szCs w:val="20"/>
        </w:rPr>
        <w:t xml:space="preserve">Strengths: </w:t>
      </w:r>
    </w:p>
    <w:p w:rsidR="00112818" w:rsidRPr="00E80636" w:rsidRDefault="00112818" w:rsidP="006C308E">
      <w:pPr>
        <w:pStyle w:val="ListParagraph"/>
        <w:numPr>
          <w:ilvl w:val="0"/>
          <w:numId w:val="156"/>
        </w:numPr>
        <w:rPr>
          <w:rFonts w:asciiTheme="majorHAnsi" w:hAnsiTheme="majorHAnsi" w:cstheme="majorHAnsi"/>
          <w:b/>
          <w:szCs w:val="20"/>
        </w:rPr>
      </w:pPr>
      <w:r w:rsidRPr="00E80636">
        <w:rPr>
          <w:rFonts w:asciiTheme="majorHAnsi" w:hAnsiTheme="majorHAnsi" w:cstheme="majorHAnsi"/>
          <w:szCs w:val="20"/>
        </w:rPr>
        <w:t>The UTHealth School of Public Health tracks and evaluates service activities through the Annual Activity Report and the peer-review process.</w:t>
      </w:r>
    </w:p>
    <w:p w:rsidR="00112818" w:rsidRPr="00E80636" w:rsidRDefault="00112818" w:rsidP="006C308E">
      <w:pPr>
        <w:pStyle w:val="ListParagraph"/>
        <w:numPr>
          <w:ilvl w:val="0"/>
          <w:numId w:val="156"/>
        </w:numPr>
        <w:rPr>
          <w:rFonts w:asciiTheme="majorHAnsi" w:hAnsiTheme="majorHAnsi" w:cstheme="majorHAnsi"/>
          <w:b/>
          <w:szCs w:val="20"/>
        </w:rPr>
      </w:pPr>
      <w:r w:rsidRPr="00E80636">
        <w:rPr>
          <w:rFonts w:asciiTheme="majorHAnsi" w:hAnsiTheme="majorHAnsi" w:cstheme="majorHAnsi"/>
          <w:szCs w:val="20"/>
        </w:rPr>
        <w:t>All UTHealth School of Public Health faculty are actively engaged in service activities.</w:t>
      </w:r>
    </w:p>
    <w:p w:rsidR="00112818" w:rsidRPr="00E80636" w:rsidRDefault="00112818" w:rsidP="006C308E">
      <w:pPr>
        <w:ind w:left="720"/>
        <w:rPr>
          <w:rFonts w:asciiTheme="majorHAnsi" w:hAnsiTheme="majorHAnsi" w:cstheme="majorHAnsi"/>
          <w:b/>
          <w:sz w:val="20"/>
          <w:szCs w:val="20"/>
        </w:rPr>
      </w:pPr>
    </w:p>
    <w:p w:rsidR="00112818" w:rsidRPr="00E80636" w:rsidRDefault="00112818" w:rsidP="006C308E">
      <w:pPr>
        <w:ind w:left="720"/>
        <w:rPr>
          <w:rFonts w:asciiTheme="majorHAnsi" w:hAnsiTheme="majorHAnsi" w:cstheme="majorHAnsi"/>
          <w:b/>
          <w:sz w:val="20"/>
          <w:szCs w:val="20"/>
        </w:rPr>
      </w:pPr>
      <w:r w:rsidRPr="00E80636">
        <w:rPr>
          <w:rFonts w:asciiTheme="majorHAnsi" w:hAnsiTheme="majorHAnsi" w:cstheme="majorHAnsi"/>
          <w:b/>
          <w:sz w:val="20"/>
          <w:szCs w:val="20"/>
        </w:rPr>
        <w:t>Weaknesses:</w:t>
      </w:r>
    </w:p>
    <w:p w:rsidR="00112818" w:rsidRPr="00E80636" w:rsidRDefault="00112818" w:rsidP="006C308E">
      <w:pPr>
        <w:pStyle w:val="ListParagraph"/>
        <w:numPr>
          <w:ilvl w:val="0"/>
          <w:numId w:val="157"/>
        </w:numPr>
        <w:rPr>
          <w:rFonts w:asciiTheme="majorHAnsi" w:hAnsiTheme="majorHAnsi" w:cstheme="majorHAnsi"/>
          <w:b/>
          <w:szCs w:val="20"/>
        </w:rPr>
      </w:pPr>
      <w:r w:rsidRPr="00E80636">
        <w:rPr>
          <w:rFonts w:asciiTheme="majorHAnsi" w:hAnsiTheme="majorHAnsi" w:cstheme="majorHAnsi"/>
          <w:szCs w:val="20"/>
        </w:rPr>
        <w:t>The UTHealth School of Public Health has tracked individual service activities and contributions for many years; however, it was only recently through the self-study that it developed school-wide measures to track service activities.</w:t>
      </w:r>
    </w:p>
    <w:p w:rsidR="00112818" w:rsidRPr="00E80636" w:rsidRDefault="00112818" w:rsidP="006C308E">
      <w:pPr>
        <w:pStyle w:val="ListParagraph"/>
        <w:numPr>
          <w:ilvl w:val="0"/>
          <w:numId w:val="157"/>
        </w:numPr>
        <w:rPr>
          <w:rFonts w:asciiTheme="majorHAnsi" w:hAnsiTheme="majorHAnsi" w:cstheme="majorHAnsi"/>
          <w:b/>
          <w:szCs w:val="20"/>
        </w:rPr>
      </w:pPr>
      <w:r w:rsidRPr="00E80636">
        <w:rPr>
          <w:rFonts w:asciiTheme="majorHAnsi" w:hAnsiTheme="majorHAnsi" w:cstheme="majorHAnsi"/>
          <w:szCs w:val="20"/>
        </w:rPr>
        <w:t xml:space="preserve">It is challenging to separate service activities from community-based research activities. Many times, service activities turn into funded research, and community-based funded research turns into continued service activities after the funding ends. The UTHealth School of Public Health will continue to evaluate whether these distinctions are necessary and important. </w:t>
      </w:r>
    </w:p>
    <w:p w:rsidR="00933038" w:rsidRPr="00E80636" w:rsidRDefault="00933038" w:rsidP="006C308E">
      <w:pPr>
        <w:ind w:left="720"/>
        <w:contextualSpacing/>
        <w:jc w:val="both"/>
        <w:rPr>
          <w:rFonts w:asciiTheme="majorHAnsi" w:hAnsiTheme="majorHAnsi" w:cstheme="majorHAnsi"/>
          <w:i/>
          <w:sz w:val="20"/>
          <w:szCs w:val="20"/>
        </w:rPr>
      </w:pPr>
    </w:p>
    <w:p w:rsidR="00933038" w:rsidRPr="00E80636" w:rsidRDefault="00933038" w:rsidP="006C308E">
      <w:pPr>
        <w:contextualSpacing/>
        <w:jc w:val="both"/>
        <w:rPr>
          <w:rFonts w:asciiTheme="majorHAnsi" w:hAnsiTheme="majorHAnsi" w:cstheme="majorHAnsi"/>
          <w:sz w:val="20"/>
          <w:szCs w:val="20"/>
        </w:rPr>
      </w:pPr>
    </w:p>
    <w:p w:rsidR="00933038" w:rsidRPr="00E80636" w:rsidRDefault="00933038" w:rsidP="006C308E">
      <w:pPr>
        <w:rPr>
          <w:rStyle w:val="Heading1Char"/>
        </w:rPr>
      </w:pPr>
      <w:bookmarkStart w:id="135" w:name="_Toc464487892"/>
      <w:r w:rsidRPr="00E80636">
        <w:rPr>
          <w:rStyle w:val="Heading1Char"/>
        </w:rPr>
        <w:br w:type="page"/>
      </w:r>
    </w:p>
    <w:p w:rsidR="00933038" w:rsidRPr="00E80636" w:rsidRDefault="00933038" w:rsidP="007A68BE">
      <w:pPr>
        <w:pStyle w:val="Heading1"/>
      </w:pPr>
      <w:bookmarkStart w:id="136" w:name="_F1._Community_Involvement"/>
      <w:bookmarkStart w:id="137" w:name="_Toc7118225"/>
      <w:bookmarkEnd w:id="136"/>
      <w:r w:rsidRPr="00E80636">
        <w:rPr>
          <w:rStyle w:val="Heading1Char"/>
          <w:b/>
        </w:rPr>
        <w:t>F1. Community Involvement in School Evaluation and Assessment</w:t>
      </w:r>
      <w:bookmarkEnd w:id="135"/>
      <w:bookmarkEnd w:id="137"/>
    </w:p>
    <w:p w:rsidR="00933038" w:rsidRPr="00E80636" w:rsidRDefault="00933038" w:rsidP="006C308E">
      <w:pPr>
        <w:keepNext/>
        <w:ind w:left="360"/>
        <w:contextualSpacing/>
        <w:jc w:val="both"/>
        <w:rPr>
          <w:rFonts w:asciiTheme="majorHAnsi" w:hAnsiTheme="majorHAnsi" w:cstheme="majorHAnsi"/>
          <w:b/>
          <w:bCs/>
          <w:sz w:val="20"/>
          <w:szCs w:val="20"/>
        </w:rPr>
      </w:pPr>
    </w:p>
    <w:p w:rsidR="00933038" w:rsidRPr="00E80636" w:rsidRDefault="00933038" w:rsidP="006C308E">
      <w:pPr>
        <w:contextualSpacing/>
        <w:jc w:val="both"/>
        <w:rPr>
          <w:rFonts w:asciiTheme="majorHAnsi" w:hAnsiTheme="majorHAnsi" w:cstheme="majorHAnsi"/>
          <w:b/>
          <w:bCs/>
          <w:sz w:val="20"/>
          <w:szCs w:val="20"/>
        </w:rPr>
      </w:pPr>
      <w:r w:rsidRPr="00E80636">
        <w:rPr>
          <w:rFonts w:asciiTheme="majorHAnsi" w:hAnsiTheme="majorHAnsi" w:cstheme="majorHAnsi"/>
          <w:b/>
          <w:bCs/>
          <w:sz w:val="20"/>
          <w:szCs w:val="20"/>
        </w:rPr>
        <w:t>The school engages constituents, including community stakeholders, alumni, employers and other relevant community partners. Stakeholders may include professionals in sectors other than health (eg, attorneys, architects, parks and recreation personnel).</w:t>
      </w:r>
    </w:p>
    <w:p w:rsidR="00933038" w:rsidRPr="00E80636" w:rsidRDefault="00933038" w:rsidP="006C308E">
      <w:pPr>
        <w:contextualSpacing/>
        <w:jc w:val="both"/>
        <w:rPr>
          <w:rFonts w:asciiTheme="majorHAnsi" w:hAnsiTheme="majorHAnsi" w:cstheme="majorHAnsi"/>
          <w:b/>
          <w:bCs/>
          <w:sz w:val="20"/>
          <w:szCs w:val="20"/>
        </w:rPr>
      </w:pPr>
    </w:p>
    <w:p w:rsidR="00933038" w:rsidRPr="00E80636" w:rsidRDefault="00933038" w:rsidP="006C308E">
      <w:pPr>
        <w:contextualSpacing/>
        <w:jc w:val="both"/>
        <w:rPr>
          <w:rFonts w:asciiTheme="majorHAnsi" w:hAnsiTheme="majorHAnsi" w:cstheme="majorHAnsi"/>
          <w:b/>
          <w:sz w:val="20"/>
          <w:szCs w:val="20"/>
        </w:rPr>
      </w:pPr>
      <w:r w:rsidRPr="00E80636">
        <w:rPr>
          <w:rFonts w:asciiTheme="majorHAnsi" w:hAnsiTheme="majorHAnsi" w:cstheme="majorHAnsi"/>
          <w:b/>
          <w:sz w:val="20"/>
          <w:szCs w:val="20"/>
        </w:rPr>
        <w:t>Specifically, the school ensures that constituents provide regular feedback on its student outcomes, curriculum and overall planning processes, including the self-study process.</w:t>
      </w:r>
    </w:p>
    <w:p w:rsidR="00933038" w:rsidRPr="00E80636" w:rsidRDefault="00933038" w:rsidP="006C308E">
      <w:pPr>
        <w:jc w:val="both"/>
        <w:rPr>
          <w:rFonts w:asciiTheme="majorHAnsi" w:hAnsiTheme="majorHAnsi" w:cstheme="majorHAnsi"/>
          <w:bCs/>
          <w:sz w:val="20"/>
          <w:szCs w:val="20"/>
        </w:rPr>
      </w:pPr>
    </w:p>
    <w:p w:rsidR="00933038" w:rsidRPr="00E80636" w:rsidRDefault="00933038" w:rsidP="006C308E">
      <w:pPr>
        <w:numPr>
          <w:ilvl w:val="0"/>
          <w:numId w:val="36"/>
        </w:numPr>
        <w:spacing w:after="160"/>
        <w:contextualSpacing/>
        <w:jc w:val="both"/>
        <w:rPr>
          <w:rFonts w:asciiTheme="majorHAnsi" w:eastAsia="Calibri" w:hAnsiTheme="majorHAnsi" w:cstheme="majorHAnsi"/>
          <w:sz w:val="20"/>
          <w:szCs w:val="20"/>
        </w:rPr>
      </w:pPr>
      <w:r w:rsidRPr="00E80636">
        <w:rPr>
          <w:rFonts w:asciiTheme="majorHAnsi" w:eastAsia="Calibri" w:hAnsiTheme="majorHAnsi" w:cstheme="majorHAnsi"/>
          <w:sz w:val="20"/>
          <w:szCs w:val="20"/>
        </w:rPr>
        <w:t xml:space="preserve">Describe any formal structures for constituent input (eg, community advisory board, alumni association, etc.). List members and/or officers as applicable, with their credentials and professional affiliations. </w:t>
      </w:r>
    </w:p>
    <w:p w:rsidR="00046F7D" w:rsidRPr="00E80636" w:rsidRDefault="00046F7D" w:rsidP="006C308E">
      <w:pPr>
        <w:pStyle w:val="Default"/>
        <w:ind w:left="720"/>
        <w:rPr>
          <w:rFonts w:asciiTheme="majorHAnsi" w:hAnsiTheme="majorHAnsi" w:cstheme="majorHAnsi"/>
          <w:szCs w:val="20"/>
        </w:rPr>
      </w:pPr>
      <w:r w:rsidRPr="00E80636">
        <w:rPr>
          <w:rFonts w:asciiTheme="majorHAnsi" w:hAnsiTheme="majorHAnsi" w:cstheme="majorHAnsi"/>
          <w:szCs w:val="20"/>
        </w:rPr>
        <w:t xml:space="preserve">The UTHealth School of Public Health has several formal structures for soliciting input from its constituents, including alumni, employers, </w:t>
      </w:r>
      <w:r w:rsidRPr="00E80636">
        <w:rPr>
          <w:rFonts w:asciiTheme="majorHAnsi" w:hAnsiTheme="majorHAnsi" w:cstheme="majorHAnsi"/>
          <w:color w:val="auto"/>
          <w:szCs w:val="20"/>
        </w:rPr>
        <w:t>residents</w:t>
      </w:r>
      <w:r w:rsidRPr="00E80636">
        <w:rPr>
          <w:rFonts w:asciiTheme="majorHAnsi" w:hAnsiTheme="majorHAnsi" w:cstheme="majorHAnsi"/>
          <w:szCs w:val="20"/>
        </w:rPr>
        <w:t xml:space="preserve">, workers, practicum preceptors, public health leaders, practitioners, and public health officials from local organizations throughout the state of Texas. All formal structures are part of the school’s ongoing efforts to include and be responsive to stakeholder input and feedback. Thus, all constituents are active partners and participants in the advancement of the school’s mission and vision. </w:t>
      </w:r>
      <w:r w:rsidR="00FC2865" w:rsidRPr="00E80636">
        <w:rPr>
          <w:rFonts w:asciiTheme="majorHAnsi" w:hAnsiTheme="majorHAnsi" w:cstheme="majorHAnsi"/>
          <w:szCs w:val="20"/>
        </w:rPr>
        <w:t xml:space="preserve">All documentation related to </w:t>
      </w:r>
      <w:hyperlink w:anchor="_F1._Community_Involvement" w:history="1">
        <w:r w:rsidR="008C31AD" w:rsidRPr="008C31AD">
          <w:rPr>
            <w:rStyle w:val="Hyperlink"/>
            <w:rFonts w:asciiTheme="majorHAnsi" w:hAnsiTheme="majorHAnsi" w:cstheme="majorHAnsi"/>
            <w:i/>
            <w:szCs w:val="20"/>
          </w:rPr>
          <w:t>Criterion F1. Community Involvement in School Evaluation and Assessment</w:t>
        </w:r>
      </w:hyperlink>
      <w:r w:rsidR="00FC2865" w:rsidRPr="00E80636">
        <w:rPr>
          <w:rFonts w:asciiTheme="majorHAnsi" w:hAnsiTheme="majorHAnsi" w:cstheme="majorHAnsi"/>
          <w:szCs w:val="20"/>
        </w:rPr>
        <w:t xml:space="preserve"> </w:t>
      </w:r>
      <w:r w:rsidR="00A368E5">
        <w:rPr>
          <w:rFonts w:asciiTheme="majorHAnsi" w:hAnsiTheme="majorHAnsi" w:cstheme="majorHAnsi"/>
          <w:szCs w:val="20"/>
        </w:rPr>
        <w:t xml:space="preserve">is </w:t>
      </w:r>
      <w:r w:rsidR="00A368E5" w:rsidRPr="00A368E5">
        <w:rPr>
          <w:rFonts w:asciiTheme="majorHAnsi" w:hAnsiTheme="majorHAnsi" w:cstheme="majorHAnsi"/>
          <w:szCs w:val="20"/>
        </w:rPr>
        <w:t xml:space="preserve">available in the electronic resource file </w:t>
      </w:r>
      <w:r w:rsidR="00FC2865" w:rsidRPr="00E80636">
        <w:rPr>
          <w:rFonts w:asciiTheme="majorHAnsi" w:hAnsiTheme="majorHAnsi" w:cstheme="majorHAnsi"/>
          <w:szCs w:val="20"/>
        </w:rPr>
        <w:t>(</w:t>
      </w:r>
      <w:r w:rsidR="00FC2865" w:rsidRPr="006E28EE">
        <w:rPr>
          <w:rFonts w:asciiTheme="majorHAnsi" w:hAnsiTheme="majorHAnsi" w:cstheme="majorHAnsi"/>
          <w:i/>
          <w:szCs w:val="20"/>
        </w:rPr>
        <w:t>ERF, F1. Community Involvement in School Evaluation and Assessment</w:t>
      </w:r>
      <w:r w:rsidR="00FC2865" w:rsidRPr="00E80636">
        <w:rPr>
          <w:rFonts w:asciiTheme="majorHAnsi" w:hAnsiTheme="majorHAnsi" w:cstheme="majorHAnsi"/>
          <w:szCs w:val="20"/>
        </w:rPr>
        <w:t xml:space="preserve">). </w:t>
      </w:r>
    </w:p>
    <w:p w:rsidR="00046F7D" w:rsidRPr="00E80636" w:rsidRDefault="00046F7D" w:rsidP="006C308E">
      <w:pPr>
        <w:pStyle w:val="Default"/>
        <w:rPr>
          <w:rFonts w:asciiTheme="majorHAnsi" w:hAnsiTheme="majorHAnsi" w:cstheme="majorHAnsi"/>
          <w:szCs w:val="20"/>
        </w:rPr>
      </w:pPr>
    </w:p>
    <w:p w:rsidR="00046F7D" w:rsidRPr="00E80636" w:rsidRDefault="00046F7D" w:rsidP="006C308E">
      <w:pPr>
        <w:pStyle w:val="Default"/>
        <w:ind w:left="720"/>
        <w:rPr>
          <w:rFonts w:asciiTheme="majorHAnsi" w:hAnsiTheme="majorHAnsi" w:cstheme="majorHAnsi"/>
          <w:b/>
          <w:szCs w:val="20"/>
        </w:rPr>
      </w:pPr>
      <w:r w:rsidRPr="00E80636">
        <w:rPr>
          <w:rFonts w:asciiTheme="majorHAnsi" w:hAnsiTheme="majorHAnsi" w:cstheme="majorHAnsi"/>
          <w:b/>
          <w:szCs w:val="20"/>
        </w:rPr>
        <w:t>Advisory Council for the Dean</w:t>
      </w:r>
    </w:p>
    <w:p w:rsidR="00046F7D" w:rsidRPr="00E80636" w:rsidRDefault="00046F7D" w:rsidP="006C308E">
      <w:pPr>
        <w:pStyle w:val="Default"/>
        <w:numPr>
          <w:ilvl w:val="0"/>
          <w:numId w:val="87"/>
        </w:numPr>
        <w:rPr>
          <w:rFonts w:asciiTheme="majorHAnsi" w:hAnsiTheme="majorHAnsi" w:cstheme="majorHAnsi"/>
          <w:szCs w:val="20"/>
        </w:rPr>
      </w:pPr>
      <w:r w:rsidRPr="00E80636">
        <w:rPr>
          <w:rFonts w:asciiTheme="majorHAnsi" w:hAnsiTheme="majorHAnsi" w:cstheme="majorHAnsi"/>
          <w:szCs w:val="20"/>
        </w:rPr>
        <w:t xml:space="preserve">Includes the dean, as well as alumni and community and development board members. </w:t>
      </w:r>
    </w:p>
    <w:p w:rsidR="00046F7D" w:rsidRPr="00B71114" w:rsidRDefault="00046F7D" w:rsidP="006C308E">
      <w:pPr>
        <w:pStyle w:val="Default"/>
        <w:numPr>
          <w:ilvl w:val="0"/>
          <w:numId w:val="87"/>
        </w:numPr>
        <w:rPr>
          <w:rFonts w:asciiTheme="majorHAnsi" w:hAnsiTheme="majorHAnsi" w:cstheme="majorHAnsi"/>
          <w:szCs w:val="20"/>
        </w:rPr>
      </w:pPr>
      <w:r w:rsidRPr="00E80636">
        <w:rPr>
          <w:rFonts w:asciiTheme="majorHAnsi" w:hAnsiTheme="majorHAnsi" w:cstheme="majorHAnsi"/>
          <w:szCs w:val="20"/>
        </w:rPr>
        <w:t xml:space="preserve">Evaluates and provides feedback on the school’s strategic priorities, student priorities, research, development </w:t>
      </w:r>
      <w:r w:rsidRPr="00B71114">
        <w:rPr>
          <w:rFonts w:asciiTheme="majorHAnsi" w:hAnsiTheme="majorHAnsi" w:cstheme="majorHAnsi"/>
          <w:szCs w:val="20"/>
        </w:rPr>
        <w:t xml:space="preserve">endeavors, scholarships, and endowments.  </w:t>
      </w:r>
    </w:p>
    <w:p w:rsidR="00046F7D" w:rsidRDefault="00046F7D" w:rsidP="006C308E">
      <w:pPr>
        <w:pStyle w:val="Default"/>
        <w:numPr>
          <w:ilvl w:val="0"/>
          <w:numId w:val="87"/>
        </w:numPr>
        <w:rPr>
          <w:rFonts w:asciiTheme="majorHAnsi" w:hAnsiTheme="majorHAnsi" w:cstheme="majorHAnsi"/>
          <w:szCs w:val="20"/>
        </w:rPr>
      </w:pPr>
      <w:r w:rsidRPr="00B71114">
        <w:rPr>
          <w:rFonts w:asciiTheme="majorHAnsi" w:hAnsiTheme="majorHAnsi" w:cstheme="majorHAnsi"/>
          <w:szCs w:val="20"/>
        </w:rPr>
        <w:t>Associated documents in the electronic resource file:</w:t>
      </w:r>
    </w:p>
    <w:p w:rsidR="00046F7D" w:rsidRPr="000E2570" w:rsidRDefault="000362A2" w:rsidP="000E2570">
      <w:pPr>
        <w:pStyle w:val="Default"/>
        <w:numPr>
          <w:ilvl w:val="1"/>
          <w:numId w:val="87"/>
        </w:numPr>
        <w:rPr>
          <w:rFonts w:asciiTheme="majorHAnsi" w:hAnsiTheme="majorHAnsi" w:cstheme="majorHAnsi"/>
          <w:szCs w:val="20"/>
        </w:rPr>
      </w:pPr>
      <w:r w:rsidRPr="000E2570">
        <w:rPr>
          <w:rFonts w:asciiTheme="majorHAnsi" w:hAnsiTheme="majorHAnsi" w:cstheme="majorHAnsi"/>
          <w:i/>
        </w:rPr>
        <w:t>Advisory Council Committee Roster</w:t>
      </w:r>
    </w:p>
    <w:p w:rsidR="00046F7D" w:rsidRPr="00E80636" w:rsidRDefault="00046F7D" w:rsidP="006C308E">
      <w:pPr>
        <w:pStyle w:val="Default"/>
        <w:rPr>
          <w:rFonts w:asciiTheme="majorHAnsi" w:hAnsiTheme="majorHAnsi" w:cstheme="majorHAnsi"/>
          <w:szCs w:val="20"/>
        </w:rPr>
      </w:pPr>
    </w:p>
    <w:p w:rsidR="00046F7D" w:rsidRPr="00E80636" w:rsidRDefault="00046F7D" w:rsidP="006C308E">
      <w:pPr>
        <w:pStyle w:val="Default"/>
        <w:ind w:left="720"/>
        <w:rPr>
          <w:rFonts w:asciiTheme="majorHAnsi" w:hAnsiTheme="majorHAnsi" w:cstheme="majorHAnsi"/>
          <w:b/>
          <w:szCs w:val="20"/>
        </w:rPr>
      </w:pPr>
      <w:r w:rsidRPr="00E80636">
        <w:rPr>
          <w:rFonts w:asciiTheme="majorHAnsi" w:hAnsiTheme="majorHAnsi" w:cstheme="majorHAnsi"/>
          <w:b/>
          <w:szCs w:val="20"/>
        </w:rPr>
        <w:t xml:space="preserve">Alumni Advisory Council </w:t>
      </w:r>
    </w:p>
    <w:p w:rsidR="00046F7D" w:rsidRPr="00E80636" w:rsidRDefault="00046F7D" w:rsidP="006C308E">
      <w:pPr>
        <w:pStyle w:val="Default"/>
        <w:numPr>
          <w:ilvl w:val="0"/>
          <w:numId w:val="88"/>
        </w:numPr>
        <w:rPr>
          <w:rFonts w:asciiTheme="majorHAnsi" w:hAnsiTheme="majorHAnsi" w:cstheme="majorHAnsi"/>
          <w:szCs w:val="20"/>
        </w:rPr>
      </w:pPr>
      <w:r w:rsidRPr="00E80636">
        <w:rPr>
          <w:rFonts w:asciiTheme="majorHAnsi" w:hAnsiTheme="majorHAnsi" w:cstheme="majorHAnsi"/>
          <w:szCs w:val="20"/>
        </w:rPr>
        <w:t>Includes 25 active alumni from different disciplines and degrees.</w:t>
      </w:r>
    </w:p>
    <w:p w:rsidR="00046F7D" w:rsidRPr="00E80636" w:rsidRDefault="00046F7D" w:rsidP="006C308E">
      <w:pPr>
        <w:pStyle w:val="Default"/>
        <w:numPr>
          <w:ilvl w:val="0"/>
          <w:numId w:val="88"/>
        </w:numPr>
        <w:rPr>
          <w:rFonts w:asciiTheme="majorHAnsi" w:hAnsiTheme="majorHAnsi" w:cstheme="majorHAnsi"/>
          <w:szCs w:val="20"/>
        </w:rPr>
      </w:pPr>
      <w:r w:rsidRPr="00E80636">
        <w:rPr>
          <w:rFonts w:asciiTheme="majorHAnsi" w:hAnsiTheme="majorHAnsi" w:cstheme="majorHAnsi"/>
          <w:szCs w:val="20"/>
        </w:rPr>
        <w:t>Provides a voice for the 7,500+ alumni of the UTHealth School of Public Health. These individuals play a key role in providing feedback to the leadership and administration of the Office of Academic Affairs and Student Services, as well as the Dean’s Office, to assist in the development and execution of alumni engagement ideas and strategies that increase alumni participation through event attendance, to serve as alumni ambassadors, and to provide mentorship to the student body. The Alumni Advisory Council provides continuous support and feedback to the school on curriculum and processes.</w:t>
      </w:r>
    </w:p>
    <w:p w:rsidR="00046F7D" w:rsidRPr="00E80636" w:rsidRDefault="00046F7D" w:rsidP="006C308E">
      <w:pPr>
        <w:pStyle w:val="Default"/>
        <w:numPr>
          <w:ilvl w:val="0"/>
          <w:numId w:val="88"/>
        </w:numPr>
        <w:rPr>
          <w:rFonts w:asciiTheme="majorHAnsi" w:hAnsiTheme="majorHAnsi" w:cstheme="majorHAnsi"/>
          <w:szCs w:val="20"/>
        </w:rPr>
      </w:pPr>
      <w:r w:rsidRPr="00E80636">
        <w:rPr>
          <w:rFonts w:asciiTheme="majorHAnsi" w:hAnsiTheme="majorHAnsi" w:cstheme="majorHAnsi"/>
          <w:szCs w:val="20"/>
        </w:rPr>
        <w:t>Associated documents in the electronic resource file:</w:t>
      </w:r>
    </w:p>
    <w:p w:rsidR="00046F7D" w:rsidRPr="00B71114" w:rsidRDefault="00046F7D" w:rsidP="006C308E">
      <w:pPr>
        <w:pStyle w:val="Default"/>
        <w:numPr>
          <w:ilvl w:val="1"/>
          <w:numId w:val="88"/>
        </w:numPr>
        <w:rPr>
          <w:rFonts w:asciiTheme="majorHAnsi" w:hAnsiTheme="majorHAnsi" w:cstheme="majorHAnsi"/>
          <w:i/>
          <w:szCs w:val="20"/>
        </w:rPr>
      </w:pPr>
      <w:r w:rsidRPr="00B71114">
        <w:rPr>
          <w:rFonts w:asciiTheme="majorHAnsi" w:hAnsiTheme="majorHAnsi" w:cstheme="majorHAnsi"/>
          <w:i/>
          <w:szCs w:val="20"/>
        </w:rPr>
        <w:t>Alumni Advisory Council Committee Roster</w:t>
      </w:r>
    </w:p>
    <w:p w:rsidR="00046F7D" w:rsidRPr="00E80636" w:rsidRDefault="00046F7D" w:rsidP="006C308E">
      <w:pPr>
        <w:pStyle w:val="Default"/>
        <w:ind w:left="720"/>
        <w:rPr>
          <w:rFonts w:asciiTheme="majorHAnsi" w:hAnsiTheme="majorHAnsi" w:cstheme="majorHAnsi"/>
          <w:szCs w:val="20"/>
        </w:rPr>
      </w:pPr>
    </w:p>
    <w:p w:rsidR="00046F7D" w:rsidRPr="00E80636" w:rsidRDefault="00046F7D" w:rsidP="006C308E">
      <w:pPr>
        <w:pStyle w:val="Default"/>
        <w:ind w:left="720"/>
        <w:rPr>
          <w:rFonts w:asciiTheme="majorHAnsi" w:hAnsiTheme="majorHAnsi" w:cstheme="majorHAnsi"/>
          <w:b/>
          <w:szCs w:val="20"/>
        </w:rPr>
      </w:pPr>
      <w:r w:rsidRPr="00E80636">
        <w:rPr>
          <w:rFonts w:asciiTheme="majorHAnsi" w:hAnsiTheme="majorHAnsi" w:cstheme="majorHAnsi"/>
          <w:b/>
          <w:szCs w:val="20"/>
        </w:rPr>
        <w:t>CEPH Steering Committee</w:t>
      </w:r>
    </w:p>
    <w:p w:rsidR="00046F7D" w:rsidRPr="00E80636" w:rsidRDefault="00046F7D" w:rsidP="006C308E">
      <w:pPr>
        <w:pStyle w:val="Default"/>
        <w:numPr>
          <w:ilvl w:val="0"/>
          <w:numId w:val="89"/>
        </w:numPr>
        <w:rPr>
          <w:rFonts w:asciiTheme="majorHAnsi" w:hAnsiTheme="majorHAnsi" w:cstheme="majorHAnsi"/>
          <w:szCs w:val="20"/>
        </w:rPr>
      </w:pPr>
      <w:r w:rsidRPr="00E80636">
        <w:rPr>
          <w:rFonts w:asciiTheme="majorHAnsi" w:hAnsiTheme="majorHAnsi" w:cstheme="majorHAnsi"/>
          <w:szCs w:val="20"/>
        </w:rPr>
        <w:t>Includes external public health practitioners, as well as UTHealth School of Public Health faculty and students.</w:t>
      </w:r>
    </w:p>
    <w:p w:rsidR="00046F7D" w:rsidRPr="00E80636" w:rsidRDefault="00046F7D" w:rsidP="006C308E">
      <w:pPr>
        <w:pStyle w:val="Default"/>
        <w:numPr>
          <w:ilvl w:val="0"/>
          <w:numId w:val="89"/>
        </w:numPr>
        <w:rPr>
          <w:rFonts w:asciiTheme="majorHAnsi" w:hAnsiTheme="majorHAnsi" w:cstheme="majorHAnsi"/>
          <w:szCs w:val="20"/>
        </w:rPr>
      </w:pPr>
      <w:r w:rsidRPr="00E80636">
        <w:rPr>
          <w:rFonts w:asciiTheme="majorHAnsi" w:hAnsiTheme="majorHAnsi" w:cstheme="majorHAnsi"/>
          <w:szCs w:val="20"/>
        </w:rPr>
        <w:t xml:space="preserve">Provides feedback on curriculum changes and improvements in response to new CEPH criteria. The CEPH Steering Committee members serve as liaisons for their respective departments and campuses, and assist in facilitating and implementing curriculum changes across all degree programs and majors. The CEPH Steering Committee has been instrumental in developing and revising the self-study document, and in providing guidance to UTHealth School of Public Health leadership on opportunities for improvement, the selection of evaluation indicators, the development of a comprehensive evaluation plan, etc. </w:t>
      </w:r>
    </w:p>
    <w:p w:rsidR="00046F7D" w:rsidRPr="00E80636" w:rsidRDefault="00046F7D" w:rsidP="006C308E">
      <w:pPr>
        <w:pStyle w:val="Default"/>
        <w:numPr>
          <w:ilvl w:val="0"/>
          <w:numId w:val="89"/>
        </w:numPr>
        <w:rPr>
          <w:rFonts w:asciiTheme="majorHAnsi" w:hAnsiTheme="majorHAnsi" w:cstheme="majorHAnsi"/>
          <w:szCs w:val="20"/>
        </w:rPr>
      </w:pPr>
      <w:r w:rsidRPr="00E80636">
        <w:rPr>
          <w:rFonts w:asciiTheme="majorHAnsi" w:hAnsiTheme="majorHAnsi" w:cstheme="majorHAnsi"/>
          <w:szCs w:val="20"/>
        </w:rPr>
        <w:t>Associated documents in the electronic resource file:</w:t>
      </w:r>
    </w:p>
    <w:p w:rsidR="00046F7D" w:rsidRPr="00B71114" w:rsidRDefault="00A538D8" w:rsidP="006C308E">
      <w:pPr>
        <w:pStyle w:val="Default"/>
        <w:numPr>
          <w:ilvl w:val="1"/>
          <w:numId w:val="89"/>
        </w:numPr>
        <w:rPr>
          <w:rFonts w:asciiTheme="majorHAnsi" w:hAnsiTheme="majorHAnsi" w:cstheme="majorHAnsi"/>
          <w:i/>
          <w:szCs w:val="20"/>
        </w:rPr>
      </w:pPr>
      <w:r w:rsidRPr="00B71114">
        <w:rPr>
          <w:rFonts w:asciiTheme="majorHAnsi" w:hAnsiTheme="majorHAnsi" w:cstheme="majorHAnsi"/>
          <w:i/>
          <w:szCs w:val="20"/>
        </w:rPr>
        <w:t>CEPH Steering Committee Roster (including all active and past participants)</w:t>
      </w:r>
    </w:p>
    <w:p w:rsidR="00046F7D" w:rsidRPr="00B71114" w:rsidRDefault="00046F7D" w:rsidP="006C308E">
      <w:pPr>
        <w:pStyle w:val="Default"/>
        <w:ind w:left="720"/>
        <w:rPr>
          <w:rFonts w:asciiTheme="majorHAnsi" w:hAnsiTheme="majorHAnsi" w:cstheme="majorHAnsi"/>
          <w:b/>
          <w:i/>
          <w:szCs w:val="20"/>
        </w:rPr>
      </w:pPr>
    </w:p>
    <w:p w:rsidR="00046F7D" w:rsidRPr="00E80636" w:rsidRDefault="00046F7D" w:rsidP="006C308E">
      <w:pPr>
        <w:pStyle w:val="Default"/>
        <w:ind w:left="720"/>
        <w:rPr>
          <w:rFonts w:asciiTheme="majorHAnsi" w:hAnsiTheme="majorHAnsi" w:cstheme="majorHAnsi"/>
          <w:b/>
          <w:szCs w:val="20"/>
        </w:rPr>
      </w:pPr>
      <w:r w:rsidRPr="00E80636">
        <w:rPr>
          <w:rFonts w:asciiTheme="majorHAnsi" w:hAnsiTheme="majorHAnsi" w:cstheme="majorHAnsi"/>
          <w:b/>
          <w:szCs w:val="20"/>
        </w:rPr>
        <w:t xml:space="preserve">Collaborative Action Board </w:t>
      </w:r>
    </w:p>
    <w:p w:rsidR="00046F7D" w:rsidRPr="00E80636" w:rsidRDefault="00046F7D" w:rsidP="006C308E">
      <w:pPr>
        <w:pStyle w:val="Default"/>
        <w:numPr>
          <w:ilvl w:val="0"/>
          <w:numId w:val="90"/>
        </w:numPr>
        <w:rPr>
          <w:rFonts w:asciiTheme="majorHAnsi" w:hAnsiTheme="majorHAnsi" w:cstheme="majorHAnsi"/>
          <w:szCs w:val="20"/>
        </w:rPr>
      </w:pPr>
      <w:r w:rsidRPr="00E80636">
        <w:rPr>
          <w:rFonts w:asciiTheme="majorHAnsi" w:hAnsiTheme="majorHAnsi" w:cstheme="majorHAnsi"/>
          <w:szCs w:val="20"/>
        </w:rPr>
        <w:t>Includes community members and a leadership team composed of external constituents in the Rio Grande Valley region.</w:t>
      </w:r>
    </w:p>
    <w:p w:rsidR="00046F7D" w:rsidRPr="00E80636" w:rsidRDefault="00046F7D" w:rsidP="006C308E">
      <w:pPr>
        <w:pStyle w:val="Default"/>
        <w:numPr>
          <w:ilvl w:val="0"/>
          <w:numId w:val="90"/>
        </w:numPr>
        <w:rPr>
          <w:rFonts w:asciiTheme="majorHAnsi" w:hAnsiTheme="majorHAnsi" w:cstheme="majorHAnsi"/>
          <w:szCs w:val="20"/>
        </w:rPr>
      </w:pPr>
      <w:r w:rsidRPr="00E80636">
        <w:rPr>
          <w:rFonts w:asciiTheme="majorHAnsi" w:hAnsiTheme="majorHAnsi" w:cstheme="majorHAnsi"/>
          <w:szCs w:val="20"/>
        </w:rPr>
        <w:t>Provides feedback, accountability, and partnership on the research projects and direction of the Brownsville campus of UTHealth School of Public Health.</w:t>
      </w:r>
    </w:p>
    <w:p w:rsidR="00046F7D" w:rsidRPr="00E80636" w:rsidRDefault="00046F7D" w:rsidP="006C308E">
      <w:pPr>
        <w:pStyle w:val="Default"/>
        <w:numPr>
          <w:ilvl w:val="0"/>
          <w:numId w:val="90"/>
        </w:numPr>
        <w:rPr>
          <w:rFonts w:asciiTheme="majorHAnsi" w:hAnsiTheme="majorHAnsi" w:cstheme="majorHAnsi"/>
          <w:szCs w:val="20"/>
        </w:rPr>
      </w:pPr>
      <w:r w:rsidRPr="00E80636">
        <w:rPr>
          <w:rFonts w:asciiTheme="majorHAnsi" w:hAnsiTheme="majorHAnsi" w:cstheme="majorHAnsi"/>
          <w:szCs w:val="20"/>
        </w:rPr>
        <w:t>Associated documents in the electronic resource file:</w:t>
      </w:r>
    </w:p>
    <w:p w:rsidR="00046F7D" w:rsidRPr="00AE2864" w:rsidRDefault="00046F7D" w:rsidP="006C308E">
      <w:pPr>
        <w:pStyle w:val="Default"/>
        <w:numPr>
          <w:ilvl w:val="1"/>
          <w:numId w:val="90"/>
        </w:numPr>
        <w:rPr>
          <w:rFonts w:asciiTheme="majorHAnsi" w:hAnsiTheme="majorHAnsi" w:cstheme="majorHAnsi"/>
          <w:i/>
          <w:szCs w:val="20"/>
        </w:rPr>
      </w:pPr>
      <w:r w:rsidRPr="00AE2864">
        <w:rPr>
          <w:rFonts w:asciiTheme="majorHAnsi" w:hAnsiTheme="majorHAnsi" w:cstheme="majorHAnsi"/>
          <w:i/>
          <w:szCs w:val="20"/>
        </w:rPr>
        <w:t>Collaborative Action Board Committee Roster</w:t>
      </w:r>
    </w:p>
    <w:p w:rsidR="00046F7D" w:rsidRPr="00E80636" w:rsidRDefault="00046F7D" w:rsidP="006C308E">
      <w:pPr>
        <w:pStyle w:val="Default"/>
        <w:rPr>
          <w:rFonts w:asciiTheme="majorHAnsi" w:hAnsiTheme="majorHAnsi" w:cstheme="majorHAnsi"/>
          <w:szCs w:val="20"/>
        </w:rPr>
      </w:pPr>
    </w:p>
    <w:p w:rsidR="00046F7D" w:rsidRPr="00E80636" w:rsidRDefault="00046F7D" w:rsidP="006C308E">
      <w:pPr>
        <w:pStyle w:val="Default"/>
        <w:ind w:left="720"/>
        <w:rPr>
          <w:rFonts w:asciiTheme="majorHAnsi" w:hAnsiTheme="majorHAnsi" w:cstheme="majorHAnsi"/>
          <w:b/>
          <w:szCs w:val="20"/>
        </w:rPr>
      </w:pPr>
      <w:r w:rsidRPr="00E80636">
        <w:rPr>
          <w:rFonts w:asciiTheme="majorHAnsi" w:hAnsiTheme="majorHAnsi" w:cstheme="majorHAnsi"/>
          <w:b/>
          <w:szCs w:val="20"/>
        </w:rPr>
        <w:t xml:space="preserve">Fleming Center Board </w:t>
      </w:r>
      <w:r w:rsidRPr="00E80636">
        <w:rPr>
          <w:rFonts w:asciiTheme="majorHAnsi" w:hAnsiTheme="majorHAnsi" w:cstheme="majorHAnsi"/>
          <w:i/>
          <w:szCs w:val="20"/>
        </w:rPr>
        <w:t>(ended in 2018)</w:t>
      </w:r>
    </w:p>
    <w:p w:rsidR="00046F7D" w:rsidRPr="00E80636" w:rsidRDefault="00046F7D" w:rsidP="006C308E">
      <w:pPr>
        <w:pStyle w:val="Default"/>
        <w:numPr>
          <w:ilvl w:val="0"/>
          <w:numId w:val="91"/>
        </w:numPr>
        <w:rPr>
          <w:rFonts w:asciiTheme="majorHAnsi" w:hAnsiTheme="majorHAnsi" w:cstheme="majorHAnsi"/>
          <w:szCs w:val="20"/>
        </w:rPr>
      </w:pPr>
      <w:r w:rsidRPr="00E80636">
        <w:rPr>
          <w:rFonts w:asciiTheme="majorHAnsi" w:hAnsiTheme="majorHAnsi" w:cstheme="majorHAnsi"/>
          <w:szCs w:val="20"/>
        </w:rPr>
        <w:t xml:space="preserve">Included 13 senior-level executives from the region representing hospitals, health systems, insurance companies, and academic institutions. </w:t>
      </w:r>
    </w:p>
    <w:p w:rsidR="00046F7D" w:rsidRPr="00E80636" w:rsidRDefault="00046F7D" w:rsidP="006C308E">
      <w:pPr>
        <w:pStyle w:val="Default"/>
        <w:numPr>
          <w:ilvl w:val="0"/>
          <w:numId w:val="91"/>
        </w:numPr>
        <w:rPr>
          <w:rFonts w:asciiTheme="majorHAnsi" w:hAnsiTheme="majorHAnsi" w:cstheme="majorHAnsi"/>
          <w:szCs w:val="20"/>
        </w:rPr>
      </w:pPr>
      <w:r w:rsidRPr="00E80636">
        <w:rPr>
          <w:rFonts w:asciiTheme="majorHAnsi" w:hAnsiTheme="majorHAnsi" w:cstheme="majorHAnsi"/>
          <w:szCs w:val="20"/>
        </w:rPr>
        <w:t>Provided insight into employer expectations, employment and educational needs, program curriculum, recruitment strategies, practicum opportunities, and Fleming Center–led community-based activities. The Fleming Center Board also lent its expertise to the student body through guest lectures, case competition content and judging, and career opportunities. In FY17, the Fleming Center Board became more actively engaged in career building activities for HCM students, including providing professional advice, mock interviews, and professional development lectures.</w:t>
      </w:r>
    </w:p>
    <w:p w:rsidR="00046F7D" w:rsidRPr="00E80636" w:rsidRDefault="00046F7D" w:rsidP="006C308E">
      <w:pPr>
        <w:pStyle w:val="Default"/>
        <w:numPr>
          <w:ilvl w:val="0"/>
          <w:numId w:val="91"/>
        </w:numPr>
        <w:rPr>
          <w:rFonts w:asciiTheme="majorHAnsi" w:hAnsiTheme="majorHAnsi" w:cstheme="majorHAnsi"/>
          <w:szCs w:val="20"/>
        </w:rPr>
      </w:pPr>
      <w:r w:rsidRPr="00E80636">
        <w:rPr>
          <w:rFonts w:asciiTheme="majorHAnsi" w:hAnsiTheme="majorHAnsi" w:cstheme="majorHAnsi"/>
          <w:szCs w:val="20"/>
        </w:rPr>
        <w:t>Associated documents in the electronic resource file:</w:t>
      </w:r>
    </w:p>
    <w:p w:rsidR="00046F7D" w:rsidRPr="00AE2864" w:rsidRDefault="00046F7D" w:rsidP="006C308E">
      <w:pPr>
        <w:pStyle w:val="Default"/>
        <w:numPr>
          <w:ilvl w:val="1"/>
          <w:numId w:val="91"/>
        </w:numPr>
        <w:rPr>
          <w:rFonts w:asciiTheme="majorHAnsi" w:hAnsiTheme="majorHAnsi" w:cstheme="majorHAnsi"/>
          <w:i/>
          <w:szCs w:val="20"/>
        </w:rPr>
      </w:pPr>
      <w:r w:rsidRPr="00AE2864">
        <w:rPr>
          <w:rFonts w:asciiTheme="majorHAnsi" w:hAnsiTheme="majorHAnsi" w:cstheme="majorHAnsi"/>
          <w:i/>
          <w:szCs w:val="20"/>
        </w:rPr>
        <w:t>Fleming Center Board Roster</w:t>
      </w:r>
    </w:p>
    <w:p w:rsidR="00046F7D" w:rsidRPr="00E80636" w:rsidRDefault="00046F7D" w:rsidP="006C308E">
      <w:pPr>
        <w:pStyle w:val="Default"/>
        <w:ind w:left="720"/>
        <w:rPr>
          <w:rFonts w:asciiTheme="majorHAnsi" w:hAnsiTheme="majorHAnsi" w:cstheme="majorHAnsi"/>
          <w:szCs w:val="20"/>
        </w:rPr>
      </w:pPr>
    </w:p>
    <w:p w:rsidR="00046F7D" w:rsidRPr="00E80636" w:rsidRDefault="00046F7D" w:rsidP="006C308E">
      <w:pPr>
        <w:pStyle w:val="Default"/>
        <w:ind w:left="720"/>
        <w:rPr>
          <w:rFonts w:asciiTheme="majorHAnsi" w:hAnsiTheme="majorHAnsi" w:cstheme="majorHAnsi"/>
          <w:b/>
          <w:szCs w:val="20"/>
        </w:rPr>
      </w:pPr>
      <w:r w:rsidRPr="00E80636">
        <w:rPr>
          <w:rFonts w:asciiTheme="majorHAnsi" w:hAnsiTheme="majorHAnsi" w:cstheme="majorHAnsi"/>
          <w:b/>
          <w:szCs w:val="20"/>
        </w:rPr>
        <w:t>Harris Health System</w:t>
      </w:r>
    </w:p>
    <w:p w:rsidR="00046F7D" w:rsidRPr="00E80636" w:rsidRDefault="00046F7D" w:rsidP="006C308E">
      <w:pPr>
        <w:pStyle w:val="Default"/>
        <w:numPr>
          <w:ilvl w:val="0"/>
          <w:numId w:val="92"/>
        </w:numPr>
        <w:rPr>
          <w:rFonts w:asciiTheme="majorHAnsi" w:hAnsiTheme="majorHAnsi" w:cstheme="majorHAnsi"/>
          <w:szCs w:val="20"/>
        </w:rPr>
      </w:pPr>
      <w:r w:rsidRPr="00E80636">
        <w:rPr>
          <w:rFonts w:asciiTheme="majorHAnsi" w:hAnsiTheme="majorHAnsi" w:cstheme="majorHAnsi"/>
          <w:szCs w:val="20"/>
        </w:rPr>
        <w:t>Includes leadership and staff from Harris Health System, and actively collaborates with Dr. Linda Highfield, associate professor in MPACH at the UTHealth School of Public Health.</w:t>
      </w:r>
    </w:p>
    <w:p w:rsidR="00046F7D" w:rsidRPr="00E80636" w:rsidRDefault="00046F7D" w:rsidP="006C308E">
      <w:pPr>
        <w:pStyle w:val="Default"/>
        <w:numPr>
          <w:ilvl w:val="0"/>
          <w:numId w:val="92"/>
        </w:numPr>
        <w:rPr>
          <w:rFonts w:asciiTheme="majorHAnsi" w:hAnsiTheme="majorHAnsi" w:cstheme="majorHAnsi"/>
          <w:szCs w:val="20"/>
        </w:rPr>
      </w:pPr>
      <w:r w:rsidRPr="00E80636">
        <w:rPr>
          <w:rFonts w:asciiTheme="majorHAnsi" w:hAnsiTheme="majorHAnsi" w:cstheme="majorHAnsi"/>
          <w:szCs w:val="20"/>
        </w:rPr>
        <w:t xml:space="preserve">Provides input on workforce development, accreditation, and synergy in the areas of teaching. </w:t>
      </w:r>
    </w:p>
    <w:p w:rsidR="00046F7D" w:rsidRPr="00E80636" w:rsidRDefault="00046F7D" w:rsidP="006C308E">
      <w:pPr>
        <w:pStyle w:val="Default"/>
        <w:numPr>
          <w:ilvl w:val="0"/>
          <w:numId w:val="92"/>
        </w:numPr>
        <w:rPr>
          <w:rFonts w:asciiTheme="majorHAnsi" w:hAnsiTheme="majorHAnsi" w:cstheme="majorHAnsi"/>
          <w:szCs w:val="20"/>
        </w:rPr>
      </w:pPr>
      <w:r w:rsidRPr="00E80636">
        <w:rPr>
          <w:rFonts w:asciiTheme="majorHAnsi" w:hAnsiTheme="majorHAnsi" w:cstheme="majorHAnsi"/>
          <w:szCs w:val="20"/>
        </w:rPr>
        <w:t>Associated documents in the electronic resource file:</w:t>
      </w:r>
    </w:p>
    <w:p w:rsidR="00046F7D" w:rsidRPr="00AE2864" w:rsidRDefault="00046F7D" w:rsidP="006C308E">
      <w:pPr>
        <w:pStyle w:val="Default"/>
        <w:numPr>
          <w:ilvl w:val="1"/>
          <w:numId w:val="92"/>
        </w:numPr>
        <w:rPr>
          <w:rFonts w:asciiTheme="majorHAnsi" w:hAnsiTheme="majorHAnsi" w:cstheme="majorHAnsi"/>
          <w:i/>
          <w:szCs w:val="20"/>
        </w:rPr>
      </w:pPr>
      <w:r w:rsidRPr="00AE2864">
        <w:rPr>
          <w:rFonts w:asciiTheme="majorHAnsi" w:hAnsiTheme="majorHAnsi" w:cstheme="majorHAnsi"/>
          <w:i/>
          <w:szCs w:val="20"/>
        </w:rPr>
        <w:t>Harris Health System Committee Roster</w:t>
      </w:r>
    </w:p>
    <w:p w:rsidR="00046F7D" w:rsidRPr="00E80636" w:rsidRDefault="00046F7D" w:rsidP="006C308E">
      <w:pPr>
        <w:pStyle w:val="Default"/>
        <w:ind w:left="720"/>
        <w:rPr>
          <w:rFonts w:asciiTheme="majorHAnsi" w:hAnsiTheme="majorHAnsi" w:cstheme="majorHAnsi"/>
          <w:szCs w:val="20"/>
        </w:rPr>
      </w:pPr>
    </w:p>
    <w:p w:rsidR="00046F7D" w:rsidRPr="00E80636" w:rsidRDefault="00046F7D" w:rsidP="006C308E">
      <w:pPr>
        <w:pStyle w:val="Default"/>
        <w:ind w:left="720"/>
        <w:rPr>
          <w:rFonts w:asciiTheme="majorHAnsi" w:hAnsiTheme="majorHAnsi" w:cstheme="majorHAnsi"/>
          <w:b/>
          <w:szCs w:val="20"/>
        </w:rPr>
      </w:pPr>
      <w:r w:rsidRPr="00E80636">
        <w:rPr>
          <w:rFonts w:asciiTheme="majorHAnsi" w:hAnsiTheme="majorHAnsi" w:cstheme="majorHAnsi"/>
          <w:b/>
          <w:szCs w:val="20"/>
        </w:rPr>
        <w:t>Healthcare Management Alumni Advisory Board</w:t>
      </w:r>
    </w:p>
    <w:p w:rsidR="00046F7D" w:rsidRPr="00E80636" w:rsidRDefault="00046F7D" w:rsidP="006C308E">
      <w:pPr>
        <w:pStyle w:val="Default"/>
        <w:numPr>
          <w:ilvl w:val="0"/>
          <w:numId w:val="93"/>
        </w:numPr>
        <w:rPr>
          <w:rFonts w:asciiTheme="majorHAnsi" w:hAnsiTheme="majorHAnsi" w:cstheme="majorHAnsi"/>
          <w:szCs w:val="20"/>
        </w:rPr>
      </w:pPr>
      <w:r w:rsidRPr="00E80636">
        <w:rPr>
          <w:rFonts w:asciiTheme="majorHAnsi" w:hAnsiTheme="majorHAnsi" w:cstheme="majorHAnsi"/>
          <w:szCs w:val="20"/>
        </w:rPr>
        <w:t>Includes approximately 10 alumni from the healthcare management MPH program.</w:t>
      </w:r>
    </w:p>
    <w:p w:rsidR="00046F7D" w:rsidRPr="00E80636" w:rsidRDefault="00046F7D" w:rsidP="006C308E">
      <w:pPr>
        <w:pStyle w:val="Default"/>
        <w:numPr>
          <w:ilvl w:val="0"/>
          <w:numId w:val="93"/>
        </w:numPr>
        <w:rPr>
          <w:rFonts w:asciiTheme="majorHAnsi" w:hAnsiTheme="majorHAnsi" w:cstheme="majorHAnsi"/>
          <w:szCs w:val="20"/>
        </w:rPr>
      </w:pPr>
      <w:r w:rsidRPr="00E80636">
        <w:rPr>
          <w:rFonts w:asciiTheme="majorHAnsi" w:hAnsiTheme="majorHAnsi" w:cstheme="majorHAnsi"/>
          <w:szCs w:val="20"/>
        </w:rPr>
        <w:t>Provides input on program curriculum, growth strategies, and improvement opportunities based on their professional experiences. This advisory board’s input provides a critical perspective into the skills and knowledge needed for employment and career advancement. This advisory board is also instrumental in providing and identifying practicum opportunities, emerging trends in the marketplace, networking activities, mentoring, recruiting, and sometimes employment.</w:t>
      </w:r>
    </w:p>
    <w:p w:rsidR="00046F7D" w:rsidRPr="00E80636" w:rsidRDefault="00046F7D" w:rsidP="006C308E">
      <w:pPr>
        <w:pStyle w:val="Default"/>
        <w:numPr>
          <w:ilvl w:val="0"/>
          <w:numId w:val="93"/>
        </w:numPr>
        <w:rPr>
          <w:rFonts w:asciiTheme="majorHAnsi" w:hAnsiTheme="majorHAnsi" w:cstheme="majorHAnsi"/>
          <w:szCs w:val="20"/>
        </w:rPr>
      </w:pPr>
      <w:r w:rsidRPr="00E80636">
        <w:rPr>
          <w:rFonts w:asciiTheme="majorHAnsi" w:hAnsiTheme="majorHAnsi" w:cstheme="majorHAnsi"/>
          <w:szCs w:val="20"/>
        </w:rPr>
        <w:t>Associated documents in the electronic resource file:</w:t>
      </w:r>
    </w:p>
    <w:p w:rsidR="00046F7D" w:rsidRPr="00AE2864" w:rsidRDefault="00046F7D" w:rsidP="006C308E">
      <w:pPr>
        <w:pStyle w:val="Default"/>
        <w:numPr>
          <w:ilvl w:val="1"/>
          <w:numId w:val="93"/>
        </w:numPr>
        <w:rPr>
          <w:rFonts w:asciiTheme="majorHAnsi" w:hAnsiTheme="majorHAnsi" w:cstheme="majorHAnsi"/>
          <w:i/>
          <w:szCs w:val="20"/>
        </w:rPr>
      </w:pPr>
      <w:r w:rsidRPr="00AE2864">
        <w:rPr>
          <w:rFonts w:asciiTheme="majorHAnsi" w:hAnsiTheme="majorHAnsi" w:cstheme="majorHAnsi"/>
          <w:i/>
          <w:szCs w:val="20"/>
        </w:rPr>
        <w:t>Healthcare Management Advisory Board Roster</w:t>
      </w:r>
    </w:p>
    <w:p w:rsidR="00046F7D" w:rsidRPr="00AE2864" w:rsidRDefault="00046F7D" w:rsidP="006C308E">
      <w:pPr>
        <w:pStyle w:val="Default"/>
        <w:numPr>
          <w:ilvl w:val="1"/>
          <w:numId w:val="93"/>
        </w:numPr>
        <w:rPr>
          <w:rFonts w:asciiTheme="majorHAnsi" w:hAnsiTheme="majorHAnsi" w:cstheme="majorHAnsi"/>
          <w:i/>
          <w:szCs w:val="20"/>
        </w:rPr>
      </w:pPr>
      <w:r w:rsidRPr="00AE2864">
        <w:rPr>
          <w:rFonts w:asciiTheme="majorHAnsi" w:hAnsiTheme="majorHAnsi" w:cstheme="majorHAnsi"/>
          <w:i/>
          <w:szCs w:val="20"/>
        </w:rPr>
        <w:t>Healthcare Management Meeting Minutes, 2018</w:t>
      </w:r>
    </w:p>
    <w:p w:rsidR="00046F7D" w:rsidRPr="00AE2864" w:rsidRDefault="00046F7D" w:rsidP="006C308E">
      <w:pPr>
        <w:pStyle w:val="Default"/>
        <w:numPr>
          <w:ilvl w:val="1"/>
          <w:numId w:val="93"/>
        </w:numPr>
        <w:rPr>
          <w:rFonts w:asciiTheme="majorHAnsi" w:hAnsiTheme="majorHAnsi" w:cstheme="majorHAnsi"/>
          <w:i/>
          <w:szCs w:val="20"/>
        </w:rPr>
      </w:pPr>
      <w:r w:rsidRPr="00AE2864">
        <w:rPr>
          <w:rFonts w:asciiTheme="majorHAnsi" w:hAnsiTheme="majorHAnsi" w:cstheme="majorHAnsi"/>
          <w:i/>
          <w:szCs w:val="20"/>
        </w:rPr>
        <w:t>Healthcare Management Meeting Minutes, 2019</w:t>
      </w:r>
    </w:p>
    <w:p w:rsidR="00046F7D" w:rsidRPr="00E80636" w:rsidRDefault="00046F7D" w:rsidP="006C308E">
      <w:pPr>
        <w:pStyle w:val="Default"/>
        <w:ind w:left="720"/>
        <w:rPr>
          <w:rFonts w:asciiTheme="majorHAnsi" w:hAnsiTheme="majorHAnsi" w:cstheme="majorHAnsi"/>
          <w:szCs w:val="20"/>
        </w:rPr>
      </w:pPr>
    </w:p>
    <w:p w:rsidR="00046F7D" w:rsidRPr="00E80636" w:rsidRDefault="00046F7D" w:rsidP="006C308E">
      <w:pPr>
        <w:pStyle w:val="Default"/>
        <w:ind w:left="720"/>
        <w:rPr>
          <w:rFonts w:asciiTheme="majorHAnsi" w:hAnsiTheme="majorHAnsi" w:cstheme="majorHAnsi"/>
          <w:b/>
          <w:szCs w:val="20"/>
        </w:rPr>
      </w:pPr>
      <w:r w:rsidRPr="00E80636">
        <w:rPr>
          <w:rFonts w:asciiTheme="majorHAnsi" w:hAnsiTheme="majorHAnsi" w:cstheme="majorHAnsi"/>
          <w:b/>
          <w:szCs w:val="20"/>
        </w:rPr>
        <w:t>Komen Fellowship Patient Advocates</w:t>
      </w:r>
    </w:p>
    <w:p w:rsidR="00046F7D" w:rsidRPr="00E80636" w:rsidRDefault="00046F7D" w:rsidP="006C308E">
      <w:pPr>
        <w:pStyle w:val="Default"/>
        <w:numPr>
          <w:ilvl w:val="0"/>
          <w:numId w:val="94"/>
        </w:numPr>
        <w:rPr>
          <w:rFonts w:asciiTheme="majorHAnsi" w:hAnsiTheme="majorHAnsi" w:cstheme="majorHAnsi"/>
          <w:szCs w:val="20"/>
        </w:rPr>
      </w:pPr>
      <w:r w:rsidRPr="00E80636">
        <w:rPr>
          <w:rFonts w:asciiTheme="majorHAnsi" w:hAnsiTheme="majorHAnsi" w:cstheme="majorHAnsi"/>
          <w:szCs w:val="20"/>
        </w:rPr>
        <w:t>Includes patient advocates that regularly meet and participate in a community advisory board, consisting of representatives of community groups, breast cancer advocacy groups, and breast cancer survivors groups.</w:t>
      </w:r>
    </w:p>
    <w:p w:rsidR="00046F7D" w:rsidRPr="00E80636" w:rsidRDefault="00046F7D" w:rsidP="006C308E">
      <w:pPr>
        <w:pStyle w:val="Default"/>
        <w:numPr>
          <w:ilvl w:val="0"/>
          <w:numId w:val="94"/>
        </w:numPr>
        <w:rPr>
          <w:rFonts w:asciiTheme="majorHAnsi" w:hAnsiTheme="majorHAnsi" w:cstheme="majorHAnsi"/>
          <w:szCs w:val="20"/>
        </w:rPr>
      </w:pPr>
      <w:r w:rsidRPr="00E80636">
        <w:rPr>
          <w:rFonts w:asciiTheme="majorHAnsi" w:hAnsiTheme="majorHAnsi" w:cstheme="majorHAnsi"/>
          <w:szCs w:val="20"/>
        </w:rPr>
        <w:t>Provides input on the training program and identifies breast cancer–related community projects for trainees’ participation.</w:t>
      </w:r>
    </w:p>
    <w:p w:rsidR="00046F7D" w:rsidRPr="00E80636" w:rsidRDefault="00046F7D" w:rsidP="006C308E">
      <w:pPr>
        <w:pStyle w:val="Default"/>
        <w:numPr>
          <w:ilvl w:val="0"/>
          <w:numId w:val="94"/>
        </w:numPr>
        <w:rPr>
          <w:rFonts w:asciiTheme="majorHAnsi" w:hAnsiTheme="majorHAnsi" w:cstheme="majorHAnsi"/>
          <w:szCs w:val="20"/>
        </w:rPr>
      </w:pPr>
      <w:r w:rsidRPr="00E80636">
        <w:rPr>
          <w:rFonts w:asciiTheme="majorHAnsi" w:hAnsiTheme="majorHAnsi" w:cstheme="majorHAnsi"/>
          <w:szCs w:val="20"/>
        </w:rPr>
        <w:t>Associated documents in the electronic resource file:</w:t>
      </w:r>
    </w:p>
    <w:p w:rsidR="00046F7D" w:rsidRPr="00AE2864" w:rsidRDefault="00046F7D" w:rsidP="006C308E">
      <w:pPr>
        <w:pStyle w:val="Default"/>
        <w:numPr>
          <w:ilvl w:val="1"/>
          <w:numId w:val="94"/>
        </w:numPr>
        <w:rPr>
          <w:rFonts w:asciiTheme="majorHAnsi" w:hAnsiTheme="majorHAnsi" w:cstheme="majorHAnsi"/>
          <w:i/>
          <w:szCs w:val="20"/>
        </w:rPr>
      </w:pPr>
      <w:r w:rsidRPr="00AE2864">
        <w:rPr>
          <w:rFonts w:asciiTheme="majorHAnsi" w:hAnsiTheme="majorHAnsi" w:cstheme="majorHAnsi"/>
          <w:i/>
          <w:szCs w:val="20"/>
        </w:rPr>
        <w:t>Komen Fellowship Roster</w:t>
      </w:r>
    </w:p>
    <w:p w:rsidR="00046F7D" w:rsidRPr="00E80636" w:rsidRDefault="00046F7D" w:rsidP="006C308E">
      <w:pPr>
        <w:pStyle w:val="Default"/>
        <w:ind w:left="720"/>
        <w:rPr>
          <w:rFonts w:asciiTheme="majorHAnsi" w:hAnsiTheme="majorHAnsi" w:cstheme="majorHAnsi"/>
          <w:szCs w:val="20"/>
        </w:rPr>
      </w:pPr>
    </w:p>
    <w:p w:rsidR="00046F7D" w:rsidRPr="00E80636" w:rsidRDefault="00046F7D" w:rsidP="006C308E">
      <w:pPr>
        <w:pStyle w:val="Default"/>
        <w:ind w:left="720"/>
        <w:rPr>
          <w:rFonts w:asciiTheme="majorHAnsi" w:hAnsiTheme="majorHAnsi" w:cstheme="majorHAnsi"/>
          <w:b/>
          <w:szCs w:val="20"/>
        </w:rPr>
      </w:pPr>
      <w:r w:rsidRPr="00E80636">
        <w:rPr>
          <w:rFonts w:asciiTheme="majorHAnsi" w:hAnsiTheme="majorHAnsi" w:cstheme="majorHAnsi"/>
          <w:b/>
          <w:szCs w:val="20"/>
        </w:rPr>
        <w:t>Live Smart Texas</w:t>
      </w:r>
    </w:p>
    <w:p w:rsidR="00046F7D" w:rsidRPr="00E80636" w:rsidRDefault="00046F7D" w:rsidP="006C308E">
      <w:pPr>
        <w:pStyle w:val="Default"/>
        <w:numPr>
          <w:ilvl w:val="0"/>
          <w:numId w:val="95"/>
        </w:numPr>
        <w:rPr>
          <w:rFonts w:asciiTheme="majorHAnsi" w:hAnsiTheme="majorHAnsi" w:cstheme="majorHAnsi"/>
          <w:szCs w:val="20"/>
        </w:rPr>
      </w:pPr>
      <w:r w:rsidRPr="00E80636">
        <w:rPr>
          <w:rFonts w:asciiTheme="majorHAnsi" w:hAnsiTheme="majorHAnsi" w:cstheme="majorHAnsi"/>
          <w:szCs w:val="20"/>
        </w:rPr>
        <w:t xml:space="preserve">Includes members that represent all key sectors, including policy boards, educational institutions, state organizations, research centers, professional associations, and local community groups. Live Smart Texas is led by two co-chairs with support and guidance from a steering committee that represents several statewide agencies, schools of public health, and regional representatives from the eight Texas Department of State Health Services Health Service Regions.  </w:t>
      </w:r>
    </w:p>
    <w:p w:rsidR="00046F7D" w:rsidRPr="00E80636" w:rsidRDefault="00046F7D" w:rsidP="006C308E">
      <w:pPr>
        <w:pStyle w:val="Default"/>
        <w:numPr>
          <w:ilvl w:val="0"/>
          <w:numId w:val="95"/>
        </w:numPr>
        <w:rPr>
          <w:rFonts w:asciiTheme="majorHAnsi" w:hAnsiTheme="majorHAnsi" w:cstheme="majorHAnsi"/>
          <w:szCs w:val="20"/>
        </w:rPr>
      </w:pPr>
      <w:r w:rsidRPr="00E80636">
        <w:rPr>
          <w:rFonts w:asciiTheme="majorHAnsi" w:hAnsiTheme="majorHAnsi" w:cstheme="majorHAnsi"/>
          <w:szCs w:val="20"/>
        </w:rPr>
        <w:t>Works collaboratively to develop resources to build community infrastructure and capacity to implement culturally competent, evidence-based practices, particularly in communities at high risk for obesity; to develop funding of an obesity prevention research agenda; and to create and disseminate a shared obesity prevention policy agenda to address the needs of all Texans through the Partnership for a Healthy Texas and SOS Texas Team.</w:t>
      </w:r>
    </w:p>
    <w:p w:rsidR="00046F7D" w:rsidRPr="00E80636" w:rsidRDefault="00046F7D" w:rsidP="006C308E">
      <w:pPr>
        <w:pStyle w:val="Default"/>
        <w:numPr>
          <w:ilvl w:val="0"/>
          <w:numId w:val="95"/>
        </w:numPr>
        <w:rPr>
          <w:rFonts w:asciiTheme="majorHAnsi" w:hAnsiTheme="majorHAnsi" w:cstheme="majorHAnsi"/>
          <w:szCs w:val="20"/>
        </w:rPr>
      </w:pPr>
      <w:r w:rsidRPr="00E80636">
        <w:rPr>
          <w:rFonts w:asciiTheme="majorHAnsi" w:hAnsiTheme="majorHAnsi" w:cstheme="majorHAnsi"/>
          <w:szCs w:val="20"/>
        </w:rPr>
        <w:t>Associated documents in the electronic resource file:</w:t>
      </w:r>
    </w:p>
    <w:p w:rsidR="00046F7D" w:rsidRPr="00AE2864" w:rsidRDefault="00046F7D" w:rsidP="006C308E">
      <w:pPr>
        <w:pStyle w:val="Default"/>
        <w:numPr>
          <w:ilvl w:val="1"/>
          <w:numId w:val="95"/>
        </w:numPr>
        <w:rPr>
          <w:rFonts w:asciiTheme="majorHAnsi" w:hAnsiTheme="majorHAnsi" w:cstheme="majorHAnsi"/>
          <w:i/>
          <w:szCs w:val="20"/>
        </w:rPr>
      </w:pPr>
      <w:r w:rsidRPr="00AE2864">
        <w:rPr>
          <w:rFonts w:asciiTheme="majorHAnsi" w:hAnsiTheme="majorHAnsi" w:cstheme="majorHAnsi"/>
          <w:i/>
          <w:szCs w:val="20"/>
        </w:rPr>
        <w:t>Live Smart Texas Committee Roster</w:t>
      </w:r>
    </w:p>
    <w:p w:rsidR="00046F7D" w:rsidRPr="00E80636" w:rsidRDefault="00046F7D" w:rsidP="006C308E">
      <w:pPr>
        <w:pStyle w:val="Default"/>
        <w:ind w:left="720"/>
        <w:rPr>
          <w:rFonts w:asciiTheme="majorHAnsi" w:hAnsiTheme="majorHAnsi" w:cstheme="majorHAnsi"/>
          <w:szCs w:val="20"/>
        </w:rPr>
      </w:pPr>
    </w:p>
    <w:p w:rsidR="00046F7D" w:rsidRPr="00E80636" w:rsidRDefault="00046F7D" w:rsidP="006C308E">
      <w:pPr>
        <w:pStyle w:val="Default"/>
        <w:ind w:left="720"/>
        <w:rPr>
          <w:rFonts w:asciiTheme="majorHAnsi" w:hAnsiTheme="majorHAnsi" w:cstheme="majorHAnsi"/>
          <w:b/>
          <w:szCs w:val="20"/>
        </w:rPr>
      </w:pPr>
      <w:r w:rsidRPr="00E80636">
        <w:rPr>
          <w:rFonts w:asciiTheme="majorHAnsi" w:hAnsiTheme="majorHAnsi" w:cstheme="majorHAnsi"/>
          <w:b/>
          <w:szCs w:val="20"/>
        </w:rPr>
        <w:t>Michael &amp; Susan Dell Center Community Collaborative for Child Health Membership</w:t>
      </w:r>
    </w:p>
    <w:p w:rsidR="00046F7D" w:rsidRPr="00E80636" w:rsidRDefault="00046F7D" w:rsidP="006C308E">
      <w:pPr>
        <w:pStyle w:val="Default"/>
        <w:numPr>
          <w:ilvl w:val="0"/>
          <w:numId w:val="96"/>
        </w:numPr>
        <w:rPr>
          <w:rFonts w:asciiTheme="majorHAnsi" w:hAnsiTheme="majorHAnsi" w:cstheme="majorHAnsi"/>
          <w:szCs w:val="20"/>
        </w:rPr>
      </w:pPr>
      <w:r w:rsidRPr="00E80636">
        <w:rPr>
          <w:rFonts w:asciiTheme="majorHAnsi" w:hAnsiTheme="majorHAnsi" w:cstheme="majorHAnsi"/>
          <w:szCs w:val="20"/>
        </w:rPr>
        <w:t xml:space="preserve">Includes approximately 35 community leaders from Central Texas who represent a range of stakeholders interested in child health, including school district leaders, faith-based leaders, nonprofit personnel, practitioners, researchers, and parents.  </w:t>
      </w:r>
    </w:p>
    <w:p w:rsidR="00046F7D" w:rsidRPr="00E80636" w:rsidRDefault="00046F7D" w:rsidP="006C308E">
      <w:pPr>
        <w:pStyle w:val="Default"/>
        <w:numPr>
          <w:ilvl w:val="0"/>
          <w:numId w:val="96"/>
        </w:numPr>
        <w:rPr>
          <w:rFonts w:asciiTheme="majorHAnsi" w:hAnsiTheme="majorHAnsi" w:cstheme="majorHAnsi"/>
          <w:szCs w:val="20"/>
        </w:rPr>
      </w:pPr>
      <w:r w:rsidRPr="00E80636">
        <w:rPr>
          <w:rFonts w:asciiTheme="majorHAnsi" w:hAnsiTheme="majorHAnsi" w:cstheme="majorHAnsi"/>
          <w:szCs w:val="20"/>
        </w:rPr>
        <w:t xml:space="preserve">The Community Collaborative for Child Health aims to foster family, school, and community partnerships for promoting child health, while also serving as an advisory board to inform research and practice at the center and provide a connection back to the community for the Austin campus of UTHealth School of Public Health. </w:t>
      </w:r>
    </w:p>
    <w:p w:rsidR="00046F7D" w:rsidRPr="00E80636" w:rsidRDefault="00046F7D" w:rsidP="006C308E">
      <w:pPr>
        <w:pStyle w:val="Default"/>
        <w:numPr>
          <w:ilvl w:val="0"/>
          <w:numId w:val="96"/>
        </w:numPr>
        <w:rPr>
          <w:rFonts w:asciiTheme="majorHAnsi" w:hAnsiTheme="majorHAnsi" w:cstheme="majorHAnsi"/>
          <w:szCs w:val="20"/>
        </w:rPr>
      </w:pPr>
      <w:r w:rsidRPr="00E80636">
        <w:rPr>
          <w:rFonts w:asciiTheme="majorHAnsi" w:hAnsiTheme="majorHAnsi" w:cstheme="majorHAnsi"/>
          <w:szCs w:val="20"/>
        </w:rPr>
        <w:t>Associated documents in the electronic resource file:</w:t>
      </w:r>
    </w:p>
    <w:p w:rsidR="00046F7D" w:rsidRPr="00AE2864" w:rsidRDefault="00046F7D" w:rsidP="006C308E">
      <w:pPr>
        <w:pStyle w:val="Default"/>
        <w:numPr>
          <w:ilvl w:val="1"/>
          <w:numId w:val="96"/>
        </w:numPr>
        <w:rPr>
          <w:rFonts w:asciiTheme="majorHAnsi" w:hAnsiTheme="majorHAnsi" w:cstheme="majorHAnsi"/>
          <w:i/>
          <w:szCs w:val="20"/>
        </w:rPr>
      </w:pPr>
      <w:r w:rsidRPr="00AE2864">
        <w:rPr>
          <w:rFonts w:asciiTheme="majorHAnsi" w:hAnsiTheme="majorHAnsi" w:cstheme="majorHAnsi"/>
          <w:i/>
          <w:szCs w:val="20"/>
        </w:rPr>
        <w:t>Michael &amp; Susan Dell Center Roster</w:t>
      </w:r>
    </w:p>
    <w:p w:rsidR="00046F7D" w:rsidRPr="00E80636" w:rsidRDefault="00046F7D" w:rsidP="006C308E">
      <w:pPr>
        <w:pStyle w:val="Default"/>
        <w:ind w:left="720"/>
        <w:rPr>
          <w:rFonts w:asciiTheme="majorHAnsi" w:hAnsiTheme="majorHAnsi" w:cstheme="majorHAnsi"/>
          <w:b/>
          <w:szCs w:val="20"/>
        </w:rPr>
      </w:pPr>
    </w:p>
    <w:p w:rsidR="00046F7D" w:rsidRPr="00E80636" w:rsidRDefault="00046F7D" w:rsidP="006C308E">
      <w:pPr>
        <w:pStyle w:val="Default"/>
        <w:ind w:left="720"/>
        <w:rPr>
          <w:rFonts w:asciiTheme="majorHAnsi" w:hAnsiTheme="majorHAnsi" w:cstheme="majorHAnsi"/>
          <w:b/>
          <w:szCs w:val="20"/>
        </w:rPr>
      </w:pPr>
      <w:r w:rsidRPr="00E80636">
        <w:rPr>
          <w:rFonts w:asciiTheme="majorHAnsi" w:hAnsiTheme="majorHAnsi" w:cstheme="majorHAnsi"/>
          <w:b/>
          <w:szCs w:val="20"/>
        </w:rPr>
        <w:t xml:space="preserve">Office of Public Health Practice </w:t>
      </w:r>
    </w:p>
    <w:p w:rsidR="00046F7D" w:rsidRPr="00E80636" w:rsidRDefault="00046F7D" w:rsidP="006C308E">
      <w:pPr>
        <w:pStyle w:val="Default"/>
        <w:numPr>
          <w:ilvl w:val="0"/>
          <w:numId w:val="97"/>
        </w:numPr>
        <w:rPr>
          <w:rFonts w:asciiTheme="majorHAnsi" w:hAnsiTheme="majorHAnsi" w:cstheme="majorHAnsi"/>
          <w:szCs w:val="20"/>
        </w:rPr>
      </w:pPr>
      <w:r w:rsidRPr="00E80636">
        <w:rPr>
          <w:rFonts w:asciiTheme="majorHAnsi" w:hAnsiTheme="majorHAnsi" w:cstheme="majorHAnsi"/>
          <w:szCs w:val="20"/>
        </w:rPr>
        <w:t>Includes UTHealth School of Public Health faculty and staff.</w:t>
      </w:r>
    </w:p>
    <w:p w:rsidR="00046F7D" w:rsidRPr="00E80636" w:rsidRDefault="00046F7D" w:rsidP="006C308E">
      <w:pPr>
        <w:pStyle w:val="Default"/>
        <w:numPr>
          <w:ilvl w:val="0"/>
          <w:numId w:val="97"/>
        </w:numPr>
        <w:rPr>
          <w:rFonts w:asciiTheme="majorHAnsi" w:hAnsiTheme="majorHAnsi" w:cstheme="majorHAnsi"/>
          <w:szCs w:val="20"/>
        </w:rPr>
      </w:pPr>
      <w:r w:rsidRPr="00E80636">
        <w:rPr>
          <w:rFonts w:asciiTheme="majorHAnsi" w:hAnsiTheme="majorHAnsi" w:cstheme="majorHAnsi"/>
          <w:szCs w:val="20"/>
        </w:rPr>
        <w:t xml:space="preserve">The Office of Public Health Practice (OPHP) solicits input (formally [via surveys] and informally [via dialogue]) from approximately 300 employers who serve as practicum preceptors on an annual basis. </w:t>
      </w:r>
    </w:p>
    <w:p w:rsidR="00046F7D" w:rsidRPr="00E80636" w:rsidRDefault="00046F7D" w:rsidP="006C308E">
      <w:pPr>
        <w:pStyle w:val="Default"/>
        <w:numPr>
          <w:ilvl w:val="0"/>
          <w:numId w:val="97"/>
        </w:numPr>
        <w:rPr>
          <w:rFonts w:asciiTheme="majorHAnsi" w:hAnsiTheme="majorHAnsi" w:cstheme="majorHAnsi"/>
          <w:szCs w:val="20"/>
        </w:rPr>
      </w:pPr>
      <w:r w:rsidRPr="00E80636">
        <w:rPr>
          <w:rFonts w:asciiTheme="majorHAnsi" w:hAnsiTheme="majorHAnsi" w:cstheme="majorHAnsi"/>
          <w:szCs w:val="20"/>
        </w:rPr>
        <w:t xml:space="preserve">Input from these employers is used in curriculum improvements, student advising, OPHP improvements, and collaborations and opportunities with faculty. </w:t>
      </w:r>
    </w:p>
    <w:p w:rsidR="00046F7D" w:rsidRPr="00E80636" w:rsidRDefault="00046F7D" w:rsidP="006C308E">
      <w:pPr>
        <w:pStyle w:val="Default"/>
        <w:rPr>
          <w:rFonts w:asciiTheme="majorHAnsi" w:hAnsiTheme="majorHAnsi" w:cstheme="majorHAnsi"/>
          <w:szCs w:val="20"/>
        </w:rPr>
      </w:pPr>
    </w:p>
    <w:p w:rsidR="00046F7D" w:rsidRPr="00E80636" w:rsidRDefault="00046F7D" w:rsidP="006C308E">
      <w:pPr>
        <w:pStyle w:val="Default"/>
        <w:ind w:left="720"/>
        <w:rPr>
          <w:rFonts w:asciiTheme="majorHAnsi" w:hAnsiTheme="majorHAnsi" w:cstheme="majorHAnsi"/>
          <w:b/>
          <w:szCs w:val="20"/>
        </w:rPr>
      </w:pPr>
      <w:r w:rsidRPr="00E80636">
        <w:rPr>
          <w:rFonts w:asciiTheme="majorHAnsi" w:hAnsiTheme="majorHAnsi" w:cstheme="majorHAnsi"/>
          <w:b/>
          <w:szCs w:val="20"/>
        </w:rPr>
        <w:t xml:space="preserve">Practice Council </w:t>
      </w:r>
    </w:p>
    <w:p w:rsidR="00046F7D" w:rsidRPr="00E80636" w:rsidRDefault="00046F7D" w:rsidP="006C308E">
      <w:pPr>
        <w:pStyle w:val="Default"/>
        <w:numPr>
          <w:ilvl w:val="0"/>
          <w:numId w:val="98"/>
        </w:numPr>
        <w:rPr>
          <w:rFonts w:asciiTheme="majorHAnsi" w:hAnsiTheme="majorHAnsi" w:cstheme="majorHAnsi"/>
          <w:szCs w:val="20"/>
        </w:rPr>
      </w:pPr>
      <w:r w:rsidRPr="00E80636">
        <w:rPr>
          <w:rFonts w:asciiTheme="majorHAnsi" w:hAnsiTheme="majorHAnsi" w:cstheme="majorHAnsi"/>
          <w:szCs w:val="20"/>
        </w:rPr>
        <w:t>Includes public health practitioners and professionals across the state of Texas, as well as UTHealth School of Public Health faculty.</w:t>
      </w:r>
    </w:p>
    <w:p w:rsidR="00046F7D" w:rsidRPr="00E80636" w:rsidRDefault="00046F7D" w:rsidP="006C308E">
      <w:pPr>
        <w:pStyle w:val="Default"/>
        <w:numPr>
          <w:ilvl w:val="0"/>
          <w:numId w:val="98"/>
        </w:numPr>
        <w:rPr>
          <w:rFonts w:asciiTheme="majorHAnsi" w:hAnsiTheme="majorHAnsi" w:cstheme="majorHAnsi"/>
          <w:szCs w:val="20"/>
        </w:rPr>
      </w:pPr>
      <w:r w:rsidRPr="00E80636">
        <w:rPr>
          <w:rFonts w:asciiTheme="majorHAnsi" w:hAnsiTheme="majorHAnsi" w:cstheme="majorHAnsi"/>
          <w:szCs w:val="20"/>
        </w:rPr>
        <w:t>Provides feedback on applied practice experience program, as well as on public health practice teaching, research, and service activities; promotes effective professional development of public health practitioners; and fosters collaborative practice activities with organizations and practitioners in the community.</w:t>
      </w:r>
    </w:p>
    <w:p w:rsidR="00046F7D" w:rsidRPr="00E80636" w:rsidRDefault="00046F7D" w:rsidP="006C308E">
      <w:pPr>
        <w:pStyle w:val="Default"/>
        <w:numPr>
          <w:ilvl w:val="0"/>
          <w:numId w:val="98"/>
        </w:numPr>
        <w:rPr>
          <w:rFonts w:asciiTheme="majorHAnsi" w:hAnsiTheme="majorHAnsi" w:cstheme="majorHAnsi"/>
          <w:szCs w:val="20"/>
        </w:rPr>
      </w:pPr>
      <w:r w:rsidRPr="00E80636">
        <w:rPr>
          <w:rFonts w:asciiTheme="majorHAnsi" w:hAnsiTheme="majorHAnsi" w:cstheme="majorHAnsi"/>
          <w:szCs w:val="20"/>
        </w:rPr>
        <w:t>Associated documents in the electronic resource file:</w:t>
      </w:r>
    </w:p>
    <w:p w:rsidR="00046F7D" w:rsidRPr="00AE2864" w:rsidRDefault="00046F7D" w:rsidP="006C308E">
      <w:pPr>
        <w:pStyle w:val="Default"/>
        <w:numPr>
          <w:ilvl w:val="1"/>
          <w:numId w:val="98"/>
        </w:numPr>
        <w:rPr>
          <w:rFonts w:asciiTheme="majorHAnsi" w:hAnsiTheme="majorHAnsi" w:cstheme="majorHAnsi"/>
          <w:i/>
          <w:szCs w:val="20"/>
        </w:rPr>
      </w:pPr>
      <w:r w:rsidRPr="00AE2864">
        <w:rPr>
          <w:rFonts w:asciiTheme="majorHAnsi" w:hAnsiTheme="majorHAnsi" w:cstheme="majorHAnsi"/>
          <w:i/>
          <w:szCs w:val="20"/>
        </w:rPr>
        <w:t>Practice Council Roster</w:t>
      </w:r>
    </w:p>
    <w:p w:rsidR="00046F7D" w:rsidRPr="00AE2864" w:rsidRDefault="00046F7D" w:rsidP="006C308E">
      <w:pPr>
        <w:pStyle w:val="Default"/>
        <w:numPr>
          <w:ilvl w:val="1"/>
          <w:numId w:val="98"/>
        </w:numPr>
        <w:rPr>
          <w:rFonts w:asciiTheme="majorHAnsi" w:hAnsiTheme="majorHAnsi" w:cstheme="majorHAnsi"/>
          <w:i/>
          <w:szCs w:val="20"/>
        </w:rPr>
      </w:pPr>
      <w:r w:rsidRPr="00AE2864">
        <w:rPr>
          <w:rFonts w:asciiTheme="majorHAnsi" w:hAnsiTheme="majorHAnsi" w:cstheme="majorHAnsi"/>
          <w:i/>
          <w:szCs w:val="20"/>
        </w:rPr>
        <w:t>List of Employers and Preceptors</w:t>
      </w:r>
    </w:p>
    <w:p w:rsidR="00046F7D" w:rsidRPr="00E80636" w:rsidRDefault="00046F7D" w:rsidP="006C308E">
      <w:pPr>
        <w:pStyle w:val="Default"/>
        <w:ind w:left="720"/>
        <w:rPr>
          <w:rFonts w:asciiTheme="majorHAnsi" w:hAnsiTheme="majorHAnsi" w:cstheme="majorHAnsi"/>
          <w:szCs w:val="20"/>
        </w:rPr>
      </w:pPr>
    </w:p>
    <w:p w:rsidR="00046F7D" w:rsidRPr="00E80636" w:rsidRDefault="00046F7D" w:rsidP="006C308E">
      <w:pPr>
        <w:pStyle w:val="Default"/>
        <w:ind w:left="720"/>
        <w:rPr>
          <w:rFonts w:asciiTheme="majorHAnsi" w:hAnsiTheme="majorHAnsi" w:cstheme="majorHAnsi"/>
          <w:b/>
          <w:szCs w:val="20"/>
        </w:rPr>
      </w:pPr>
      <w:r w:rsidRPr="00E80636">
        <w:rPr>
          <w:rFonts w:asciiTheme="majorHAnsi" w:hAnsiTheme="majorHAnsi" w:cstheme="majorHAnsi"/>
          <w:b/>
          <w:szCs w:val="20"/>
        </w:rPr>
        <w:t>Scientific Advisory Council for the Michael &amp; Susan Dell Center for Healthy Living</w:t>
      </w:r>
      <w:r w:rsidRPr="00E80636">
        <w:rPr>
          <w:rFonts w:asciiTheme="majorHAnsi" w:hAnsiTheme="majorHAnsi" w:cstheme="majorHAnsi"/>
          <w:b/>
          <w:i/>
          <w:szCs w:val="20"/>
        </w:rPr>
        <w:t xml:space="preserve"> </w:t>
      </w:r>
      <w:r w:rsidRPr="00E80636">
        <w:rPr>
          <w:rFonts w:asciiTheme="majorHAnsi" w:hAnsiTheme="majorHAnsi" w:cstheme="majorHAnsi"/>
          <w:i/>
          <w:szCs w:val="20"/>
        </w:rPr>
        <w:t>(ended in 2018)</w:t>
      </w:r>
    </w:p>
    <w:p w:rsidR="00046F7D" w:rsidRPr="00E80636" w:rsidRDefault="00046F7D" w:rsidP="006C308E">
      <w:pPr>
        <w:pStyle w:val="Default"/>
        <w:numPr>
          <w:ilvl w:val="0"/>
          <w:numId w:val="99"/>
        </w:numPr>
        <w:rPr>
          <w:rFonts w:asciiTheme="majorHAnsi" w:hAnsiTheme="majorHAnsi" w:cstheme="majorHAnsi"/>
          <w:szCs w:val="20"/>
        </w:rPr>
      </w:pPr>
      <w:r w:rsidRPr="00E80636">
        <w:rPr>
          <w:rFonts w:asciiTheme="majorHAnsi" w:hAnsiTheme="majorHAnsi" w:cstheme="majorHAnsi"/>
          <w:szCs w:val="20"/>
        </w:rPr>
        <w:t>Included five national experts in child health, nutrition, physical activity, and obesity.</w:t>
      </w:r>
    </w:p>
    <w:p w:rsidR="00046F7D" w:rsidRPr="00E80636" w:rsidRDefault="00046F7D" w:rsidP="006C308E">
      <w:pPr>
        <w:pStyle w:val="Default"/>
        <w:numPr>
          <w:ilvl w:val="0"/>
          <w:numId w:val="99"/>
        </w:numPr>
        <w:rPr>
          <w:rFonts w:asciiTheme="majorHAnsi" w:hAnsiTheme="majorHAnsi" w:cstheme="majorHAnsi"/>
          <w:szCs w:val="20"/>
        </w:rPr>
      </w:pPr>
      <w:r w:rsidRPr="00E80636">
        <w:rPr>
          <w:rFonts w:asciiTheme="majorHAnsi" w:hAnsiTheme="majorHAnsi" w:cstheme="majorHAnsi"/>
          <w:szCs w:val="20"/>
        </w:rPr>
        <w:t xml:space="preserve">Provided guidance and suggestions on setting a research agenda in child and adolescent health; guidance to create evidence-based center projects and activities; and overall strategic direction to the center, including input on funding, publication, and other goals to help shape the center's future direction and development. </w:t>
      </w:r>
    </w:p>
    <w:p w:rsidR="00046F7D" w:rsidRPr="00E80636" w:rsidRDefault="00046F7D" w:rsidP="006C308E">
      <w:pPr>
        <w:pStyle w:val="Default"/>
        <w:numPr>
          <w:ilvl w:val="0"/>
          <w:numId w:val="99"/>
        </w:numPr>
        <w:rPr>
          <w:rFonts w:asciiTheme="majorHAnsi" w:hAnsiTheme="majorHAnsi" w:cstheme="majorHAnsi"/>
          <w:szCs w:val="20"/>
        </w:rPr>
      </w:pPr>
      <w:r w:rsidRPr="00E80636">
        <w:rPr>
          <w:rFonts w:asciiTheme="majorHAnsi" w:hAnsiTheme="majorHAnsi" w:cstheme="majorHAnsi"/>
          <w:szCs w:val="20"/>
        </w:rPr>
        <w:t>Associated documents in the electronic resource file:</w:t>
      </w:r>
    </w:p>
    <w:p w:rsidR="00046F7D" w:rsidRPr="0062452D" w:rsidRDefault="00046F7D" w:rsidP="006C308E">
      <w:pPr>
        <w:pStyle w:val="Default"/>
        <w:numPr>
          <w:ilvl w:val="1"/>
          <w:numId w:val="99"/>
        </w:numPr>
        <w:rPr>
          <w:rFonts w:asciiTheme="majorHAnsi" w:hAnsiTheme="majorHAnsi" w:cstheme="majorHAnsi"/>
          <w:i/>
          <w:szCs w:val="20"/>
        </w:rPr>
      </w:pPr>
      <w:r w:rsidRPr="0062452D">
        <w:rPr>
          <w:rFonts w:asciiTheme="majorHAnsi" w:hAnsiTheme="majorHAnsi" w:cstheme="majorHAnsi"/>
          <w:i/>
          <w:szCs w:val="20"/>
        </w:rPr>
        <w:t>Scientific Advisory Council Roster</w:t>
      </w:r>
    </w:p>
    <w:p w:rsidR="00046F7D" w:rsidRPr="00E80636" w:rsidRDefault="00046F7D" w:rsidP="006C308E">
      <w:pPr>
        <w:pStyle w:val="Default"/>
        <w:ind w:left="720"/>
        <w:rPr>
          <w:rFonts w:asciiTheme="majorHAnsi" w:hAnsiTheme="majorHAnsi" w:cstheme="majorHAnsi"/>
          <w:b/>
          <w:szCs w:val="20"/>
        </w:rPr>
      </w:pPr>
    </w:p>
    <w:p w:rsidR="00046F7D" w:rsidRPr="00E80636" w:rsidRDefault="00046F7D" w:rsidP="006C308E">
      <w:pPr>
        <w:pStyle w:val="Default"/>
        <w:ind w:left="720"/>
        <w:rPr>
          <w:rFonts w:asciiTheme="majorHAnsi" w:hAnsiTheme="majorHAnsi" w:cstheme="majorHAnsi"/>
          <w:b/>
          <w:szCs w:val="20"/>
        </w:rPr>
      </w:pPr>
      <w:r w:rsidRPr="00E80636">
        <w:rPr>
          <w:rFonts w:asciiTheme="majorHAnsi" w:hAnsiTheme="majorHAnsi" w:cstheme="majorHAnsi"/>
          <w:b/>
          <w:szCs w:val="20"/>
        </w:rPr>
        <w:t>Southwest Center for Occupational and Environmental Health (SWCOEH) Board of Advisors</w:t>
      </w:r>
    </w:p>
    <w:p w:rsidR="00046F7D" w:rsidRPr="00E80636" w:rsidRDefault="00046F7D" w:rsidP="006C308E">
      <w:pPr>
        <w:pStyle w:val="Default"/>
        <w:numPr>
          <w:ilvl w:val="0"/>
          <w:numId w:val="100"/>
        </w:numPr>
        <w:rPr>
          <w:rFonts w:asciiTheme="majorHAnsi" w:hAnsiTheme="majorHAnsi" w:cstheme="majorHAnsi"/>
          <w:szCs w:val="20"/>
        </w:rPr>
      </w:pPr>
      <w:r w:rsidRPr="00E80636">
        <w:rPr>
          <w:rFonts w:asciiTheme="majorHAnsi" w:hAnsiTheme="majorHAnsi" w:cstheme="majorHAnsi"/>
          <w:szCs w:val="20"/>
        </w:rPr>
        <w:t xml:space="preserve">Includes an advisory board composed of leaders from industry, labor, government, non-governmental organizations (NGOs), and academia. </w:t>
      </w:r>
    </w:p>
    <w:p w:rsidR="00046F7D" w:rsidRPr="00E80636" w:rsidRDefault="00046F7D" w:rsidP="006C308E">
      <w:pPr>
        <w:pStyle w:val="Default"/>
        <w:numPr>
          <w:ilvl w:val="0"/>
          <w:numId w:val="100"/>
        </w:numPr>
        <w:rPr>
          <w:rFonts w:asciiTheme="majorHAnsi" w:hAnsiTheme="majorHAnsi" w:cstheme="majorHAnsi"/>
          <w:szCs w:val="20"/>
        </w:rPr>
      </w:pPr>
      <w:r w:rsidRPr="00E80636">
        <w:rPr>
          <w:rFonts w:asciiTheme="majorHAnsi" w:hAnsiTheme="majorHAnsi" w:cstheme="majorHAnsi"/>
          <w:szCs w:val="20"/>
        </w:rPr>
        <w:t xml:space="preserve">Provides guidance to the SWCOEH and EOHS program in the development of two new tracks in the PhD in Environmental Sciences program and expansion of offerings to include professional workforce development opportunities in Total Worker Health. Board members are also involved in other SWCOEH activities, including strategic planning, recruitment and marketing efforts, Occupational Medicine (OM) Journal Club, industrial hygiene (IH) internship placements, development activities, continuing education (CE) activities, OM rotation sites, grant applications, and funded projects. Additionally, board members identify employment opportunities for our graduates. </w:t>
      </w:r>
    </w:p>
    <w:p w:rsidR="00046F7D" w:rsidRPr="00E80636" w:rsidRDefault="00046F7D" w:rsidP="006C308E">
      <w:pPr>
        <w:pStyle w:val="Default"/>
        <w:numPr>
          <w:ilvl w:val="0"/>
          <w:numId w:val="100"/>
        </w:numPr>
        <w:rPr>
          <w:rFonts w:asciiTheme="majorHAnsi" w:hAnsiTheme="majorHAnsi" w:cstheme="majorHAnsi"/>
          <w:szCs w:val="20"/>
        </w:rPr>
      </w:pPr>
      <w:r w:rsidRPr="00E80636">
        <w:rPr>
          <w:rFonts w:asciiTheme="majorHAnsi" w:hAnsiTheme="majorHAnsi" w:cstheme="majorHAnsi"/>
          <w:szCs w:val="20"/>
        </w:rPr>
        <w:t>Associated documents in the electronic resource file:</w:t>
      </w:r>
    </w:p>
    <w:p w:rsidR="00046F7D" w:rsidRPr="0062452D" w:rsidRDefault="00046F7D" w:rsidP="006C308E">
      <w:pPr>
        <w:pStyle w:val="Default"/>
        <w:numPr>
          <w:ilvl w:val="1"/>
          <w:numId w:val="100"/>
        </w:numPr>
        <w:rPr>
          <w:rFonts w:asciiTheme="majorHAnsi" w:hAnsiTheme="majorHAnsi" w:cstheme="majorHAnsi"/>
          <w:i/>
          <w:szCs w:val="20"/>
        </w:rPr>
      </w:pPr>
      <w:r w:rsidRPr="0062452D">
        <w:rPr>
          <w:rFonts w:asciiTheme="majorHAnsi" w:hAnsiTheme="majorHAnsi" w:cstheme="majorHAnsi"/>
          <w:i/>
          <w:szCs w:val="20"/>
        </w:rPr>
        <w:t>Southwest Center for Occupational and Environmental Health Roster</w:t>
      </w:r>
    </w:p>
    <w:p w:rsidR="00046F7D" w:rsidRPr="0062452D" w:rsidRDefault="00046F7D" w:rsidP="006C308E">
      <w:pPr>
        <w:pStyle w:val="Default"/>
        <w:numPr>
          <w:ilvl w:val="1"/>
          <w:numId w:val="100"/>
        </w:numPr>
        <w:rPr>
          <w:rFonts w:asciiTheme="majorHAnsi" w:hAnsiTheme="majorHAnsi" w:cstheme="majorHAnsi"/>
          <w:i/>
          <w:szCs w:val="20"/>
        </w:rPr>
      </w:pPr>
      <w:r w:rsidRPr="0062452D">
        <w:rPr>
          <w:rFonts w:asciiTheme="majorHAnsi" w:hAnsiTheme="majorHAnsi" w:cstheme="majorHAnsi"/>
          <w:i/>
          <w:szCs w:val="20"/>
        </w:rPr>
        <w:t>Southwest Center for Occupational and Environmental Health Activities</w:t>
      </w:r>
    </w:p>
    <w:p w:rsidR="00046F7D" w:rsidRPr="0062452D" w:rsidRDefault="00046F7D" w:rsidP="006C308E">
      <w:pPr>
        <w:pStyle w:val="Default"/>
        <w:numPr>
          <w:ilvl w:val="1"/>
          <w:numId w:val="100"/>
        </w:numPr>
        <w:rPr>
          <w:rFonts w:asciiTheme="majorHAnsi" w:hAnsiTheme="majorHAnsi" w:cstheme="majorHAnsi"/>
          <w:i/>
          <w:szCs w:val="20"/>
        </w:rPr>
      </w:pPr>
      <w:r w:rsidRPr="0062452D">
        <w:rPr>
          <w:rFonts w:asciiTheme="majorHAnsi" w:hAnsiTheme="majorHAnsi" w:cstheme="majorHAnsi"/>
          <w:i/>
          <w:szCs w:val="20"/>
        </w:rPr>
        <w:t>Southwest Center for Occupational and Environmental Health Meeting Minutes 2016</w:t>
      </w:r>
    </w:p>
    <w:p w:rsidR="00046F7D" w:rsidRPr="0062452D" w:rsidRDefault="00046F7D" w:rsidP="006C308E">
      <w:pPr>
        <w:pStyle w:val="Default"/>
        <w:numPr>
          <w:ilvl w:val="1"/>
          <w:numId w:val="100"/>
        </w:numPr>
        <w:rPr>
          <w:rFonts w:asciiTheme="majorHAnsi" w:hAnsiTheme="majorHAnsi" w:cstheme="majorHAnsi"/>
          <w:i/>
          <w:szCs w:val="20"/>
        </w:rPr>
      </w:pPr>
      <w:r w:rsidRPr="0062452D">
        <w:rPr>
          <w:rFonts w:asciiTheme="majorHAnsi" w:hAnsiTheme="majorHAnsi" w:cstheme="majorHAnsi"/>
          <w:i/>
          <w:szCs w:val="20"/>
        </w:rPr>
        <w:t>Southwest Center for Occupational and Environmental Health Meeting Minutes 2018</w:t>
      </w:r>
    </w:p>
    <w:p w:rsidR="00046F7D" w:rsidRPr="00E80636" w:rsidRDefault="00046F7D" w:rsidP="006C308E">
      <w:pPr>
        <w:pStyle w:val="Default"/>
        <w:ind w:left="720"/>
        <w:rPr>
          <w:rFonts w:asciiTheme="majorHAnsi" w:hAnsiTheme="majorHAnsi" w:cstheme="majorHAnsi"/>
          <w:b/>
          <w:szCs w:val="20"/>
        </w:rPr>
      </w:pPr>
    </w:p>
    <w:p w:rsidR="00046F7D" w:rsidRPr="00E80636" w:rsidRDefault="00046F7D" w:rsidP="006C308E">
      <w:pPr>
        <w:pStyle w:val="Default"/>
        <w:ind w:left="720"/>
        <w:rPr>
          <w:rFonts w:asciiTheme="majorHAnsi" w:hAnsiTheme="majorHAnsi" w:cstheme="majorHAnsi"/>
          <w:b/>
          <w:szCs w:val="20"/>
        </w:rPr>
      </w:pPr>
      <w:r w:rsidRPr="00E80636">
        <w:rPr>
          <w:rFonts w:asciiTheme="majorHAnsi" w:hAnsiTheme="majorHAnsi" w:cstheme="majorHAnsi"/>
          <w:b/>
          <w:szCs w:val="20"/>
        </w:rPr>
        <w:t xml:space="preserve">The University of Texas System Institute for Transformational Learning (ITL) </w:t>
      </w:r>
      <w:r w:rsidRPr="00E80636">
        <w:rPr>
          <w:rFonts w:asciiTheme="majorHAnsi" w:hAnsiTheme="majorHAnsi" w:cstheme="majorHAnsi"/>
          <w:i/>
          <w:szCs w:val="20"/>
        </w:rPr>
        <w:t>(ended in 2017)</w:t>
      </w:r>
    </w:p>
    <w:p w:rsidR="00046F7D" w:rsidRPr="00E80636" w:rsidRDefault="00046F7D" w:rsidP="006C308E">
      <w:pPr>
        <w:pStyle w:val="Default"/>
        <w:numPr>
          <w:ilvl w:val="0"/>
          <w:numId w:val="158"/>
        </w:numPr>
        <w:rPr>
          <w:rFonts w:asciiTheme="majorHAnsi" w:hAnsiTheme="majorHAnsi" w:cstheme="majorHAnsi"/>
          <w:szCs w:val="20"/>
        </w:rPr>
      </w:pPr>
      <w:r w:rsidRPr="00E80636">
        <w:rPr>
          <w:rFonts w:asciiTheme="majorHAnsi" w:hAnsiTheme="majorHAnsi" w:cstheme="majorHAnsi"/>
          <w:szCs w:val="20"/>
        </w:rPr>
        <w:t>Included ITL experts and consultants, alumni, community and public health leaders, and practitioners and community members in addition to UTHealth School of Public Health faculty, students, and staff.</w:t>
      </w:r>
    </w:p>
    <w:p w:rsidR="00046F7D" w:rsidRPr="00E80636" w:rsidRDefault="00046F7D" w:rsidP="006C308E">
      <w:pPr>
        <w:pStyle w:val="Default"/>
        <w:numPr>
          <w:ilvl w:val="0"/>
          <w:numId w:val="158"/>
        </w:numPr>
        <w:rPr>
          <w:rFonts w:asciiTheme="majorHAnsi" w:hAnsiTheme="majorHAnsi" w:cstheme="majorHAnsi"/>
          <w:szCs w:val="20"/>
        </w:rPr>
      </w:pPr>
      <w:r w:rsidRPr="00E80636">
        <w:rPr>
          <w:rFonts w:asciiTheme="majorHAnsi" w:hAnsiTheme="majorHAnsi" w:cstheme="majorHAnsi"/>
          <w:szCs w:val="20"/>
        </w:rPr>
        <w:t>The UTHealth School of Public Health and ITL hosted a series of exploratory workshops designed to help the school set a strategy to address a shift to a competency-based approach to curriculum and accreditation.</w:t>
      </w:r>
    </w:p>
    <w:p w:rsidR="00046F7D" w:rsidRPr="00E80636" w:rsidRDefault="00046F7D" w:rsidP="006C308E">
      <w:pPr>
        <w:pStyle w:val="Default"/>
        <w:numPr>
          <w:ilvl w:val="0"/>
          <w:numId w:val="158"/>
        </w:numPr>
        <w:rPr>
          <w:rFonts w:asciiTheme="majorHAnsi" w:hAnsiTheme="majorHAnsi" w:cstheme="majorHAnsi"/>
          <w:szCs w:val="20"/>
        </w:rPr>
      </w:pPr>
      <w:r w:rsidRPr="00E80636">
        <w:rPr>
          <w:rFonts w:asciiTheme="majorHAnsi" w:hAnsiTheme="majorHAnsi" w:cstheme="majorHAnsi"/>
          <w:szCs w:val="20"/>
        </w:rPr>
        <w:t>Associated documents in the electronic resource file:</w:t>
      </w:r>
    </w:p>
    <w:p w:rsidR="00046F7D" w:rsidRPr="0062452D" w:rsidRDefault="00046F7D" w:rsidP="006C308E">
      <w:pPr>
        <w:pStyle w:val="Default"/>
        <w:numPr>
          <w:ilvl w:val="1"/>
          <w:numId w:val="101"/>
        </w:numPr>
        <w:rPr>
          <w:rFonts w:asciiTheme="majorHAnsi" w:hAnsiTheme="majorHAnsi" w:cstheme="majorHAnsi"/>
          <w:i/>
          <w:szCs w:val="20"/>
        </w:rPr>
      </w:pPr>
      <w:r w:rsidRPr="0062452D">
        <w:rPr>
          <w:rFonts w:asciiTheme="majorHAnsi" w:hAnsiTheme="majorHAnsi" w:cstheme="majorHAnsi"/>
          <w:i/>
          <w:szCs w:val="20"/>
        </w:rPr>
        <w:t>Institute for Transformational Learning Roster</w:t>
      </w:r>
    </w:p>
    <w:p w:rsidR="00046F7D" w:rsidRPr="0062452D" w:rsidRDefault="00046F7D" w:rsidP="006C308E">
      <w:pPr>
        <w:pStyle w:val="Default"/>
        <w:numPr>
          <w:ilvl w:val="1"/>
          <w:numId w:val="101"/>
        </w:numPr>
        <w:rPr>
          <w:rFonts w:asciiTheme="majorHAnsi" w:hAnsiTheme="majorHAnsi" w:cstheme="majorHAnsi"/>
          <w:i/>
          <w:szCs w:val="20"/>
        </w:rPr>
      </w:pPr>
      <w:r w:rsidRPr="0062452D">
        <w:rPr>
          <w:rFonts w:asciiTheme="majorHAnsi" w:hAnsiTheme="majorHAnsi" w:cstheme="majorHAnsi"/>
          <w:i/>
          <w:szCs w:val="20"/>
        </w:rPr>
        <w:t>Institute for Transformational Learning CEPH Working Group</w:t>
      </w:r>
    </w:p>
    <w:p w:rsidR="00046F7D" w:rsidRPr="0062452D" w:rsidRDefault="00046F7D" w:rsidP="006C308E">
      <w:pPr>
        <w:pStyle w:val="Default"/>
        <w:numPr>
          <w:ilvl w:val="1"/>
          <w:numId w:val="101"/>
        </w:numPr>
        <w:rPr>
          <w:rFonts w:asciiTheme="majorHAnsi" w:hAnsiTheme="majorHAnsi" w:cstheme="majorHAnsi"/>
          <w:i/>
          <w:szCs w:val="20"/>
        </w:rPr>
      </w:pPr>
      <w:r w:rsidRPr="0062452D">
        <w:rPr>
          <w:rFonts w:asciiTheme="majorHAnsi" w:hAnsiTheme="majorHAnsi" w:cstheme="majorHAnsi"/>
          <w:i/>
          <w:szCs w:val="20"/>
        </w:rPr>
        <w:t>Institute for Transformation Learning Public Health Report</w:t>
      </w:r>
    </w:p>
    <w:p w:rsidR="00046F7D" w:rsidRPr="00E80636" w:rsidRDefault="00046F7D" w:rsidP="006C308E">
      <w:pPr>
        <w:pStyle w:val="Default"/>
        <w:ind w:left="720"/>
        <w:rPr>
          <w:rFonts w:asciiTheme="majorHAnsi" w:hAnsiTheme="majorHAnsi" w:cstheme="majorHAnsi"/>
          <w:szCs w:val="20"/>
        </w:rPr>
      </w:pPr>
    </w:p>
    <w:p w:rsidR="00046F7D" w:rsidRPr="00E80636" w:rsidRDefault="00046F7D" w:rsidP="006C308E">
      <w:pPr>
        <w:pStyle w:val="Default"/>
        <w:ind w:left="720"/>
        <w:rPr>
          <w:rFonts w:asciiTheme="majorHAnsi" w:hAnsiTheme="majorHAnsi" w:cstheme="majorHAnsi"/>
          <w:b/>
          <w:szCs w:val="20"/>
        </w:rPr>
      </w:pPr>
      <w:r w:rsidRPr="00E80636">
        <w:rPr>
          <w:rFonts w:asciiTheme="majorHAnsi" w:hAnsiTheme="majorHAnsi" w:cstheme="majorHAnsi"/>
          <w:b/>
          <w:szCs w:val="20"/>
        </w:rPr>
        <w:t>University Partnerships</w:t>
      </w:r>
    </w:p>
    <w:p w:rsidR="00046F7D" w:rsidRPr="00E80636" w:rsidRDefault="00046F7D" w:rsidP="006C308E">
      <w:pPr>
        <w:pStyle w:val="Default"/>
        <w:numPr>
          <w:ilvl w:val="0"/>
          <w:numId w:val="102"/>
        </w:numPr>
        <w:rPr>
          <w:rFonts w:asciiTheme="majorHAnsi" w:hAnsiTheme="majorHAnsi" w:cstheme="majorHAnsi"/>
          <w:szCs w:val="20"/>
        </w:rPr>
      </w:pPr>
      <w:r w:rsidRPr="00E80636">
        <w:rPr>
          <w:rFonts w:asciiTheme="majorHAnsi" w:hAnsiTheme="majorHAnsi" w:cstheme="majorHAnsi"/>
          <w:szCs w:val="20"/>
        </w:rPr>
        <w:t xml:space="preserve">Includes leaders, faculty, staff, and students from across the state of Texas at other schools and universities that partner with UTHealth School of Public Health on dual degrees and accelerated master’s programs. </w:t>
      </w:r>
    </w:p>
    <w:p w:rsidR="00046F7D" w:rsidRPr="00E80636" w:rsidRDefault="00046F7D" w:rsidP="006C308E">
      <w:pPr>
        <w:pStyle w:val="Default"/>
        <w:numPr>
          <w:ilvl w:val="0"/>
          <w:numId w:val="102"/>
        </w:numPr>
        <w:rPr>
          <w:rFonts w:asciiTheme="majorHAnsi" w:hAnsiTheme="majorHAnsi" w:cstheme="majorHAnsi"/>
          <w:szCs w:val="20"/>
        </w:rPr>
      </w:pPr>
      <w:r w:rsidRPr="00E80636">
        <w:rPr>
          <w:rFonts w:asciiTheme="majorHAnsi" w:hAnsiTheme="majorHAnsi" w:cstheme="majorHAnsi"/>
          <w:szCs w:val="20"/>
        </w:rPr>
        <w:t>The UTHealth School of Public Health conducts an annual review of our 16 dual-degree and 9 accelerated master’s programs, which consists of a detailed review of program statistics (e.g., current and projected enrollment), curriculum, program goals, student achievements, feedback, etc., as well as maintains the program relationships.</w:t>
      </w:r>
    </w:p>
    <w:p w:rsidR="00046F7D" w:rsidRPr="00E80636" w:rsidRDefault="00046F7D" w:rsidP="006C308E">
      <w:pPr>
        <w:pStyle w:val="Default"/>
        <w:numPr>
          <w:ilvl w:val="0"/>
          <w:numId w:val="102"/>
        </w:numPr>
        <w:rPr>
          <w:rFonts w:asciiTheme="majorHAnsi" w:hAnsiTheme="majorHAnsi" w:cstheme="majorHAnsi"/>
          <w:szCs w:val="20"/>
        </w:rPr>
      </w:pPr>
      <w:r w:rsidRPr="00E80636">
        <w:rPr>
          <w:rFonts w:asciiTheme="majorHAnsi" w:hAnsiTheme="majorHAnsi" w:cstheme="majorHAnsi"/>
          <w:szCs w:val="20"/>
        </w:rPr>
        <w:t>Associated documents in the electronic resource file:</w:t>
      </w:r>
    </w:p>
    <w:p w:rsidR="00046F7D" w:rsidRPr="0062452D" w:rsidRDefault="00046F7D" w:rsidP="006C308E">
      <w:pPr>
        <w:pStyle w:val="Default"/>
        <w:numPr>
          <w:ilvl w:val="1"/>
          <w:numId w:val="102"/>
        </w:numPr>
        <w:rPr>
          <w:rFonts w:asciiTheme="majorHAnsi" w:hAnsiTheme="majorHAnsi" w:cstheme="majorHAnsi"/>
          <w:i/>
          <w:szCs w:val="20"/>
        </w:rPr>
      </w:pPr>
      <w:r w:rsidRPr="0062452D">
        <w:rPr>
          <w:rFonts w:asciiTheme="majorHAnsi" w:hAnsiTheme="majorHAnsi" w:cstheme="majorHAnsi"/>
          <w:i/>
          <w:szCs w:val="20"/>
        </w:rPr>
        <w:t>University Partnerships</w:t>
      </w:r>
    </w:p>
    <w:p w:rsidR="00812815" w:rsidRPr="00190550" w:rsidRDefault="00812815" w:rsidP="006C308E">
      <w:pPr>
        <w:pStyle w:val="Default"/>
        <w:rPr>
          <w:rFonts w:asciiTheme="majorHAnsi" w:hAnsiTheme="majorHAnsi" w:cstheme="majorHAnsi"/>
          <w:szCs w:val="20"/>
        </w:rPr>
      </w:pPr>
    </w:p>
    <w:p w:rsidR="00933038" w:rsidRPr="00190550" w:rsidRDefault="00933038" w:rsidP="006C308E">
      <w:pPr>
        <w:numPr>
          <w:ilvl w:val="0"/>
          <w:numId w:val="36"/>
        </w:numPr>
        <w:spacing w:after="160"/>
        <w:contextualSpacing/>
        <w:jc w:val="both"/>
        <w:rPr>
          <w:rFonts w:asciiTheme="majorHAnsi" w:eastAsia="Calibri" w:hAnsiTheme="majorHAnsi" w:cstheme="majorHAnsi"/>
          <w:sz w:val="20"/>
          <w:szCs w:val="20"/>
        </w:rPr>
      </w:pPr>
      <w:r w:rsidRPr="00190550">
        <w:rPr>
          <w:rFonts w:asciiTheme="majorHAnsi" w:eastAsia="Calibri" w:hAnsiTheme="majorHAnsi" w:cstheme="majorHAnsi"/>
          <w:sz w:val="20"/>
          <w:szCs w:val="20"/>
        </w:rPr>
        <w:t xml:space="preserve">Describe how the school engages external constituents in regular assessment of the content and currency of public health curricula and their relevance to current practice and future directions. </w:t>
      </w:r>
    </w:p>
    <w:p w:rsidR="00933038" w:rsidRPr="00190550" w:rsidRDefault="00933038" w:rsidP="006C308E">
      <w:pPr>
        <w:spacing w:after="160"/>
        <w:contextualSpacing/>
        <w:jc w:val="both"/>
        <w:rPr>
          <w:rFonts w:asciiTheme="majorHAnsi" w:eastAsia="Calibri" w:hAnsiTheme="majorHAnsi" w:cstheme="majorHAnsi"/>
          <w:sz w:val="20"/>
          <w:szCs w:val="20"/>
        </w:rPr>
      </w:pPr>
    </w:p>
    <w:p w:rsidR="00046F7D" w:rsidRPr="00E80636" w:rsidRDefault="00046F7D" w:rsidP="006C308E">
      <w:pPr>
        <w:pStyle w:val="Default"/>
        <w:ind w:left="720"/>
        <w:rPr>
          <w:rFonts w:asciiTheme="majorHAnsi" w:hAnsiTheme="majorHAnsi" w:cstheme="majorHAnsi"/>
          <w:szCs w:val="20"/>
        </w:rPr>
      </w:pPr>
      <w:r w:rsidRPr="00190550">
        <w:rPr>
          <w:rFonts w:asciiTheme="majorHAnsi" w:hAnsiTheme="majorHAnsi" w:cstheme="majorHAnsi"/>
          <w:szCs w:val="20"/>
        </w:rPr>
        <w:t xml:space="preserve">The UTHealth School of Public Health is committed to ensuring that its curriculum addresses current public health issues, and that its students graduate with skills that will enable them to work in public health and address future public health challenges and directions. Through several formal structures (as described in </w:t>
      </w:r>
      <w:hyperlink w:anchor="_F1._Community_Involvement" w:history="1">
        <w:r w:rsidRPr="00190550">
          <w:rPr>
            <w:rStyle w:val="Hyperlink"/>
            <w:rFonts w:asciiTheme="majorHAnsi" w:hAnsiTheme="majorHAnsi" w:cstheme="majorHAnsi"/>
            <w:i/>
            <w:szCs w:val="20"/>
          </w:rPr>
          <w:t>F1.1 Community Involvement in School Evaluation and Assessment</w:t>
        </w:r>
      </w:hyperlink>
      <w:r w:rsidRPr="00190550">
        <w:rPr>
          <w:rFonts w:asciiTheme="majorHAnsi" w:hAnsiTheme="majorHAnsi" w:cstheme="majorHAnsi"/>
          <w:szCs w:val="20"/>
        </w:rPr>
        <w:t xml:space="preserve">), we regularly engage external constituents, such as alumni, public health practitioners, and current and future employers of our students and graduates, in the assessment of our curriculum. Through advisory boards, surveys, consultations, and informal dialogues, feedback is collected and reported back to appropriate stakeholders within the school during regular meetings with department chairs, campus deans, curriculum coordinators, and staff. The external constituents engaged in </w:t>
      </w:r>
      <w:r w:rsidRPr="00190550">
        <w:rPr>
          <w:rFonts w:asciiTheme="majorHAnsi" w:hAnsiTheme="majorHAnsi" w:cstheme="majorHAnsi"/>
          <w:i/>
          <w:szCs w:val="20"/>
        </w:rPr>
        <w:t>regular</w:t>
      </w:r>
      <w:r w:rsidRPr="00190550">
        <w:rPr>
          <w:rFonts w:asciiTheme="majorHAnsi" w:hAnsiTheme="majorHAnsi" w:cstheme="majorHAnsi"/>
          <w:szCs w:val="20"/>
        </w:rPr>
        <w:t xml:space="preserve"> assessment of the content and currency of public health curricula and their relevance to current practice and future directions include external members of the Practice Council who meet once a month, members of the Alumni Advisory Council who meet</w:t>
      </w:r>
      <w:r w:rsidRPr="00E80636">
        <w:rPr>
          <w:rFonts w:asciiTheme="majorHAnsi" w:hAnsiTheme="majorHAnsi" w:cstheme="majorHAnsi"/>
          <w:szCs w:val="20"/>
        </w:rPr>
        <w:t xml:space="preserve"> twice a year, and external members of the CEPH Steering Committee who meet monthly. After the self-study is complete, the CEPH Steering Committee members will likely meet twice a year instead of once a month. </w:t>
      </w:r>
    </w:p>
    <w:p w:rsidR="00046F7D" w:rsidRPr="00E80636" w:rsidRDefault="00046F7D" w:rsidP="006C308E">
      <w:pPr>
        <w:pStyle w:val="Default"/>
        <w:ind w:left="720"/>
        <w:rPr>
          <w:rFonts w:asciiTheme="majorHAnsi" w:hAnsiTheme="majorHAnsi" w:cstheme="majorHAnsi"/>
          <w:szCs w:val="20"/>
        </w:rPr>
      </w:pPr>
    </w:p>
    <w:p w:rsidR="00046F7D" w:rsidRPr="00E80636" w:rsidRDefault="00046F7D" w:rsidP="006C308E">
      <w:pPr>
        <w:ind w:left="720"/>
        <w:contextualSpacing/>
        <w:rPr>
          <w:rFonts w:asciiTheme="majorHAnsi" w:hAnsiTheme="majorHAnsi" w:cstheme="majorHAnsi"/>
          <w:sz w:val="20"/>
          <w:szCs w:val="20"/>
        </w:rPr>
      </w:pPr>
      <w:r w:rsidRPr="00E80636">
        <w:rPr>
          <w:rFonts w:asciiTheme="majorHAnsi" w:hAnsiTheme="majorHAnsi" w:cstheme="majorHAnsi"/>
          <w:sz w:val="20"/>
          <w:szCs w:val="20"/>
        </w:rPr>
        <w:t>The UTHealth School of Public Health has topic-specific curriculum advisory boards to provide in-depth assessment of specialized degree programs. For example:</w:t>
      </w:r>
    </w:p>
    <w:p w:rsidR="00046F7D" w:rsidRPr="00E80636" w:rsidRDefault="00046F7D" w:rsidP="006C308E">
      <w:pPr>
        <w:ind w:left="720"/>
        <w:contextualSpacing/>
        <w:rPr>
          <w:rFonts w:asciiTheme="majorHAnsi" w:hAnsiTheme="majorHAnsi" w:cstheme="majorHAnsi"/>
          <w:sz w:val="20"/>
          <w:szCs w:val="20"/>
        </w:rPr>
      </w:pPr>
    </w:p>
    <w:p w:rsidR="00046F7D" w:rsidRPr="00E80636" w:rsidRDefault="00046F7D" w:rsidP="006C308E">
      <w:pPr>
        <w:pStyle w:val="Default"/>
        <w:ind w:left="1440"/>
        <w:rPr>
          <w:rFonts w:asciiTheme="majorHAnsi" w:hAnsiTheme="majorHAnsi" w:cstheme="majorHAnsi"/>
          <w:szCs w:val="20"/>
        </w:rPr>
      </w:pPr>
      <w:r w:rsidRPr="00E80636">
        <w:rPr>
          <w:rFonts w:asciiTheme="majorHAnsi" w:hAnsiTheme="majorHAnsi" w:cstheme="majorHAnsi"/>
          <w:szCs w:val="20"/>
        </w:rPr>
        <w:t xml:space="preserve">The </w:t>
      </w:r>
      <w:r w:rsidRPr="00E80636">
        <w:rPr>
          <w:rFonts w:asciiTheme="majorHAnsi" w:hAnsiTheme="majorHAnsi" w:cstheme="majorHAnsi"/>
          <w:b/>
          <w:szCs w:val="20"/>
        </w:rPr>
        <w:t>Center for International Training and Research (CITAR) Advisory Committee</w:t>
      </w:r>
      <w:r w:rsidRPr="00E80636">
        <w:rPr>
          <w:rFonts w:asciiTheme="majorHAnsi" w:hAnsiTheme="majorHAnsi" w:cstheme="majorHAnsi"/>
          <w:szCs w:val="20"/>
        </w:rPr>
        <w:t xml:space="preserve"> is composed of internationally recognized individuals who review and advise the CITAR faculty leadership, with a goal of continual program improvement for CITAR fellows.</w:t>
      </w:r>
    </w:p>
    <w:p w:rsidR="00046F7D" w:rsidRPr="00E80636" w:rsidRDefault="00046F7D" w:rsidP="006C308E">
      <w:pPr>
        <w:pStyle w:val="Default"/>
        <w:ind w:left="1440"/>
        <w:rPr>
          <w:rFonts w:asciiTheme="majorHAnsi" w:hAnsiTheme="majorHAnsi" w:cstheme="majorHAnsi"/>
          <w:szCs w:val="20"/>
        </w:rPr>
      </w:pPr>
    </w:p>
    <w:p w:rsidR="00046F7D" w:rsidRPr="00E80636" w:rsidRDefault="00046F7D" w:rsidP="006C308E">
      <w:pPr>
        <w:pStyle w:val="Default"/>
        <w:ind w:left="1440"/>
        <w:rPr>
          <w:rFonts w:asciiTheme="majorHAnsi" w:hAnsiTheme="majorHAnsi" w:cstheme="majorHAnsi"/>
          <w:szCs w:val="20"/>
        </w:rPr>
      </w:pPr>
      <w:r w:rsidRPr="00E80636">
        <w:rPr>
          <w:rFonts w:asciiTheme="majorHAnsi" w:hAnsiTheme="majorHAnsi" w:cstheme="majorHAnsi"/>
          <w:szCs w:val="20"/>
        </w:rPr>
        <w:t xml:space="preserve">The </w:t>
      </w:r>
      <w:r w:rsidRPr="00E80636">
        <w:rPr>
          <w:rFonts w:asciiTheme="majorHAnsi" w:hAnsiTheme="majorHAnsi" w:cstheme="majorHAnsi"/>
          <w:b/>
          <w:szCs w:val="20"/>
        </w:rPr>
        <w:t>Fleming Center Board</w:t>
      </w:r>
      <w:r w:rsidRPr="00E80636">
        <w:rPr>
          <w:rFonts w:asciiTheme="majorHAnsi" w:hAnsiTheme="majorHAnsi" w:cstheme="majorHAnsi"/>
          <w:szCs w:val="20"/>
        </w:rPr>
        <w:t xml:space="preserve"> (FC Board) members were instrumental in reviewing and discussing the HCM competencies and vetting the vision and mission of the program. The FC Board provided strategic direction for the program through insights into both the employer market needs and the local competition. It ensured that the program was forward-looking and met student and other stakeholder needs. The FC Board was also an important source for monitoring the health system and changes in management theory and practices.</w:t>
      </w:r>
    </w:p>
    <w:p w:rsidR="00046F7D" w:rsidRPr="00E80636" w:rsidRDefault="00046F7D" w:rsidP="006C308E">
      <w:pPr>
        <w:pStyle w:val="Default"/>
        <w:ind w:left="1440"/>
        <w:rPr>
          <w:rFonts w:asciiTheme="majorHAnsi" w:hAnsiTheme="majorHAnsi" w:cstheme="majorHAnsi"/>
          <w:szCs w:val="20"/>
        </w:rPr>
      </w:pPr>
    </w:p>
    <w:p w:rsidR="00046F7D" w:rsidRPr="00E80636" w:rsidRDefault="00046F7D" w:rsidP="006C308E">
      <w:pPr>
        <w:pStyle w:val="Default"/>
        <w:ind w:left="720"/>
        <w:rPr>
          <w:rFonts w:asciiTheme="majorHAnsi" w:hAnsiTheme="majorHAnsi" w:cstheme="majorHAnsi"/>
          <w:szCs w:val="20"/>
        </w:rPr>
      </w:pPr>
      <w:r w:rsidRPr="00E80636">
        <w:rPr>
          <w:rFonts w:asciiTheme="majorHAnsi" w:hAnsiTheme="majorHAnsi" w:cstheme="majorHAnsi"/>
          <w:szCs w:val="20"/>
        </w:rPr>
        <w:t xml:space="preserve">In addition to the topic-specific curriculum advisory groups noted above, the formal advisory structures outlined in Section F1.1 routinely offer guidance on the regular assessment of the content and currency of public health curricula. For example: </w:t>
      </w:r>
    </w:p>
    <w:p w:rsidR="00046F7D" w:rsidRPr="00E80636" w:rsidRDefault="00046F7D" w:rsidP="006C308E">
      <w:pPr>
        <w:pStyle w:val="Default"/>
        <w:ind w:left="1440"/>
        <w:rPr>
          <w:rFonts w:asciiTheme="majorHAnsi" w:hAnsiTheme="majorHAnsi" w:cstheme="majorHAnsi"/>
          <w:szCs w:val="20"/>
        </w:rPr>
      </w:pPr>
    </w:p>
    <w:p w:rsidR="00046F7D" w:rsidRPr="00E80636" w:rsidRDefault="00046F7D" w:rsidP="006C308E">
      <w:pPr>
        <w:pStyle w:val="Default"/>
        <w:ind w:left="1440"/>
        <w:rPr>
          <w:rFonts w:asciiTheme="majorHAnsi" w:hAnsiTheme="majorHAnsi" w:cstheme="majorHAnsi"/>
          <w:szCs w:val="20"/>
        </w:rPr>
      </w:pPr>
      <w:r w:rsidRPr="00E80636">
        <w:rPr>
          <w:rFonts w:asciiTheme="majorHAnsi" w:hAnsiTheme="majorHAnsi" w:cstheme="majorHAnsi"/>
          <w:szCs w:val="20"/>
        </w:rPr>
        <w:t xml:space="preserve">The </w:t>
      </w:r>
      <w:r w:rsidRPr="00E80636">
        <w:rPr>
          <w:rFonts w:asciiTheme="majorHAnsi" w:hAnsiTheme="majorHAnsi" w:cstheme="majorHAnsi"/>
          <w:b/>
          <w:szCs w:val="20"/>
        </w:rPr>
        <w:t>Alumni Advisory Council</w:t>
      </w:r>
      <w:r w:rsidRPr="00E80636">
        <w:rPr>
          <w:rFonts w:asciiTheme="majorHAnsi" w:hAnsiTheme="majorHAnsi" w:cstheme="majorHAnsi"/>
          <w:szCs w:val="20"/>
        </w:rPr>
        <w:t xml:space="preserve"> identified the skills that were acquired in courses taken as students and those that should be included in future curriculum for students to be successful in their future public health professions.</w:t>
      </w:r>
      <w:r w:rsidRPr="00E80636">
        <w:rPr>
          <w:rFonts w:asciiTheme="majorHAnsi" w:hAnsiTheme="majorHAnsi" w:cstheme="majorHAnsi"/>
          <w:szCs w:val="20"/>
        </w:rPr>
        <w:br/>
      </w:r>
    </w:p>
    <w:p w:rsidR="00046F7D" w:rsidRPr="00E80636" w:rsidRDefault="00046F7D" w:rsidP="006C308E">
      <w:pPr>
        <w:pStyle w:val="Default"/>
        <w:ind w:left="1440"/>
        <w:rPr>
          <w:rFonts w:asciiTheme="majorHAnsi" w:hAnsiTheme="majorHAnsi" w:cstheme="majorHAnsi"/>
          <w:szCs w:val="20"/>
        </w:rPr>
      </w:pPr>
      <w:r w:rsidRPr="00E80636">
        <w:rPr>
          <w:rFonts w:asciiTheme="majorHAnsi" w:hAnsiTheme="majorHAnsi" w:cstheme="majorHAnsi"/>
          <w:szCs w:val="20"/>
        </w:rPr>
        <w:t xml:space="preserve">The </w:t>
      </w:r>
      <w:r w:rsidRPr="00E80636">
        <w:rPr>
          <w:rFonts w:asciiTheme="majorHAnsi" w:hAnsiTheme="majorHAnsi" w:cstheme="majorHAnsi"/>
          <w:b/>
          <w:szCs w:val="20"/>
        </w:rPr>
        <w:t>CEPH Steering Committee</w:t>
      </w:r>
      <w:r w:rsidRPr="00E80636">
        <w:rPr>
          <w:rFonts w:asciiTheme="majorHAnsi" w:hAnsiTheme="majorHAnsi" w:cstheme="majorHAnsi"/>
          <w:szCs w:val="20"/>
        </w:rPr>
        <w:t xml:space="preserve"> began in 2016 and restructured the curriculum of each degree program based on the CEPH self-study criteria and feedback of other advisory groups. </w:t>
      </w:r>
      <w:r w:rsidRPr="00E80636">
        <w:rPr>
          <w:rFonts w:asciiTheme="majorHAnsi" w:hAnsiTheme="majorHAnsi" w:cstheme="majorHAnsi"/>
          <w:szCs w:val="20"/>
        </w:rPr>
        <w:br/>
      </w:r>
    </w:p>
    <w:p w:rsidR="00046F7D" w:rsidRPr="00E80636" w:rsidRDefault="00046F7D" w:rsidP="006C308E">
      <w:pPr>
        <w:pStyle w:val="Default"/>
        <w:ind w:left="1440"/>
        <w:rPr>
          <w:rFonts w:asciiTheme="majorHAnsi" w:hAnsiTheme="majorHAnsi" w:cstheme="majorHAnsi"/>
          <w:szCs w:val="20"/>
        </w:rPr>
      </w:pPr>
      <w:r w:rsidRPr="00E80636">
        <w:rPr>
          <w:rFonts w:asciiTheme="majorHAnsi" w:hAnsiTheme="majorHAnsi" w:cstheme="majorHAnsi"/>
          <w:szCs w:val="20"/>
        </w:rPr>
        <w:t xml:space="preserve">The </w:t>
      </w:r>
      <w:r w:rsidRPr="00E80636">
        <w:rPr>
          <w:rFonts w:asciiTheme="majorHAnsi" w:hAnsiTheme="majorHAnsi" w:cstheme="majorHAnsi"/>
          <w:b/>
          <w:szCs w:val="20"/>
        </w:rPr>
        <w:t>ITL</w:t>
      </w:r>
      <w:r w:rsidRPr="00E80636">
        <w:rPr>
          <w:rFonts w:asciiTheme="majorHAnsi" w:hAnsiTheme="majorHAnsi" w:cstheme="majorHAnsi"/>
          <w:szCs w:val="20"/>
        </w:rPr>
        <w:t xml:space="preserve"> worked with the UTHealth School of Public Health for seven (7) months and advised the school on competency-based curriculum and assessments. In addition, it advised the school on a range of curriculum areas from professional skills students should acquire, future development of new online opportunities, and professional certificates that students can obtain while seeking a degree (or as non-degree seeking students).</w:t>
      </w:r>
    </w:p>
    <w:p w:rsidR="003816D5" w:rsidRPr="00E80636" w:rsidRDefault="00046F7D" w:rsidP="006C308E">
      <w:pPr>
        <w:pStyle w:val="Default"/>
        <w:ind w:left="720"/>
        <w:rPr>
          <w:rFonts w:asciiTheme="majorHAnsi" w:hAnsiTheme="majorHAnsi" w:cstheme="majorHAnsi"/>
          <w:szCs w:val="20"/>
        </w:rPr>
      </w:pPr>
      <w:r w:rsidRPr="00E80636">
        <w:rPr>
          <w:rFonts w:asciiTheme="majorHAnsi" w:hAnsiTheme="majorHAnsi" w:cstheme="majorHAnsi"/>
          <w:szCs w:val="20"/>
        </w:rPr>
        <w:tab/>
      </w:r>
    </w:p>
    <w:p w:rsidR="00046F7D" w:rsidRPr="00E80636" w:rsidRDefault="00046F7D" w:rsidP="006C308E">
      <w:pPr>
        <w:pStyle w:val="Default"/>
        <w:ind w:left="720" w:firstLine="720"/>
        <w:rPr>
          <w:rFonts w:asciiTheme="majorHAnsi" w:hAnsiTheme="majorHAnsi" w:cstheme="majorHAnsi"/>
          <w:szCs w:val="20"/>
        </w:rPr>
      </w:pPr>
      <w:r w:rsidRPr="00E80636">
        <w:rPr>
          <w:rFonts w:asciiTheme="majorHAnsi" w:hAnsiTheme="majorHAnsi" w:cstheme="majorHAnsi"/>
          <w:szCs w:val="20"/>
        </w:rPr>
        <w:t>Associated documents in the electronic resource file:</w:t>
      </w:r>
    </w:p>
    <w:p w:rsidR="00046F7D" w:rsidRPr="0062452D" w:rsidRDefault="00046F7D" w:rsidP="006C308E">
      <w:pPr>
        <w:pStyle w:val="Default"/>
        <w:numPr>
          <w:ilvl w:val="0"/>
          <w:numId w:val="103"/>
        </w:numPr>
        <w:rPr>
          <w:rFonts w:asciiTheme="majorHAnsi" w:hAnsiTheme="majorHAnsi" w:cstheme="majorHAnsi"/>
          <w:i/>
          <w:szCs w:val="20"/>
        </w:rPr>
      </w:pPr>
      <w:r w:rsidRPr="0062452D">
        <w:rPr>
          <w:rFonts w:asciiTheme="majorHAnsi" w:hAnsiTheme="majorHAnsi" w:cstheme="majorHAnsi"/>
          <w:i/>
          <w:szCs w:val="20"/>
        </w:rPr>
        <w:t>Institute for Transformational Learning Public Health Report</w:t>
      </w:r>
    </w:p>
    <w:p w:rsidR="00046F7D" w:rsidRPr="00E80636" w:rsidRDefault="00046F7D" w:rsidP="006C308E">
      <w:pPr>
        <w:pStyle w:val="Default"/>
        <w:ind w:left="1440"/>
        <w:rPr>
          <w:rFonts w:asciiTheme="majorHAnsi" w:hAnsiTheme="majorHAnsi" w:cstheme="majorHAnsi"/>
          <w:szCs w:val="20"/>
        </w:rPr>
      </w:pPr>
    </w:p>
    <w:p w:rsidR="00046F7D" w:rsidRPr="00E80636" w:rsidRDefault="00046F7D" w:rsidP="006C308E">
      <w:pPr>
        <w:pStyle w:val="Default"/>
        <w:ind w:left="1440"/>
        <w:rPr>
          <w:rFonts w:asciiTheme="majorHAnsi" w:hAnsiTheme="majorHAnsi" w:cstheme="majorHAnsi"/>
          <w:szCs w:val="20"/>
        </w:rPr>
      </w:pPr>
      <w:r w:rsidRPr="00E80636">
        <w:rPr>
          <w:rFonts w:asciiTheme="majorHAnsi" w:hAnsiTheme="majorHAnsi" w:cstheme="majorHAnsi"/>
          <w:szCs w:val="20"/>
        </w:rPr>
        <w:t xml:space="preserve">The annual assessment with </w:t>
      </w:r>
      <w:r w:rsidRPr="0062452D">
        <w:rPr>
          <w:rFonts w:asciiTheme="majorHAnsi" w:hAnsiTheme="majorHAnsi" w:cstheme="majorHAnsi"/>
          <w:szCs w:val="20"/>
        </w:rPr>
        <w:t>University Partnerships</w:t>
      </w:r>
      <w:r w:rsidRPr="00E80636">
        <w:rPr>
          <w:rFonts w:asciiTheme="majorHAnsi" w:hAnsiTheme="majorHAnsi" w:cstheme="majorHAnsi"/>
          <w:szCs w:val="20"/>
        </w:rPr>
        <w:t xml:space="preserve"> gives direct feedback to the MPH curriculum, especially the core courses. They have advised the UTHealth School of Public Health to strengthen the core courses and assessments. In addition, the customized MPH degree plan with a public health focus area for MPH students was considered to lack strong public health competency and skills. Thus, the school strengthened the customized MPH degree plan by establishing the Advanced Public Health course list. These students will now master in public health competency and skills by completing methods-based courses and improved major-specific competencies. </w:t>
      </w:r>
    </w:p>
    <w:p w:rsidR="00933038" w:rsidRPr="00E80636" w:rsidRDefault="00933038" w:rsidP="006C308E">
      <w:pPr>
        <w:spacing w:after="160"/>
        <w:ind w:left="720"/>
        <w:contextualSpacing/>
        <w:jc w:val="both"/>
        <w:rPr>
          <w:rFonts w:asciiTheme="majorHAnsi" w:eastAsia="Calibri" w:hAnsiTheme="majorHAnsi" w:cstheme="majorHAnsi"/>
          <w:sz w:val="20"/>
          <w:szCs w:val="20"/>
        </w:rPr>
      </w:pPr>
    </w:p>
    <w:p w:rsidR="00933038" w:rsidRPr="00E80636" w:rsidRDefault="00933038" w:rsidP="006C308E">
      <w:pPr>
        <w:numPr>
          <w:ilvl w:val="0"/>
          <w:numId w:val="36"/>
        </w:numPr>
        <w:spacing w:after="160"/>
        <w:contextualSpacing/>
        <w:jc w:val="both"/>
        <w:rPr>
          <w:rFonts w:asciiTheme="majorHAnsi" w:eastAsia="Calibri" w:hAnsiTheme="majorHAnsi" w:cstheme="majorHAnsi"/>
          <w:sz w:val="20"/>
          <w:szCs w:val="20"/>
        </w:rPr>
      </w:pPr>
      <w:r w:rsidRPr="00E80636">
        <w:rPr>
          <w:rFonts w:asciiTheme="majorHAnsi" w:eastAsia="Calibri" w:hAnsiTheme="majorHAnsi" w:cstheme="majorHAnsi"/>
          <w:sz w:val="20"/>
          <w:szCs w:val="20"/>
        </w:rPr>
        <w:t>Describe how the school’s external partners contribute to the ongoing operations of the school. At a minimum, this discussion should include community engagement in the following:</w:t>
      </w:r>
    </w:p>
    <w:p w:rsidR="00046F7D" w:rsidRPr="00E80636" w:rsidRDefault="00046F7D" w:rsidP="006C308E">
      <w:pPr>
        <w:spacing w:after="160"/>
        <w:ind w:left="720"/>
        <w:contextualSpacing/>
        <w:rPr>
          <w:rFonts w:asciiTheme="majorHAnsi" w:eastAsia="Calibri" w:hAnsiTheme="majorHAnsi" w:cstheme="majorHAnsi"/>
          <w:sz w:val="20"/>
          <w:szCs w:val="20"/>
        </w:rPr>
      </w:pPr>
    </w:p>
    <w:p w:rsidR="00046F7D" w:rsidRPr="00E80636" w:rsidRDefault="00046F7D" w:rsidP="006C308E">
      <w:pPr>
        <w:numPr>
          <w:ilvl w:val="1"/>
          <w:numId w:val="37"/>
        </w:numPr>
        <w:spacing w:after="160"/>
        <w:contextualSpacing/>
        <w:jc w:val="both"/>
        <w:rPr>
          <w:rFonts w:asciiTheme="majorHAnsi" w:eastAsia="Calibri" w:hAnsiTheme="majorHAnsi" w:cstheme="majorHAnsi"/>
          <w:sz w:val="20"/>
          <w:szCs w:val="20"/>
        </w:rPr>
      </w:pPr>
      <w:r w:rsidRPr="00E80636">
        <w:rPr>
          <w:rFonts w:asciiTheme="majorHAnsi" w:eastAsia="Calibri" w:hAnsiTheme="majorHAnsi" w:cstheme="majorHAnsi"/>
          <w:sz w:val="20"/>
          <w:szCs w:val="20"/>
        </w:rPr>
        <w:t>Development of the vision, mission, values, goals and evaluation measures</w:t>
      </w:r>
    </w:p>
    <w:p w:rsidR="00046F7D" w:rsidRPr="00E80636" w:rsidRDefault="00046F7D" w:rsidP="006C308E">
      <w:pPr>
        <w:pStyle w:val="Default"/>
        <w:ind w:left="1440"/>
        <w:rPr>
          <w:rFonts w:asciiTheme="majorHAnsi" w:eastAsia="Arial" w:hAnsiTheme="majorHAnsi" w:cstheme="majorHAnsi"/>
          <w:szCs w:val="20"/>
        </w:rPr>
      </w:pPr>
      <w:r w:rsidRPr="00E80636">
        <w:rPr>
          <w:rFonts w:asciiTheme="majorHAnsi" w:eastAsia="Arial" w:hAnsiTheme="majorHAnsi" w:cstheme="majorHAnsi"/>
          <w:szCs w:val="20"/>
        </w:rPr>
        <w:t xml:space="preserve">In 2016, the UTHealth School of Public Health updated its mission, vision, and values when Dr. Eric Boerwinkle was appointed dean of the school. When developing these guiding statements, Dean Boerwinkle received feedback from internal groups (students, faculty, and staff) and from the school’s Advisory Board. During the self-study process, stakeholders suggested the need to re-review the school’s vision, mission, values, goals, and evaluation measures.  In the interest of ensuring that these key pieces of school identity are accurate, authentic, and inclusive, we solicited input from all constituents, including the Alumni Advisory Council, the Practice Council, and the CEPH Steering Committee. The Alumni Advisory Council provided feedback on the guiding statements developed in 2016 and generated ideas for new statements. The Practice Council and the CEPH Steering Committee participated in facilitated creative exercises. After both internal and external stakeholders provided input, we compiled the input and developed or updated the mission, vision, and values to reflect the sentiments shared by our stakeholders. </w:t>
      </w:r>
    </w:p>
    <w:p w:rsidR="00046F7D" w:rsidRPr="00E80636" w:rsidRDefault="00046F7D" w:rsidP="006C308E">
      <w:pPr>
        <w:spacing w:after="160"/>
        <w:ind w:left="1440"/>
        <w:contextualSpacing/>
        <w:jc w:val="both"/>
        <w:rPr>
          <w:rFonts w:asciiTheme="majorHAnsi" w:eastAsia="Calibri" w:hAnsiTheme="majorHAnsi" w:cstheme="majorHAnsi"/>
          <w:sz w:val="20"/>
          <w:szCs w:val="20"/>
        </w:rPr>
      </w:pPr>
    </w:p>
    <w:p w:rsidR="00046F7D" w:rsidRPr="00E80636" w:rsidRDefault="00046F7D" w:rsidP="006C308E">
      <w:pPr>
        <w:numPr>
          <w:ilvl w:val="1"/>
          <w:numId w:val="37"/>
        </w:numPr>
        <w:contextualSpacing/>
        <w:jc w:val="both"/>
        <w:rPr>
          <w:rFonts w:asciiTheme="majorHAnsi" w:eastAsia="Calibri" w:hAnsiTheme="majorHAnsi" w:cstheme="majorHAnsi"/>
          <w:sz w:val="20"/>
          <w:szCs w:val="20"/>
        </w:rPr>
      </w:pPr>
      <w:r w:rsidRPr="00E80636">
        <w:rPr>
          <w:rFonts w:asciiTheme="majorHAnsi" w:eastAsia="Calibri" w:hAnsiTheme="majorHAnsi" w:cstheme="majorHAnsi"/>
          <w:sz w:val="20"/>
          <w:szCs w:val="20"/>
        </w:rPr>
        <w:t>Development of the self-study document</w:t>
      </w:r>
    </w:p>
    <w:p w:rsidR="00046F7D" w:rsidRPr="00E80636" w:rsidRDefault="00046F7D" w:rsidP="006C308E">
      <w:pPr>
        <w:ind w:left="1440"/>
        <w:contextualSpacing/>
        <w:jc w:val="both"/>
        <w:rPr>
          <w:rFonts w:asciiTheme="majorHAnsi" w:eastAsia="Calibri" w:hAnsiTheme="majorHAnsi" w:cstheme="majorHAnsi"/>
          <w:sz w:val="20"/>
          <w:szCs w:val="20"/>
        </w:rPr>
      </w:pPr>
    </w:p>
    <w:p w:rsidR="00046F7D" w:rsidRPr="00E80636" w:rsidRDefault="00046F7D" w:rsidP="006C308E">
      <w:pPr>
        <w:pStyle w:val="Default"/>
        <w:ind w:left="1440"/>
        <w:rPr>
          <w:rFonts w:asciiTheme="majorHAnsi" w:hAnsiTheme="majorHAnsi" w:cstheme="majorHAnsi"/>
          <w:szCs w:val="20"/>
        </w:rPr>
      </w:pPr>
      <w:r w:rsidRPr="00E80636">
        <w:rPr>
          <w:rFonts w:asciiTheme="majorHAnsi" w:hAnsiTheme="majorHAnsi" w:cstheme="majorHAnsi"/>
          <w:szCs w:val="20"/>
        </w:rPr>
        <w:t>The development of the self-study document has been an iterative process that has engaged external stakeholders, faculty, staff, and students. The CEPH working group was initially facilitated by the ITL in 2016 to review public health workforce needs and to obtain feedback on how well the school’s curriculum was meeting the identified needs. The ITL hosted a series of workshops to engage all stakeholders and to develop curriculum recommendations. Upon completion of these workshops, a subgroup of participants formed the CEPH Steering Committee. Thus, the primary mechanism of engagement for the development of the self-study document has been the formation of the CEPH Steering Committee</w:t>
      </w:r>
      <w:r w:rsidR="005554B4" w:rsidRPr="00E80636">
        <w:rPr>
          <w:rFonts w:asciiTheme="majorHAnsi" w:hAnsiTheme="majorHAnsi" w:cstheme="majorHAnsi"/>
          <w:szCs w:val="20"/>
        </w:rPr>
        <w:t>, including external stakeholder representation on the committee</w:t>
      </w:r>
      <w:r w:rsidRPr="00E80636">
        <w:rPr>
          <w:rFonts w:asciiTheme="majorHAnsi" w:hAnsiTheme="majorHAnsi" w:cstheme="majorHAnsi"/>
          <w:szCs w:val="20"/>
        </w:rPr>
        <w:t xml:space="preserve">. Additional input from standing councils and committees, department chairs, campus deans, UTHealth School of Public Health leaders, etc., has continued throughout the process and has led to substantial improvements in the self-study document. When the preliminary self-study document is completed, feedback from all faculty will be solicited, which will encourage further refinement of the preliminary self-study document leading up to the final self-study submission. </w:t>
      </w:r>
    </w:p>
    <w:p w:rsidR="00046F7D" w:rsidRPr="00E80636" w:rsidRDefault="00046F7D" w:rsidP="006C308E">
      <w:pPr>
        <w:spacing w:after="160"/>
        <w:ind w:left="1440"/>
        <w:contextualSpacing/>
        <w:jc w:val="both"/>
        <w:rPr>
          <w:rFonts w:asciiTheme="majorHAnsi" w:eastAsia="Calibri" w:hAnsiTheme="majorHAnsi" w:cstheme="majorHAnsi"/>
          <w:sz w:val="20"/>
          <w:szCs w:val="20"/>
        </w:rPr>
      </w:pPr>
    </w:p>
    <w:p w:rsidR="00046F7D" w:rsidRDefault="00046F7D" w:rsidP="006C308E">
      <w:pPr>
        <w:numPr>
          <w:ilvl w:val="1"/>
          <w:numId w:val="37"/>
        </w:numPr>
        <w:contextualSpacing/>
        <w:jc w:val="both"/>
        <w:rPr>
          <w:rFonts w:asciiTheme="majorHAnsi" w:eastAsia="Calibri" w:hAnsiTheme="majorHAnsi" w:cstheme="majorHAnsi"/>
          <w:sz w:val="20"/>
          <w:szCs w:val="20"/>
        </w:rPr>
      </w:pPr>
      <w:r w:rsidRPr="00E80636">
        <w:rPr>
          <w:rFonts w:asciiTheme="majorHAnsi" w:eastAsia="Calibri" w:hAnsiTheme="majorHAnsi" w:cstheme="majorHAnsi"/>
          <w:sz w:val="20"/>
          <w:szCs w:val="20"/>
        </w:rPr>
        <w:t>Assessment of changing practice and research needs</w:t>
      </w:r>
    </w:p>
    <w:p w:rsidR="00046F7D" w:rsidRPr="00E80636" w:rsidRDefault="00046F7D" w:rsidP="006C308E">
      <w:pPr>
        <w:ind w:left="1440"/>
        <w:contextualSpacing/>
        <w:jc w:val="both"/>
        <w:rPr>
          <w:rFonts w:asciiTheme="majorHAnsi" w:eastAsia="Calibri" w:hAnsiTheme="majorHAnsi" w:cstheme="majorHAnsi"/>
          <w:sz w:val="20"/>
          <w:szCs w:val="20"/>
        </w:rPr>
      </w:pPr>
    </w:p>
    <w:p w:rsidR="00046F7D" w:rsidRPr="00E80636" w:rsidRDefault="00046F7D" w:rsidP="006C308E">
      <w:pPr>
        <w:pStyle w:val="Default"/>
        <w:ind w:left="1440"/>
        <w:rPr>
          <w:rFonts w:asciiTheme="majorHAnsi" w:hAnsiTheme="majorHAnsi" w:cstheme="majorHAnsi"/>
          <w:szCs w:val="20"/>
        </w:rPr>
      </w:pPr>
      <w:r w:rsidRPr="00E80636">
        <w:rPr>
          <w:rFonts w:asciiTheme="majorHAnsi" w:hAnsiTheme="majorHAnsi" w:cstheme="majorHAnsi"/>
          <w:szCs w:val="20"/>
        </w:rPr>
        <w:t xml:space="preserve">The UTHealth School of Public Health engages Practice Council members in the assessment of changing practice needs on an ongoing basis. The council meets monthly and is heavily involved in practice assessment at the school. As described above, the school conducts practicum preceptor surveys </w:t>
      </w:r>
      <w:r w:rsidR="00A02EC6" w:rsidRPr="0071055F">
        <w:rPr>
          <w:rFonts w:asciiTheme="majorHAnsi" w:hAnsiTheme="majorHAnsi" w:cstheme="majorHAnsi"/>
          <w:i/>
          <w:szCs w:val="20"/>
        </w:rPr>
        <w:t xml:space="preserve">(ERF, </w:t>
      </w:r>
      <w:r w:rsidR="0071055F" w:rsidRPr="0071055F">
        <w:rPr>
          <w:rFonts w:asciiTheme="majorHAnsi" w:hAnsiTheme="majorHAnsi" w:cstheme="majorHAnsi"/>
          <w:i/>
          <w:szCs w:val="20"/>
        </w:rPr>
        <w:t>F1. Community Involvement in School Evaluation and Assessment)</w:t>
      </w:r>
      <w:r w:rsidR="0071055F">
        <w:rPr>
          <w:rFonts w:asciiTheme="majorHAnsi" w:hAnsiTheme="majorHAnsi" w:cstheme="majorHAnsi"/>
          <w:szCs w:val="20"/>
        </w:rPr>
        <w:t xml:space="preserve"> </w:t>
      </w:r>
      <w:r w:rsidRPr="00E80636">
        <w:rPr>
          <w:rFonts w:asciiTheme="majorHAnsi" w:hAnsiTheme="majorHAnsi" w:cstheme="majorHAnsi"/>
          <w:szCs w:val="20"/>
        </w:rPr>
        <w:t xml:space="preserve">to assess practice needs identified by public health practitioners. The results of these surveys are discussed with the council and integrated into practice assessment. </w:t>
      </w:r>
    </w:p>
    <w:p w:rsidR="00046F7D" w:rsidRPr="00E80636" w:rsidRDefault="00046F7D" w:rsidP="006C308E">
      <w:pPr>
        <w:pStyle w:val="Default"/>
        <w:ind w:left="1440"/>
        <w:rPr>
          <w:rFonts w:asciiTheme="majorHAnsi" w:hAnsiTheme="majorHAnsi" w:cstheme="majorHAnsi"/>
          <w:szCs w:val="20"/>
        </w:rPr>
      </w:pPr>
    </w:p>
    <w:p w:rsidR="00046F7D" w:rsidRPr="00E80636" w:rsidRDefault="00046F7D" w:rsidP="006C308E">
      <w:pPr>
        <w:pStyle w:val="Default"/>
        <w:ind w:left="1440"/>
        <w:rPr>
          <w:rFonts w:asciiTheme="majorHAnsi" w:hAnsiTheme="majorHAnsi" w:cstheme="majorHAnsi"/>
          <w:szCs w:val="20"/>
        </w:rPr>
      </w:pPr>
      <w:r w:rsidRPr="00E80636">
        <w:rPr>
          <w:rFonts w:asciiTheme="majorHAnsi" w:hAnsiTheme="majorHAnsi" w:cstheme="majorHAnsi"/>
          <w:szCs w:val="20"/>
        </w:rPr>
        <w:t xml:space="preserve">As detailed above, advisory groups provide valuable input on the assessment of changing research needs and the school’s research projects and direction. All six campuses are affiliated with major medical centers, which allows for partnerships with hospitals, labs, and other health science institutions. These partnerships, in turn, allow for an abundance of research collaborations and potential research and practice opportunities for students. Research centers within the school regularly receive feedback from community partners on research priorities and practice opportunities. This feedback allows for continuous improvement of practice and research assessments and programs at the UTHealth School of Public Health. </w:t>
      </w:r>
    </w:p>
    <w:p w:rsidR="00046F7D" w:rsidRPr="00E80636" w:rsidRDefault="00046F7D" w:rsidP="006C308E">
      <w:pPr>
        <w:ind w:left="1440"/>
        <w:contextualSpacing/>
        <w:jc w:val="both"/>
        <w:rPr>
          <w:rFonts w:asciiTheme="majorHAnsi" w:eastAsia="Calibri" w:hAnsiTheme="majorHAnsi" w:cstheme="majorHAnsi"/>
          <w:sz w:val="20"/>
          <w:szCs w:val="20"/>
        </w:rPr>
      </w:pPr>
    </w:p>
    <w:p w:rsidR="00046F7D" w:rsidRPr="00E80636" w:rsidRDefault="00046F7D" w:rsidP="006C308E">
      <w:pPr>
        <w:numPr>
          <w:ilvl w:val="1"/>
          <w:numId w:val="37"/>
        </w:numPr>
        <w:contextualSpacing/>
        <w:jc w:val="both"/>
        <w:rPr>
          <w:rFonts w:asciiTheme="majorHAnsi" w:eastAsia="Calibri" w:hAnsiTheme="majorHAnsi" w:cstheme="majorHAnsi"/>
          <w:sz w:val="20"/>
          <w:szCs w:val="20"/>
        </w:rPr>
      </w:pPr>
      <w:r w:rsidRPr="00E80636">
        <w:rPr>
          <w:rFonts w:asciiTheme="majorHAnsi" w:eastAsia="Calibri" w:hAnsiTheme="majorHAnsi" w:cstheme="majorHAnsi"/>
          <w:sz w:val="20"/>
          <w:szCs w:val="20"/>
        </w:rPr>
        <w:t xml:space="preserve">Assessment of school graduates’ ability to perform competencies in an employment setting </w:t>
      </w:r>
    </w:p>
    <w:p w:rsidR="00046F7D" w:rsidRPr="00E80636" w:rsidRDefault="00046F7D" w:rsidP="006C308E">
      <w:pPr>
        <w:contextualSpacing/>
        <w:jc w:val="both"/>
        <w:rPr>
          <w:rFonts w:asciiTheme="majorHAnsi" w:eastAsia="Calibri" w:hAnsiTheme="majorHAnsi" w:cstheme="majorHAnsi"/>
          <w:sz w:val="20"/>
          <w:szCs w:val="20"/>
        </w:rPr>
      </w:pPr>
    </w:p>
    <w:p w:rsidR="00046F7D" w:rsidRPr="00E80636" w:rsidRDefault="00046F7D" w:rsidP="006C308E">
      <w:pPr>
        <w:ind w:left="1440"/>
        <w:contextualSpacing/>
        <w:rPr>
          <w:rFonts w:asciiTheme="majorHAnsi" w:eastAsia="Calibri" w:hAnsiTheme="majorHAnsi" w:cstheme="majorHAnsi"/>
          <w:sz w:val="20"/>
          <w:szCs w:val="20"/>
        </w:rPr>
      </w:pPr>
      <w:r w:rsidRPr="00E80636">
        <w:rPr>
          <w:rFonts w:asciiTheme="majorHAnsi" w:eastAsia="Calibri" w:hAnsiTheme="majorHAnsi" w:cstheme="majorHAnsi"/>
          <w:sz w:val="20"/>
          <w:szCs w:val="20"/>
        </w:rPr>
        <w:t>The UTHealth School of Public Health assesses its graduates’ ability to perform competencies in an employment setting initially by: (1) assessing how well MPH and DrPH students perform in their practicum setting; (2) surveying alumni about their ability to perform competencies in an employment setting; (3) asking the Alumni Advisory Council about their ability to perform in an employment setting; and (4) meeting regularly with employers to obtain feedback on its graduates’ ability to perform in an employment setting.</w:t>
      </w:r>
    </w:p>
    <w:p w:rsidR="00046F7D" w:rsidRPr="00E80636" w:rsidRDefault="00046F7D" w:rsidP="006C308E">
      <w:pPr>
        <w:ind w:left="1440"/>
        <w:contextualSpacing/>
        <w:rPr>
          <w:rFonts w:asciiTheme="majorHAnsi" w:eastAsia="Calibri" w:hAnsiTheme="majorHAnsi" w:cstheme="majorHAnsi"/>
          <w:sz w:val="20"/>
          <w:szCs w:val="20"/>
        </w:rPr>
      </w:pPr>
    </w:p>
    <w:p w:rsidR="00046F7D" w:rsidRPr="00E80636" w:rsidRDefault="00046F7D" w:rsidP="006C308E">
      <w:pPr>
        <w:ind w:left="1440"/>
        <w:contextualSpacing/>
        <w:rPr>
          <w:rFonts w:asciiTheme="majorHAnsi" w:hAnsiTheme="majorHAnsi" w:cstheme="majorHAnsi"/>
          <w:sz w:val="20"/>
          <w:szCs w:val="20"/>
        </w:rPr>
      </w:pPr>
      <w:r w:rsidRPr="00E80636">
        <w:rPr>
          <w:rFonts w:asciiTheme="majorHAnsi" w:eastAsia="Calibri" w:hAnsiTheme="majorHAnsi" w:cstheme="majorHAnsi"/>
          <w:sz w:val="20"/>
          <w:szCs w:val="20"/>
        </w:rPr>
        <w:t xml:space="preserve">The UTHealth School of Public Health </w:t>
      </w:r>
      <w:r w:rsidRPr="00E80636">
        <w:rPr>
          <w:rFonts w:asciiTheme="majorHAnsi" w:hAnsiTheme="majorHAnsi" w:cstheme="majorHAnsi"/>
          <w:sz w:val="20"/>
          <w:szCs w:val="20"/>
        </w:rPr>
        <w:t xml:space="preserve">solicits feedback formally through various surveys. The practicum preceptor survey is administered three (3) times a year to assess how well students perform in their practicum setting. The alumni survey collects information from graduates about their ability to perform competencies in an employment setting. The survey allows alumni to reflect on their own attainment of competencies to perform in their jobs and to think about what competencies should have been covered in their programs. In addition to the school’s alumni survey, the Healthcare Management program annually surveys their alumni and obtains feedback on major-specific competency assessment in an employment setting. Alumni responses in both surveys typically indicate that no substantial changes are needed, and that the school’s curriculum effectively addresses knowledge and skills-based competencies. </w:t>
      </w:r>
    </w:p>
    <w:p w:rsidR="00046F7D" w:rsidRPr="00E80636" w:rsidRDefault="00046F7D" w:rsidP="006C308E">
      <w:pPr>
        <w:pStyle w:val="Default"/>
        <w:ind w:left="1440"/>
        <w:rPr>
          <w:rFonts w:asciiTheme="majorHAnsi" w:hAnsiTheme="majorHAnsi" w:cstheme="majorHAnsi"/>
          <w:szCs w:val="20"/>
        </w:rPr>
      </w:pPr>
    </w:p>
    <w:p w:rsidR="00046F7D" w:rsidRPr="00E80636" w:rsidRDefault="00046F7D" w:rsidP="006C308E">
      <w:pPr>
        <w:ind w:left="1440"/>
        <w:contextualSpacing/>
        <w:rPr>
          <w:rFonts w:asciiTheme="majorHAnsi" w:hAnsiTheme="majorHAnsi" w:cstheme="majorHAnsi"/>
          <w:sz w:val="20"/>
          <w:szCs w:val="20"/>
        </w:rPr>
      </w:pPr>
      <w:r w:rsidRPr="00E80636">
        <w:rPr>
          <w:rFonts w:asciiTheme="majorHAnsi" w:hAnsiTheme="majorHAnsi" w:cstheme="majorHAnsi"/>
          <w:sz w:val="20"/>
          <w:szCs w:val="20"/>
        </w:rPr>
        <w:t xml:space="preserve">The Alumni Advisory Council regularly discusses competency assessment as well. In their </w:t>
      </w:r>
      <w:r w:rsidR="00150A0F" w:rsidRPr="00E80636">
        <w:rPr>
          <w:rFonts w:asciiTheme="majorHAnsi" w:hAnsiTheme="majorHAnsi" w:cstheme="majorHAnsi"/>
          <w:sz w:val="20"/>
          <w:szCs w:val="20"/>
        </w:rPr>
        <w:t>summer</w:t>
      </w:r>
      <w:r w:rsidRPr="00E80636">
        <w:rPr>
          <w:rFonts w:asciiTheme="majorHAnsi" w:hAnsiTheme="majorHAnsi" w:cstheme="majorHAnsi"/>
          <w:sz w:val="20"/>
          <w:szCs w:val="20"/>
        </w:rPr>
        <w:t xml:space="preserve"> 2019 meeting, the council concluded that the school’s programs prepare graduates to readily perform competencies in an employment setting. One alumni indicated that they were “</w:t>
      </w:r>
      <w:r w:rsidRPr="00E80636">
        <w:rPr>
          <w:rFonts w:asciiTheme="majorHAnsi" w:eastAsia="Calibri" w:hAnsiTheme="majorHAnsi" w:cstheme="majorHAnsi"/>
          <w:sz w:val="20"/>
          <w:szCs w:val="20"/>
        </w:rPr>
        <w:t>impressed</w:t>
      </w:r>
      <w:r w:rsidRPr="00E80636">
        <w:rPr>
          <w:rFonts w:asciiTheme="majorHAnsi" w:hAnsiTheme="majorHAnsi" w:cstheme="majorHAnsi"/>
          <w:sz w:val="20"/>
          <w:szCs w:val="20"/>
        </w:rPr>
        <w:t xml:space="preserve"> with how prepared they were to work in the workforce.” However, another alumni indicated that they would have appreciated gaining qualitative skills on the job. This competency is now fulfilled with the new Introduction to Qualitative Research in Public Health course requirement for MPH students.</w:t>
      </w:r>
    </w:p>
    <w:p w:rsidR="00046F7D" w:rsidRPr="00E80636" w:rsidRDefault="00046F7D" w:rsidP="006C308E">
      <w:pPr>
        <w:ind w:left="1440"/>
        <w:contextualSpacing/>
        <w:rPr>
          <w:rFonts w:asciiTheme="majorHAnsi" w:hAnsiTheme="majorHAnsi" w:cstheme="majorHAnsi"/>
          <w:sz w:val="20"/>
          <w:szCs w:val="20"/>
        </w:rPr>
      </w:pPr>
    </w:p>
    <w:p w:rsidR="00046F7D" w:rsidRPr="00E80636" w:rsidRDefault="00046F7D" w:rsidP="006C308E">
      <w:pPr>
        <w:ind w:left="1440"/>
        <w:contextualSpacing/>
        <w:rPr>
          <w:rFonts w:asciiTheme="majorHAnsi" w:eastAsia="Calibri" w:hAnsiTheme="majorHAnsi" w:cstheme="majorHAnsi"/>
          <w:sz w:val="20"/>
          <w:szCs w:val="20"/>
        </w:rPr>
      </w:pPr>
      <w:r w:rsidRPr="00E80636">
        <w:rPr>
          <w:rFonts w:asciiTheme="majorHAnsi" w:eastAsia="Calibri" w:hAnsiTheme="majorHAnsi" w:cstheme="majorHAnsi"/>
          <w:sz w:val="20"/>
          <w:szCs w:val="20"/>
        </w:rPr>
        <w:t xml:space="preserve">UTHealth School of Public Health leadership regularly meets with major employers, such as Harris County Public Health, MD Anderson Cancer Center, Texas Children’s Hospital, Baylor College of Medicine, Texas Department of State Health Services, and City of Houston Health Department, to obtain feedback on the school’s graduates’ competencies and ability to perform competencies in an employment setting. Employers are generally complimentary of our graduates. Feedback indicates that graduates need to increase their skill in quickly synthesizing information and evidence about a particular health issue and in concisely communicating this information to leadership. </w:t>
      </w:r>
    </w:p>
    <w:p w:rsidR="00933038" w:rsidRPr="00E80636" w:rsidRDefault="00933038" w:rsidP="006C308E">
      <w:pPr>
        <w:contextualSpacing/>
        <w:jc w:val="both"/>
        <w:rPr>
          <w:rFonts w:asciiTheme="majorHAnsi" w:eastAsia="Calibri" w:hAnsiTheme="majorHAnsi" w:cstheme="majorHAnsi"/>
          <w:sz w:val="20"/>
          <w:szCs w:val="20"/>
        </w:rPr>
      </w:pPr>
    </w:p>
    <w:p w:rsidR="00933038" w:rsidRPr="00E80636" w:rsidRDefault="00933038" w:rsidP="006C308E">
      <w:pPr>
        <w:numPr>
          <w:ilvl w:val="0"/>
          <w:numId w:val="36"/>
        </w:numPr>
        <w:spacing w:after="160"/>
        <w:contextualSpacing/>
        <w:rPr>
          <w:rFonts w:asciiTheme="majorHAnsi" w:eastAsia="Calibri" w:hAnsiTheme="majorHAnsi" w:cstheme="majorHAnsi"/>
          <w:sz w:val="20"/>
          <w:szCs w:val="20"/>
        </w:rPr>
      </w:pPr>
      <w:r w:rsidRPr="00E80636">
        <w:rPr>
          <w:rFonts w:asciiTheme="majorHAnsi" w:eastAsia="Calibri" w:hAnsiTheme="majorHAnsi" w:cstheme="majorHAnsi"/>
          <w:sz w:val="20"/>
          <w:szCs w:val="20"/>
        </w:rPr>
        <w:t xml:space="preserve">Provide documentation (eg, minutes, notes, committee reports, etc.) of external contribution in at least two of the areas noted in documentation request 3. </w:t>
      </w:r>
    </w:p>
    <w:p w:rsidR="00933038" w:rsidRPr="00E80636" w:rsidRDefault="00933038" w:rsidP="006C308E">
      <w:pPr>
        <w:spacing w:after="160"/>
        <w:contextualSpacing/>
        <w:rPr>
          <w:rFonts w:asciiTheme="majorHAnsi" w:eastAsia="Calibri" w:hAnsiTheme="majorHAnsi" w:cstheme="majorHAnsi"/>
          <w:sz w:val="20"/>
          <w:szCs w:val="20"/>
        </w:rPr>
      </w:pPr>
    </w:p>
    <w:p w:rsidR="00933038" w:rsidRPr="00E80636" w:rsidRDefault="00015D96" w:rsidP="006C308E">
      <w:pPr>
        <w:spacing w:after="160"/>
        <w:ind w:left="720"/>
        <w:contextualSpacing/>
        <w:rPr>
          <w:rFonts w:asciiTheme="majorHAnsi" w:hAnsiTheme="majorHAnsi" w:cstheme="majorHAnsi"/>
          <w:sz w:val="20"/>
          <w:szCs w:val="20"/>
        </w:rPr>
      </w:pPr>
      <w:r w:rsidRPr="00E80636">
        <w:rPr>
          <w:rFonts w:asciiTheme="majorHAnsi" w:eastAsia="Calibri" w:hAnsiTheme="majorHAnsi" w:cstheme="majorHAnsi"/>
          <w:sz w:val="20"/>
          <w:szCs w:val="20"/>
        </w:rPr>
        <w:t xml:space="preserve">Practice Council – </w:t>
      </w:r>
      <w:r w:rsidRPr="00E80636">
        <w:rPr>
          <w:rFonts w:asciiTheme="majorHAnsi" w:hAnsiTheme="majorHAnsi" w:cstheme="majorHAnsi"/>
          <w:sz w:val="20"/>
          <w:szCs w:val="20"/>
        </w:rPr>
        <w:t>UTHealth SPH engages Practice Council members in the assessment of changing practice needs on an ongoing basis.</w:t>
      </w:r>
    </w:p>
    <w:p w:rsidR="00015D96" w:rsidRPr="00E80636" w:rsidRDefault="00015D96" w:rsidP="006C308E">
      <w:pPr>
        <w:ind w:left="1440"/>
        <w:contextualSpacing/>
        <w:rPr>
          <w:rFonts w:asciiTheme="majorHAnsi" w:hAnsiTheme="majorHAnsi" w:cstheme="majorHAnsi"/>
          <w:sz w:val="20"/>
          <w:szCs w:val="20"/>
        </w:rPr>
      </w:pPr>
      <w:r w:rsidRPr="00E80636">
        <w:rPr>
          <w:rFonts w:asciiTheme="majorHAnsi" w:hAnsiTheme="majorHAnsi" w:cstheme="majorHAnsi"/>
          <w:sz w:val="20"/>
          <w:szCs w:val="20"/>
        </w:rPr>
        <w:t>Associated documents in the electronic resource file:</w:t>
      </w:r>
    </w:p>
    <w:p w:rsidR="005956F8" w:rsidRPr="0062452D" w:rsidRDefault="005956F8" w:rsidP="006C308E">
      <w:pPr>
        <w:pStyle w:val="Default"/>
        <w:numPr>
          <w:ilvl w:val="0"/>
          <w:numId w:val="103"/>
        </w:numPr>
        <w:rPr>
          <w:rFonts w:asciiTheme="majorHAnsi" w:hAnsiTheme="majorHAnsi" w:cstheme="majorHAnsi"/>
          <w:i/>
          <w:szCs w:val="20"/>
        </w:rPr>
      </w:pPr>
      <w:r w:rsidRPr="0062452D">
        <w:rPr>
          <w:rFonts w:asciiTheme="majorHAnsi" w:hAnsiTheme="majorHAnsi" w:cstheme="majorHAnsi"/>
          <w:i/>
          <w:szCs w:val="20"/>
        </w:rPr>
        <w:t>A1. Practice Council</w:t>
      </w:r>
    </w:p>
    <w:p w:rsidR="00015D96" w:rsidRPr="0062452D" w:rsidRDefault="00015D96" w:rsidP="006C308E">
      <w:pPr>
        <w:pStyle w:val="Default"/>
        <w:numPr>
          <w:ilvl w:val="0"/>
          <w:numId w:val="103"/>
        </w:numPr>
        <w:rPr>
          <w:rFonts w:asciiTheme="majorHAnsi" w:hAnsiTheme="majorHAnsi" w:cstheme="majorHAnsi"/>
          <w:i/>
          <w:szCs w:val="20"/>
        </w:rPr>
      </w:pPr>
      <w:r w:rsidRPr="0062452D">
        <w:rPr>
          <w:rFonts w:asciiTheme="majorHAnsi" w:hAnsiTheme="majorHAnsi" w:cstheme="majorHAnsi"/>
          <w:i/>
          <w:szCs w:val="20"/>
        </w:rPr>
        <w:t>Practice Council Roster</w:t>
      </w:r>
    </w:p>
    <w:p w:rsidR="00015D96" w:rsidRPr="0062452D" w:rsidRDefault="00015D96" w:rsidP="006C308E">
      <w:pPr>
        <w:pStyle w:val="Default"/>
        <w:numPr>
          <w:ilvl w:val="0"/>
          <w:numId w:val="103"/>
        </w:numPr>
        <w:rPr>
          <w:rFonts w:asciiTheme="majorHAnsi" w:hAnsiTheme="majorHAnsi" w:cstheme="majorHAnsi"/>
          <w:i/>
          <w:szCs w:val="20"/>
        </w:rPr>
      </w:pPr>
      <w:r w:rsidRPr="0062452D">
        <w:rPr>
          <w:rFonts w:asciiTheme="majorHAnsi" w:hAnsiTheme="majorHAnsi" w:cstheme="majorHAnsi"/>
          <w:i/>
          <w:szCs w:val="20"/>
        </w:rPr>
        <w:t>List of Employers and Preceptors</w:t>
      </w:r>
    </w:p>
    <w:p w:rsidR="00015D96" w:rsidRPr="00E80636" w:rsidRDefault="00015D96" w:rsidP="006C308E">
      <w:pPr>
        <w:pStyle w:val="Default"/>
        <w:ind w:left="720"/>
        <w:rPr>
          <w:rFonts w:asciiTheme="majorHAnsi" w:hAnsiTheme="majorHAnsi" w:cstheme="majorHAnsi"/>
          <w:szCs w:val="20"/>
        </w:rPr>
      </w:pPr>
    </w:p>
    <w:p w:rsidR="00015D96" w:rsidRPr="00E80636" w:rsidRDefault="00015D96" w:rsidP="006C308E">
      <w:pPr>
        <w:pStyle w:val="Default"/>
        <w:ind w:left="720"/>
        <w:rPr>
          <w:rFonts w:asciiTheme="majorHAnsi" w:hAnsiTheme="majorHAnsi" w:cstheme="majorHAnsi"/>
          <w:szCs w:val="20"/>
        </w:rPr>
      </w:pPr>
      <w:r w:rsidRPr="00E80636">
        <w:rPr>
          <w:rFonts w:asciiTheme="majorHAnsi" w:hAnsiTheme="majorHAnsi" w:cstheme="majorHAnsi"/>
          <w:szCs w:val="20"/>
        </w:rPr>
        <w:t>Institute for Transformational Learning – The CEPH working group was initially facilitated by ITL in 2016 to review public health workforce needs and to obtain feedback on how well our curriculum was at meeting current the identified needs.</w:t>
      </w:r>
    </w:p>
    <w:p w:rsidR="00015D96" w:rsidRPr="00E80636" w:rsidRDefault="00015D96" w:rsidP="006C308E">
      <w:pPr>
        <w:pStyle w:val="Default"/>
        <w:ind w:left="1440"/>
        <w:rPr>
          <w:rFonts w:asciiTheme="majorHAnsi" w:hAnsiTheme="majorHAnsi" w:cstheme="majorHAnsi"/>
          <w:szCs w:val="20"/>
        </w:rPr>
      </w:pPr>
      <w:r w:rsidRPr="00E80636">
        <w:rPr>
          <w:rFonts w:asciiTheme="majorHAnsi" w:hAnsiTheme="majorHAnsi" w:cstheme="majorHAnsi"/>
          <w:szCs w:val="20"/>
        </w:rPr>
        <w:t>Associated documents in the electronic resource file:</w:t>
      </w:r>
    </w:p>
    <w:p w:rsidR="00015D96" w:rsidRPr="0062452D" w:rsidRDefault="00015D96" w:rsidP="006C308E">
      <w:pPr>
        <w:pStyle w:val="Default"/>
        <w:numPr>
          <w:ilvl w:val="1"/>
          <w:numId w:val="101"/>
        </w:numPr>
        <w:rPr>
          <w:rFonts w:asciiTheme="majorHAnsi" w:hAnsiTheme="majorHAnsi" w:cstheme="majorHAnsi"/>
          <w:i/>
          <w:szCs w:val="20"/>
        </w:rPr>
      </w:pPr>
      <w:r w:rsidRPr="0062452D">
        <w:rPr>
          <w:rFonts w:asciiTheme="majorHAnsi" w:hAnsiTheme="majorHAnsi" w:cstheme="majorHAnsi"/>
          <w:i/>
          <w:szCs w:val="20"/>
        </w:rPr>
        <w:t>Institute for Transformational Learning Roster</w:t>
      </w:r>
    </w:p>
    <w:p w:rsidR="00015D96" w:rsidRPr="0062452D" w:rsidRDefault="00015D96" w:rsidP="006C308E">
      <w:pPr>
        <w:pStyle w:val="Default"/>
        <w:numPr>
          <w:ilvl w:val="1"/>
          <w:numId w:val="101"/>
        </w:numPr>
        <w:rPr>
          <w:rFonts w:asciiTheme="majorHAnsi" w:hAnsiTheme="majorHAnsi" w:cstheme="majorHAnsi"/>
          <w:i/>
          <w:szCs w:val="20"/>
        </w:rPr>
      </w:pPr>
      <w:r w:rsidRPr="0062452D">
        <w:rPr>
          <w:rFonts w:asciiTheme="majorHAnsi" w:hAnsiTheme="majorHAnsi" w:cstheme="majorHAnsi"/>
          <w:i/>
          <w:szCs w:val="20"/>
        </w:rPr>
        <w:t>Institute for Transformational Learning CEPH Working Group</w:t>
      </w:r>
    </w:p>
    <w:p w:rsidR="00015D96" w:rsidRPr="0062452D" w:rsidRDefault="00015D96" w:rsidP="006C308E">
      <w:pPr>
        <w:pStyle w:val="Default"/>
        <w:numPr>
          <w:ilvl w:val="1"/>
          <w:numId w:val="101"/>
        </w:numPr>
        <w:rPr>
          <w:rFonts w:asciiTheme="majorHAnsi" w:hAnsiTheme="majorHAnsi" w:cstheme="majorHAnsi"/>
          <w:i/>
          <w:szCs w:val="20"/>
        </w:rPr>
      </w:pPr>
      <w:r w:rsidRPr="0062452D">
        <w:rPr>
          <w:rFonts w:asciiTheme="majorHAnsi" w:hAnsiTheme="majorHAnsi" w:cstheme="majorHAnsi"/>
          <w:i/>
          <w:szCs w:val="20"/>
        </w:rPr>
        <w:t>Institute for Transformation Learning Public Health Report</w:t>
      </w:r>
    </w:p>
    <w:p w:rsidR="00015D96" w:rsidRPr="00E80636" w:rsidRDefault="00015D96" w:rsidP="006C308E">
      <w:pPr>
        <w:ind w:left="720"/>
        <w:contextualSpacing/>
        <w:rPr>
          <w:rFonts w:asciiTheme="majorHAnsi" w:eastAsia="Calibri" w:hAnsiTheme="majorHAnsi" w:cstheme="majorHAnsi"/>
          <w:sz w:val="20"/>
          <w:szCs w:val="20"/>
        </w:rPr>
      </w:pPr>
    </w:p>
    <w:p w:rsidR="00933038" w:rsidRPr="00E80636" w:rsidRDefault="00933038" w:rsidP="006C308E">
      <w:pPr>
        <w:numPr>
          <w:ilvl w:val="0"/>
          <w:numId w:val="36"/>
        </w:numPr>
        <w:contextualSpacing/>
        <w:rPr>
          <w:rFonts w:asciiTheme="majorHAnsi" w:eastAsia="Calibri" w:hAnsiTheme="majorHAnsi" w:cstheme="majorHAnsi"/>
          <w:sz w:val="20"/>
          <w:szCs w:val="20"/>
        </w:rPr>
      </w:pPr>
      <w:r w:rsidRPr="00E80636">
        <w:rPr>
          <w:rFonts w:asciiTheme="majorHAnsi" w:hAnsiTheme="majorHAnsi" w:cstheme="majorHAnsi"/>
          <w:sz w:val="20"/>
          <w:szCs w:val="20"/>
        </w:rPr>
        <w:t>If applicable, assess strengths and weaknesses related to this criterion and plans for improvement in this area.</w:t>
      </w:r>
      <w:r w:rsidRPr="00E80636">
        <w:rPr>
          <w:rFonts w:asciiTheme="majorHAnsi" w:eastAsia="Calibri" w:hAnsiTheme="majorHAnsi" w:cstheme="majorHAnsi"/>
          <w:sz w:val="20"/>
          <w:szCs w:val="20"/>
        </w:rPr>
        <w:t xml:space="preserve"> </w:t>
      </w:r>
    </w:p>
    <w:p w:rsidR="00015D96" w:rsidRPr="00E80636" w:rsidRDefault="00015D96" w:rsidP="006C308E">
      <w:pPr>
        <w:pStyle w:val="Default"/>
        <w:ind w:left="720"/>
        <w:jc w:val="both"/>
        <w:rPr>
          <w:rFonts w:asciiTheme="majorHAnsi" w:hAnsiTheme="majorHAnsi" w:cstheme="majorHAnsi"/>
          <w:i/>
          <w:szCs w:val="20"/>
        </w:rPr>
      </w:pPr>
    </w:p>
    <w:p w:rsidR="00015D96" w:rsidRPr="00E80636" w:rsidRDefault="00FC7560" w:rsidP="006C308E">
      <w:pPr>
        <w:ind w:left="720"/>
        <w:rPr>
          <w:rStyle w:val="Heading1Char"/>
          <w:bCs w:val="0"/>
          <w:color w:val="000000"/>
        </w:rPr>
      </w:pPr>
      <w:r w:rsidRPr="00E80636">
        <w:rPr>
          <w:rFonts w:asciiTheme="majorHAnsi" w:eastAsia="Calibri" w:hAnsiTheme="majorHAnsi" w:cstheme="majorHAnsi"/>
          <w:b/>
          <w:sz w:val="20"/>
          <w:szCs w:val="20"/>
        </w:rPr>
        <w:t>Strengths</w:t>
      </w:r>
      <w:r w:rsidRPr="00E80636">
        <w:rPr>
          <w:rFonts w:asciiTheme="majorHAnsi" w:eastAsia="Calibri" w:hAnsiTheme="majorHAnsi" w:cstheme="majorHAnsi"/>
          <w:sz w:val="20"/>
          <w:szCs w:val="20"/>
        </w:rPr>
        <w:t xml:space="preserve">: The UTHealth </w:t>
      </w:r>
      <w:r w:rsidRPr="00E80636">
        <w:rPr>
          <w:rFonts w:asciiTheme="majorHAnsi" w:hAnsiTheme="majorHAnsi" w:cstheme="majorHAnsi"/>
          <w:sz w:val="20"/>
          <w:szCs w:val="20"/>
        </w:rPr>
        <w:t xml:space="preserve">School of Public Health </w:t>
      </w:r>
      <w:r w:rsidRPr="00E80636">
        <w:rPr>
          <w:rFonts w:asciiTheme="majorHAnsi" w:eastAsia="Calibri" w:hAnsiTheme="majorHAnsi" w:cstheme="majorHAnsi"/>
          <w:sz w:val="20"/>
          <w:szCs w:val="20"/>
        </w:rPr>
        <w:t>uses a wide variety of methods to obtain input on its graduates’ ability to perform competencies in an employment setting. The input obtained has been extremely helpful in informing the curriculum and in enlightening faculty of the skills our graduates need.</w:t>
      </w:r>
      <w:bookmarkStart w:id="138" w:name="_Toc464487893"/>
      <w:bookmarkStart w:id="139" w:name="_Toc7118226"/>
    </w:p>
    <w:p w:rsidR="003818BA" w:rsidRPr="00E80636" w:rsidRDefault="003818BA" w:rsidP="006C308E">
      <w:pPr>
        <w:rPr>
          <w:rStyle w:val="Heading1Char"/>
          <w:bCs w:val="0"/>
        </w:rPr>
      </w:pPr>
      <w:r w:rsidRPr="00E80636">
        <w:rPr>
          <w:rStyle w:val="Heading1Char"/>
          <w:b w:val="0"/>
        </w:rPr>
        <w:br w:type="page"/>
      </w:r>
    </w:p>
    <w:p w:rsidR="00933038" w:rsidRPr="00E80636" w:rsidRDefault="00933038" w:rsidP="007A68BE">
      <w:pPr>
        <w:pStyle w:val="Heading1"/>
        <w:rPr>
          <w:rFonts w:eastAsia="Calibri"/>
        </w:rPr>
      </w:pPr>
      <w:r w:rsidRPr="00E80636">
        <w:rPr>
          <w:rStyle w:val="Heading1Char"/>
          <w:b/>
        </w:rPr>
        <w:t>F2. Student Involvement in Community and Professional Service</w:t>
      </w:r>
      <w:bookmarkEnd w:id="138"/>
      <w:bookmarkEnd w:id="139"/>
      <w:r w:rsidRPr="00E80636">
        <w:rPr>
          <w:rFonts w:eastAsia="Calibri"/>
        </w:rPr>
        <w:t xml:space="preserve"> </w:t>
      </w:r>
    </w:p>
    <w:p w:rsidR="00231759" w:rsidRPr="00E80636" w:rsidRDefault="00231759" w:rsidP="006C308E">
      <w:pPr>
        <w:keepNext/>
        <w:rPr>
          <w:rFonts w:asciiTheme="majorHAnsi" w:eastAsia="Calibri" w:hAnsiTheme="majorHAnsi" w:cstheme="majorHAnsi"/>
          <w:b/>
          <w:sz w:val="20"/>
          <w:szCs w:val="20"/>
        </w:rPr>
      </w:pPr>
    </w:p>
    <w:p w:rsidR="00933038" w:rsidRPr="00E80636" w:rsidRDefault="00933038" w:rsidP="006C308E">
      <w:pPr>
        <w:spacing w:after="160"/>
        <w:jc w:val="both"/>
        <w:rPr>
          <w:rFonts w:asciiTheme="majorHAnsi" w:eastAsia="Calibri" w:hAnsiTheme="majorHAnsi" w:cstheme="majorHAnsi"/>
          <w:b/>
          <w:sz w:val="20"/>
          <w:szCs w:val="20"/>
        </w:rPr>
      </w:pPr>
      <w:r w:rsidRPr="00E80636">
        <w:rPr>
          <w:rFonts w:asciiTheme="majorHAnsi" w:eastAsia="Calibri" w:hAnsiTheme="majorHAnsi" w:cstheme="majorHAnsi"/>
          <w:b/>
          <w:sz w:val="20"/>
          <w:szCs w:val="20"/>
        </w:rPr>
        <w:t>Community and professional service opportunities, in addition to those used to satisfy Criterion D4, are available to all students. Experiences should help students to gain an understanding of the contexts in which public health work is performed outside of an academic setting and the importance of learning and contributing to professional advancement in the field.</w:t>
      </w:r>
    </w:p>
    <w:p w:rsidR="00933038" w:rsidRPr="00E80636" w:rsidRDefault="00933038" w:rsidP="006C308E">
      <w:pPr>
        <w:numPr>
          <w:ilvl w:val="0"/>
          <w:numId w:val="38"/>
        </w:numPr>
        <w:contextualSpacing/>
        <w:rPr>
          <w:rFonts w:asciiTheme="majorHAnsi" w:hAnsiTheme="majorHAnsi" w:cstheme="majorHAnsi"/>
          <w:sz w:val="20"/>
          <w:szCs w:val="20"/>
        </w:rPr>
      </w:pPr>
      <w:r w:rsidRPr="00E80636">
        <w:rPr>
          <w:rFonts w:asciiTheme="majorHAnsi" w:hAnsiTheme="majorHAnsi" w:cstheme="majorHAnsi"/>
          <w:sz w:val="20"/>
          <w:szCs w:val="20"/>
        </w:rPr>
        <w:t xml:space="preserve">Describe how students are introduced to service, community engagement and professional development activities and how they are encouraged to participate. </w:t>
      </w:r>
    </w:p>
    <w:p w:rsidR="003A245C" w:rsidRPr="00E80636" w:rsidRDefault="003A245C" w:rsidP="006C308E">
      <w:pPr>
        <w:ind w:left="720"/>
        <w:contextualSpacing/>
        <w:rPr>
          <w:rFonts w:asciiTheme="majorHAnsi" w:hAnsiTheme="majorHAnsi" w:cstheme="majorHAnsi"/>
          <w:sz w:val="20"/>
          <w:szCs w:val="20"/>
        </w:rPr>
      </w:pPr>
    </w:p>
    <w:p w:rsidR="008D429A" w:rsidRPr="00E80636" w:rsidRDefault="008D429A" w:rsidP="006C308E">
      <w:pPr>
        <w:pStyle w:val="Default"/>
        <w:ind w:left="720"/>
        <w:rPr>
          <w:rFonts w:asciiTheme="majorHAnsi" w:hAnsiTheme="majorHAnsi" w:cstheme="majorHAnsi"/>
          <w:szCs w:val="20"/>
        </w:rPr>
      </w:pPr>
      <w:r w:rsidRPr="00E80636">
        <w:rPr>
          <w:rFonts w:asciiTheme="majorHAnsi" w:hAnsiTheme="majorHAnsi" w:cstheme="majorHAnsi"/>
          <w:szCs w:val="20"/>
        </w:rPr>
        <w:t>At the UTHealth School of Public Health, service is codified in its mission statement. Service, community engagement, and professional development activities are an integral part of a student’s academic career at the school. Thus, students are exposed to numerous opportunities to participate in during their time at the school. Communications regarding available community and professional service opportunities are sent via email, newsletters, and flyers; posted to the school’s Facebook page; and included in Handshake, the school’s career services platform. Examples of community and professional service opportunities include:</w:t>
      </w:r>
    </w:p>
    <w:p w:rsidR="008D429A" w:rsidRPr="00E80636" w:rsidRDefault="008D429A" w:rsidP="006C308E">
      <w:pPr>
        <w:pStyle w:val="Default"/>
        <w:ind w:left="720"/>
        <w:rPr>
          <w:rFonts w:asciiTheme="majorHAnsi" w:hAnsiTheme="majorHAnsi" w:cstheme="majorHAnsi"/>
          <w:szCs w:val="20"/>
        </w:rPr>
      </w:pPr>
    </w:p>
    <w:p w:rsidR="008D429A" w:rsidRPr="00E80636" w:rsidRDefault="008D429A" w:rsidP="006C308E">
      <w:pPr>
        <w:pStyle w:val="Default"/>
        <w:ind w:left="720"/>
        <w:rPr>
          <w:rFonts w:asciiTheme="majorHAnsi" w:hAnsiTheme="majorHAnsi" w:cstheme="majorHAnsi"/>
          <w:b/>
          <w:szCs w:val="20"/>
        </w:rPr>
      </w:pPr>
      <w:r w:rsidRPr="00E80636">
        <w:rPr>
          <w:rFonts w:asciiTheme="majorHAnsi" w:hAnsiTheme="majorHAnsi" w:cstheme="majorHAnsi"/>
          <w:b/>
          <w:szCs w:val="20"/>
        </w:rPr>
        <w:t xml:space="preserve">Orientation - Launch into Public Health </w:t>
      </w:r>
    </w:p>
    <w:p w:rsidR="008D429A" w:rsidRPr="00E80636" w:rsidRDefault="008D429A" w:rsidP="006C308E">
      <w:pPr>
        <w:pStyle w:val="Default"/>
        <w:ind w:left="720"/>
        <w:rPr>
          <w:rFonts w:asciiTheme="majorHAnsi" w:hAnsiTheme="majorHAnsi" w:cstheme="majorHAnsi"/>
          <w:szCs w:val="20"/>
        </w:rPr>
      </w:pPr>
      <w:r w:rsidRPr="00E80636">
        <w:rPr>
          <w:rFonts w:asciiTheme="majorHAnsi" w:hAnsiTheme="majorHAnsi" w:cstheme="majorHAnsi"/>
          <w:szCs w:val="20"/>
        </w:rPr>
        <w:t>New student orientation includes a “Launch into Public Health” day of service, which is designed to excite incoming students to launch their career into public health service through hands-on interprofessional engagement and service with a local community organization. Each campus facilitates a day-of-service activity that involves a type of community service project, including volunteering at local food banks, CPR training, collecting school supplies for under-represented communities, volunteering with individuals and families experiencing homelessness, and providing resources to community food pantries and kitchens. The “Launch into Public Health” day of service provides incoming students, current students, faculty, and staff an opportunity to come together and participate in public health service and community engagement.</w:t>
      </w:r>
    </w:p>
    <w:p w:rsidR="008D429A" w:rsidRPr="00E80636" w:rsidRDefault="008D429A" w:rsidP="006C308E">
      <w:pPr>
        <w:pStyle w:val="Default"/>
        <w:ind w:left="720"/>
        <w:rPr>
          <w:rFonts w:asciiTheme="majorHAnsi" w:hAnsiTheme="majorHAnsi" w:cstheme="majorHAnsi"/>
          <w:szCs w:val="20"/>
        </w:rPr>
      </w:pPr>
    </w:p>
    <w:p w:rsidR="008D429A" w:rsidRPr="00E80636" w:rsidRDefault="008D429A" w:rsidP="006C308E">
      <w:pPr>
        <w:pStyle w:val="Default"/>
        <w:ind w:left="720"/>
        <w:rPr>
          <w:rFonts w:asciiTheme="majorHAnsi" w:hAnsiTheme="majorHAnsi" w:cstheme="majorHAnsi"/>
          <w:b/>
          <w:szCs w:val="20"/>
        </w:rPr>
      </w:pPr>
      <w:r w:rsidRPr="00E80636">
        <w:rPr>
          <w:rFonts w:asciiTheme="majorHAnsi" w:hAnsiTheme="majorHAnsi" w:cstheme="majorHAnsi"/>
          <w:b/>
          <w:szCs w:val="20"/>
        </w:rPr>
        <w:t xml:space="preserve">Student Organizations </w:t>
      </w:r>
    </w:p>
    <w:p w:rsidR="008D429A" w:rsidRPr="00E80636" w:rsidRDefault="008D429A" w:rsidP="006C308E">
      <w:pPr>
        <w:pStyle w:val="Default"/>
        <w:ind w:left="720"/>
        <w:rPr>
          <w:rFonts w:asciiTheme="majorHAnsi" w:hAnsiTheme="majorHAnsi" w:cstheme="majorHAnsi"/>
          <w:szCs w:val="20"/>
        </w:rPr>
      </w:pPr>
      <w:r w:rsidRPr="00E80636">
        <w:rPr>
          <w:rFonts w:asciiTheme="majorHAnsi" w:hAnsiTheme="majorHAnsi" w:cstheme="majorHAnsi"/>
          <w:szCs w:val="20"/>
        </w:rPr>
        <w:t xml:space="preserve">Incoming students are introduced to the school’s numerous active student organizations in pre-orientation online modules, as well as at the in-person orientation. Student organizations facilitate service, community engagement, and professional development activities throughout the year and across the campuses. </w:t>
      </w:r>
    </w:p>
    <w:p w:rsidR="008D429A" w:rsidRPr="00E80636" w:rsidRDefault="008D429A" w:rsidP="006C308E">
      <w:pPr>
        <w:pStyle w:val="Default"/>
        <w:ind w:left="720"/>
        <w:rPr>
          <w:rFonts w:asciiTheme="majorHAnsi" w:hAnsiTheme="majorHAnsi" w:cstheme="majorHAnsi"/>
          <w:szCs w:val="20"/>
        </w:rPr>
      </w:pPr>
    </w:p>
    <w:p w:rsidR="008D429A" w:rsidRPr="00E80636" w:rsidRDefault="008D429A" w:rsidP="006C308E">
      <w:pPr>
        <w:pStyle w:val="Default"/>
        <w:ind w:left="720"/>
        <w:rPr>
          <w:rFonts w:asciiTheme="majorHAnsi" w:hAnsiTheme="majorHAnsi" w:cstheme="majorHAnsi"/>
          <w:b/>
          <w:szCs w:val="20"/>
        </w:rPr>
      </w:pPr>
      <w:r w:rsidRPr="00E80636">
        <w:rPr>
          <w:rFonts w:asciiTheme="majorHAnsi" w:hAnsiTheme="majorHAnsi" w:cstheme="majorHAnsi"/>
          <w:b/>
          <w:szCs w:val="20"/>
        </w:rPr>
        <w:t>Practicum and Courses</w:t>
      </w:r>
    </w:p>
    <w:p w:rsidR="008D429A" w:rsidRPr="00E80636" w:rsidRDefault="008D429A" w:rsidP="006C308E">
      <w:pPr>
        <w:pStyle w:val="Default"/>
        <w:ind w:left="720"/>
        <w:rPr>
          <w:rFonts w:asciiTheme="majorHAnsi" w:hAnsiTheme="majorHAnsi" w:cstheme="majorHAnsi"/>
          <w:szCs w:val="20"/>
        </w:rPr>
      </w:pPr>
      <w:r w:rsidRPr="00E80636">
        <w:rPr>
          <w:rFonts w:asciiTheme="majorHAnsi" w:hAnsiTheme="majorHAnsi" w:cstheme="majorHAnsi"/>
          <w:szCs w:val="20"/>
        </w:rPr>
        <w:t xml:space="preserve">Students are exposed to service and community engagement through various practicum opportunities, as well as specific courses, such as Working in Diverse Communities (reference service section in E). Students can participate in practica that allow them to serve local communities. In a recent course, students went into the community to assess a cockroach infestation at a local apartment complex. In other courses, representatives from the community and public health programs participate in class presentations, along with faculty, and present students with opportunities to engage with the community on current projects. </w:t>
      </w:r>
    </w:p>
    <w:p w:rsidR="008D429A" w:rsidRPr="00E80636" w:rsidRDefault="008D429A" w:rsidP="006C308E">
      <w:pPr>
        <w:pStyle w:val="Default"/>
        <w:rPr>
          <w:rFonts w:asciiTheme="majorHAnsi" w:hAnsiTheme="majorHAnsi" w:cstheme="majorHAnsi"/>
          <w:szCs w:val="20"/>
        </w:rPr>
      </w:pPr>
    </w:p>
    <w:p w:rsidR="008D429A" w:rsidRPr="00E80636" w:rsidRDefault="008D429A" w:rsidP="006C308E">
      <w:pPr>
        <w:pStyle w:val="Default"/>
        <w:ind w:left="720"/>
        <w:rPr>
          <w:rFonts w:asciiTheme="majorHAnsi" w:hAnsiTheme="majorHAnsi" w:cstheme="majorHAnsi"/>
          <w:b/>
          <w:szCs w:val="20"/>
        </w:rPr>
      </w:pPr>
      <w:r w:rsidRPr="00E80636">
        <w:rPr>
          <w:rFonts w:asciiTheme="majorHAnsi" w:hAnsiTheme="majorHAnsi" w:cstheme="majorHAnsi"/>
          <w:b/>
          <w:szCs w:val="20"/>
        </w:rPr>
        <w:t>Fellowships</w:t>
      </w:r>
    </w:p>
    <w:p w:rsidR="008D429A" w:rsidRPr="00E80636" w:rsidRDefault="008D429A" w:rsidP="006C308E">
      <w:pPr>
        <w:pStyle w:val="Default"/>
        <w:ind w:left="720"/>
        <w:rPr>
          <w:rFonts w:asciiTheme="majorHAnsi" w:hAnsiTheme="majorHAnsi" w:cstheme="majorHAnsi"/>
          <w:szCs w:val="20"/>
          <w:highlight w:val="yellow"/>
        </w:rPr>
      </w:pPr>
      <w:r w:rsidRPr="00E80636">
        <w:rPr>
          <w:rFonts w:asciiTheme="majorHAnsi" w:hAnsiTheme="majorHAnsi" w:cstheme="majorHAnsi"/>
          <w:szCs w:val="20"/>
        </w:rPr>
        <w:t>Students are offered several fellowships that acknowledge and foster service and community engagement among fellows. Fellowships offer financial assistance to enrolled students. Fellows provide service and community engagement in cancer prevention research, communities with breast cancer disparities, communities at risk from environmental factors, and occupational exposures from the workplace, as well as participate in maternal and child health projects that are a part of a significant need for Title V programs.</w:t>
      </w:r>
    </w:p>
    <w:p w:rsidR="008D429A" w:rsidRPr="00E80636" w:rsidRDefault="008D429A" w:rsidP="006C308E">
      <w:pPr>
        <w:pStyle w:val="Default"/>
        <w:ind w:left="720"/>
        <w:rPr>
          <w:rFonts w:asciiTheme="majorHAnsi" w:hAnsiTheme="majorHAnsi" w:cstheme="majorHAnsi"/>
          <w:szCs w:val="20"/>
        </w:rPr>
      </w:pPr>
    </w:p>
    <w:p w:rsidR="008D429A" w:rsidRPr="00E80636" w:rsidRDefault="008D429A" w:rsidP="006C308E">
      <w:pPr>
        <w:pStyle w:val="Default"/>
        <w:ind w:left="720"/>
        <w:rPr>
          <w:rFonts w:asciiTheme="majorHAnsi" w:hAnsiTheme="majorHAnsi" w:cstheme="majorHAnsi"/>
          <w:b/>
          <w:szCs w:val="20"/>
        </w:rPr>
      </w:pPr>
      <w:r w:rsidRPr="00E80636">
        <w:rPr>
          <w:rFonts w:asciiTheme="majorHAnsi" w:hAnsiTheme="majorHAnsi" w:cstheme="majorHAnsi"/>
          <w:b/>
          <w:szCs w:val="20"/>
        </w:rPr>
        <w:t>Scholarships</w:t>
      </w:r>
    </w:p>
    <w:p w:rsidR="008D429A" w:rsidRPr="00E80636" w:rsidRDefault="008D429A" w:rsidP="006C308E">
      <w:pPr>
        <w:spacing w:after="160"/>
        <w:ind w:left="720"/>
        <w:contextualSpacing/>
        <w:rPr>
          <w:rFonts w:asciiTheme="majorHAnsi" w:hAnsiTheme="majorHAnsi" w:cstheme="majorHAnsi"/>
          <w:sz w:val="20"/>
          <w:szCs w:val="20"/>
        </w:rPr>
      </w:pPr>
      <w:r w:rsidRPr="00E80636">
        <w:rPr>
          <w:rFonts w:asciiTheme="majorHAnsi" w:hAnsiTheme="majorHAnsi" w:cstheme="majorHAnsi"/>
          <w:sz w:val="20"/>
          <w:szCs w:val="20"/>
        </w:rPr>
        <w:t>Students who are committed to community service and engagement are offered various scholarships. These scholarships are for continuing students who are actively involved in community service and demonstrate outstanding leadership qualities. For example, students who are committed to working in African-American communities can receive the Dr. Oddis Calvin Turner Endowed Scholarship in Health Promotion and Behavioral Sciences or the Polly Sparks Turner, MPH, DrPH Endowed Scholarship in Community Health.</w:t>
      </w:r>
    </w:p>
    <w:p w:rsidR="00933038" w:rsidRPr="00E80636" w:rsidRDefault="00933038" w:rsidP="006C308E">
      <w:pPr>
        <w:spacing w:after="160"/>
        <w:ind w:left="720"/>
        <w:contextualSpacing/>
        <w:rPr>
          <w:rFonts w:asciiTheme="majorHAnsi" w:hAnsiTheme="majorHAnsi" w:cstheme="majorHAnsi"/>
          <w:sz w:val="20"/>
          <w:szCs w:val="20"/>
        </w:rPr>
      </w:pPr>
    </w:p>
    <w:p w:rsidR="00933038" w:rsidRPr="00E80636" w:rsidRDefault="00933038" w:rsidP="006C308E">
      <w:pPr>
        <w:numPr>
          <w:ilvl w:val="0"/>
          <w:numId w:val="38"/>
        </w:numPr>
        <w:spacing w:after="160"/>
        <w:contextualSpacing/>
        <w:rPr>
          <w:rFonts w:asciiTheme="majorHAnsi" w:hAnsiTheme="majorHAnsi" w:cstheme="majorHAnsi"/>
          <w:sz w:val="20"/>
          <w:szCs w:val="20"/>
        </w:rPr>
      </w:pPr>
      <w:r w:rsidRPr="00E80636">
        <w:rPr>
          <w:rFonts w:asciiTheme="majorHAnsi" w:hAnsiTheme="majorHAnsi" w:cstheme="majorHAnsi"/>
          <w:sz w:val="20"/>
          <w:szCs w:val="20"/>
        </w:rPr>
        <w:t xml:space="preserve">Provide examples of professional and community service opportunities in which public health students have participated in the last three years. </w:t>
      </w:r>
    </w:p>
    <w:p w:rsidR="00933038" w:rsidRPr="00E80636" w:rsidRDefault="00933038" w:rsidP="006C308E">
      <w:pPr>
        <w:contextualSpacing/>
        <w:rPr>
          <w:rFonts w:asciiTheme="majorHAnsi" w:hAnsiTheme="majorHAnsi" w:cstheme="majorHAnsi"/>
          <w:sz w:val="20"/>
          <w:szCs w:val="20"/>
        </w:rPr>
      </w:pPr>
    </w:p>
    <w:p w:rsidR="008D429A" w:rsidRPr="00E80636" w:rsidRDefault="008D429A" w:rsidP="006C308E">
      <w:pPr>
        <w:pStyle w:val="Default"/>
        <w:ind w:left="720"/>
        <w:rPr>
          <w:rFonts w:asciiTheme="majorHAnsi" w:hAnsiTheme="majorHAnsi" w:cstheme="majorHAnsi"/>
          <w:szCs w:val="20"/>
        </w:rPr>
      </w:pPr>
      <w:r w:rsidRPr="00E80636">
        <w:rPr>
          <w:rFonts w:asciiTheme="majorHAnsi" w:hAnsiTheme="majorHAnsi" w:cstheme="majorHAnsi"/>
          <w:szCs w:val="20"/>
        </w:rPr>
        <w:t xml:space="preserve">The UTHealth School of Public Health provides vast professional and community service opportunities for public health students. These opportunities are offered to increase community and professional engagement, as well as social and networking opportunities for students. Students engage in hands-on experiences and develop technical and leadership skills through community initiatives and professional sponsorship. </w:t>
      </w:r>
    </w:p>
    <w:p w:rsidR="008D429A" w:rsidRPr="00E80636" w:rsidRDefault="008D429A" w:rsidP="006C308E">
      <w:pPr>
        <w:pStyle w:val="Default"/>
        <w:ind w:left="720"/>
        <w:rPr>
          <w:rFonts w:asciiTheme="majorHAnsi" w:hAnsiTheme="majorHAnsi" w:cstheme="majorHAnsi"/>
          <w:szCs w:val="20"/>
        </w:rPr>
      </w:pPr>
    </w:p>
    <w:p w:rsidR="008D429A" w:rsidRPr="00E80636" w:rsidRDefault="008D429A" w:rsidP="006C308E">
      <w:pPr>
        <w:pStyle w:val="Default"/>
        <w:ind w:left="720"/>
        <w:rPr>
          <w:rFonts w:asciiTheme="majorHAnsi" w:hAnsiTheme="majorHAnsi" w:cstheme="majorHAnsi"/>
          <w:b/>
          <w:szCs w:val="20"/>
        </w:rPr>
      </w:pPr>
      <w:r w:rsidRPr="00E80636">
        <w:rPr>
          <w:rFonts w:asciiTheme="majorHAnsi" w:hAnsiTheme="majorHAnsi" w:cstheme="majorHAnsi"/>
          <w:b/>
          <w:szCs w:val="20"/>
        </w:rPr>
        <w:t xml:space="preserve">Community Service Activities </w:t>
      </w:r>
    </w:p>
    <w:p w:rsidR="008D429A" w:rsidRPr="00E80636" w:rsidRDefault="008D429A" w:rsidP="006C308E">
      <w:pPr>
        <w:pStyle w:val="Default"/>
        <w:ind w:left="720"/>
        <w:rPr>
          <w:rFonts w:asciiTheme="majorHAnsi" w:hAnsiTheme="majorHAnsi" w:cstheme="majorHAnsi"/>
          <w:szCs w:val="20"/>
        </w:rPr>
      </w:pPr>
      <w:r w:rsidRPr="00E80636">
        <w:rPr>
          <w:rFonts w:asciiTheme="majorHAnsi" w:hAnsiTheme="majorHAnsi" w:cstheme="majorHAnsi"/>
          <w:szCs w:val="20"/>
        </w:rPr>
        <w:t xml:space="preserve">At the UTHealth School of Public Health, students participate in a number of community service activities throughout the year and across the state of Texas. For instance, students conduct collection drives for winter coats, socks, toiletries, and canned goods; volunteer at local food banks and community gardens; and participate in several walks to raise awareness and funds for health. A few specific examples of service and community engagement opportunities for students are listed below: </w:t>
      </w:r>
    </w:p>
    <w:p w:rsidR="008D429A" w:rsidRPr="00E80636" w:rsidRDefault="008D429A" w:rsidP="006C308E">
      <w:pPr>
        <w:pStyle w:val="Default"/>
        <w:ind w:left="720"/>
        <w:rPr>
          <w:rFonts w:asciiTheme="majorHAnsi" w:hAnsiTheme="majorHAnsi" w:cstheme="majorHAnsi"/>
          <w:szCs w:val="20"/>
        </w:rPr>
      </w:pPr>
    </w:p>
    <w:p w:rsidR="008D429A" w:rsidRPr="00E80636" w:rsidRDefault="008D429A" w:rsidP="006C308E">
      <w:pPr>
        <w:pStyle w:val="Default"/>
        <w:numPr>
          <w:ilvl w:val="1"/>
          <w:numId w:val="104"/>
        </w:numPr>
        <w:rPr>
          <w:rFonts w:asciiTheme="majorHAnsi" w:hAnsiTheme="majorHAnsi" w:cstheme="majorHAnsi"/>
          <w:szCs w:val="20"/>
        </w:rPr>
      </w:pPr>
      <w:r w:rsidRPr="00E80636">
        <w:rPr>
          <w:rFonts w:asciiTheme="majorHAnsi" w:hAnsiTheme="majorHAnsi" w:cstheme="majorHAnsi"/>
          <w:b/>
          <w:szCs w:val="20"/>
        </w:rPr>
        <w:t>Annual Houston Homeless Census</w:t>
      </w:r>
      <w:r w:rsidRPr="00E80636">
        <w:rPr>
          <w:rFonts w:asciiTheme="majorHAnsi" w:hAnsiTheme="majorHAnsi" w:cstheme="majorHAnsi"/>
          <w:szCs w:val="20"/>
        </w:rPr>
        <w:t xml:space="preserve"> – Students volunteer to participate in the annual census of homeless in the City of Houston. Teams canvas the city for a count of persons experiencing homelessness in their community. The point-in-time count must be done during the last ten (10) days of January and in a 24-hour period. Both individuals in shelters and those sleeping in places not meant for human habitation need to be counted, as do special population groups, including those who are chronically homeless, those with severe mental illness, domestic violence victims, veterans, homeless families, and those living with HIV. Students are also involved in focus groups for the Coalition for the Homeless of Houston/Harris County that are part of needs assessments with different populations experiencing homelessness (e.g., this year the target population is youth aged 18-24 years). Students take notes, summarize the results, and write the final report.</w:t>
      </w:r>
    </w:p>
    <w:p w:rsidR="008D429A" w:rsidRPr="00E80636" w:rsidRDefault="008D429A" w:rsidP="006C308E">
      <w:pPr>
        <w:pStyle w:val="Default"/>
        <w:ind w:left="1440"/>
        <w:rPr>
          <w:rFonts w:asciiTheme="majorHAnsi" w:hAnsiTheme="majorHAnsi" w:cstheme="majorHAnsi"/>
          <w:szCs w:val="20"/>
        </w:rPr>
      </w:pPr>
    </w:p>
    <w:p w:rsidR="008D429A" w:rsidRPr="00E80636" w:rsidRDefault="008D429A" w:rsidP="006C308E">
      <w:pPr>
        <w:pStyle w:val="Default"/>
        <w:numPr>
          <w:ilvl w:val="1"/>
          <w:numId w:val="104"/>
        </w:numPr>
        <w:rPr>
          <w:rFonts w:asciiTheme="majorHAnsi" w:hAnsiTheme="majorHAnsi" w:cstheme="majorHAnsi"/>
          <w:szCs w:val="20"/>
        </w:rPr>
      </w:pPr>
      <w:r w:rsidRPr="00E80636">
        <w:rPr>
          <w:rFonts w:asciiTheme="majorHAnsi" w:hAnsiTheme="majorHAnsi" w:cstheme="majorHAnsi"/>
          <w:b/>
          <w:szCs w:val="20"/>
        </w:rPr>
        <w:t>The Challenge-RGV</w:t>
      </w:r>
      <w:r w:rsidRPr="00E80636">
        <w:rPr>
          <w:rFonts w:asciiTheme="majorHAnsi" w:hAnsiTheme="majorHAnsi" w:cstheme="majorHAnsi"/>
          <w:szCs w:val="20"/>
        </w:rPr>
        <w:t xml:space="preserve"> – The Challenge-RGV is a collaboration between the City of Brownsville and the Brownsville campus of UTHealth School of Public Health, along with many sponsors and community partners.​ Students at the Brownsville campus actively participated in many aspects of the 10th anniversary offering of the Challenge-RGV that kicked off in January 2019. This initiative is a fun, free community-wide weight loss challenge. Every year, over 1,200 people register for the Challenge-RGV and participate in this friendly competition to win prizes by attending active-living events and losing extra weight across the 12 weeks of the Challenge-RGV. Students assist with all aspects of the initiative, including weighing people, taking blood pressure readings, entering data, tracking participation in community events, and setting up and tearing down the staging areas at local libraries and parks. Students play an important role in making participants feel comfortable in having discussions about weight loss and learning ways to become healthier.   </w:t>
      </w:r>
    </w:p>
    <w:p w:rsidR="008D429A" w:rsidRPr="00E80636" w:rsidRDefault="008D429A" w:rsidP="006C308E">
      <w:pPr>
        <w:pStyle w:val="Default"/>
        <w:rPr>
          <w:rFonts w:asciiTheme="majorHAnsi" w:hAnsiTheme="majorHAnsi" w:cstheme="majorHAnsi"/>
          <w:szCs w:val="20"/>
        </w:rPr>
      </w:pPr>
    </w:p>
    <w:p w:rsidR="008D429A" w:rsidRPr="00E80636" w:rsidRDefault="008D429A" w:rsidP="006C308E">
      <w:pPr>
        <w:pStyle w:val="Default"/>
        <w:numPr>
          <w:ilvl w:val="1"/>
          <w:numId w:val="104"/>
        </w:numPr>
        <w:rPr>
          <w:rFonts w:asciiTheme="majorHAnsi" w:hAnsiTheme="majorHAnsi" w:cstheme="majorHAnsi"/>
          <w:iCs/>
          <w:color w:val="auto"/>
          <w:szCs w:val="20"/>
          <w:shd w:val="clear" w:color="auto" w:fill="FFFFFF"/>
        </w:rPr>
      </w:pPr>
      <w:r w:rsidRPr="00E80636">
        <w:rPr>
          <w:rFonts w:asciiTheme="majorHAnsi" w:hAnsiTheme="majorHAnsi" w:cstheme="majorHAnsi"/>
          <w:b/>
          <w:color w:val="auto"/>
          <w:szCs w:val="20"/>
        </w:rPr>
        <w:t xml:space="preserve">outREACH – </w:t>
      </w:r>
      <w:r w:rsidRPr="00E80636">
        <w:rPr>
          <w:rFonts w:asciiTheme="majorHAnsi" w:hAnsiTheme="majorHAnsi" w:cstheme="majorHAnsi"/>
          <w:color w:val="auto"/>
          <w:szCs w:val="20"/>
        </w:rPr>
        <w:t>outREACH aspires to help create a safe and supportive professional and academic environment for all lesbian, gay, bisexual, transgender, queer, and questioning (LGBTQ+) students, postdoctoral fellows, faculty, and staff and their allies at the UTHealth School of Public Health through the group’s presence and visibility. outREACH serves as a resource and advocate for these individuals and their families. outREACH volunteers have participated in and managed several service projects, such as the Valentine’s Day Fundraiser for the Montrose Center prison release clothing collection, Love Has No Label; Houston Global Health Collaborative; Transgender Awareness Day, where they spread advocacy and awareness of those who have been murdered as a result of transphobia; and the Lesbian Health Initiative Health Fair, previously a free biannual health fair for LGBTQ women. At the health fair, outREACH volunteers helped with registration, the information table, sign-in at services (i.e., STI testing), cleanup, and setup, as well as marketing.</w:t>
      </w:r>
      <w:r w:rsidRPr="00E80636">
        <w:rPr>
          <w:rFonts w:asciiTheme="majorHAnsi" w:hAnsiTheme="majorHAnsi" w:cstheme="majorHAnsi"/>
          <w:i/>
          <w:iCs/>
          <w:color w:val="auto"/>
          <w:szCs w:val="20"/>
          <w:shd w:val="clear" w:color="auto" w:fill="FFFFFF"/>
        </w:rPr>
        <w:t xml:space="preserve"> </w:t>
      </w:r>
      <w:r w:rsidRPr="00E80636">
        <w:rPr>
          <w:rFonts w:asciiTheme="majorHAnsi" w:hAnsiTheme="majorHAnsi" w:cstheme="majorHAnsi"/>
          <w:color w:val="auto"/>
          <w:szCs w:val="20"/>
        </w:rPr>
        <w:t>outREACH plays a major role in representing UTHealth at the Houston Pride Parade each year. Furthermore, outREACH coordinates several professional development activities, including the Impact Global Health Conference; National LGBTQ Health Conference in Chicago, IL; Out for Health Summit in San Antonio, TX; ACLU Reproductive Freedom in Action in Austin, TX; and the APHA Conference</w:t>
      </w:r>
      <w:r w:rsidRPr="00E80636">
        <w:rPr>
          <w:rFonts w:asciiTheme="majorHAnsi" w:hAnsiTheme="majorHAnsi" w:cstheme="majorHAnsi"/>
          <w:i/>
          <w:iCs/>
          <w:color w:val="auto"/>
          <w:szCs w:val="20"/>
        </w:rPr>
        <w:t>.</w:t>
      </w:r>
    </w:p>
    <w:p w:rsidR="008D429A" w:rsidRPr="00E80636" w:rsidRDefault="008D429A" w:rsidP="006C308E">
      <w:pPr>
        <w:pStyle w:val="Default"/>
        <w:ind w:left="1440"/>
        <w:rPr>
          <w:rFonts w:asciiTheme="majorHAnsi" w:hAnsiTheme="majorHAnsi" w:cstheme="majorHAnsi"/>
          <w:iCs/>
          <w:color w:val="auto"/>
          <w:szCs w:val="20"/>
          <w:shd w:val="clear" w:color="auto" w:fill="FFFFFF"/>
        </w:rPr>
      </w:pPr>
    </w:p>
    <w:p w:rsidR="008D429A" w:rsidRPr="00E80636" w:rsidRDefault="008D429A" w:rsidP="006C308E">
      <w:pPr>
        <w:pStyle w:val="Default"/>
        <w:numPr>
          <w:ilvl w:val="1"/>
          <w:numId w:val="104"/>
        </w:numPr>
        <w:rPr>
          <w:rFonts w:asciiTheme="majorHAnsi" w:hAnsiTheme="majorHAnsi" w:cstheme="majorHAnsi"/>
          <w:szCs w:val="20"/>
        </w:rPr>
      </w:pPr>
      <w:r w:rsidRPr="00E80636">
        <w:rPr>
          <w:rFonts w:asciiTheme="majorHAnsi" w:hAnsiTheme="majorHAnsi" w:cstheme="majorHAnsi"/>
          <w:b/>
          <w:szCs w:val="20"/>
        </w:rPr>
        <w:t xml:space="preserve">Southeast Health and Wellness Center (SEHWC) </w:t>
      </w:r>
      <w:r w:rsidRPr="00E80636">
        <w:rPr>
          <w:rFonts w:asciiTheme="majorHAnsi" w:hAnsiTheme="majorHAnsi" w:cstheme="majorHAnsi"/>
          <w:szCs w:val="20"/>
        </w:rPr>
        <w:t xml:space="preserve">– The Dell Center on the Austin campus of UTHealth School of Public Health has an office at the SEHWC, which is a Federally Qualified Health Center. The Dell Center participates in different types of outreach with the SEHWC. The SEHWC provides feedback in terms of what evaluations they need and find helpful, in which students can participate for the SEHWC. In Spring 2019, a student conducted a needs assessment at SEHWC. The partners plan to create more opportunities for students to engage with the SEHWC through practicum opportunities that will benefit the community. The Dell Center plans to continue to participate in community health fairs and events that are offered at SEHWC to strengthen the relationship with Central Health and other community partners that will allow for students to have additional community service opportunities. In August 2019, a Service Activity Day was held for students to volunteer at SEHWC. </w:t>
      </w:r>
    </w:p>
    <w:p w:rsidR="008D429A" w:rsidRPr="00E80636" w:rsidRDefault="008D429A" w:rsidP="006C308E">
      <w:pPr>
        <w:pStyle w:val="Default"/>
        <w:rPr>
          <w:rFonts w:asciiTheme="majorHAnsi" w:hAnsiTheme="majorHAnsi" w:cstheme="majorHAnsi"/>
          <w:szCs w:val="20"/>
        </w:rPr>
      </w:pPr>
    </w:p>
    <w:p w:rsidR="008D429A" w:rsidRPr="00E80636" w:rsidRDefault="008D429A" w:rsidP="006C308E">
      <w:pPr>
        <w:pStyle w:val="Default"/>
        <w:numPr>
          <w:ilvl w:val="1"/>
          <w:numId w:val="104"/>
        </w:numPr>
        <w:rPr>
          <w:rFonts w:asciiTheme="majorHAnsi" w:hAnsiTheme="majorHAnsi" w:cstheme="majorHAnsi"/>
          <w:szCs w:val="20"/>
        </w:rPr>
      </w:pPr>
      <w:r w:rsidRPr="00E80636">
        <w:rPr>
          <w:rFonts w:asciiTheme="majorHAnsi" w:hAnsiTheme="majorHAnsi" w:cstheme="majorHAnsi"/>
          <w:b/>
          <w:szCs w:val="20"/>
        </w:rPr>
        <w:t xml:space="preserve">Southwest Center for Occupational and Environmental Health (SWCOEH) </w:t>
      </w:r>
      <w:r w:rsidRPr="00E80636">
        <w:rPr>
          <w:rFonts w:asciiTheme="majorHAnsi" w:hAnsiTheme="majorHAnsi" w:cstheme="majorHAnsi"/>
          <w:szCs w:val="20"/>
        </w:rPr>
        <w:t xml:space="preserve">– When disaster strikes, SWCOEH faculty are often called for rapid response, which allows students to serve alongside their faculty in the community. In August 2017, Houston, TX, received 50 inches of rain in a 24-hour period due to Hurricane Harvey. Students participated in environmental monitoring, worked in the Muck and Gut Protection Program, trained residents and workers on how to safely clean flooded homes and properties, and recruited Harvey survivors to evaluate the impact of exposures of biological and chemical agents on health. In March 2019, a fire began at the International Terminals Company (ITC), a storage facility for petroleum liquids and gases in Deer Park, TX. Students participated in air-monitoring campaigns in neighborhoods near ITC and partnered with Harris Health Department and the Environmental Defense Fund to deploy air sensors. Students are currently taking part in the Deep Fire Research Study and the field activities related to assessing the impacts of the fire on air and health quality. </w:t>
      </w:r>
    </w:p>
    <w:p w:rsidR="008D429A" w:rsidRPr="00E80636" w:rsidRDefault="008D429A" w:rsidP="006C308E">
      <w:pPr>
        <w:pStyle w:val="Default"/>
        <w:rPr>
          <w:rFonts w:asciiTheme="majorHAnsi" w:hAnsiTheme="majorHAnsi" w:cstheme="majorHAnsi"/>
          <w:szCs w:val="20"/>
        </w:rPr>
      </w:pPr>
    </w:p>
    <w:p w:rsidR="008D429A" w:rsidRPr="00E80636" w:rsidRDefault="008D429A" w:rsidP="006C308E">
      <w:pPr>
        <w:pStyle w:val="Default"/>
        <w:numPr>
          <w:ilvl w:val="1"/>
          <w:numId w:val="104"/>
        </w:numPr>
        <w:rPr>
          <w:rFonts w:asciiTheme="majorHAnsi" w:hAnsiTheme="majorHAnsi" w:cstheme="majorHAnsi"/>
          <w:szCs w:val="20"/>
        </w:rPr>
      </w:pPr>
      <w:r w:rsidRPr="00E80636">
        <w:rPr>
          <w:rFonts w:asciiTheme="majorHAnsi" w:hAnsiTheme="majorHAnsi" w:cstheme="majorHAnsi"/>
          <w:b/>
          <w:szCs w:val="20"/>
        </w:rPr>
        <w:t>Student Epidemic Intelligence Society (SEIS)</w:t>
      </w:r>
      <w:r w:rsidRPr="00E80636">
        <w:rPr>
          <w:rFonts w:asciiTheme="majorHAnsi" w:hAnsiTheme="majorHAnsi" w:cstheme="majorHAnsi"/>
          <w:szCs w:val="20"/>
        </w:rPr>
        <w:t xml:space="preserve"> – SEIS is a student-led organization that provides volunteer, surge-capacity public health support to health departments and other public health entities during infectious disease outbreaks, natural disasters, and other public health emergencies. SEIS is organized in collaboration with the CDC-supported Center for Emergency Preparedness, which serves as the mentoring organization. SEIS students have hosted a personal protective equipment and N95 masks training with staff from the University of Texas Medical Branch International Biosafety Training Center; they also participated in a Rapid Assessment and Cluster Sampling Field Exercise, Radiological Response Drill with Harris County Public Health, mass casualty incident drills, and emotional resiliency in disaster response training. SEIS was also heavily involved in community service during and after Hurricane Harvey in August 2017. Specifically, SEIS students were boots on the ground during the hurricane helping at the George R. Brown Convention Center where displaced victims sought shelter during the flooding. After the hurricane, they participated in a Community Assessment for Public Health Emergency Response (CASPER) survey with Harris County Public Health in both Aldine and Bear Creek areas of Houston. Teams went door-to-door to conduct the CASPER survey, which is designed to provide quickly and at low-cost household-based information about the community affected. SEIS also provides students with professional development opportunities. SEIS students have exclusive access to employment and internship opportunities, as well as attend professional lectures by public health practitioners such as the Mesoamerican Nephropathy (MeN) in Nicaragua Presentation.</w:t>
      </w:r>
    </w:p>
    <w:p w:rsidR="008D429A" w:rsidRPr="00E80636" w:rsidRDefault="008D429A" w:rsidP="006C308E">
      <w:pPr>
        <w:pStyle w:val="Default"/>
        <w:ind w:left="1440"/>
        <w:rPr>
          <w:rFonts w:asciiTheme="majorHAnsi" w:hAnsiTheme="majorHAnsi" w:cstheme="majorHAnsi"/>
          <w:szCs w:val="20"/>
        </w:rPr>
      </w:pPr>
    </w:p>
    <w:p w:rsidR="008D429A" w:rsidRPr="00E80636" w:rsidRDefault="008D429A" w:rsidP="006C308E">
      <w:pPr>
        <w:pStyle w:val="ListParagraph"/>
        <w:numPr>
          <w:ilvl w:val="1"/>
          <w:numId w:val="104"/>
        </w:numPr>
        <w:contextualSpacing/>
        <w:rPr>
          <w:rFonts w:asciiTheme="majorHAnsi" w:hAnsiTheme="majorHAnsi" w:cstheme="majorHAnsi"/>
          <w:szCs w:val="20"/>
        </w:rPr>
      </w:pPr>
      <w:r w:rsidRPr="00E80636">
        <w:rPr>
          <w:rFonts w:asciiTheme="majorHAnsi" w:hAnsiTheme="majorHAnsi" w:cstheme="majorHAnsi"/>
          <w:b/>
          <w:color w:val="000000"/>
          <w:szCs w:val="20"/>
        </w:rPr>
        <w:t>Student Inter-Council (SIC)</w:t>
      </w:r>
      <w:r w:rsidRPr="00E80636">
        <w:rPr>
          <w:rFonts w:asciiTheme="majorHAnsi" w:hAnsiTheme="majorHAnsi" w:cstheme="majorHAnsi"/>
          <w:color w:val="000000"/>
          <w:szCs w:val="20"/>
        </w:rPr>
        <w:t xml:space="preserve"> – SIC is the official UTHealth student governance organization, and is the recognized forum of student opinion and the primary vehicle for student participation in the governance of UTHealth. SIC is composed of three representatives from each of the six UTHealth schools, three from under-represented student groups, and three international student constituencies. This year, the UTHealth School of Public Health has six active student representatives on the council. In 2017, SIC partnered with UTHealth to host a </w:t>
      </w:r>
      <w:r w:rsidRPr="00E80636">
        <w:rPr>
          <w:rFonts w:asciiTheme="majorHAnsi" w:hAnsiTheme="majorHAnsi" w:cstheme="majorHAnsi"/>
          <w:i/>
          <w:color w:val="000000"/>
          <w:szCs w:val="20"/>
        </w:rPr>
        <w:t>Stop the Bleed</w:t>
      </w:r>
      <w:r w:rsidRPr="00E80636">
        <w:rPr>
          <w:rFonts w:asciiTheme="majorHAnsi" w:hAnsiTheme="majorHAnsi" w:cstheme="majorHAnsi"/>
          <w:color w:val="000000"/>
          <w:szCs w:val="20"/>
        </w:rPr>
        <w:t xml:space="preserve"> event to engage the student body at UTHealth in the nation-wide </w:t>
      </w:r>
      <w:r w:rsidRPr="00E80636">
        <w:rPr>
          <w:rFonts w:asciiTheme="majorHAnsi" w:hAnsiTheme="majorHAnsi" w:cstheme="majorHAnsi"/>
          <w:i/>
          <w:color w:val="000000"/>
          <w:szCs w:val="20"/>
        </w:rPr>
        <w:t>Stop the Bleed</w:t>
      </w:r>
      <w:r w:rsidRPr="00E80636">
        <w:rPr>
          <w:rFonts w:asciiTheme="majorHAnsi" w:hAnsiTheme="majorHAnsi" w:cstheme="majorHAnsi"/>
          <w:color w:val="000000"/>
          <w:szCs w:val="20"/>
        </w:rPr>
        <w:t xml:space="preserve"> campaign. SIC participates in an annual Star of Hope Turkey Drive and teams up with UT Police for the annual toy drive, which benefits children at local hospitals. SIC also participates in professional development for the student body. It has hosted a Career Development Colloquium, where students were encouraged to collaborate and develop interprofessional skills with their peers across UTHealth. Most recently, it helped coordinate and run the first NatureJobs Career Expo in Texas in the Texas Medical Center. This event provided great opportunities for students and postdoctoral fellows to network, prepare for job searches, and learn about new job openings. Students were also given the opportunity to attend exclusive seminars by CEOs and founding partners for companies.  </w:t>
      </w:r>
    </w:p>
    <w:p w:rsidR="008D429A" w:rsidRPr="00E80636" w:rsidRDefault="008D429A" w:rsidP="006C308E">
      <w:pPr>
        <w:pStyle w:val="ListParagraph"/>
        <w:ind w:left="1440"/>
        <w:contextualSpacing/>
        <w:rPr>
          <w:rFonts w:asciiTheme="majorHAnsi" w:hAnsiTheme="majorHAnsi" w:cstheme="majorHAnsi"/>
          <w:szCs w:val="20"/>
        </w:rPr>
      </w:pPr>
    </w:p>
    <w:p w:rsidR="008D429A" w:rsidRPr="00E80636" w:rsidRDefault="008D429A" w:rsidP="006C308E">
      <w:pPr>
        <w:pStyle w:val="ListParagraph"/>
        <w:numPr>
          <w:ilvl w:val="1"/>
          <w:numId w:val="104"/>
        </w:numPr>
        <w:contextualSpacing/>
        <w:rPr>
          <w:rFonts w:asciiTheme="majorHAnsi" w:hAnsiTheme="majorHAnsi" w:cstheme="majorHAnsi"/>
          <w:szCs w:val="20"/>
        </w:rPr>
      </w:pPr>
      <w:r w:rsidRPr="00E80636">
        <w:rPr>
          <w:rFonts w:asciiTheme="majorHAnsi" w:hAnsiTheme="majorHAnsi" w:cstheme="majorHAnsi"/>
          <w:b/>
          <w:color w:val="000000"/>
          <w:szCs w:val="20"/>
        </w:rPr>
        <w:t>Student Society for Global Health (SSGH)</w:t>
      </w:r>
      <w:r w:rsidRPr="00E80636">
        <w:rPr>
          <w:rFonts w:asciiTheme="majorHAnsi" w:hAnsiTheme="majorHAnsi" w:cstheme="majorHAnsi"/>
          <w:szCs w:val="20"/>
        </w:rPr>
        <w:t xml:space="preserve"> </w:t>
      </w:r>
      <w:r w:rsidRPr="00E80636">
        <w:rPr>
          <w:rFonts w:asciiTheme="majorHAnsi" w:hAnsiTheme="majorHAnsi" w:cstheme="majorHAnsi"/>
          <w:color w:val="000000"/>
          <w:szCs w:val="20"/>
        </w:rPr>
        <w:t xml:space="preserve">– SSGH participates in service activities that have a global health impact. In 2017, SSGH ran a supply drive for victims of Hurricane Maria in Puerto Rico. SSGH teamed up with students from the UTHealth McGovern Medical School for a weekend-long trip, </w:t>
      </w:r>
      <w:r w:rsidRPr="00E80636">
        <w:rPr>
          <w:rFonts w:asciiTheme="majorHAnsi" w:hAnsiTheme="majorHAnsi" w:cstheme="majorHAnsi"/>
          <w:i/>
          <w:color w:val="000000"/>
          <w:szCs w:val="20"/>
        </w:rPr>
        <w:t>Frontera de Salud</w:t>
      </w:r>
      <w:r w:rsidRPr="00E80636">
        <w:rPr>
          <w:rFonts w:asciiTheme="majorHAnsi" w:hAnsiTheme="majorHAnsi" w:cstheme="majorHAnsi"/>
          <w:color w:val="000000"/>
          <w:szCs w:val="20"/>
        </w:rPr>
        <w:t>, to Brownsville, TX, to provide free health screenings for people living in low-income communities on the Texas–Mexico border. SSGH participates in the Houston Health Museum’s Global Health Teen Summit, an annual event that hosts students from abroad, offering a week full of science and health-related lessons from renowned institutions throughout Houston. This year, SSGH collaborated with the Houston Health Museum and created a public health event for the international students in their program, in which SSGH members facilitated a Public Health Scavenger Hunt in the Texas Medical Center; organized a panel of public health experts to talk to the students about a variety of public health disciplines; and hosted a dinner for the students. SSGH students also participate heavily in professional development opportunities where they learn hands-on experience in the field of public health on a global level. In 2018, SSGH students took their first trip to Bogotá, Colombia, where they coordinated with researchers from Universidad El Bosque. On this trip, students learned about research on antimicrobial resistance in a global setting, as well as topics on healthcare policy and management in Latin American communities. In 2019, SSGH students took their second trip to Colombia. Also in summer 2019, SSGH students took their first trip to Peru. The students were hosted by researchers at Universidad Peruana Cayetano Heredia, where they learned about innovative research being done in Peru on topics involving infectious diseases, tropical medicine, and maternal and child health. At each monthly meeting or event, SSGH hosts speakers and expert panels on global health topics, including the Zika virus, human trafficking, UNICEF Houston’s community engagement, and medical missions.</w:t>
      </w:r>
    </w:p>
    <w:p w:rsidR="008D429A" w:rsidRPr="00E80636" w:rsidRDefault="008D429A" w:rsidP="006C308E">
      <w:pPr>
        <w:pStyle w:val="ListParagraph"/>
        <w:ind w:left="1440"/>
        <w:contextualSpacing/>
        <w:rPr>
          <w:rFonts w:asciiTheme="majorHAnsi" w:hAnsiTheme="majorHAnsi" w:cstheme="majorHAnsi"/>
          <w:szCs w:val="20"/>
        </w:rPr>
      </w:pPr>
    </w:p>
    <w:p w:rsidR="008D429A" w:rsidRPr="00E80636" w:rsidRDefault="008D429A" w:rsidP="006C308E">
      <w:pPr>
        <w:pStyle w:val="Default"/>
        <w:ind w:left="720"/>
        <w:rPr>
          <w:rFonts w:asciiTheme="majorHAnsi" w:hAnsiTheme="majorHAnsi" w:cstheme="majorHAnsi"/>
          <w:b/>
          <w:szCs w:val="20"/>
        </w:rPr>
      </w:pPr>
      <w:r w:rsidRPr="00E80636">
        <w:rPr>
          <w:rFonts w:asciiTheme="majorHAnsi" w:hAnsiTheme="majorHAnsi" w:cstheme="majorHAnsi"/>
          <w:b/>
          <w:szCs w:val="20"/>
        </w:rPr>
        <w:t xml:space="preserve">Professional Development Activities </w:t>
      </w:r>
    </w:p>
    <w:p w:rsidR="008D429A" w:rsidRPr="00E80636" w:rsidRDefault="008D429A" w:rsidP="006C308E">
      <w:pPr>
        <w:pStyle w:val="Default"/>
        <w:ind w:left="720"/>
        <w:rPr>
          <w:rFonts w:asciiTheme="majorHAnsi" w:hAnsiTheme="majorHAnsi" w:cstheme="majorHAnsi"/>
          <w:szCs w:val="20"/>
        </w:rPr>
      </w:pPr>
      <w:r w:rsidRPr="00E80636">
        <w:rPr>
          <w:rFonts w:asciiTheme="majorHAnsi" w:hAnsiTheme="majorHAnsi" w:cstheme="majorHAnsi"/>
          <w:szCs w:val="20"/>
        </w:rPr>
        <w:t>Professional development activities range from those listed above to others such as attendance at ASPPH student leadership annual workshops, departmental seminars, faculty and visiting speakers, and networking events. The Student Association hosts alumni mixers and, most recently, hosted the first speed-networking event with faculty and students. A few specific examples of professional development activities for students are listed below:</w:t>
      </w:r>
    </w:p>
    <w:p w:rsidR="008D429A" w:rsidRPr="00E80636" w:rsidRDefault="008D429A" w:rsidP="006C308E">
      <w:pPr>
        <w:pStyle w:val="Default"/>
        <w:ind w:left="720"/>
        <w:rPr>
          <w:rFonts w:asciiTheme="majorHAnsi" w:hAnsiTheme="majorHAnsi" w:cstheme="majorHAnsi"/>
          <w:szCs w:val="20"/>
        </w:rPr>
      </w:pPr>
    </w:p>
    <w:p w:rsidR="008D429A" w:rsidRPr="00E80636" w:rsidRDefault="008D429A" w:rsidP="006C308E">
      <w:pPr>
        <w:pStyle w:val="Default"/>
        <w:numPr>
          <w:ilvl w:val="1"/>
          <w:numId w:val="105"/>
        </w:numPr>
        <w:rPr>
          <w:rFonts w:asciiTheme="majorHAnsi" w:hAnsiTheme="majorHAnsi" w:cstheme="majorHAnsi"/>
          <w:szCs w:val="20"/>
        </w:rPr>
      </w:pPr>
      <w:r w:rsidRPr="00E80636">
        <w:rPr>
          <w:rFonts w:asciiTheme="majorHAnsi" w:hAnsiTheme="majorHAnsi" w:cstheme="majorHAnsi"/>
          <w:b/>
          <w:szCs w:val="20"/>
        </w:rPr>
        <w:t>3MT</w:t>
      </w:r>
      <w:r w:rsidRPr="00E80636">
        <w:rPr>
          <w:rFonts w:asciiTheme="majorHAnsi" w:hAnsiTheme="majorHAnsi" w:cstheme="majorHAnsi"/>
          <w:szCs w:val="20"/>
        </w:rPr>
        <w:t xml:space="preserve"> – The 3 Minute Thesis (3MT®) is a research communication competition developed by The University of Queensland. Graduate students have three (3) minutes to present a compelling oration on their thesis, dissertation, or research and its significance. 3MT is not an exercise in trivializing or “dumbing down” research, but rather it challenges students to consolidate their ideas and research discoveries to present concisely to a non-specialist audience. The UTHealth School of Public Health hosted the first 3MT competition for students in January 2019. A total of nine doctoral students participated in the preliminary round, and the five top-scoring students were invited to participate in the final competition. The finalists were from various programs and departments, and competed for a chance to win a prize of up to $1,500 and represent the UTHealth School of Public Health at the regional competition at the Conference of Southern Graduate Schools (CSGS) in Knoxville, TN. The competition winner at the UTHealth School of Public Health won the People’s Choice award at the 2019 regional 3MT competition. This activity allows students to develop academic, presentation, and research communication skills, and supports the development of research students’ capacity to effectively explain their research in language appropriate to a non-specialist audience.</w:t>
      </w:r>
    </w:p>
    <w:p w:rsidR="008D429A" w:rsidRPr="00E80636" w:rsidRDefault="008D429A" w:rsidP="006C308E">
      <w:pPr>
        <w:pStyle w:val="Default"/>
        <w:ind w:left="1440"/>
        <w:rPr>
          <w:rFonts w:asciiTheme="majorHAnsi" w:hAnsiTheme="majorHAnsi" w:cstheme="majorHAnsi"/>
          <w:szCs w:val="20"/>
        </w:rPr>
      </w:pPr>
    </w:p>
    <w:p w:rsidR="008D429A" w:rsidRPr="00E80636" w:rsidRDefault="008D429A" w:rsidP="006C308E">
      <w:pPr>
        <w:pStyle w:val="Default"/>
        <w:numPr>
          <w:ilvl w:val="1"/>
          <w:numId w:val="105"/>
        </w:numPr>
        <w:rPr>
          <w:rFonts w:asciiTheme="majorHAnsi" w:hAnsiTheme="majorHAnsi" w:cstheme="majorHAnsi"/>
          <w:szCs w:val="20"/>
        </w:rPr>
      </w:pPr>
      <w:r w:rsidRPr="00E80636">
        <w:rPr>
          <w:rFonts w:asciiTheme="majorHAnsi" w:hAnsiTheme="majorHAnsi" w:cstheme="majorHAnsi"/>
          <w:b/>
          <w:szCs w:val="20"/>
        </w:rPr>
        <w:t>The Board:</w:t>
      </w:r>
      <w:r w:rsidRPr="00E80636">
        <w:rPr>
          <w:rFonts w:asciiTheme="majorHAnsi" w:hAnsiTheme="majorHAnsi" w:cstheme="majorHAnsi"/>
          <w:szCs w:val="20"/>
        </w:rPr>
        <w:t xml:space="preserve"> </w:t>
      </w:r>
      <w:r w:rsidRPr="00E80636">
        <w:rPr>
          <w:rFonts w:asciiTheme="majorHAnsi" w:hAnsiTheme="majorHAnsi" w:cstheme="majorHAnsi"/>
          <w:b/>
          <w:szCs w:val="20"/>
        </w:rPr>
        <w:t xml:space="preserve">a Leadership and Management Student Organization – </w:t>
      </w:r>
      <w:r w:rsidRPr="00E80636">
        <w:rPr>
          <w:rFonts w:asciiTheme="majorHAnsi" w:hAnsiTheme="majorHAnsi" w:cstheme="majorHAnsi"/>
          <w:szCs w:val="20"/>
        </w:rPr>
        <w:t xml:space="preserve">The Board’s mission conveys three pillars: professional, academic, and mentorship. </w:t>
      </w:r>
      <w:r w:rsidRPr="00E80636">
        <w:rPr>
          <w:rFonts w:asciiTheme="majorHAnsi" w:hAnsiTheme="majorHAnsi" w:cstheme="majorHAnsi"/>
          <w:szCs w:val="20"/>
          <w:u w:val="single"/>
        </w:rPr>
        <w:t>Professional:</w:t>
      </w:r>
      <w:r w:rsidRPr="00E80636">
        <w:rPr>
          <w:rFonts w:asciiTheme="majorHAnsi" w:hAnsiTheme="majorHAnsi" w:cstheme="majorHAnsi"/>
          <w:szCs w:val="20"/>
        </w:rPr>
        <w:t xml:space="preserve"> the Board seeks to provide activities that will assist in transforming motivated graduate students into successful professionals. Various career development workshops teach students valuable lessons regarding the job placement process. Ultimately, the goal is to create an alumni network of connections to be able to give members a head start in their respective job searches upon graduating. </w:t>
      </w:r>
      <w:r w:rsidRPr="00E80636">
        <w:rPr>
          <w:rFonts w:asciiTheme="majorHAnsi" w:hAnsiTheme="majorHAnsi" w:cstheme="majorHAnsi"/>
          <w:szCs w:val="20"/>
          <w:u w:val="single"/>
        </w:rPr>
        <w:t>Academic:</w:t>
      </w:r>
      <w:r w:rsidRPr="00E80636">
        <w:rPr>
          <w:rFonts w:asciiTheme="majorHAnsi" w:hAnsiTheme="majorHAnsi" w:cstheme="majorHAnsi"/>
          <w:szCs w:val="20"/>
        </w:rPr>
        <w:t xml:space="preserve"> the Board seeks to provide activities that equip students with the requisite knowledge to be successful during their academic careers. Through student liaisons, the Board provides a resource to help students in school-related areas, such as course selection and determining professor preference. </w:t>
      </w:r>
      <w:r w:rsidRPr="00E80636">
        <w:rPr>
          <w:rFonts w:asciiTheme="majorHAnsi" w:hAnsiTheme="majorHAnsi" w:cstheme="majorHAnsi"/>
          <w:szCs w:val="20"/>
          <w:u w:val="single"/>
        </w:rPr>
        <w:t>Mentorship:</w:t>
      </w:r>
      <w:r w:rsidRPr="00E80636">
        <w:rPr>
          <w:rFonts w:asciiTheme="majorHAnsi" w:hAnsiTheme="majorHAnsi" w:cstheme="majorHAnsi"/>
          <w:szCs w:val="20"/>
        </w:rPr>
        <w:t xml:space="preserve"> the Board seeks to provide activities that encourage students to forge relationships. The networking social is a unique event that gives students the platform to open dialogues with successful professionals in the field. Furthermore, student socials give students a chance to meet new people, engage with their peers, and take a break from the rigors of life as a graduate student.</w:t>
      </w:r>
    </w:p>
    <w:p w:rsidR="008D429A" w:rsidRPr="00E80636" w:rsidRDefault="008D429A" w:rsidP="006C308E">
      <w:pPr>
        <w:pStyle w:val="Default"/>
        <w:ind w:left="1440"/>
        <w:rPr>
          <w:rFonts w:asciiTheme="majorHAnsi" w:hAnsiTheme="majorHAnsi" w:cstheme="majorHAnsi"/>
          <w:szCs w:val="20"/>
        </w:rPr>
      </w:pPr>
    </w:p>
    <w:p w:rsidR="008D429A" w:rsidRPr="00E80636" w:rsidRDefault="008D429A" w:rsidP="006C308E">
      <w:pPr>
        <w:pStyle w:val="Default"/>
        <w:numPr>
          <w:ilvl w:val="1"/>
          <w:numId w:val="105"/>
        </w:numPr>
        <w:rPr>
          <w:rFonts w:asciiTheme="majorHAnsi" w:hAnsiTheme="majorHAnsi" w:cstheme="majorHAnsi"/>
          <w:szCs w:val="20"/>
        </w:rPr>
      </w:pPr>
      <w:r w:rsidRPr="00E80636">
        <w:rPr>
          <w:rFonts w:asciiTheme="majorHAnsi" w:hAnsiTheme="majorHAnsi" w:cstheme="majorHAnsi"/>
          <w:b/>
          <w:szCs w:val="20"/>
        </w:rPr>
        <w:t xml:space="preserve">Conferences and Research Presentations – </w:t>
      </w:r>
      <w:r w:rsidRPr="00E80636">
        <w:rPr>
          <w:rFonts w:asciiTheme="majorHAnsi" w:hAnsiTheme="majorHAnsi" w:cstheme="majorHAnsi"/>
          <w:szCs w:val="20"/>
        </w:rPr>
        <w:t>Students are highly encouraged by faculty to submit abstracts for presentations at annual meetings and conferences, such as the APHA annual meeting. Students may apply for funding from the UTHealth School of Public Health to support their travels to professional meetings or conferences.</w:t>
      </w:r>
    </w:p>
    <w:p w:rsidR="008D429A" w:rsidRPr="00E80636" w:rsidRDefault="008D429A" w:rsidP="006C308E">
      <w:pPr>
        <w:pStyle w:val="Default"/>
        <w:rPr>
          <w:rFonts w:asciiTheme="majorHAnsi" w:hAnsiTheme="majorHAnsi" w:cstheme="majorHAnsi"/>
          <w:szCs w:val="20"/>
        </w:rPr>
      </w:pPr>
    </w:p>
    <w:p w:rsidR="008D429A" w:rsidRPr="00E80636" w:rsidRDefault="008D429A" w:rsidP="006C308E">
      <w:pPr>
        <w:pStyle w:val="Default"/>
        <w:numPr>
          <w:ilvl w:val="1"/>
          <w:numId w:val="105"/>
        </w:numPr>
        <w:rPr>
          <w:rFonts w:asciiTheme="majorHAnsi" w:hAnsiTheme="majorHAnsi" w:cstheme="majorHAnsi"/>
          <w:szCs w:val="20"/>
        </w:rPr>
      </w:pPr>
      <w:r w:rsidRPr="00E80636">
        <w:rPr>
          <w:rFonts w:asciiTheme="majorHAnsi" w:hAnsiTheme="majorHAnsi" w:cstheme="majorHAnsi"/>
          <w:b/>
          <w:szCs w:val="20"/>
        </w:rPr>
        <w:t>Office of Career and Alumni Services</w:t>
      </w:r>
      <w:r w:rsidRPr="00E80636">
        <w:rPr>
          <w:rFonts w:asciiTheme="majorHAnsi" w:hAnsiTheme="majorHAnsi" w:cstheme="majorHAnsi"/>
          <w:szCs w:val="20"/>
        </w:rPr>
        <w:t xml:space="preserve"> – Career and Alumni Services offers workshops that include topics such as knowing yourself and exploring employment opportunities, preparing your career tools, networking and managing your online presence, and handling interview and job offer negotiations. During its annual Public Health Week, the UTHealth School of Public Health hosts professional development workshops for students. In 2017, the school invited LinkedIn to host a session on “Leveraging LinkedIn to Build Your Brand,” as well as hosted a workshop titled, “Getting Hired: Developing Your Professional Image on Paper and in Person.” In 2018, Career and Alumni Services hosted career development workshops in conjunction with faculty. In 2019, a faculty expert on mindfulness-based stress reduction trained students on mindfulness and student work–life balance. Professional headshots sessions for students are offered throughout each year, so that students may use them in their portfolios and on LinkedIn profiles. Each semester, the UTHealth School of Public Health, in conjunction with the other five UTHealth schools (McGovern Medical School, MD Anderson Cancer Center UTHealth Graduate School of Biomedical Sciences, Cizik School of Nursing, School of Biomedical Informatics, and School of Dentistry) host a Joint Alumni Mixer (JAM). The JAM event provides a networking opportunity for our alumni beyond the public health sector.</w:t>
      </w:r>
    </w:p>
    <w:p w:rsidR="008D429A" w:rsidRPr="00E80636" w:rsidRDefault="008D429A" w:rsidP="006C308E">
      <w:pPr>
        <w:pStyle w:val="Default"/>
        <w:ind w:left="1440"/>
        <w:rPr>
          <w:rFonts w:asciiTheme="majorHAnsi" w:hAnsiTheme="majorHAnsi" w:cstheme="majorHAnsi"/>
          <w:szCs w:val="20"/>
        </w:rPr>
      </w:pPr>
    </w:p>
    <w:p w:rsidR="008D429A" w:rsidRPr="00E80636" w:rsidRDefault="008D429A" w:rsidP="006C308E">
      <w:pPr>
        <w:pStyle w:val="Default"/>
        <w:numPr>
          <w:ilvl w:val="1"/>
          <w:numId w:val="105"/>
        </w:numPr>
        <w:rPr>
          <w:rFonts w:asciiTheme="majorHAnsi" w:hAnsiTheme="majorHAnsi" w:cstheme="majorHAnsi"/>
          <w:szCs w:val="20"/>
        </w:rPr>
      </w:pPr>
      <w:r w:rsidRPr="00E80636">
        <w:rPr>
          <w:rFonts w:asciiTheme="majorHAnsi" w:hAnsiTheme="majorHAnsi" w:cstheme="majorHAnsi"/>
          <w:b/>
          <w:szCs w:val="20"/>
        </w:rPr>
        <w:t xml:space="preserve">Research Day </w:t>
      </w:r>
      <w:r w:rsidRPr="00E80636">
        <w:rPr>
          <w:rFonts w:asciiTheme="majorHAnsi" w:hAnsiTheme="majorHAnsi" w:cstheme="majorHAnsi"/>
          <w:szCs w:val="20"/>
        </w:rPr>
        <w:t>– Research Day provides UTHealth School of Public Health students with an opportunity to highlight ongoing projects in their respective degree programs. During the event, students receive valuable feedback from a judging panel composed of faculty members in different disciplines. Other professional development events include information sessions in regards to navigating the annual APHA conference, as well as inviting LinkedIn speakers to speak on professional LinkedIn profiles, marketing oneself in person and in social media.</w:t>
      </w:r>
    </w:p>
    <w:p w:rsidR="008D429A" w:rsidRPr="00E80636" w:rsidRDefault="008D429A" w:rsidP="006C308E">
      <w:pPr>
        <w:pStyle w:val="Default"/>
        <w:ind w:left="1440"/>
        <w:rPr>
          <w:rFonts w:asciiTheme="majorHAnsi" w:hAnsiTheme="majorHAnsi" w:cstheme="majorHAnsi"/>
          <w:szCs w:val="20"/>
        </w:rPr>
      </w:pPr>
    </w:p>
    <w:p w:rsidR="008D429A" w:rsidRPr="00E80636" w:rsidRDefault="008D429A" w:rsidP="006C308E">
      <w:pPr>
        <w:pStyle w:val="Default"/>
        <w:numPr>
          <w:ilvl w:val="1"/>
          <w:numId w:val="105"/>
        </w:numPr>
        <w:rPr>
          <w:rFonts w:asciiTheme="majorHAnsi" w:hAnsiTheme="majorHAnsi" w:cstheme="majorHAnsi"/>
          <w:szCs w:val="20"/>
        </w:rPr>
      </w:pPr>
      <w:r w:rsidRPr="00E80636">
        <w:rPr>
          <w:rFonts w:asciiTheme="majorHAnsi" w:hAnsiTheme="majorHAnsi" w:cstheme="majorHAnsi"/>
          <w:b/>
          <w:szCs w:val="20"/>
        </w:rPr>
        <w:t>Society for Women and Leadership (SWAL)</w:t>
      </w:r>
      <w:r w:rsidRPr="00E80636">
        <w:rPr>
          <w:rFonts w:asciiTheme="majorHAnsi" w:hAnsiTheme="majorHAnsi" w:cstheme="majorHAnsi"/>
          <w:szCs w:val="20"/>
        </w:rPr>
        <w:t xml:space="preserve"> – </w:t>
      </w:r>
      <w:r w:rsidRPr="00E80636">
        <w:rPr>
          <w:rFonts w:asciiTheme="majorHAnsi" w:hAnsiTheme="majorHAnsi" w:cstheme="majorHAnsi"/>
          <w:bCs/>
          <w:color w:val="auto"/>
          <w:szCs w:val="20"/>
        </w:rPr>
        <w:t xml:space="preserve">SWAL is designed to equip future leaders within the UTHealth student body with the knowledge, acumen, and abilities to skillfully lead, despite the complexities of </w:t>
      </w:r>
      <w:r w:rsidR="00D06EEE" w:rsidRPr="00E80636">
        <w:rPr>
          <w:rFonts w:asciiTheme="majorHAnsi" w:hAnsiTheme="majorHAnsi" w:cstheme="majorHAnsi"/>
          <w:bCs/>
          <w:color w:val="auto"/>
          <w:szCs w:val="20"/>
        </w:rPr>
        <w:t>healthcare</w:t>
      </w:r>
      <w:r w:rsidRPr="00E80636">
        <w:rPr>
          <w:rFonts w:asciiTheme="majorHAnsi" w:hAnsiTheme="majorHAnsi" w:cstheme="majorHAnsi"/>
          <w:bCs/>
          <w:color w:val="auto"/>
          <w:szCs w:val="20"/>
        </w:rPr>
        <w:t xml:space="preserve">. SWAL aims to empower a community of leaders in any sector of </w:t>
      </w:r>
      <w:r w:rsidR="00D06EEE" w:rsidRPr="00E80636">
        <w:rPr>
          <w:rFonts w:asciiTheme="majorHAnsi" w:hAnsiTheme="majorHAnsi" w:cstheme="majorHAnsi"/>
          <w:bCs/>
          <w:color w:val="auto"/>
          <w:szCs w:val="20"/>
        </w:rPr>
        <w:t>healthcare</w:t>
      </w:r>
      <w:r w:rsidRPr="00E80636">
        <w:rPr>
          <w:rFonts w:asciiTheme="majorHAnsi" w:hAnsiTheme="majorHAnsi" w:cstheme="majorHAnsi"/>
          <w:bCs/>
          <w:color w:val="auto"/>
          <w:szCs w:val="20"/>
        </w:rPr>
        <w:t xml:space="preserve"> by developing their personal leadership styles, providing opportunities to increase exposure through networking, and practicing leadership principles by serving the local community. </w:t>
      </w:r>
      <w:r w:rsidRPr="00E80636">
        <w:rPr>
          <w:rFonts w:asciiTheme="majorHAnsi" w:hAnsiTheme="majorHAnsi" w:cstheme="majorHAnsi"/>
          <w:szCs w:val="20"/>
        </w:rPr>
        <w:t xml:space="preserve">The mission of SWAL is to develop strong leaders and networks to advance gender equity in </w:t>
      </w:r>
      <w:r w:rsidR="00D06EEE" w:rsidRPr="00E80636">
        <w:rPr>
          <w:rFonts w:asciiTheme="majorHAnsi" w:hAnsiTheme="majorHAnsi" w:cstheme="majorHAnsi"/>
          <w:szCs w:val="20"/>
        </w:rPr>
        <w:t>healthcare</w:t>
      </w:r>
      <w:r w:rsidRPr="00E80636">
        <w:rPr>
          <w:rFonts w:asciiTheme="majorHAnsi" w:hAnsiTheme="majorHAnsi" w:cstheme="majorHAnsi"/>
          <w:szCs w:val="20"/>
        </w:rPr>
        <w:t xml:space="preserve"> leadership. SWAL hosts several professional development events at the UTHealth School of Public Health throughout the year. For example, SWAL hosts LED Talks, a discussion series event that focuses on leadership, education, and development. SWAL also hosts career-building workshops that focus on interviewing skills and resume building, as well as a networking mixer with other student organizations at the school that allows students to create vision boards and discuss setting goals and formulating plans to progress towards achieving personal goals. SWAL works closely with the founder of Sisters in Public Health, which is a women’s empowerment event held at the school. They host networking happy hours and invite alumni to mingle with current students. In </w:t>
      </w:r>
      <w:r w:rsidR="002F2E5D" w:rsidRPr="00E80636">
        <w:rPr>
          <w:rFonts w:asciiTheme="majorHAnsi" w:hAnsiTheme="majorHAnsi" w:cstheme="majorHAnsi"/>
          <w:szCs w:val="20"/>
        </w:rPr>
        <w:t>2017</w:t>
      </w:r>
      <w:r w:rsidRPr="00E80636">
        <w:rPr>
          <w:rFonts w:asciiTheme="majorHAnsi" w:hAnsiTheme="majorHAnsi" w:cstheme="majorHAnsi"/>
          <w:szCs w:val="20"/>
        </w:rPr>
        <w:t xml:space="preserve">, SWAL invited a banking professional to inform and educate attendees on managing personal finances. In 2018, SWAL invited leaders from the Texas Medical Center to discuss their personal journeys in their public </w:t>
      </w:r>
      <w:r w:rsidR="00D06EEE" w:rsidRPr="00E80636">
        <w:rPr>
          <w:rFonts w:asciiTheme="majorHAnsi" w:hAnsiTheme="majorHAnsi" w:cstheme="majorHAnsi"/>
          <w:szCs w:val="20"/>
        </w:rPr>
        <w:t>health</w:t>
      </w:r>
      <w:r w:rsidR="00B16321" w:rsidRPr="00E80636">
        <w:rPr>
          <w:rFonts w:asciiTheme="majorHAnsi" w:hAnsiTheme="majorHAnsi" w:cstheme="majorHAnsi"/>
          <w:szCs w:val="20"/>
        </w:rPr>
        <w:t xml:space="preserve"> </w:t>
      </w:r>
      <w:r w:rsidR="00D06EEE" w:rsidRPr="00E80636">
        <w:rPr>
          <w:rFonts w:asciiTheme="majorHAnsi" w:hAnsiTheme="majorHAnsi" w:cstheme="majorHAnsi"/>
          <w:szCs w:val="20"/>
        </w:rPr>
        <w:t>care</w:t>
      </w:r>
      <w:r w:rsidRPr="00E80636">
        <w:rPr>
          <w:rFonts w:asciiTheme="majorHAnsi" w:hAnsiTheme="majorHAnsi" w:cstheme="majorHAnsi"/>
          <w:szCs w:val="20"/>
        </w:rPr>
        <w:t>ers. In addition, SWAL has attended the ACLU Conference and hosted a leadership panel on negotiation and female leadership.</w:t>
      </w:r>
    </w:p>
    <w:p w:rsidR="008D429A" w:rsidRPr="00E80636" w:rsidRDefault="008D429A" w:rsidP="006C308E">
      <w:pPr>
        <w:pStyle w:val="Default"/>
        <w:ind w:left="1440"/>
        <w:rPr>
          <w:rFonts w:asciiTheme="majorHAnsi" w:hAnsiTheme="majorHAnsi" w:cstheme="majorHAnsi"/>
          <w:szCs w:val="20"/>
        </w:rPr>
      </w:pPr>
    </w:p>
    <w:p w:rsidR="008D429A" w:rsidRPr="00E80636" w:rsidRDefault="008D429A" w:rsidP="006C308E">
      <w:pPr>
        <w:pStyle w:val="ListParagraph"/>
        <w:numPr>
          <w:ilvl w:val="1"/>
          <w:numId w:val="105"/>
        </w:numPr>
        <w:contextualSpacing/>
        <w:rPr>
          <w:rFonts w:asciiTheme="majorHAnsi" w:hAnsiTheme="majorHAnsi" w:cstheme="majorHAnsi"/>
          <w:szCs w:val="20"/>
        </w:rPr>
      </w:pPr>
      <w:r w:rsidRPr="00E80636">
        <w:rPr>
          <w:rFonts w:asciiTheme="majorHAnsi" w:hAnsiTheme="majorHAnsi" w:cstheme="majorHAnsi"/>
          <w:b/>
          <w:bCs/>
          <w:szCs w:val="20"/>
        </w:rPr>
        <w:t xml:space="preserve">Teaching Assistant (TA) Boot Camp </w:t>
      </w:r>
      <w:r w:rsidRPr="00E80636">
        <w:rPr>
          <w:rFonts w:asciiTheme="majorHAnsi" w:hAnsiTheme="majorHAnsi" w:cstheme="majorHAnsi"/>
          <w:bCs/>
          <w:szCs w:val="20"/>
        </w:rPr>
        <w:t xml:space="preserve">– To enhance knowledge and improve the skill sets of TAs, the UTHealth School of Public Health provides support during the year through professional development activities. </w:t>
      </w:r>
      <w:r w:rsidRPr="00E80636">
        <w:rPr>
          <w:rFonts w:asciiTheme="majorHAnsi" w:hAnsiTheme="majorHAnsi" w:cstheme="majorHAnsi"/>
          <w:color w:val="000000"/>
          <w:szCs w:val="20"/>
        </w:rPr>
        <w:t>Newly appointed TAs are required to complete online Canvas training modules and meet with educational technology support before beginning job assignments. TAs are trained on the fundamental practices for organizing and managing Canvas teaching sites. The trainings also include best-practice elements for applying fundamental instructional design techniques to develop instructional products/activities for higher order learning. TAs are also given access to the online Magna Mentor Commons tool, an on-demand digital library of teaching resources that offer general solutions to classroom challenges. An annual TA Boot Camp is held to inform and discuss topics such as TA best practices, using student feedback to improve teaching and learning, workload management, teaching diverse students and policies on FERPA, academic integrity, and accommodations. TAs also participate in a workshop titled, “Teaching Diverse Students,” where they learn about diversity and inclusion. TAs attend the Faculty Summer Institute, where they learn about best teaching practices, latest academic technology, and hear from professionals in the field, as well as the workshop series, Teacher to Teacher, which is hosted by the Office of Academic Affairs and Student Services. Topics have included writing across the curriculum, using active teaching methods to promote class engagement and discussion, participatory learning and action, professionalism versus productivity, and what teaching assistants can do and should do.</w:t>
      </w:r>
    </w:p>
    <w:p w:rsidR="008D429A" w:rsidRPr="00E80636" w:rsidRDefault="008D429A" w:rsidP="006C308E">
      <w:pPr>
        <w:spacing w:after="160"/>
        <w:ind w:left="720"/>
        <w:contextualSpacing/>
        <w:rPr>
          <w:rFonts w:asciiTheme="majorHAnsi" w:hAnsiTheme="majorHAnsi" w:cstheme="majorHAnsi"/>
          <w:sz w:val="20"/>
          <w:szCs w:val="20"/>
        </w:rPr>
      </w:pPr>
    </w:p>
    <w:p w:rsidR="00933038" w:rsidRPr="00E80636" w:rsidRDefault="00933038" w:rsidP="006C308E">
      <w:pPr>
        <w:numPr>
          <w:ilvl w:val="0"/>
          <w:numId w:val="38"/>
        </w:numPr>
        <w:spacing w:after="160"/>
        <w:contextualSpacing/>
        <w:rPr>
          <w:rFonts w:asciiTheme="majorHAnsi" w:hAnsiTheme="majorHAnsi" w:cstheme="majorHAnsi"/>
          <w:sz w:val="20"/>
          <w:szCs w:val="20"/>
        </w:rPr>
      </w:pPr>
      <w:r w:rsidRPr="00E80636">
        <w:rPr>
          <w:rFonts w:asciiTheme="majorHAnsi" w:hAnsiTheme="majorHAnsi" w:cstheme="majorHAnsi"/>
          <w:sz w:val="20"/>
          <w:szCs w:val="20"/>
        </w:rPr>
        <w:t xml:space="preserve">If applicable, assess strengths and weaknesses related to this criterion and plans for improvement in this area. </w:t>
      </w:r>
    </w:p>
    <w:p w:rsidR="006D6125" w:rsidRPr="00E80636" w:rsidRDefault="006D6125" w:rsidP="006C308E">
      <w:pPr>
        <w:ind w:left="720"/>
        <w:rPr>
          <w:rFonts w:asciiTheme="majorHAnsi" w:hAnsiTheme="majorHAnsi" w:cstheme="majorHAnsi"/>
          <w:sz w:val="20"/>
          <w:szCs w:val="20"/>
        </w:rPr>
      </w:pPr>
      <w:bookmarkStart w:id="140" w:name="_Toc464487894"/>
    </w:p>
    <w:p w:rsidR="006D6125" w:rsidRPr="00E80636" w:rsidRDefault="006D6125" w:rsidP="006C308E">
      <w:pPr>
        <w:ind w:left="720"/>
        <w:rPr>
          <w:rFonts w:asciiTheme="majorHAnsi" w:hAnsiTheme="majorHAnsi" w:cstheme="majorHAnsi"/>
          <w:b/>
          <w:sz w:val="20"/>
          <w:szCs w:val="20"/>
        </w:rPr>
      </w:pPr>
      <w:r w:rsidRPr="00E80636">
        <w:rPr>
          <w:rFonts w:asciiTheme="majorHAnsi" w:hAnsiTheme="majorHAnsi" w:cstheme="majorHAnsi"/>
          <w:b/>
          <w:sz w:val="20"/>
          <w:szCs w:val="20"/>
        </w:rPr>
        <w:t>Strengths:</w:t>
      </w:r>
    </w:p>
    <w:p w:rsidR="006D6125" w:rsidRPr="00E80636" w:rsidRDefault="006D6125" w:rsidP="006C308E">
      <w:pPr>
        <w:numPr>
          <w:ilvl w:val="0"/>
          <w:numId w:val="204"/>
        </w:numPr>
        <w:ind w:left="1440"/>
        <w:rPr>
          <w:rFonts w:asciiTheme="majorHAnsi" w:eastAsia="Times New Roman" w:hAnsiTheme="majorHAnsi" w:cstheme="majorHAnsi"/>
          <w:sz w:val="20"/>
          <w:szCs w:val="20"/>
        </w:rPr>
      </w:pPr>
      <w:r w:rsidRPr="00E80636">
        <w:rPr>
          <w:rFonts w:asciiTheme="majorHAnsi" w:eastAsia="Times New Roman" w:hAnsiTheme="majorHAnsi" w:cstheme="majorHAnsi"/>
          <w:sz w:val="20"/>
          <w:szCs w:val="20"/>
        </w:rPr>
        <w:t>The UTHealth School of Public Health provides many opportunities for community engagement through its various student organizations and through involvement in faculty service activities.  For example, students are introduced to service and community engagement at orientation through participation in service day.  </w:t>
      </w:r>
    </w:p>
    <w:p w:rsidR="006D6125" w:rsidRPr="00E80636" w:rsidRDefault="006D6125" w:rsidP="006C308E">
      <w:pPr>
        <w:numPr>
          <w:ilvl w:val="0"/>
          <w:numId w:val="204"/>
        </w:numPr>
        <w:ind w:left="1440"/>
        <w:rPr>
          <w:rFonts w:asciiTheme="majorHAnsi" w:eastAsia="Times New Roman" w:hAnsiTheme="majorHAnsi" w:cstheme="majorHAnsi"/>
          <w:sz w:val="20"/>
          <w:szCs w:val="20"/>
        </w:rPr>
      </w:pPr>
      <w:r w:rsidRPr="00E80636">
        <w:rPr>
          <w:rFonts w:asciiTheme="majorHAnsi" w:eastAsia="Times New Roman" w:hAnsiTheme="majorHAnsi" w:cstheme="majorHAnsi"/>
          <w:sz w:val="20"/>
          <w:szCs w:val="20"/>
        </w:rPr>
        <w:t xml:space="preserve">The UTHealth School of Public Health has highly active student organizations that include groups at each of its six campuses and various special-interests groups. </w:t>
      </w:r>
    </w:p>
    <w:p w:rsidR="006D6125" w:rsidRPr="00E80636" w:rsidRDefault="006D6125" w:rsidP="006C308E">
      <w:pPr>
        <w:ind w:left="720"/>
        <w:rPr>
          <w:rFonts w:asciiTheme="majorHAnsi" w:hAnsiTheme="majorHAnsi" w:cstheme="majorHAnsi"/>
          <w:sz w:val="20"/>
          <w:szCs w:val="20"/>
        </w:rPr>
      </w:pPr>
    </w:p>
    <w:p w:rsidR="00BF0CD1" w:rsidRPr="00E80636" w:rsidRDefault="00BF0CD1" w:rsidP="006C308E">
      <w:pPr>
        <w:ind w:left="720"/>
        <w:rPr>
          <w:rFonts w:asciiTheme="majorHAnsi" w:hAnsiTheme="majorHAnsi" w:cstheme="majorHAnsi"/>
          <w:sz w:val="20"/>
          <w:szCs w:val="20"/>
        </w:rPr>
      </w:pPr>
    </w:p>
    <w:p w:rsidR="006D6125" w:rsidRPr="00E80636" w:rsidRDefault="006D6125" w:rsidP="006C308E">
      <w:pPr>
        <w:ind w:left="720"/>
        <w:rPr>
          <w:rFonts w:asciiTheme="majorHAnsi" w:hAnsiTheme="majorHAnsi" w:cstheme="majorHAnsi"/>
          <w:b/>
          <w:sz w:val="20"/>
          <w:szCs w:val="20"/>
        </w:rPr>
      </w:pPr>
      <w:r w:rsidRPr="00E80636">
        <w:rPr>
          <w:rFonts w:asciiTheme="majorHAnsi" w:hAnsiTheme="majorHAnsi" w:cstheme="majorHAnsi"/>
          <w:b/>
          <w:sz w:val="20"/>
          <w:szCs w:val="20"/>
        </w:rPr>
        <w:t>Weaknesses:</w:t>
      </w:r>
    </w:p>
    <w:p w:rsidR="006D6125" w:rsidRPr="00E80636" w:rsidRDefault="006D6125" w:rsidP="006C308E">
      <w:pPr>
        <w:numPr>
          <w:ilvl w:val="0"/>
          <w:numId w:val="205"/>
        </w:numPr>
        <w:ind w:left="1440"/>
        <w:rPr>
          <w:rFonts w:asciiTheme="majorHAnsi" w:eastAsia="Times New Roman" w:hAnsiTheme="majorHAnsi" w:cstheme="majorHAnsi"/>
          <w:sz w:val="20"/>
          <w:szCs w:val="20"/>
        </w:rPr>
      </w:pPr>
      <w:r w:rsidRPr="00E80636">
        <w:rPr>
          <w:rFonts w:asciiTheme="majorHAnsi" w:eastAsia="Times New Roman" w:hAnsiTheme="majorHAnsi" w:cstheme="majorHAnsi"/>
          <w:sz w:val="20"/>
          <w:szCs w:val="20"/>
        </w:rPr>
        <w:t>The UTHealth School of Public Health has encountered challenges in tracking all student organization activities throughout the year. Systems need to be developed to help the school to track and record these activities.</w:t>
      </w:r>
    </w:p>
    <w:p w:rsidR="00933038" w:rsidRPr="00E80636" w:rsidRDefault="006D6125" w:rsidP="006C308E">
      <w:pPr>
        <w:rPr>
          <w:rStyle w:val="Heading1Char"/>
        </w:rPr>
      </w:pPr>
      <w:r w:rsidRPr="00E80636" w:rsidDel="006D6125">
        <w:rPr>
          <w:rFonts w:asciiTheme="majorHAnsi" w:hAnsiTheme="majorHAnsi" w:cstheme="majorHAnsi"/>
          <w:i/>
          <w:sz w:val="20"/>
          <w:szCs w:val="20"/>
          <w:highlight w:val="yellow"/>
        </w:rPr>
        <w:t xml:space="preserve"> </w:t>
      </w:r>
      <w:r w:rsidR="00933038" w:rsidRPr="00E80636">
        <w:rPr>
          <w:rStyle w:val="Heading1Char"/>
        </w:rPr>
        <w:br w:type="page"/>
      </w:r>
    </w:p>
    <w:p w:rsidR="00933038" w:rsidRPr="00E80636" w:rsidRDefault="00933038" w:rsidP="007A68BE">
      <w:pPr>
        <w:pStyle w:val="Heading1"/>
      </w:pPr>
      <w:bookmarkStart w:id="141" w:name="_F3_._Assessment"/>
      <w:bookmarkStart w:id="142" w:name="_Toc7118227"/>
      <w:bookmarkEnd w:id="141"/>
      <w:r w:rsidRPr="00E80636">
        <w:rPr>
          <w:rStyle w:val="Heading1Char"/>
          <w:b/>
        </w:rPr>
        <w:t>F3. Assessment of the Community’s Professional Development Needs</w:t>
      </w:r>
      <w:bookmarkEnd w:id="140"/>
      <w:bookmarkEnd w:id="142"/>
      <w:r w:rsidRPr="00E80636">
        <w:t xml:space="preserve"> </w:t>
      </w:r>
    </w:p>
    <w:p w:rsidR="00231759" w:rsidRPr="00E80636" w:rsidRDefault="00231759" w:rsidP="006C308E">
      <w:pPr>
        <w:rPr>
          <w:rFonts w:asciiTheme="majorHAnsi" w:hAnsiTheme="majorHAnsi" w:cstheme="majorHAnsi"/>
          <w:b/>
          <w:sz w:val="20"/>
          <w:szCs w:val="20"/>
        </w:rPr>
      </w:pPr>
    </w:p>
    <w:p w:rsidR="00933038" w:rsidRPr="00E80636" w:rsidRDefault="00933038" w:rsidP="006C308E">
      <w:pPr>
        <w:jc w:val="both"/>
        <w:rPr>
          <w:rFonts w:asciiTheme="majorHAnsi" w:hAnsiTheme="majorHAnsi" w:cstheme="majorHAnsi"/>
          <w:b/>
          <w:sz w:val="20"/>
          <w:szCs w:val="20"/>
        </w:rPr>
      </w:pPr>
      <w:r w:rsidRPr="00E80636">
        <w:rPr>
          <w:rFonts w:asciiTheme="majorHAnsi" w:hAnsiTheme="majorHAnsi" w:cstheme="majorHAnsi"/>
          <w:b/>
          <w:sz w:val="20"/>
          <w:szCs w:val="20"/>
        </w:rPr>
        <w:t xml:space="preserve">The school periodically assesses the professional development needs of individuals currently serving public health functions in its self-defined priority community or communities. </w:t>
      </w:r>
    </w:p>
    <w:p w:rsidR="00933038" w:rsidRPr="00E80636" w:rsidRDefault="00933038" w:rsidP="006C308E">
      <w:pPr>
        <w:jc w:val="both"/>
        <w:rPr>
          <w:rFonts w:asciiTheme="majorHAnsi" w:hAnsiTheme="majorHAnsi" w:cstheme="majorHAnsi"/>
          <w:sz w:val="20"/>
          <w:szCs w:val="20"/>
        </w:rPr>
      </w:pPr>
    </w:p>
    <w:p w:rsidR="00933038" w:rsidRPr="00E80636" w:rsidRDefault="00933038" w:rsidP="006C308E">
      <w:pPr>
        <w:numPr>
          <w:ilvl w:val="0"/>
          <w:numId w:val="39"/>
        </w:numPr>
        <w:spacing w:after="160"/>
        <w:contextualSpacing/>
        <w:jc w:val="both"/>
        <w:rPr>
          <w:rFonts w:asciiTheme="majorHAnsi" w:hAnsiTheme="majorHAnsi" w:cstheme="majorHAnsi"/>
          <w:sz w:val="20"/>
          <w:szCs w:val="20"/>
        </w:rPr>
      </w:pPr>
      <w:r w:rsidRPr="00E80636">
        <w:rPr>
          <w:rFonts w:asciiTheme="majorHAnsi" w:hAnsiTheme="majorHAnsi" w:cstheme="majorHAnsi"/>
          <w:sz w:val="20"/>
          <w:szCs w:val="20"/>
        </w:rPr>
        <w:t xml:space="preserve">Define the school’s professional community or communities of interest and the rationale for this choice. </w:t>
      </w:r>
    </w:p>
    <w:p w:rsidR="00933038" w:rsidRPr="00E80636" w:rsidRDefault="00933038" w:rsidP="006C308E">
      <w:pPr>
        <w:spacing w:after="160"/>
        <w:ind w:left="360"/>
        <w:contextualSpacing/>
        <w:jc w:val="both"/>
        <w:rPr>
          <w:rFonts w:asciiTheme="majorHAnsi" w:hAnsiTheme="majorHAnsi" w:cstheme="majorHAnsi"/>
          <w:sz w:val="20"/>
          <w:szCs w:val="20"/>
        </w:rPr>
      </w:pPr>
    </w:p>
    <w:p w:rsidR="006F0412" w:rsidRPr="00E80636" w:rsidRDefault="006F0412" w:rsidP="006C308E">
      <w:pPr>
        <w:ind w:left="360"/>
        <w:rPr>
          <w:rFonts w:asciiTheme="majorHAnsi" w:hAnsiTheme="majorHAnsi" w:cstheme="majorHAnsi"/>
          <w:sz w:val="20"/>
          <w:szCs w:val="20"/>
        </w:rPr>
      </w:pPr>
      <w:r w:rsidRPr="00E80636">
        <w:rPr>
          <w:rFonts w:asciiTheme="majorHAnsi" w:hAnsiTheme="majorHAnsi" w:cstheme="majorHAnsi"/>
          <w:sz w:val="20"/>
          <w:szCs w:val="20"/>
        </w:rPr>
        <w:t>The UTHealth School of Public Health has two primary professional communities of interest: (1) the public health workforce, including those working for state and local governmental agencies; healthcare providers working in public health clinics; community health workers; and those working in the maternal and child health across the state of Texas; and (2) individuals working in health and safety employed in private industry and universities across the Southwestern United States.</w:t>
      </w:r>
    </w:p>
    <w:p w:rsidR="006F0412" w:rsidRPr="00E80636" w:rsidRDefault="006F0412" w:rsidP="006C308E">
      <w:pPr>
        <w:ind w:left="360"/>
        <w:rPr>
          <w:rFonts w:asciiTheme="majorHAnsi" w:hAnsiTheme="majorHAnsi" w:cstheme="majorHAnsi"/>
          <w:sz w:val="20"/>
          <w:szCs w:val="20"/>
        </w:rPr>
      </w:pPr>
    </w:p>
    <w:p w:rsidR="006F0412" w:rsidRPr="00E80636" w:rsidRDefault="00125607" w:rsidP="006C308E">
      <w:pPr>
        <w:ind w:left="360"/>
        <w:rPr>
          <w:rFonts w:asciiTheme="majorHAnsi" w:hAnsiTheme="majorHAnsi" w:cstheme="majorHAnsi"/>
          <w:bCs/>
          <w:sz w:val="20"/>
          <w:szCs w:val="20"/>
        </w:rPr>
      </w:pPr>
      <w:r w:rsidRPr="00E80636">
        <w:rPr>
          <w:rFonts w:asciiTheme="majorHAnsi" w:hAnsiTheme="majorHAnsi" w:cstheme="majorHAnsi"/>
          <w:sz w:val="20"/>
          <w:szCs w:val="20"/>
        </w:rPr>
        <w:t xml:space="preserve">The campuses of UTHealth School of Public Health located across Texas cover geographical areas that account for approximately 70% of the Texas population (ERF, </w:t>
      </w:r>
      <w:r w:rsidRPr="0062452D">
        <w:rPr>
          <w:rFonts w:asciiTheme="majorHAnsi" w:hAnsiTheme="majorHAnsi" w:cstheme="majorHAnsi"/>
          <w:i/>
          <w:sz w:val="20"/>
          <w:szCs w:val="20"/>
        </w:rPr>
        <w:t>Texas Coverage Map</w:t>
      </w:r>
      <w:r w:rsidRPr="00E80636">
        <w:rPr>
          <w:rFonts w:asciiTheme="majorHAnsi" w:hAnsiTheme="majorHAnsi" w:cstheme="majorHAnsi"/>
          <w:sz w:val="20"/>
          <w:szCs w:val="20"/>
        </w:rPr>
        <w:t xml:space="preserve">). </w:t>
      </w:r>
      <w:r w:rsidR="006F0412" w:rsidRPr="00E80636">
        <w:rPr>
          <w:rFonts w:asciiTheme="majorHAnsi" w:hAnsiTheme="majorHAnsi" w:cstheme="majorHAnsi"/>
          <w:sz w:val="20"/>
          <w:szCs w:val="20"/>
        </w:rPr>
        <w:t xml:space="preserve"> These communities are increasingly impacted by public health challenges such as food and water safety, pollution, preventable diseases, violence, and access to care. Public health professionals, community health workers, individuals working in maternal and child health, and individuals working in the public and private health sectors and in universities are on the front lines guiding health policies, monitoring threats, responding to disasters, and improving the health of Texans. According to the Public Health Workforce </w:t>
      </w:r>
      <w:r w:rsidR="006F0412" w:rsidRPr="00E80636">
        <w:rPr>
          <w:rFonts w:asciiTheme="majorHAnsi" w:hAnsiTheme="majorHAnsi" w:cstheme="majorHAnsi"/>
          <w:bCs/>
          <w:sz w:val="20"/>
          <w:szCs w:val="20"/>
        </w:rPr>
        <w:t xml:space="preserve">Interests and Needs Survey, only 14% of the workforce has formal training in public health. </w:t>
      </w:r>
    </w:p>
    <w:p w:rsidR="006F0412" w:rsidRPr="00E80636" w:rsidRDefault="006F0412" w:rsidP="006C308E">
      <w:pPr>
        <w:ind w:left="360"/>
        <w:rPr>
          <w:rFonts w:asciiTheme="majorHAnsi" w:hAnsiTheme="majorHAnsi" w:cstheme="majorHAnsi"/>
          <w:bCs/>
          <w:sz w:val="20"/>
          <w:szCs w:val="20"/>
        </w:rPr>
      </w:pPr>
    </w:p>
    <w:p w:rsidR="006F0412" w:rsidRPr="00E80636" w:rsidRDefault="006F0412" w:rsidP="006C308E">
      <w:pPr>
        <w:ind w:left="360"/>
        <w:rPr>
          <w:rFonts w:asciiTheme="majorHAnsi" w:hAnsiTheme="majorHAnsi" w:cstheme="majorHAnsi"/>
          <w:bCs/>
          <w:sz w:val="20"/>
          <w:szCs w:val="20"/>
        </w:rPr>
      </w:pPr>
      <w:r w:rsidRPr="00E80636">
        <w:rPr>
          <w:rFonts w:asciiTheme="majorHAnsi" w:hAnsiTheme="majorHAnsi" w:cstheme="majorHAnsi"/>
          <w:bCs/>
          <w:sz w:val="20"/>
          <w:szCs w:val="20"/>
        </w:rPr>
        <w:t>Texas ranks near the bottom for almost every indicator of maternal and child health in the nation. For example, Texas ranks 43</w:t>
      </w:r>
      <w:r w:rsidRPr="00E80636">
        <w:rPr>
          <w:rFonts w:asciiTheme="majorHAnsi" w:hAnsiTheme="majorHAnsi" w:cstheme="majorHAnsi"/>
          <w:bCs/>
          <w:sz w:val="20"/>
          <w:szCs w:val="20"/>
          <w:vertAlign w:val="superscript"/>
        </w:rPr>
        <w:t>rd</w:t>
      </w:r>
      <w:r w:rsidRPr="00E80636">
        <w:rPr>
          <w:rFonts w:asciiTheme="majorHAnsi" w:hAnsiTheme="majorHAnsi" w:cstheme="majorHAnsi"/>
          <w:bCs/>
          <w:sz w:val="20"/>
          <w:szCs w:val="20"/>
        </w:rPr>
        <w:t xml:space="preserve"> in maternal mortality, 50</w:t>
      </w:r>
      <w:r w:rsidRPr="00E80636">
        <w:rPr>
          <w:rFonts w:asciiTheme="majorHAnsi" w:hAnsiTheme="majorHAnsi" w:cstheme="majorHAnsi"/>
          <w:bCs/>
          <w:sz w:val="20"/>
          <w:szCs w:val="20"/>
          <w:vertAlign w:val="superscript"/>
        </w:rPr>
        <w:t>th</w:t>
      </w:r>
      <w:r w:rsidRPr="00E80636">
        <w:rPr>
          <w:rFonts w:asciiTheme="majorHAnsi" w:hAnsiTheme="majorHAnsi" w:cstheme="majorHAnsi"/>
          <w:bCs/>
          <w:sz w:val="20"/>
          <w:szCs w:val="20"/>
        </w:rPr>
        <w:t xml:space="preserve"> in baby well-visits, 46</w:t>
      </w:r>
      <w:r w:rsidRPr="00E80636">
        <w:rPr>
          <w:rFonts w:asciiTheme="majorHAnsi" w:hAnsiTheme="majorHAnsi" w:cstheme="majorHAnsi"/>
          <w:bCs/>
          <w:sz w:val="20"/>
          <w:szCs w:val="20"/>
          <w:vertAlign w:val="superscript"/>
        </w:rPr>
        <w:t>th</w:t>
      </w:r>
      <w:r w:rsidRPr="00E80636">
        <w:rPr>
          <w:rFonts w:asciiTheme="majorHAnsi" w:hAnsiTheme="majorHAnsi" w:cstheme="majorHAnsi"/>
          <w:bCs/>
          <w:sz w:val="20"/>
          <w:szCs w:val="20"/>
        </w:rPr>
        <w:t xml:space="preserve"> in prenatal visits before the third trimester, and 46</w:t>
      </w:r>
      <w:r w:rsidRPr="00E80636">
        <w:rPr>
          <w:rFonts w:asciiTheme="majorHAnsi" w:hAnsiTheme="majorHAnsi" w:cstheme="majorHAnsi"/>
          <w:bCs/>
          <w:sz w:val="20"/>
          <w:szCs w:val="20"/>
          <w:vertAlign w:val="superscript"/>
        </w:rPr>
        <w:t>th</w:t>
      </w:r>
      <w:r w:rsidRPr="00E80636">
        <w:rPr>
          <w:rFonts w:asciiTheme="majorHAnsi" w:hAnsiTheme="majorHAnsi" w:cstheme="majorHAnsi"/>
          <w:bCs/>
          <w:sz w:val="20"/>
          <w:szCs w:val="20"/>
        </w:rPr>
        <w:t xml:space="preserve"> in teen pregnancies.  The health of Texas’ women, children, and family is influenced by many factors including the availability of a highly qualified, diverse maternal and child health workforce that can positively impact their many determinants of health. The maternal and child health workforce thus requires specific training of knowledge and skills to be effective in improving the health of Texas families. </w:t>
      </w:r>
    </w:p>
    <w:p w:rsidR="006F0412" w:rsidRPr="00E80636" w:rsidRDefault="006F0412" w:rsidP="006C308E">
      <w:pPr>
        <w:ind w:left="360"/>
        <w:rPr>
          <w:rFonts w:asciiTheme="majorHAnsi" w:hAnsiTheme="majorHAnsi" w:cstheme="majorHAnsi"/>
          <w:bCs/>
          <w:sz w:val="20"/>
          <w:szCs w:val="20"/>
        </w:rPr>
      </w:pPr>
    </w:p>
    <w:p w:rsidR="006F0412" w:rsidRPr="00E80636" w:rsidRDefault="006F0412" w:rsidP="006C308E">
      <w:pPr>
        <w:ind w:left="360"/>
        <w:rPr>
          <w:rFonts w:asciiTheme="majorHAnsi" w:hAnsiTheme="majorHAnsi" w:cstheme="majorHAnsi"/>
          <w:bCs/>
          <w:sz w:val="20"/>
          <w:szCs w:val="20"/>
        </w:rPr>
      </w:pPr>
      <w:r w:rsidRPr="00E80636">
        <w:rPr>
          <w:rFonts w:asciiTheme="majorHAnsi" w:hAnsiTheme="majorHAnsi" w:cstheme="majorHAnsi"/>
          <w:bCs/>
          <w:sz w:val="20"/>
          <w:szCs w:val="20"/>
        </w:rPr>
        <w:t xml:space="preserve">Workplace injury is a major cause of morbidity and mortality, and represents a significant societal and economic burden. Texas has the highest number of workplace deaths in the nation, but the fewest regulations. Texas is the only state that does not require private employers to carry workers’ compensation insurance or a private equivalent, so more than 500,000 individuals have no occupational benefits when they get injured at work.  Thus, it is critical that health and safety workers are properly trained to prevent workplace injuries that negatively impact the public’s health. </w:t>
      </w:r>
    </w:p>
    <w:p w:rsidR="00933038" w:rsidRPr="00E80636" w:rsidRDefault="00933038" w:rsidP="006C308E">
      <w:pPr>
        <w:ind w:left="720"/>
        <w:contextualSpacing/>
        <w:jc w:val="both"/>
        <w:rPr>
          <w:rFonts w:asciiTheme="majorHAnsi" w:hAnsiTheme="majorHAnsi" w:cstheme="majorHAnsi"/>
          <w:sz w:val="20"/>
          <w:szCs w:val="20"/>
        </w:rPr>
      </w:pPr>
    </w:p>
    <w:p w:rsidR="00933038" w:rsidRPr="00E80636" w:rsidRDefault="00933038" w:rsidP="006C308E">
      <w:pPr>
        <w:numPr>
          <w:ilvl w:val="0"/>
          <w:numId w:val="39"/>
        </w:numPr>
        <w:spacing w:after="160"/>
        <w:contextualSpacing/>
        <w:jc w:val="both"/>
        <w:rPr>
          <w:rFonts w:asciiTheme="majorHAnsi" w:hAnsiTheme="majorHAnsi" w:cstheme="majorHAnsi"/>
          <w:sz w:val="20"/>
          <w:szCs w:val="20"/>
        </w:rPr>
      </w:pPr>
      <w:r w:rsidRPr="00E80636">
        <w:rPr>
          <w:rFonts w:asciiTheme="majorHAnsi" w:hAnsiTheme="majorHAnsi" w:cstheme="majorHAnsi"/>
          <w:sz w:val="20"/>
          <w:szCs w:val="20"/>
        </w:rPr>
        <w:t>Describe how the school periodically assesses the professional development needs of its priority community or communities, and provide summary results of these assessments. Describe how often assessment occurs</w:t>
      </w:r>
    </w:p>
    <w:p w:rsidR="00933038" w:rsidRPr="00E80636" w:rsidRDefault="00933038" w:rsidP="006C308E">
      <w:pPr>
        <w:ind w:left="720"/>
        <w:contextualSpacing/>
        <w:jc w:val="both"/>
        <w:rPr>
          <w:rFonts w:asciiTheme="majorHAnsi" w:hAnsiTheme="majorHAnsi" w:cstheme="majorHAnsi"/>
          <w:sz w:val="20"/>
          <w:szCs w:val="20"/>
        </w:rPr>
      </w:pPr>
    </w:p>
    <w:p w:rsidR="006F0412" w:rsidRPr="00E80636" w:rsidRDefault="006F0412" w:rsidP="006C308E">
      <w:pPr>
        <w:ind w:left="360"/>
        <w:rPr>
          <w:rFonts w:asciiTheme="majorHAnsi" w:hAnsiTheme="majorHAnsi" w:cstheme="majorHAnsi"/>
          <w:color w:val="000000" w:themeColor="text1"/>
          <w:sz w:val="20"/>
          <w:szCs w:val="20"/>
        </w:rPr>
      </w:pPr>
      <w:r w:rsidRPr="00E80636">
        <w:rPr>
          <w:rFonts w:asciiTheme="majorHAnsi" w:eastAsia="Times New Roman" w:hAnsiTheme="majorHAnsi" w:cstheme="majorHAnsi"/>
          <w:color w:val="000000" w:themeColor="text1"/>
          <w:sz w:val="20"/>
          <w:szCs w:val="20"/>
        </w:rPr>
        <w:t xml:space="preserve">The Maternal and Child Health (MCH) Training Program works directly with state agencies and synthesizes their needs assessments to ensure that the UTHealth School of Public Health is meeting their training needs. </w:t>
      </w:r>
      <w:r w:rsidRPr="00E80636">
        <w:rPr>
          <w:rFonts w:asciiTheme="majorHAnsi" w:hAnsiTheme="majorHAnsi" w:cstheme="majorHAnsi"/>
          <w:color w:val="000000" w:themeColor="text1"/>
          <w:sz w:val="20"/>
          <w:szCs w:val="20"/>
        </w:rPr>
        <w:t>The MCH Training Program is also conducting a workforce development assessment to assess the training needs, barriers, motivations, and potential avenues for offering effective trainings to hard-to-reach and rural MCH professionals in HRSA Region VI and Michigan. The outreach from this workforce development assessment has strengthened the school’s ties to rural organizations in Oklahoma, Arkansas, Louisiana, and Michigan, and has created enthusiasm for MCH training. The interviews conducted as part of this need assessment have helped identify target needs, as well as preferred methods and nuances of online training. The interviewees have described their eagerness for more training opportunities, especially trainings that are engaging and can potentially be integrated into in-person settings such as staff meetings.</w:t>
      </w:r>
      <w:r w:rsidRPr="00E80636">
        <w:rPr>
          <w:rFonts w:asciiTheme="majorHAnsi" w:eastAsia="Times New Roman" w:hAnsiTheme="majorHAnsi" w:cstheme="majorHAnsi"/>
          <w:color w:val="000000" w:themeColor="text1"/>
          <w:sz w:val="20"/>
          <w:szCs w:val="20"/>
        </w:rPr>
        <w:t xml:space="preserve"> See attached document that lists the p</w:t>
      </w:r>
      <w:r w:rsidRPr="00E80636">
        <w:rPr>
          <w:rFonts w:asciiTheme="majorHAnsi" w:hAnsiTheme="majorHAnsi" w:cstheme="majorHAnsi"/>
          <w:sz w:val="20"/>
          <w:szCs w:val="20"/>
        </w:rPr>
        <w:t>riority needs identified by state needs assessments.</w:t>
      </w:r>
    </w:p>
    <w:p w:rsidR="006F0412" w:rsidRPr="00E80636" w:rsidRDefault="006F0412" w:rsidP="006C308E">
      <w:pPr>
        <w:ind w:left="360"/>
        <w:rPr>
          <w:rFonts w:asciiTheme="majorHAnsi" w:hAnsiTheme="majorHAnsi" w:cstheme="majorHAnsi"/>
          <w:color w:val="000000" w:themeColor="text1"/>
          <w:sz w:val="20"/>
          <w:szCs w:val="20"/>
        </w:rPr>
      </w:pPr>
    </w:p>
    <w:p w:rsidR="006F0412" w:rsidRPr="00E80636" w:rsidRDefault="006F0412" w:rsidP="006C308E">
      <w:pPr>
        <w:ind w:left="360"/>
        <w:rPr>
          <w:rFonts w:asciiTheme="majorHAnsi" w:hAnsiTheme="majorHAnsi" w:cstheme="majorHAnsi"/>
          <w:color w:val="000000" w:themeColor="text1"/>
          <w:sz w:val="20"/>
          <w:szCs w:val="20"/>
        </w:rPr>
      </w:pPr>
      <w:r w:rsidRPr="00E80636">
        <w:rPr>
          <w:rFonts w:asciiTheme="majorHAnsi" w:hAnsiTheme="majorHAnsi" w:cstheme="majorHAnsi"/>
          <w:sz w:val="20"/>
          <w:szCs w:val="20"/>
        </w:rPr>
        <w:t xml:space="preserve">The Southwest Center for Occupational and Environmental Health (SWCOEH) </w:t>
      </w:r>
      <w:r w:rsidRPr="00E80636">
        <w:rPr>
          <w:rFonts w:asciiTheme="majorHAnsi" w:hAnsiTheme="majorHAnsi" w:cstheme="majorHAnsi"/>
          <w:color w:val="000000" w:themeColor="text1"/>
          <w:sz w:val="20"/>
          <w:szCs w:val="20"/>
        </w:rPr>
        <w:t xml:space="preserve">periodically assesses professional development needs in three formats: (1) a workforce and academic/research training needs assessment conducted once every 5 years during the NIOSH ERC competing renewal application cycle; (2) a continuing education (CE) needs assessment conducted every 2 years; and (3) CE course evaluations tailored for each CE course offering. In 2017, the SWCOEH CE program, in conjunction with all 18 NIOSH–funded ERCs, participated in the development and distribution of a national CE needs assessment. Each ERC across the nation distributed the survey to their stakeholders including professional associations, chambers of commerce, and partner organizations. </w:t>
      </w:r>
    </w:p>
    <w:p w:rsidR="006F0412" w:rsidRDefault="006F0412" w:rsidP="006C308E">
      <w:pPr>
        <w:ind w:left="360"/>
        <w:rPr>
          <w:rFonts w:asciiTheme="majorHAnsi" w:hAnsiTheme="majorHAnsi" w:cstheme="majorHAnsi"/>
          <w:color w:val="000000" w:themeColor="text1"/>
          <w:sz w:val="20"/>
          <w:szCs w:val="20"/>
        </w:rPr>
      </w:pPr>
    </w:p>
    <w:p w:rsidR="006F0412" w:rsidRPr="00E80636" w:rsidRDefault="006F0412" w:rsidP="006C308E">
      <w:pPr>
        <w:ind w:left="360"/>
        <w:rPr>
          <w:rFonts w:asciiTheme="majorHAnsi" w:hAnsiTheme="majorHAnsi" w:cstheme="majorHAnsi"/>
          <w:sz w:val="20"/>
          <w:szCs w:val="20"/>
        </w:rPr>
      </w:pPr>
      <w:r w:rsidRPr="00E80636">
        <w:rPr>
          <w:rFonts w:asciiTheme="majorHAnsi" w:hAnsiTheme="majorHAnsi" w:cstheme="majorHAnsi"/>
          <w:color w:val="000000" w:themeColor="text1"/>
          <w:sz w:val="20"/>
          <w:szCs w:val="20"/>
        </w:rPr>
        <w:t xml:space="preserve">The UTHealth School of Public Health recently conducted a needs assessment to understand total worker health training needs among health and safety employees </w:t>
      </w:r>
      <w:r w:rsidRPr="00674571">
        <w:rPr>
          <w:rFonts w:asciiTheme="majorHAnsi" w:hAnsiTheme="majorHAnsi" w:cstheme="majorHAnsi"/>
          <w:i/>
          <w:color w:val="000000" w:themeColor="text1"/>
          <w:sz w:val="20"/>
          <w:szCs w:val="20"/>
        </w:rPr>
        <w:t>(</w:t>
      </w:r>
      <w:r w:rsidR="00674571" w:rsidRPr="00674571">
        <w:rPr>
          <w:rFonts w:asciiTheme="majorHAnsi" w:hAnsiTheme="majorHAnsi" w:cstheme="majorHAnsi"/>
          <w:i/>
          <w:color w:val="000000" w:themeColor="text1"/>
          <w:sz w:val="20"/>
          <w:szCs w:val="20"/>
        </w:rPr>
        <w:t>ERF, F3. Assessment of the Community's Professional Development Needs)</w:t>
      </w:r>
      <w:r w:rsidR="00674571">
        <w:rPr>
          <w:rFonts w:asciiTheme="majorHAnsi" w:hAnsiTheme="majorHAnsi" w:cstheme="majorHAnsi"/>
          <w:i/>
          <w:color w:val="000000" w:themeColor="text1"/>
          <w:sz w:val="20"/>
          <w:szCs w:val="20"/>
        </w:rPr>
        <w:t xml:space="preserve">. </w:t>
      </w:r>
      <w:r w:rsidR="001332D5" w:rsidRPr="00E80636">
        <w:rPr>
          <w:rStyle w:val="Hyperlink"/>
          <w:rFonts w:asciiTheme="majorHAnsi" w:hAnsiTheme="majorHAnsi" w:cstheme="majorHAnsi"/>
          <w:color w:val="auto"/>
          <w:sz w:val="20"/>
          <w:szCs w:val="20"/>
          <w:u w:val="none"/>
        </w:rPr>
        <w:t>This need assessment found that most health and safety personnel have very little training on total worker health although they are often asked to be involved in total worker health initiatives at their worksite.</w:t>
      </w:r>
      <w:r w:rsidR="001332D5" w:rsidRPr="00E80636">
        <w:rPr>
          <w:rStyle w:val="Hyperlink"/>
          <w:rFonts w:asciiTheme="majorHAnsi" w:hAnsiTheme="majorHAnsi" w:cstheme="majorHAnsi"/>
          <w:color w:val="auto"/>
          <w:sz w:val="20"/>
          <w:szCs w:val="20"/>
        </w:rPr>
        <w:t xml:space="preserve"> </w:t>
      </w:r>
    </w:p>
    <w:p w:rsidR="003A636F" w:rsidRPr="00E80636" w:rsidRDefault="003A636F" w:rsidP="006C308E">
      <w:pPr>
        <w:ind w:left="360"/>
        <w:rPr>
          <w:rFonts w:asciiTheme="majorHAnsi" w:hAnsiTheme="majorHAnsi" w:cstheme="majorHAnsi"/>
          <w:sz w:val="20"/>
          <w:szCs w:val="20"/>
        </w:rPr>
      </w:pPr>
    </w:p>
    <w:p w:rsidR="003A636F" w:rsidRPr="00E80636" w:rsidRDefault="003A636F" w:rsidP="006C308E">
      <w:pPr>
        <w:ind w:left="360"/>
        <w:rPr>
          <w:rFonts w:asciiTheme="majorHAnsi" w:eastAsia="Times New Roman" w:hAnsiTheme="majorHAnsi" w:cstheme="majorHAnsi"/>
          <w:color w:val="000000" w:themeColor="text1"/>
          <w:sz w:val="20"/>
          <w:szCs w:val="20"/>
        </w:rPr>
      </w:pPr>
      <w:r w:rsidRPr="00E80636">
        <w:rPr>
          <w:rFonts w:asciiTheme="majorHAnsi" w:eastAsia="Times New Roman" w:hAnsiTheme="majorHAnsi" w:cstheme="majorHAnsi"/>
          <w:color w:val="000000" w:themeColor="text1"/>
          <w:sz w:val="20"/>
          <w:szCs w:val="20"/>
        </w:rPr>
        <w:t>Associated documentation in the electronic resource file:</w:t>
      </w:r>
    </w:p>
    <w:p w:rsidR="00F54EE7" w:rsidRPr="00F54EE7" w:rsidRDefault="00F54EE7" w:rsidP="00F54EE7">
      <w:pPr>
        <w:pStyle w:val="ListParagraph"/>
        <w:numPr>
          <w:ilvl w:val="0"/>
          <w:numId w:val="101"/>
        </w:numPr>
        <w:rPr>
          <w:rFonts w:asciiTheme="majorHAnsi" w:hAnsiTheme="majorHAnsi" w:cstheme="majorHAnsi"/>
          <w:i/>
          <w:color w:val="000000" w:themeColor="text1"/>
          <w:szCs w:val="20"/>
        </w:rPr>
      </w:pPr>
      <w:r w:rsidRPr="00F54EE7">
        <w:rPr>
          <w:rFonts w:asciiTheme="majorHAnsi" w:hAnsiTheme="majorHAnsi" w:cstheme="majorHAnsi"/>
          <w:i/>
          <w:color w:val="000000" w:themeColor="text1"/>
          <w:szCs w:val="20"/>
        </w:rPr>
        <w:t>F3. Assessment of the Community's Professional Development Needs</w:t>
      </w:r>
    </w:p>
    <w:p w:rsidR="003A636F" w:rsidRPr="00674571" w:rsidRDefault="003A636F" w:rsidP="00F54EE7">
      <w:pPr>
        <w:pStyle w:val="ListParagraph"/>
        <w:numPr>
          <w:ilvl w:val="1"/>
          <w:numId w:val="208"/>
        </w:numPr>
        <w:rPr>
          <w:rFonts w:asciiTheme="majorHAnsi" w:hAnsiTheme="majorHAnsi" w:cstheme="majorHAnsi"/>
          <w:i/>
          <w:color w:val="000000" w:themeColor="text1"/>
          <w:szCs w:val="20"/>
        </w:rPr>
      </w:pPr>
      <w:r w:rsidRPr="00674571">
        <w:rPr>
          <w:rFonts w:asciiTheme="majorHAnsi" w:hAnsiTheme="majorHAnsi" w:cstheme="majorHAnsi"/>
          <w:i/>
          <w:szCs w:val="20"/>
        </w:rPr>
        <w:t xml:space="preserve">Region 6 </w:t>
      </w:r>
      <w:r w:rsidR="00F54EE7">
        <w:rPr>
          <w:rFonts w:asciiTheme="majorHAnsi" w:hAnsiTheme="majorHAnsi" w:cstheme="majorHAnsi"/>
          <w:i/>
          <w:szCs w:val="20"/>
        </w:rPr>
        <w:t>Professional Workforce Development D</w:t>
      </w:r>
      <w:r w:rsidRPr="00674571">
        <w:rPr>
          <w:rFonts w:asciiTheme="majorHAnsi" w:hAnsiTheme="majorHAnsi" w:cstheme="majorHAnsi"/>
          <w:i/>
          <w:szCs w:val="20"/>
        </w:rPr>
        <w:t>ata</w:t>
      </w:r>
    </w:p>
    <w:p w:rsidR="003A636F" w:rsidRPr="00674571" w:rsidRDefault="003A636F" w:rsidP="00F54EE7">
      <w:pPr>
        <w:pStyle w:val="ListParagraph"/>
        <w:numPr>
          <w:ilvl w:val="1"/>
          <w:numId w:val="208"/>
        </w:numPr>
        <w:rPr>
          <w:rFonts w:asciiTheme="majorHAnsi" w:hAnsiTheme="majorHAnsi" w:cstheme="majorHAnsi"/>
          <w:i/>
          <w:color w:val="000000" w:themeColor="text1"/>
          <w:szCs w:val="20"/>
        </w:rPr>
      </w:pPr>
      <w:r w:rsidRPr="00674571">
        <w:rPr>
          <w:rFonts w:asciiTheme="majorHAnsi" w:hAnsiTheme="majorHAnsi" w:cstheme="majorHAnsi"/>
          <w:i/>
          <w:szCs w:val="20"/>
        </w:rPr>
        <w:t>Maternal and Child Health Needs Assessment</w:t>
      </w:r>
    </w:p>
    <w:p w:rsidR="003A636F" w:rsidRPr="00674571" w:rsidRDefault="003A636F" w:rsidP="00F54EE7">
      <w:pPr>
        <w:pStyle w:val="ListParagraph"/>
        <w:numPr>
          <w:ilvl w:val="1"/>
          <w:numId w:val="208"/>
        </w:numPr>
        <w:rPr>
          <w:rStyle w:val="Hyperlink"/>
          <w:rFonts w:asciiTheme="majorHAnsi" w:hAnsiTheme="majorHAnsi" w:cstheme="majorHAnsi"/>
          <w:i/>
          <w:color w:val="000000" w:themeColor="text1"/>
          <w:szCs w:val="20"/>
          <w:u w:val="none"/>
        </w:rPr>
      </w:pPr>
      <w:r w:rsidRPr="00674571">
        <w:rPr>
          <w:rFonts w:asciiTheme="majorHAnsi" w:hAnsiTheme="majorHAnsi" w:cstheme="majorHAnsi"/>
          <w:i/>
          <w:szCs w:val="20"/>
        </w:rPr>
        <w:t>BTHC Assessment Completed</w:t>
      </w:r>
    </w:p>
    <w:p w:rsidR="00450541" w:rsidRPr="00674571" w:rsidRDefault="00B45027" w:rsidP="00F54EE7">
      <w:pPr>
        <w:pStyle w:val="ListParagraph"/>
        <w:numPr>
          <w:ilvl w:val="1"/>
          <w:numId w:val="208"/>
        </w:numPr>
        <w:rPr>
          <w:rFonts w:asciiTheme="majorHAnsi" w:hAnsiTheme="majorHAnsi" w:cstheme="majorHAnsi"/>
          <w:i/>
          <w:color w:val="000000" w:themeColor="text1"/>
          <w:szCs w:val="20"/>
        </w:rPr>
      </w:pPr>
      <w:r w:rsidRPr="00674571">
        <w:rPr>
          <w:rFonts w:asciiTheme="majorHAnsi" w:hAnsiTheme="majorHAnsi" w:cstheme="majorHAnsi"/>
          <w:i/>
          <w:szCs w:val="20"/>
        </w:rPr>
        <w:t>Student</w:t>
      </w:r>
      <w:r w:rsidR="00450541" w:rsidRPr="00674571">
        <w:rPr>
          <w:rFonts w:asciiTheme="majorHAnsi" w:hAnsiTheme="majorHAnsi" w:cstheme="majorHAnsi"/>
          <w:i/>
          <w:szCs w:val="20"/>
        </w:rPr>
        <w:t xml:space="preserve"> Dissertation</w:t>
      </w:r>
    </w:p>
    <w:p w:rsidR="003A636F" w:rsidRPr="00E80636" w:rsidRDefault="003A636F" w:rsidP="006C308E">
      <w:pPr>
        <w:ind w:left="360"/>
        <w:rPr>
          <w:rFonts w:asciiTheme="majorHAnsi" w:hAnsiTheme="majorHAnsi" w:cstheme="majorHAnsi"/>
          <w:sz w:val="20"/>
          <w:szCs w:val="20"/>
        </w:rPr>
      </w:pPr>
    </w:p>
    <w:p w:rsidR="00933038" w:rsidRPr="00E80636" w:rsidRDefault="00933038" w:rsidP="006C308E">
      <w:pPr>
        <w:numPr>
          <w:ilvl w:val="0"/>
          <w:numId w:val="39"/>
        </w:numPr>
        <w:spacing w:after="160"/>
        <w:contextualSpacing/>
        <w:jc w:val="both"/>
        <w:rPr>
          <w:rFonts w:asciiTheme="majorHAnsi" w:hAnsiTheme="majorHAnsi" w:cstheme="majorHAnsi"/>
          <w:sz w:val="20"/>
          <w:szCs w:val="20"/>
        </w:rPr>
      </w:pPr>
      <w:r w:rsidRPr="00E80636">
        <w:rPr>
          <w:rFonts w:asciiTheme="majorHAnsi" w:hAnsiTheme="majorHAnsi" w:cstheme="majorHAnsi"/>
          <w:sz w:val="20"/>
          <w:szCs w:val="20"/>
        </w:rPr>
        <w:t xml:space="preserve">If applicable, assess strengths and weaknesses related to this criterion and plans for improvement in this area. </w:t>
      </w:r>
    </w:p>
    <w:p w:rsidR="00933038" w:rsidRPr="00E80636" w:rsidRDefault="00933038" w:rsidP="006C308E">
      <w:pPr>
        <w:spacing w:after="160"/>
        <w:contextualSpacing/>
        <w:jc w:val="both"/>
        <w:rPr>
          <w:rFonts w:asciiTheme="majorHAnsi" w:hAnsiTheme="majorHAnsi" w:cstheme="majorHAnsi"/>
          <w:sz w:val="20"/>
          <w:szCs w:val="20"/>
        </w:rPr>
      </w:pPr>
    </w:p>
    <w:p w:rsidR="00946B38" w:rsidRPr="00E80636" w:rsidRDefault="00946B38" w:rsidP="006C308E">
      <w:pPr>
        <w:ind w:left="720"/>
        <w:rPr>
          <w:rFonts w:asciiTheme="majorHAnsi" w:hAnsiTheme="majorHAnsi" w:cstheme="majorHAnsi"/>
          <w:b/>
          <w:sz w:val="20"/>
          <w:szCs w:val="20"/>
        </w:rPr>
      </w:pPr>
      <w:r w:rsidRPr="00E80636">
        <w:rPr>
          <w:rFonts w:asciiTheme="majorHAnsi" w:hAnsiTheme="majorHAnsi" w:cstheme="majorHAnsi"/>
          <w:b/>
          <w:sz w:val="20"/>
          <w:szCs w:val="20"/>
        </w:rPr>
        <w:t xml:space="preserve">Strengths: </w:t>
      </w:r>
    </w:p>
    <w:p w:rsidR="00946B38" w:rsidRPr="00E80636" w:rsidRDefault="00946B38" w:rsidP="006C308E">
      <w:pPr>
        <w:pStyle w:val="ListParagraph"/>
        <w:numPr>
          <w:ilvl w:val="0"/>
          <w:numId w:val="187"/>
        </w:numPr>
        <w:spacing w:after="160"/>
        <w:ind w:left="1440"/>
        <w:contextualSpacing/>
        <w:rPr>
          <w:rFonts w:asciiTheme="majorHAnsi" w:hAnsiTheme="majorHAnsi" w:cstheme="majorHAnsi"/>
          <w:szCs w:val="20"/>
        </w:rPr>
      </w:pPr>
      <w:r w:rsidRPr="00E80636">
        <w:rPr>
          <w:rFonts w:asciiTheme="majorHAnsi" w:hAnsiTheme="majorHAnsi" w:cstheme="majorHAnsi"/>
          <w:szCs w:val="20"/>
        </w:rPr>
        <w:t xml:space="preserve">The UTHealth School of Public Health partners with professional communities to assess professional development needs and to provide training of two priority communities (professionals working in maternal and child health and professionals working in occupational health and safety). Over the last three years, the school has provided over 60,000 person-hours of training in maternal and child health and in occupational health and safety. </w:t>
      </w:r>
    </w:p>
    <w:p w:rsidR="00946B38" w:rsidRPr="00E80636" w:rsidRDefault="00946B38" w:rsidP="006C308E">
      <w:pPr>
        <w:pStyle w:val="ListParagraph"/>
        <w:ind w:left="1440"/>
        <w:rPr>
          <w:rFonts w:asciiTheme="majorHAnsi" w:hAnsiTheme="majorHAnsi" w:cstheme="majorHAnsi"/>
          <w:szCs w:val="20"/>
        </w:rPr>
      </w:pPr>
    </w:p>
    <w:p w:rsidR="00946B38" w:rsidRPr="00E80636" w:rsidRDefault="00946B38" w:rsidP="006C308E">
      <w:pPr>
        <w:ind w:left="720"/>
        <w:rPr>
          <w:rFonts w:asciiTheme="majorHAnsi" w:hAnsiTheme="majorHAnsi" w:cstheme="majorHAnsi"/>
          <w:b/>
          <w:sz w:val="20"/>
          <w:szCs w:val="20"/>
        </w:rPr>
      </w:pPr>
      <w:r w:rsidRPr="00E80636">
        <w:rPr>
          <w:rFonts w:asciiTheme="majorHAnsi" w:hAnsiTheme="majorHAnsi" w:cstheme="majorHAnsi"/>
          <w:b/>
          <w:sz w:val="20"/>
          <w:szCs w:val="20"/>
        </w:rPr>
        <w:t>Weaknesses</w:t>
      </w:r>
    </w:p>
    <w:p w:rsidR="00946B38" w:rsidRPr="00E80636" w:rsidRDefault="00946B38" w:rsidP="006C308E">
      <w:pPr>
        <w:pStyle w:val="ListParagraph"/>
        <w:numPr>
          <w:ilvl w:val="0"/>
          <w:numId w:val="187"/>
        </w:numPr>
        <w:spacing w:after="160"/>
        <w:ind w:left="1440"/>
        <w:contextualSpacing/>
        <w:rPr>
          <w:rFonts w:asciiTheme="majorHAnsi" w:hAnsiTheme="majorHAnsi" w:cstheme="majorHAnsi"/>
          <w:szCs w:val="20"/>
        </w:rPr>
      </w:pPr>
      <w:r w:rsidRPr="00E80636">
        <w:rPr>
          <w:rFonts w:asciiTheme="majorHAnsi" w:hAnsiTheme="majorHAnsi" w:cstheme="majorHAnsi"/>
          <w:szCs w:val="20"/>
        </w:rPr>
        <w:t xml:space="preserve">Because professional training is conducted through centers and by individual investigators, it is challenging to enumerate all of the professional training provided by the UTHealth School of Public Health. The two examples provided in the self-study are two of the many training activities provided by the school. We are currently considering how to track and communicate the full scope of the professional training provided by our faculty. </w:t>
      </w:r>
    </w:p>
    <w:p w:rsidR="00933038" w:rsidRPr="00E80636" w:rsidRDefault="00933038" w:rsidP="006C308E">
      <w:pPr>
        <w:jc w:val="both"/>
        <w:rPr>
          <w:rFonts w:asciiTheme="majorHAnsi" w:hAnsiTheme="majorHAnsi" w:cstheme="majorHAnsi"/>
          <w:i/>
          <w:sz w:val="20"/>
          <w:szCs w:val="20"/>
        </w:rPr>
      </w:pPr>
    </w:p>
    <w:p w:rsidR="00933038" w:rsidRPr="00E80636" w:rsidRDefault="00933038" w:rsidP="006C308E">
      <w:pPr>
        <w:spacing w:after="160"/>
        <w:contextualSpacing/>
        <w:jc w:val="both"/>
        <w:rPr>
          <w:rFonts w:asciiTheme="majorHAnsi" w:hAnsiTheme="majorHAnsi" w:cstheme="majorHAnsi"/>
          <w:sz w:val="20"/>
          <w:szCs w:val="20"/>
        </w:rPr>
      </w:pPr>
    </w:p>
    <w:p w:rsidR="00933038" w:rsidRPr="00E80636" w:rsidRDefault="00933038" w:rsidP="006C308E">
      <w:pPr>
        <w:rPr>
          <w:rStyle w:val="Heading1Char"/>
        </w:rPr>
      </w:pPr>
      <w:bookmarkStart w:id="143" w:name="_Toc464487895"/>
      <w:r w:rsidRPr="00E80636">
        <w:rPr>
          <w:rStyle w:val="Heading1Char"/>
        </w:rPr>
        <w:br w:type="page"/>
      </w:r>
    </w:p>
    <w:p w:rsidR="00933038" w:rsidRPr="00E80636" w:rsidRDefault="00933038" w:rsidP="007A68BE">
      <w:pPr>
        <w:pStyle w:val="Heading1"/>
        <w:rPr>
          <w:rFonts w:eastAsia="Calibri"/>
        </w:rPr>
      </w:pPr>
      <w:bookmarkStart w:id="144" w:name="_F4_._Delivery"/>
      <w:bookmarkStart w:id="145" w:name="_Toc7118228"/>
      <w:bookmarkEnd w:id="144"/>
      <w:r w:rsidRPr="00E80636">
        <w:rPr>
          <w:rStyle w:val="Heading1Char"/>
          <w:b/>
        </w:rPr>
        <w:t>F4. Delivery of Professional Development Opportunities for the Workforce</w:t>
      </w:r>
      <w:bookmarkEnd w:id="143"/>
      <w:bookmarkEnd w:id="145"/>
      <w:r w:rsidRPr="00E80636">
        <w:rPr>
          <w:rFonts w:eastAsia="Calibri"/>
        </w:rPr>
        <w:t xml:space="preserve"> </w:t>
      </w:r>
    </w:p>
    <w:p w:rsidR="00231759" w:rsidRPr="00E80636" w:rsidRDefault="00231759" w:rsidP="006C308E">
      <w:pPr>
        <w:rPr>
          <w:rFonts w:asciiTheme="majorHAnsi" w:eastAsia="Calibri" w:hAnsiTheme="majorHAnsi" w:cstheme="majorHAnsi"/>
          <w:b/>
          <w:sz w:val="20"/>
          <w:szCs w:val="20"/>
        </w:rPr>
      </w:pPr>
    </w:p>
    <w:p w:rsidR="00933038" w:rsidRPr="00E80636" w:rsidRDefault="00933038" w:rsidP="006C308E">
      <w:pPr>
        <w:jc w:val="both"/>
        <w:rPr>
          <w:rFonts w:asciiTheme="majorHAnsi" w:hAnsiTheme="majorHAnsi" w:cstheme="majorHAnsi"/>
          <w:b/>
          <w:sz w:val="20"/>
          <w:szCs w:val="20"/>
        </w:rPr>
      </w:pPr>
      <w:r w:rsidRPr="00E80636">
        <w:rPr>
          <w:rFonts w:asciiTheme="majorHAnsi" w:hAnsiTheme="majorHAnsi" w:cstheme="majorHAnsi"/>
          <w:b/>
          <w:sz w:val="20"/>
          <w:szCs w:val="20"/>
        </w:rPr>
        <w:t>The school advances public health by addressing the professional development needs of the current public health workforce, broadly defined, based on assessment activities described in Criterion F3. Professional development offerings can be for-credit or not-for-credit and can be one-time or sustained offerings.</w:t>
      </w:r>
    </w:p>
    <w:p w:rsidR="00933038" w:rsidRPr="00E80636" w:rsidRDefault="00933038" w:rsidP="006C308E">
      <w:pPr>
        <w:keepNext/>
        <w:jc w:val="both"/>
        <w:rPr>
          <w:rFonts w:asciiTheme="majorHAnsi" w:hAnsiTheme="majorHAnsi" w:cstheme="majorHAnsi"/>
          <w:sz w:val="20"/>
          <w:szCs w:val="20"/>
        </w:rPr>
      </w:pPr>
    </w:p>
    <w:p w:rsidR="00933038" w:rsidRPr="00E80636" w:rsidRDefault="00933038" w:rsidP="006C308E">
      <w:pPr>
        <w:numPr>
          <w:ilvl w:val="0"/>
          <w:numId w:val="40"/>
        </w:numPr>
        <w:contextualSpacing/>
        <w:jc w:val="both"/>
        <w:rPr>
          <w:rFonts w:asciiTheme="majorHAnsi" w:hAnsiTheme="majorHAnsi" w:cstheme="majorHAnsi"/>
          <w:sz w:val="20"/>
          <w:szCs w:val="20"/>
        </w:rPr>
      </w:pPr>
      <w:r w:rsidRPr="00E80636">
        <w:rPr>
          <w:rFonts w:asciiTheme="majorHAnsi" w:hAnsiTheme="majorHAnsi" w:cstheme="majorHAnsi"/>
          <w:sz w:val="20"/>
          <w:szCs w:val="20"/>
        </w:rPr>
        <w:t xml:space="preserve">Describe the school’s process for developing and implementing professional development activities for the workforce and ensuring that these activities align with needs identified in Criterion F3. </w:t>
      </w:r>
    </w:p>
    <w:p w:rsidR="00933038" w:rsidRPr="00E80636" w:rsidRDefault="00933038" w:rsidP="006C308E">
      <w:pPr>
        <w:ind w:left="720"/>
        <w:contextualSpacing/>
        <w:jc w:val="both"/>
        <w:rPr>
          <w:rFonts w:asciiTheme="majorHAnsi" w:hAnsiTheme="majorHAnsi" w:cstheme="majorHAnsi"/>
          <w:sz w:val="20"/>
          <w:szCs w:val="20"/>
        </w:rPr>
      </w:pPr>
    </w:p>
    <w:p w:rsidR="009E7103" w:rsidRPr="00E80636" w:rsidRDefault="009E7103" w:rsidP="006C308E">
      <w:pPr>
        <w:ind w:left="720"/>
        <w:contextualSpacing/>
        <w:rPr>
          <w:rFonts w:asciiTheme="majorHAnsi" w:hAnsiTheme="majorHAnsi" w:cstheme="majorHAnsi"/>
          <w:sz w:val="20"/>
          <w:szCs w:val="20"/>
        </w:rPr>
      </w:pPr>
      <w:r w:rsidRPr="00E80636">
        <w:rPr>
          <w:rFonts w:asciiTheme="majorHAnsi" w:hAnsiTheme="majorHAnsi" w:cstheme="majorHAnsi"/>
          <w:sz w:val="20"/>
          <w:szCs w:val="20"/>
        </w:rPr>
        <w:t xml:space="preserve">At the UTHealth School of Public Health, the delivery of professional development opportunities is predominantly coordinated by centers. The following centers/offices are involved in the delivery of professional opportunities for our priority populations: The Dell Center for Healthy Living, where the Maternal and Child Health (MCH) Training Program is housed; the Southwest Center for Occupational and Environmental Health (SWCOEH); and the Prevention, Preparedness and Response (P2R) Academy housed in the Office of Public Health Practice. </w:t>
      </w:r>
    </w:p>
    <w:p w:rsidR="009E7103" w:rsidRPr="00E80636" w:rsidRDefault="009E7103" w:rsidP="006C308E">
      <w:pPr>
        <w:ind w:left="720"/>
        <w:contextualSpacing/>
        <w:jc w:val="both"/>
        <w:rPr>
          <w:rFonts w:asciiTheme="majorHAnsi" w:hAnsiTheme="majorHAnsi" w:cstheme="majorHAnsi"/>
          <w:sz w:val="20"/>
          <w:szCs w:val="20"/>
        </w:rPr>
      </w:pPr>
    </w:p>
    <w:p w:rsidR="009E7103" w:rsidRPr="00E80636" w:rsidRDefault="009E7103" w:rsidP="006C308E">
      <w:pPr>
        <w:shd w:val="clear" w:color="auto" w:fill="FFFFFF"/>
        <w:ind w:left="720"/>
        <w:rPr>
          <w:rFonts w:asciiTheme="majorHAnsi" w:eastAsia="Times New Roman" w:hAnsiTheme="majorHAnsi" w:cstheme="majorHAnsi"/>
          <w:color w:val="222222"/>
          <w:sz w:val="20"/>
          <w:szCs w:val="20"/>
        </w:rPr>
      </w:pPr>
      <w:r w:rsidRPr="00E80636">
        <w:rPr>
          <w:rFonts w:asciiTheme="majorHAnsi" w:eastAsia="Times New Roman" w:hAnsiTheme="majorHAnsi" w:cstheme="majorHAnsi"/>
          <w:b/>
          <w:color w:val="222222"/>
          <w:sz w:val="20"/>
          <w:szCs w:val="20"/>
        </w:rPr>
        <w:t>MCH Training Program at the Dell Center for Healthy Living</w:t>
      </w:r>
    </w:p>
    <w:p w:rsidR="009E7103" w:rsidRPr="00E80636" w:rsidRDefault="009E7103" w:rsidP="006C308E">
      <w:pPr>
        <w:ind w:left="720"/>
        <w:contextualSpacing/>
        <w:rPr>
          <w:rFonts w:asciiTheme="majorHAnsi" w:hAnsiTheme="majorHAnsi" w:cstheme="majorHAnsi"/>
          <w:sz w:val="20"/>
          <w:szCs w:val="20"/>
        </w:rPr>
      </w:pPr>
      <w:r w:rsidRPr="00E80636">
        <w:rPr>
          <w:rFonts w:asciiTheme="majorHAnsi" w:hAnsiTheme="majorHAnsi" w:cstheme="majorHAnsi"/>
          <w:sz w:val="20"/>
          <w:szCs w:val="20"/>
        </w:rPr>
        <w:t xml:space="preserve">The overarching goal of the MCH Training Program is to improve the health and wellbeing of mothers, children, and families through the education of the MCH workforce. The MCH Training Program works to reach MCH professionals in rural areas who have limited access to relevant continuing education. The MCH Training Program provides MCH–specific education, leadership development, and practical experience to graduate students. The MCH Training Program is funded by the Title V Block Grant from the Health Resources and Services Administration (HRSA), and is a collaboration between UTHealth School of Public Health and the School of Social Work (SSW) at Grant Valley State University (GVSU) in Michigan. The MCH Training Program has also established partnerships with several community organizations that promote MCH in HRSA Region VI (Texas, New Mexico, Arkansas, Louisiana, New Mexico, and Oklahoma) and Michigan. </w:t>
      </w:r>
    </w:p>
    <w:p w:rsidR="009E7103" w:rsidRPr="00E80636" w:rsidRDefault="009E7103" w:rsidP="006C308E">
      <w:pPr>
        <w:ind w:left="720"/>
        <w:contextualSpacing/>
        <w:rPr>
          <w:rFonts w:asciiTheme="majorHAnsi" w:hAnsiTheme="majorHAnsi" w:cstheme="majorHAnsi"/>
          <w:sz w:val="20"/>
          <w:szCs w:val="20"/>
        </w:rPr>
      </w:pPr>
    </w:p>
    <w:p w:rsidR="009E7103" w:rsidRPr="00E80636" w:rsidRDefault="009E7103" w:rsidP="006C308E">
      <w:pPr>
        <w:ind w:left="720"/>
        <w:contextualSpacing/>
        <w:rPr>
          <w:rFonts w:asciiTheme="majorHAnsi" w:hAnsiTheme="majorHAnsi" w:cstheme="majorHAnsi"/>
          <w:sz w:val="20"/>
          <w:szCs w:val="20"/>
        </w:rPr>
      </w:pPr>
      <w:r w:rsidRPr="00E80636">
        <w:rPr>
          <w:rFonts w:asciiTheme="majorHAnsi" w:hAnsiTheme="majorHAnsi" w:cstheme="majorHAnsi"/>
          <w:sz w:val="20"/>
          <w:szCs w:val="20"/>
        </w:rPr>
        <w:t xml:space="preserve">The MCH Training Program provides education, both online and in-person, for MCH professionals. The online training modules make continuing education (CE) accessible for MCH professionals who serve diverse MCH populations in isolated geographic and rural areas. The MCH Training Program collaborates with community organizations to assess the most pertinent training needs of the MCH workforce and then develops specialized, interdisciplinary training modules. The trainings are approved by the Texas Department of State Health Services (DSHS) for continuing education units (CEUs) for community health workers (CHWs).  </w:t>
      </w:r>
    </w:p>
    <w:p w:rsidR="009E7103" w:rsidRPr="00E80636" w:rsidRDefault="009E7103" w:rsidP="006C308E">
      <w:pPr>
        <w:ind w:left="720"/>
        <w:contextualSpacing/>
        <w:rPr>
          <w:rFonts w:asciiTheme="majorHAnsi" w:hAnsiTheme="majorHAnsi" w:cstheme="majorHAnsi"/>
          <w:sz w:val="20"/>
          <w:szCs w:val="20"/>
        </w:rPr>
      </w:pPr>
    </w:p>
    <w:p w:rsidR="009E7103" w:rsidRPr="00E80636" w:rsidRDefault="009E7103" w:rsidP="006C308E">
      <w:pPr>
        <w:ind w:left="720"/>
        <w:contextualSpacing/>
        <w:rPr>
          <w:rFonts w:asciiTheme="majorHAnsi" w:hAnsiTheme="majorHAnsi" w:cstheme="majorHAnsi"/>
          <w:sz w:val="20"/>
          <w:szCs w:val="20"/>
        </w:rPr>
      </w:pPr>
      <w:r w:rsidRPr="00E80636">
        <w:rPr>
          <w:rFonts w:asciiTheme="majorHAnsi" w:hAnsiTheme="majorHAnsi" w:cstheme="majorHAnsi"/>
          <w:sz w:val="20"/>
          <w:szCs w:val="20"/>
        </w:rPr>
        <w:t xml:space="preserve">The MCH Training Program develops professional development activities through conversations with staff working primarily with the community and their immediate supervisors to learn about preferences for training, experiences of effective training, and new topic areas. Initially, the development of the MCH course curriculum was based more on the strengths of the fellows creating the curriculum than on the identified needs of the potential trainees. Our Workforce Development Assessment has enabled this program to identify target areas for training and methods for making training more engaging, as interviewees reflect on what they like and do not like about different online training modalities. By learning from these health workers’ experience with online trainings, we are consciously developing series of modules that build on each other in the course, and that enable trainees to reflect on their experience, engage in a variety of content formats, and generate projects that are applicable to what they would do in a typical public health job. Interviews with public health workers working directly with the community have led to a deeper understanding of how we can organize our courses more effectively for learners. This feedback led us to change our course format from semester-long courses to short courses with fewer modules. </w:t>
      </w:r>
    </w:p>
    <w:p w:rsidR="009E7103" w:rsidRPr="00E80636" w:rsidRDefault="009E7103" w:rsidP="006C308E">
      <w:pPr>
        <w:shd w:val="clear" w:color="auto" w:fill="FFFFFF"/>
        <w:ind w:left="720"/>
        <w:rPr>
          <w:rFonts w:asciiTheme="majorHAnsi" w:eastAsia="Times New Roman" w:hAnsiTheme="majorHAnsi" w:cstheme="majorHAnsi"/>
          <w:sz w:val="20"/>
          <w:szCs w:val="20"/>
        </w:rPr>
      </w:pPr>
    </w:p>
    <w:p w:rsidR="00D22E57" w:rsidRPr="00E80636" w:rsidRDefault="00D22E57" w:rsidP="006C308E">
      <w:pPr>
        <w:shd w:val="clear" w:color="auto" w:fill="FFFFFF"/>
        <w:ind w:left="720"/>
        <w:rPr>
          <w:rFonts w:asciiTheme="majorHAnsi" w:eastAsia="Times New Roman" w:hAnsiTheme="majorHAnsi" w:cstheme="majorHAnsi"/>
          <w:sz w:val="20"/>
          <w:szCs w:val="20"/>
        </w:rPr>
      </w:pPr>
    </w:p>
    <w:p w:rsidR="00D22E57" w:rsidRPr="00E80636" w:rsidRDefault="00D22E57" w:rsidP="006C308E">
      <w:pPr>
        <w:shd w:val="clear" w:color="auto" w:fill="FFFFFF"/>
        <w:ind w:left="720"/>
        <w:rPr>
          <w:rFonts w:asciiTheme="majorHAnsi" w:eastAsia="Times New Roman" w:hAnsiTheme="majorHAnsi" w:cstheme="majorHAnsi"/>
          <w:sz w:val="20"/>
          <w:szCs w:val="20"/>
        </w:rPr>
      </w:pPr>
    </w:p>
    <w:p w:rsidR="009E7103" w:rsidRPr="00E80636" w:rsidRDefault="009E7103" w:rsidP="006C308E">
      <w:pPr>
        <w:ind w:left="720"/>
        <w:rPr>
          <w:rFonts w:asciiTheme="majorHAnsi" w:hAnsiTheme="majorHAnsi" w:cstheme="majorHAnsi"/>
          <w:sz w:val="20"/>
          <w:szCs w:val="20"/>
        </w:rPr>
      </w:pPr>
      <w:r w:rsidRPr="00E80636">
        <w:rPr>
          <w:rFonts w:asciiTheme="majorHAnsi" w:hAnsiTheme="majorHAnsi" w:cstheme="majorHAnsi"/>
          <w:b/>
          <w:sz w:val="20"/>
          <w:szCs w:val="20"/>
        </w:rPr>
        <w:t>SWCOEH</w:t>
      </w:r>
    </w:p>
    <w:p w:rsidR="009E7103" w:rsidRPr="00E80636" w:rsidRDefault="009E7103" w:rsidP="006C308E">
      <w:pPr>
        <w:ind w:left="720"/>
        <w:rPr>
          <w:rFonts w:asciiTheme="majorHAnsi" w:hAnsiTheme="majorHAnsi" w:cstheme="majorHAnsi"/>
          <w:sz w:val="20"/>
          <w:szCs w:val="20"/>
        </w:rPr>
      </w:pPr>
      <w:r w:rsidRPr="00E80636">
        <w:rPr>
          <w:rFonts w:asciiTheme="majorHAnsi" w:hAnsiTheme="majorHAnsi" w:cstheme="majorHAnsi"/>
          <w:sz w:val="20"/>
          <w:szCs w:val="20"/>
        </w:rPr>
        <w:t>The SWCOEH is a research and training center within the Department of Epidemiology, Human Genetics and Environmental Sciences (EHGES) at the UTHealth School of Public Health. The primary mission of the SWCOEH is to promote and improve health, safety, and wellbeing in the workplace and the community. Since 1977, the SWCOEH has received continuous funding from the CDC’s National Institute for Occupational Safety and Health (NIOSH) as an Education and Research Center (ERC) (grant number T42OH008421). The threats to health and wellbeing posed by occupational and environmental factors are complex and require interdisciplinary and innovative approaches to improve the health of workers and communities.  In addition to utilizing the best available research practices and interventions, solutions must consider geographic, economic, behavioral, cultural, and political factors.  The SWCOEH addresses these threats by providing graduate-level education in environmental and occupational health, conducting research for prevention and control of disease and injury, engaging in research-to-practice activities, and providing CE and outreach to our stakeholders. The mission of the CE program is to serve as a training resource for professionals in the occupational health and safety field by delivering specialized courses in response to regional and national training needs. Between July 1, 2017, and June 30, 2018, the CE program trained 861 individuals in 35 educational events, representing 3,970 training hours for occupational medicine physicians, occupational health nurses, industrial hygienists, and occupational safety professionals, among others.</w:t>
      </w:r>
    </w:p>
    <w:p w:rsidR="009E7103" w:rsidRPr="00E80636" w:rsidRDefault="009E7103" w:rsidP="006C308E">
      <w:pPr>
        <w:ind w:left="720"/>
        <w:rPr>
          <w:rFonts w:asciiTheme="majorHAnsi" w:hAnsiTheme="majorHAnsi" w:cstheme="majorHAnsi"/>
          <w:color w:val="000000" w:themeColor="text1"/>
          <w:sz w:val="20"/>
          <w:szCs w:val="20"/>
        </w:rPr>
      </w:pPr>
    </w:p>
    <w:p w:rsidR="009E7103" w:rsidRPr="00E80636" w:rsidRDefault="009E7103" w:rsidP="006C308E">
      <w:pPr>
        <w:ind w:left="720"/>
        <w:contextualSpacing/>
        <w:rPr>
          <w:rFonts w:asciiTheme="majorHAnsi" w:hAnsiTheme="majorHAnsi" w:cstheme="majorHAnsi"/>
          <w:b/>
          <w:sz w:val="20"/>
          <w:szCs w:val="20"/>
        </w:rPr>
      </w:pPr>
      <w:r w:rsidRPr="00E80636">
        <w:rPr>
          <w:rFonts w:asciiTheme="majorHAnsi" w:hAnsiTheme="majorHAnsi" w:cstheme="majorHAnsi"/>
          <w:b/>
          <w:sz w:val="20"/>
          <w:szCs w:val="20"/>
        </w:rPr>
        <w:t>P2R Academy</w:t>
      </w:r>
    </w:p>
    <w:p w:rsidR="009E7103" w:rsidRPr="00E80636" w:rsidRDefault="009E7103" w:rsidP="006C308E">
      <w:pPr>
        <w:ind w:left="720"/>
        <w:contextualSpacing/>
        <w:rPr>
          <w:rFonts w:asciiTheme="majorHAnsi" w:hAnsiTheme="majorHAnsi" w:cstheme="majorHAnsi"/>
          <w:i/>
          <w:sz w:val="20"/>
          <w:szCs w:val="20"/>
        </w:rPr>
      </w:pPr>
      <w:r w:rsidRPr="00E80636">
        <w:rPr>
          <w:rFonts w:asciiTheme="majorHAnsi" w:hAnsiTheme="majorHAnsi" w:cstheme="majorHAnsi"/>
          <w:sz w:val="20"/>
          <w:szCs w:val="20"/>
        </w:rPr>
        <w:t>The P2R Academy</w:t>
      </w:r>
      <w:r w:rsidRPr="00E80636">
        <w:rPr>
          <w:rFonts w:asciiTheme="majorHAnsi" w:hAnsiTheme="majorHAnsi" w:cstheme="majorHAnsi"/>
          <w:b/>
          <w:sz w:val="20"/>
          <w:szCs w:val="20"/>
        </w:rPr>
        <w:t xml:space="preserve"> </w:t>
      </w:r>
      <w:r w:rsidRPr="00E80636">
        <w:rPr>
          <w:rFonts w:asciiTheme="majorHAnsi" w:hAnsiTheme="majorHAnsi" w:cstheme="majorHAnsi"/>
          <w:sz w:val="20"/>
          <w:szCs w:val="20"/>
        </w:rPr>
        <w:t>delivers technical workshops, seminars, and other training activities to address the professional development needs of the public health community.  In order to train a broad spectrum of public health workers and the general community, the P2R Academy partners with experts in biosafety, chemical safety, disaster preparedness, emergency response, environmental health, hazardous materials, health physics, infection prevention, radiation safety, resiliency, and waste management.</w:t>
      </w:r>
    </w:p>
    <w:p w:rsidR="009E7103" w:rsidRPr="00E80636" w:rsidRDefault="009E7103" w:rsidP="006C308E">
      <w:pPr>
        <w:contextualSpacing/>
        <w:jc w:val="both"/>
        <w:rPr>
          <w:rFonts w:asciiTheme="majorHAnsi" w:hAnsiTheme="majorHAnsi" w:cstheme="majorHAnsi"/>
          <w:sz w:val="20"/>
          <w:szCs w:val="20"/>
        </w:rPr>
      </w:pPr>
    </w:p>
    <w:p w:rsidR="00933038" w:rsidRPr="00E80636" w:rsidRDefault="00933038" w:rsidP="006C308E">
      <w:pPr>
        <w:numPr>
          <w:ilvl w:val="0"/>
          <w:numId w:val="40"/>
        </w:numPr>
        <w:contextualSpacing/>
        <w:jc w:val="both"/>
        <w:rPr>
          <w:rFonts w:asciiTheme="majorHAnsi" w:hAnsiTheme="majorHAnsi" w:cstheme="majorHAnsi"/>
          <w:sz w:val="20"/>
          <w:szCs w:val="20"/>
        </w:rPr>
      </w:pPr>
      <w:r w:rsidRPr="00E80636">
        <w:rPr>
          <w:rFonts w:asciiTheme="majorHAnsi" w:hAnsiTheme="majorHAnsi" w:cstheme="majorHAnsi"/>
          <w:sz w:val="20"/>
          <w:szCs w:val="20"/>
        </w:rPr>
        <w:t xml:space="preserve">Provide two to three examples of education/training activities offered by the school in the last three years in response to community-identified needs. For each activity, include the number of external participants served (ie, individuals who are not faculty or students at the institution that houses the school). </w:t>
      </w:r>
    </w:p>
    <w:p w:rsidR="00933038" w:rsidRPr="00E80636" w:rsidRDefault="00933038" w:rsidP="006C308E">
      <w:pPr>
        <w:contextualSpacing/>
        <w:jc w:val="both"/>
        <w:rPr>
          <w:rFonts w:asciiTheme="majorHAnsi" w:hAnsiTheme="majorHAnsi" w:cstheme="majorHAnsi"/>
          <w:sz w:val="20"/>
          <w:szCs w:val="20"/>
        </w:rPr>
      </w:pPr>
    </w:p>
    <w:p w:rsidR="009E7103" w:rsidRPr="00E80636" w:rsidRDefault="009E7103" w:rsidP="006C308E">
      <w:pPr>
        <w:shd w:val="clear" w:color="auto" w:fill="FFFFFF"/>
        <w:ind w:left="720"/>
        <w:rPr>
          <w:rFonts w:asciiTheme="majorHAnsi" w:eastAsia="Times New Roman" w:hAnsiTheme="majorHAnsi" w:cstheme="majorHAnsi"/>
          <w:color w:val="222222"/>
          <w:sz w:val="20"/>
          <w:szCs w:val="20"/>
        </w:rPr>
      </w:pPr>
      <w:r w:rsidRPr="00E80636">
        <w:rPr>
          <w:rFonts w:asciiTheme="majorHAnsi" w:eastAsia="Times New Roman" w:hAnsiTheme="majorHAnsi" w:cstheme="majorHAnsi"/>
          <w:b/>
          <w:color w:val="222222"/>
          <w:sz w:val="20"/>
          <w:szCs w:val="20"/>
        </w:rPr>
        <w:t>Maternal and Child Health (MCH) Training Program</w:t>
      </w:r>
    </w:p>
    <w:p w:rsidR="009E7103" w:rsidRPr="00E80636" w:rsidRDefault="009E7103" w:rsidP="006C308E">
      <w:pPr>
        <w:ind w:left="720"/>
        <w:contextualSpacing/>
        <w:rPr>
          <w:rFonts w:asciiTheme="majorHAnsi" w:eastAsia="Times New Roman" w:hAnsiTheme="majorHAnsi" w:cstheme="majorHAnsi"/>
          <w:color w:val="222222"/>
          <w:sz w:val="20"/>
          <w:szCs w:val="20"/>
        </w:rPr>
      </w:pPr>
      <w:r w:rsidRPr="00E80636">
        <w:rPr>
          <w:rFonts w:asciiTheme="majorHAnsi" w:eastAsia="Times New Roman" w:hAnsiTheme="majorHAnsi" w:cstheme="majorHAnsi"/>
          <w:color w:val="222222"/>
          <w:sz w:val="20"/>
          <w:szCs w:val="20"/>
        </w:rPr>
        <w:t xml:space="preserve">The MCH Training Program, as described in </w:t>
      </w:r>
      <w:hyperlink w:anchor="_F3_._Assessment" w:history="1">
        <w:r w:rsidR="001401D8" w:rsidRPr="001401D8">
          <w:rPr>
            <w:rStyle w:val="Hyperlink"/>
            <w:rFonts w:asciiTheme="majorHAnsi" w:eastAsia="Times New Roman" w:hAnsiTheme="majorHAnsi" w:cstheme="majorHAnsi"/>
            <w:i/>
            <w:sz w:val="20"/>
            <w:szCs w:val="20"/>
          </w:rPr>
          <w:t>Criterion F3. Assessment of the Community’s Professional Development Needs</w:t>
        </w:r>
      </w:hyperlink>
      <w:r w:rsidRPr="00E80636">
        <w:rPr>
          <w:rFonts w:asciiTheme="majorHAnsi" w:eastAsia="Times New Roman" w:hAnsiTheme="majorHAnsi" w:cstheme="majorHAnsi"/>
          <w:color w:val="222222"/>
          <w:sz w:val="20"/>
          <w:szCs w:val="20"/>
        </w:rPr>
        <w:t xml:space="preserve">, delivers online training modules to make continuing education (CE) accessible for MCH professionals who serve diverse MCH populations in isolated geographic and rural areas. The program collaborates with community organizations to assess the most pertinent training needs of the MCH workforce and then develops specialized, interdisciplinary training modules. The trainings are approved by the Texas Department of State Health Services (DSHS) for continuing education units (CEUs) for community health workers (CHWs). Since 2017, the MCH Training Program has completed </w:t>
      </w:r>
      <w:r w:rsidR="002349A5" w:rsidRPr="00E80636">
        <w:rPr>
          <w:rFonts w:asciiTheme="majorHAnsi" w:eastAsia="Times New Roman" w:hAnsiTheme="majorHAnsi" w:cstheme="majorHAnsi"/>
          <w:color w:val="222222"/>
          <w:sz w:val="20"/>
          <w:szCs w:val="20"/>
        </w:rPr>
        <w:t>four</w:t>
      </w:r>
      <w:r w:rsidRPr="00E80636">
        <w:rPr>
          <w:rFonts w:asciiTheme="majorHAnsi" w:eastAsia="Times New Roman" w:hAnsiTheme="majorHAnsi" w:cstheme="majorHAnsi"/>
          <w:color w:val="222222"/>
          <w:sz w:val="20"/>
          <w:szCs w:val="20"/>
        </w:rPr>
        <w:t xml:space="preserve"> in-person trainings</w:t>
      </w:r>
      <w:r w:rsidR="002349A5" w:rsidRPr="00E80636">
        <w:rPr>
          <w:rFonts w:asciiTheme="majorHAnsi" w:eastAsia="Times New Roman" w:hAnsiTheme="majorHAnsi" w:cstheme="majorHAnsi"/>
          <w:color w:val="222222"/>
          <w:sz w:val="20"/>
          <w:szCs w:val="20"/>
        </w:rPr>
        <w:t xml:space="preserve"> with 110 learners and has had</w:t>
      </w:r>
      <w:r w:rsidRPr="00E80636">
        <w:rPr>
          <w:rFonts w:asciiTheme="majorHAnsi" w:eastAsia="Times New Roman" w:hAnsiTheme="majorHAnsi" w:cstheme="majorHAnsi"/>
          <w:color w:val="222222"/>
          <w:sz w:val="20"/>
          <w:szCs w:val="20"/>
        </w:rPr>
        <w:t xml:space="preserve"> </w:t>
      </w:r>
      <w:r w:rsidR="009171D0" w:rsidRPr="00E80636">
        <w:rPr>
          <w:rFonts w:asciiTheme="majorHAnsi" w:eastAsia="Times New Roman" w:hAnsiTheme="majorHAnsi" w:cstheme="majorHAnsi"/>
          <w:color w:val="222222"/>
          <w:sz w:val="20"/>
          <w:szCs w:val="20"/>
        </w:rPr>
        <w:t xml:space="preserve">more than </w:t>
      </w:r>
      <w:r w:rsidRPr="00E80636">
        <w:rPr>
          <w:rFonts w:asciiTheme="majorHAnsi" w:eastAsia="Times New Roman" w:hAnsiTheme="majorHAnsi" w:cstheme="majorHAnsi"/>
          <w:color w:val="222222"/>
          <w:sz w:val="20"/>
          <w:szCs w:val="20"/>
        </w:rPr>
        <w:t xml:space="preserve">1,295 </w:t>
      </w:r>
      <w:r w:rsidR="002349A5" w:rsidRPr="00E80636">
        <w:rPr>
          <w:rFonts w:asciiTheme="majorHAnsi" w:eastAsia="Times New Roman" w:hAnsiTheme="majorHAnsi" w:cstheme="majorHAnsi"/>
          <w:color w:val="222222"/>
          <w:sz w:val="20"/>
          <w:szCs w:val="20"/>
        </w:rPr>
        <w:t>online courses completed</w:t>
      </w:r>
      <w:r w:rsidRPr="00E80636">
        <w:rPr>
          <w:rFonts w:asciiTheme="majorHAnsi" w:eastAsia="Times New Roman" w:hAnsiTheme="majorHAnsi" w:cstheme="majorHAnsi"/>
          <w:color w:val="222222"/>
          <w:sz w:val="20"/>
          <w:szCs w:val="20"/>
        </w:rPr>
        <w:t>.</w:t>
      </w:r>
    </w:p>
    <w:p w:rsidR="009E7103" w:rsidRPr="00E80636" w:rsidRDefault="009E7103" w:rsidP="006C308E">
      <w:pPr>
        <w:ind w:left="720"/>
        <w:contextualSpacing/>
        <w:rPr>
          <w:rFonts w:asciiTheme="majorHAnsi" w:eastAsia="Times New Roman" w:hAnsiTheme="majorHAnsi" w:cstheme="majorHAnsi"/>
          <w:color w:val="222222"/>
          <w:sz w:val="20"/>
          <w:szCs w:val="20"/>
        </w:rPr>
      </w:pPr>
    </w:p>
    <w:p w:rsidR="009E7103" w:rsidRPr="00E80636" w:rsidRDefault="009E7103" w:rsidP="006C308E">
      <w:pPr>
        <w:ind w:left="720"/>
        <w:rPr>
          <w:rFonts w:asciiTheme="majorHAnsi" w:hAnsiTheme="majorHAnsi" w:cstheme="majorHAnsi"/>
          <w:b/>
          <w:sz w:val="20"/>
          <w:szCs w:val="20"/>
        </w:rPr>
      </w:pPr>
      <w:r w:rsidRPr="00E80636">
        <w:rPr>
          <w:rFonts w:asciiTheme="majorHAnsi" w:hAnsiTheme="majorHAnsi" w:cstheme="majorHAnsi"/>
          <w:b/>
          <w:sz w:val="20"/>
          <w:szCs w:val="20"/>
        </w:rPr>
        <w:t xml:space="preserve">Southwest Center for Occupational and Environmental Health (SWCOEH) </w:t>
      </w:r>
    </w:p>
    <w:p w:rsidR="009E7103" w:rsidRPr="00E80636" w:rsidRDefault="009E7103" w:rsidP="006C308E">
      <w:pPr>
        <w:ind w:left="720"/>
        <w:rPr>
          <w:rFonts w:asciiTheme="majorHAnsi" w:hAnsiTheme="majorHAnsi" w:cstheme="majorHAnsi"/>
          <w:color w:val="000000" w:themeColor="text1"/>
          <w:sz w:val="20"/>
          <w:szCs w:val="20"/>
        </w:rPr>
      </w:pPr>
      <w:r w:rsidRPr="00E80636">
        <w:rPr>
          <w:rFonts w:asciiTheme="majorHAnsi" w:hAnsiTheme="majorHAnsi" w:cstheme="majorHAnsi"/>
          <w:sz w:val="20"/>
          <w:szCs w:val="20"/>
        </w:rPr>
        <w:t xml:space="preserve">The SWCOEH is a research and training center within the Department of Epidemiology, Human Genetics and Environmental Sciences (EHGES) at the UTHealth School of Public Health. The primary mission of the SWCOEH is to promote and improve health, safety, and wellbeing in the workplace and the community. Since 1977, the SWCOEH has received continuous funding from the CDC’s National Institute for Occupational Safety and Health (NIOSH) as an Education and Research Center (ERC) (grant number T42OH008421).  </w:t>
      </w:r>
      <w:r w:rsidRPr="00E80636">
        <w:rPr>
          <w:rFonts w:asciiTheme="majorHAnsi" w:hAnsiTheme="majorHAnsi" w:cstheme="majorHAnsi"/>
          <w:sz w:val="20"/>
          <w:szCs w:val="20"/>
        </w:rPr>
        <w:br/>
      </w:r>
      <w:r w:rsidRPr="00E80636">
        <w:rPr>
          <w:rFonts w:asciiTheme="majorHAnsi" w:hAnsiTheme="majorHAnsi" w:cstheme="majorHAnsi"/>
          <w:sz w:val="20"/>
          <w:szCs w:val="20"/>
        </w:rPr>
        <w:br/>
        <w:t xml:space="preserve">The threats to health and wellbeing posed by occupational and environmental factors are complex and require interdisciplinary and innovative approaches to improve the health of workers and communities.  In addition to utilizing the best available research practices and interventions, solutions must consider geographic, economic, behavioral, cultural, and political factors.  The SWCOEH addresses these threats by providing graduate-level education in environmental and occupational health, </w:t>
      </w:r>
      <w:r w:rsidRPr="00E80636">
        <w:rPr>
          <w:rFonts w:asciiTheme="majorHAnsi" w:hAnsiTheme="majorHAnsi" w:cstheme="majorHAnsi"/>
          <w:color w:val="000000" w:themeColor="text1"/>
          <w:sz w:val="20"/>
          <w:szCs w:val="20"/>
        </w:rPr>
        <w:t xml:space="preserve">conducting research for prevention and control of disease and injury, engaging in research </w:t>
      </w:r>
      <w:r w:rsidRPr="00E80636">
        <w:rPr>
          <w:rFonts w:asciiTheme="majorHAnsi" w:hAnsiTheme="majorHAnsi" w:cstheme="majorHAnsi"/>
          <w:sz w:val="20"/>
          <w:szCs w:val="20"/>
        </w:rPr>
        <w:t xml:space="preserve">to practice activities, and providing continuing education and outreach to our stakeholders. </w:t>
      </w:r>
      <w:r w:rsidRPr="00E80636">
        <w:rPr>
          <w:rFonts w:asciiTheme="majorHAnsi" w:hAnsiTheme="majorHAnsi" w:cstheme="majorHAnsi"/>
          <w:sz w:val="20"/>
          <w:szCs w:val="20"/>
        </w:rPr>
        <w:br/>
      </w:r>
      <w:r w:rsidRPr="00E80636">
        <w:rPr>
          <w:rFonts w:asciiTheme="majorHAnsi" w:hAnsiTheme="majorHAnsi" w:cstheme="majorHAnsi"/>
          <w:sz w:val="20"/>
          <w:szCs w:val="20"/>
        </w:rPr>
        <w:br/>
        <w:t xml:space="preserve">The SWCOEH CE program is led by Elaine Symanski, PhD, Professor and Center Director, and Michelle McDaniel, BS, CHES, Continuing Education Coordinator. </w:t>
      </w:r>
      <w:r w:rsidRPr="00E80636">
        <w:rPr>
          <w:rFonts w:asciiTheme="majorHAnsi" w:hAnsiTheme="majorHAnsi" w:cstheme="majorHAnsi"/>
          <w:color w:val="000000" w:themeColor="text1"/>
          <w:sz w:val="20"/>
          <w:szCs w:val="20"/>
        </w:rPr>
        <w:t>The mission of the CE Program is to serve as a training resource for professionals in the occupational health and safety field by delivering specialized courses in response to regional and national training needs. Between July 1, 2017, and June 30, 2018, the CE program trained 861 individuals in 35 educational events, representing 3,970 training hours for occupational medicine physicians, occupational health nurses, industrial hygienists, and occupational safety professionals, among others.</w:t>
      </w:r>
    </w:p>
    <w:p w:rsidR="009E7103" w:rsidRPr="00E80636" w:rsidRDefault="009E7103" w:rsidP="006C308E">
      <w:pPr>
        <w:ind w:left="720"/>
        <w:rPr>
          <w:rFonts w:asciiTheme="majorHAnsi" w:hAnsiTheme="majorHAnsi" w:cstheme="majorHAnsi"/>
          <w:sz w:val="20"/>
          <w:szCs w:val="20"/>
        </w:rPr>
      </w:pPr>
    </w:p>
    <w:p w:rsidR="009E7103" w:rsidRPr="00E80636" w:rsidRDefault="009E7103" w:rsidP="006C308E">
      <w:pPr>
        <w:ind w:left="720"/>
        <w:rPr>
          <w:rFonts w:asciiTheme="majorHAnsi" w:hAnsiTheme="majorHAnsi" w:cstheme="majorHAnsi"/>
          <w:b/>
          <w:sz w:val="20"/>
          <w:szCs w:val="20"/>
        </w:rPr>
      </w:pPr>
      <w:r w:rsidRPr="00E80636">
        <w:rPr>
          <w:rFonts w:asciiTheme="majorHAnsi" w:hAnsiTheme="majorHAnsi" w:cstheme="majorHAnsi"/>
          <w:b/>
          <w:sz w:val="20"/>
          <w:szCs w:val="20"/>
        </w:rPr>
        <w:t>The Prevention, Preparedness and Response (P2R) Academy</w:t>
      </w:r>
    </w:p>
    <w:p w:rsidR="009E7103" w:rsidRPr="00E80636" w:rsidRDefault="009E7103" w:rsidP="006C308E">
      <w:pPr>
        <w:ind w:left="720"/>
        <w:rPr>
          <w:rFonts w:asciiTheme="majorHAnsi" w:hAnsiTheme="majorHAnsi" w:cstheme="majorHAnsi"/>
          <w:sz w:val="20"/>
          <w:szCs w:val="20"/>
        </w:rPr>
      </w:pPr>
      <w:r w:rsidRPr="00E80636">
        <w:rPr>
          <w:rFonts w:asciiTheme="majorHAnsi" w:hAnsiTheme="majorHAnsi" w:cstheme="majorHAnsi"/>
          <w:sz w:val="20"/>
          <w:szCs w:val="20"/>
        </w:rPr>
        <w:t xml:space="preserve">In order to train a broad spectrum of public health workers and the general community, the P2R Academy partners with experts in biosafety, chemical safety, disaster preparedness, emergency response, environmental health, hazardous materials, health physics, infection prevention, radiation safety, resiliency, and waste management.  In the last 3 years, the P2R Academy has delivered 379 educational events to 10,952 individuals for a total of 51,117 person-hours of training (see </w:t>
      </w:r>
      <w:hyperlink w:anchor="tablef42" w:history="1">
        <w:r w:rsidRPr="00E80636">
          <w:rPr>
            <w:rStyle w:val="Hyperlink"/>
            <w:rFonts w:asciiTheme="majorHAnsi" w:hAnsiTheme="majorHAnsi" w:cstheme="majorHAnsi"/>
            <w:sz w:val="20"/>
            <w:szCs w:val="20"/>
          </w:rPr>
          <w:t>Table F</w:t>
        </w:r>
        <w:r w:rsidR="00186280" w:rsidRPr="00E80636">
          <w:rPr>
            <w:rStyle w:val="Hyperlink"/>
            <w:rFonts w:asciiTheme="majorHAnsi" w:hAnsiTheme="majorHAnsi" w:cstheme="majorHAnsi"/>
            <w:sz w:val="20"/>
            <w:szCs w:val="20"/>
          </w:rPr>
          <w:t>.</w:t>
        </w:r>
        <w:r w:rsidRPr="00E80636">
          <w:rPr>
            <w:rStyle w:val="Hyperlink"/>
            <w:rFonts w:asciiTheme="majorHAnsi" w:hAnsiTheme="majorHAnsi" w:cstheme="majorHAnsi"/>
            <w:sz w:val="20"/>
            <w:szCs w:val="20"/>
          </w:rPr>
          <w:t>4.2</w:t>
        </w:r>
      </w:hyperlink>
      <w:r w:rsidR="00186280" w:rsidRPr="00E80636">
        <w:rPr>
          <w:rFonts w:asciiTheme="majorHAnsi" w:hAnsiTheme="majorHAnsi" w:cstheme="majorHAnsi"/>
          <w:sz w:val="20"/>
          <w:szCs w:val="20"/>
        </w:rPr>
        <w:t>.</w:t>
      </w:r>
      <w:r w:rsidRPr="00E80636">
        <w:rPr>
          <w:rFonts w:asciiTheme="majorHAnsi" w:hAnsiTheme="majorHAnsi" w:cstheme="majorHAnsi"/>
          <w:sz w:val="20"/>
          <w:szCs w:val="20"/>
        </w:rPr>
        <w:t xml:space="preserve"> for annual training data summaries).  Brief descriptions of a few of these courses are listed below:</w:t>
      </w:r>
    </w:p>
    <w:p w:rsidR="009E7103" w:rsidRPr="00E80636" w:rsidRDefault="009E7103" w:rsidP="006C308E">
      <w:pPr>
        <w:ind w:left="360"/>
        <w:rPr>
          <w:rFonts w:asciiTheme="majorHAnsi" w:hAnsiTheme="majorHAnsi" w:cstheme="majorHAnsi"/>
          <w:sz w:val="20"/>
          <w:szCs w:val="20"/>
        </w:rPr>
      </w:pPr>
    </w:p>
    <w:p w:rsidR="009E7103" w:rsidRPr="00E80636" w:rsidRDefault="009E7103" w:rsidP="006C308E">
      <w:pPr>
        <w:pStyle w:val="ListParagraph"/>
        <w:numPr>
          <w:ilvl w:val="0"/>
          <w:numId w:val="108"/>
        </w:numPr>
        <w:ind w:left="1800"/>
        <w:rPr>
          <w:rFonts w:asciiTheme="majorHAnsi" w:hAnsiTheme="majorHAnsi" w:cstheme="majorHAnsi"/>
          <w:szCs w:val="20"/>
        </w:rPr>
      </w:pPr>
      <w:r w:rsidRPr="00E80636">
        <w:rPr>
          <w:rFonts w:asciiTheme="majorHAnsi" w:hAnsiTheme="majorHAnsi" w:cstheme="majorHAnsi"/>
          <w:i/>
          <w:szCs w:val="20"/>
        </w:rPr>
        <w:t>Biological Safety Officer</w:t>
      </w:r>
      <w:r w:rsidRPr="00E80636">
        <w:rPr>
          <w:rFonts w:asciiTheme="majorHAnsi" w:hAnsiTheme="majorHAnsi" w:cstheme="majorHAnsi"/>
          <w:szCs w:val="20"/>
        </w:rPr>
        <w:t>:  This 3-day course teaches the</w:t>
      </w:r>
      <w:r w:rsidRPr="00E80636">
        <w:rPr>
          <w:rFonts w:asciiTheme="majorHAnsi" w:hAnsiTheme="majorHAnsi" w:cstheme="majorHAnsi"/>
          <w:color w:val="000000"/>
          <w:szCs w:val="20"/>
        </w:rPr>
        <w:t xml:space="preserve"> essentials of anticipating, recognizing, evaluating, controlling, and confirming the controls of possible biological hazards in the workplace, and helps prepare attendees for leadership roles in their institutions’ biological safety programs.</w:t>
      </w:r>
    </w:p>
    <w:p w:rsidR="009E7103" w:rsidRPr="00E80636" w:rsidRDefault="009E7103" w:rsidP="006C308E">
      <w:pPr>
        <w:pStyle w:val="ListParagraph"/>
        <w:ind w:left="1800"/>
        <w:rPr>
          <w:rFonts w:asciiTheme="majorHAnsi" w:hAnsiTheme="majorHAnsi" w:cstheme="majorHAnsi"/>
          <w:szCs w:val="20"/>
        </w:rPr>
      </w:pPr>
    </w:p>
    <w:p w:rsidR="009E7103" w:rsidRPr="00674571" w:rsidRDefault="009E7103" w:rsidP="006C308E">
      <w:pPr>
        <w:pStyle w:val="ListParagraph"/>
        <w:numPr>
          <w:ilvl w:val="0"/>
          <w:numId w:val="108"/>
        </w:numPr>
        <w:ind w:left="1800"/>
        <w:rPr>
          <w:rFonts w:asciiTheme="majorHAnsi" w:hAnsiTheme="majorHAnsi" w:cstheme="majorHAnsi"/>
          <w:szCs w:val="20"/>
          <w:lang w:val="en"/>
        </w:rPr>
      </w:pPr>
      <w:r w:rsidRPr="00E80636">
        <w:rPr>
          <w:rFonts w:asciiTheme="majorHAnsi" w:hAnsiTheme="majorHAnsi" w:cstheme="majorHAnsi"/>
          <w:i/>
          <w:szCs w:val="20"/>
        </w:rPr>
        <w:t xml:space="preserve">Hazardous Waste Operations and Emergency Response (HAZWOPER) </w:t>
      </w:r>
      <w:r w:rsidRPr="00E80636">
        <w:rPr>
          <w:rFonts w:asciiTheme="majorHAnsi" w:hAnsiTheme="majorHAnsi" w:cstheme="majorHAnsi"/>
          <w:szCs w:val="20"/>
        </w:rPr>
        <w:t xml:space="preserve">course:  This weeklong (40-hour) course trains workers engaged </w:t>
      </w:r>
      <w:r w:rsidRPr="00E80636">
        <w:rPr>
          <w:rFonts w:asciiTheme="majorHAnsi" w:hAnsiTheme="majorHAnsi" w:cstheme="majorHAnsi"/>
          <w:szCs w:val="20"/>
          <w:lang w:val="en"/>
        </w:rPr>
        <w:t xml:space="preserve">in activities in which exposure to </w:t>
      </w:r>
      <w:r w:rsidRPr="00674571">
        <w:rPr>
          <w:rStyle w:val="Hyperlink"/>
          <w:rFonts w:asciiTheme="majorHAnsi" w:eastAsia="Calibri" w:hAnsiTheme="majorHAnsi" w:cstheme="majorHAnsi"/>
          <w:color w:val="auto"/>
          <w:szCs w:val="20"/>
          <w:u w:val="none"/>
          <w:lang w:val="en"/>
        </w:rPr>
        <w:t>hazardous substances</w:t>
      </w:r>
      <w:r w:rsidRPr="00674571">
        <w:rPr>
          <w:rFonts w:asciiTheme="majorHAnsi" w:hAnsiTheme="majorHAnsi" w:cstheme="majorHAnsi"/>
          <w:szCs w:val="20"/>
          <w:lang w:val="en"/>
        </w:rPr>
        <w:t xml:space="preserve"> is possible. </w:t>
      </w:r>
    </w:p>
    <w:p w:rsidR="009E7103" w:rsidRPr="00E80636" w:rsidRDefault="009E7103" w:rsidP="006C308E">
      <w:pPr>
        <w:pStyle w:val="ListParagraph"/>
        <w:ind w:left="1800"/>
        <w:rPr>
          <w:rFonts w:asciiTheme="majorHAnsi" w:hAnsiTheme="majorHAnsi" w:cstheme="majorHAnsi"/>
          <w:szCs w:val="20"/>
          <w:lang w:val="en"/>
        </w:rPr>
      </w:pPr>
    </w:p>
    <w:p w:rsidR="009E7103" w:rsidRPr="00E80636" w:rsidRDefault="009E7103" w:rsidP="006C308E">
      <w:pPr>
        <w:pStyle w:val="ListParagraph"/>
        <w:numPr>
          <w:ilvl w:val="0"/>
          <w:numId w:val="108"/>
        </w:numPr>
        <w:tabs>
          <w:tab w:val="left" w:pos="360"/>
        </w:tabs>
        <w:ind w:left="1800"/>
        <w:contextualSpacing/>
        <w:rPr>
          <w:rFonts w:asciiTheme="majorHAnsi" w:hAnsiTheme="majorHAnsi" w:cstheme="majorHAnsi"/>
          <w:szCs w:val="20"/>
        </w:rPr>
      </w:pPr>
      <w:r w:rsidRPr="00E80636">
        <w:rPr>
          <w:rFonts w:asciiTheme="majorHAnsi" w:hAnsiTheme="majorHAnsi" w:cstheme="majorHAnsi"/>
          <w:i/>
          <w:szCs w:val="20"/>
        </w:rPr>
        <w:t>Stop the Bleed</w:t>
      </w:r>
      <w:r w:rsidRPr="00E80636">
        <w:rPr>
          <w:rFonts w:asciiTheme="majorHAnsi" w:hAnsiTheme="majorHAnsi" w:cstheme="majorHAnsi"/>
          <w:szCs w:val="20"/>
        </w:rPr>
        <w:t xml:space="preserve"> course:  This 90-minute course is a call-to-action campaign initiated by the U.S. Department of Homeland Security to equip the bystanders of a traumatic event with the skills necessary to stop blood loss quickly.  </w:t>
      </w:r>
    </w:p>
    <w:p w:rsidR="009E7103" w:rsidRPr="00E80636" w:rsidRDefault="009E7103" w:rsidP="006C308E">
      <w:pPr>
        <w:tabs>
          <w:tab w:val="left" w:pos="360"/>
        </w:tabs>
        <w:ind w:left="720"/>
        <w:contextualSpacing/>
        <w:rPr>
          <w:rFonts w:asciiTheme="majorHAnsi" w:hAnsiTheme="majorHAnsi" w:cstheme="majorHAnsi"/>
          <w:sz w:val="20"/>
          <w:szCs w:val="20"/>
        </w:rPr>
      </w:pPr>
    </w:p>
    <w:p w:rsidR="009E7103" w:rsidRPr="00E80636" w:rsidRDefault="009E7103" w:rsidP="006C308E">
      <w:pPr>
        <w:ind w:left="720"/>
        <w:rPr>
          <w:rFonts w:asciiTheme="majorHAnsi" w:hAnsiTheme="majorHAnsi" w:cstheme="majorHAnsi"/>
          <w:sz w:val="20"/>
          <w:szCs w:val="20"/>
        </w:rPr>
      </w:pPr>
      <w:r w:rsidRPr="00E80636">
        <w:rPr>
          <w:rFonts w:asciiTheme="majorHAnsi" w:hAnsiTheme="majorHAnsi" w:cstheme="majorHAnsi"/>
          <w:sz w:val="20"/>
          <w:szCs w:val="20"/>
        </w:rPr>
        <w:t xml:space="preserve">Participants in these events regularly rate our courses and the instructors highly.  For example, a participant in our HAZWOPER course (delivered during the week of March 4, 2019) wrote a thank-you email exclaiming, “The training was great! John [the instructor] was awesome!”  Moreover, the impact of these courses is tremendous.  In February 2019, a university police officer from south Texas attended a </w:t>
      </w:r>
      <w:r w:rsidRPr="00E80636">
        <w:rPr>
          <w:rFonts w:asciiTheme="majorHAnsi" w:hAnsiTheme="majorHAnsi" w:cstheme="majorHAnsi"/>
          <w:i/>
          <w:sz w:val="20"/>
          <w:szCs w:val="20"/>
        </w:rPr>
        <w:t>Stop the Bleed</w:t>
      </w:r>
      <w:r w:rsidRPr="00E80636">
        <w:rPr>
          <w:rFonts w:asciiTheme="majorHAnsi" w:hAnsiTheme="majorHAnsi" w:cstheme="majorHAnsi"/>
          <w:sz w:val="20"/>
          <w:szCs w:val="20"/>
        </w:rPr>
        <w:t xml:space="preserve"> session and, a few weeks later, while driving in a rural area, he witnessed a head-on collision.  One of the victims in the collision suffered an open fracture in her leg (bone exposed through the skin) with prolific bleeding.  The officer applied a tourniquet, as instructed in our course.  The paramedics who arrived 6 minutes later stated that the broken bone had severed a large artery and the officer’s actions likely saved the victim’s life.  The officer credited the </w:t>
      </w:r>
      <w:r w:rsidRPr="00E80636">
        <w:rPr>
          <w:rFonts w:asciiTheme="majorHAnsi" w:hAnsiTheme="majorHAnsi" w:cstheme="majorHAnsi"/>
          <w:i/>
          <w:sz w:val="20"/>
          <w:szCs w:val="20"/>
        </w:rPr>
        <w:t>Stop the Bleed</w:t>
      </w:r>
      <w:r w:rsidRPr="00E80636">
        <w:rPr>
          <w:rFonts w:asciiTheme="majorHAnsi" w:hAnsiTheme="majorHAnsi" w:cstheme="majorHAnsi"/>
          <w:sz w:val="20"/>
          <w:szCs w:val="20"/>
        </w:rPr>
        <w:t xml:space="preserve"> course for his quick lifesaving actions.</w:t>
      </w:r>
    </w:p>
    <w:p w:rsidR="009E7103" w:rsidRPr="00E80636" w:rsidRDefault="009E7103" w:rsidP="006C308E">
      <w:pPr>
        <w:ind w:left="720"/>
        <w:contextualSpacing/>
        <w:jc w:val="both"/>
        <w:rPr>
          <w:rFonts w:asciiTheme="majorHAnsi" w:hAnsiTheme="majorHAnsi" w:cstheme="majorHAnsi"/>
          <w:sz w:val="20"/>
          <w:szCs w:val="20"/>
        </w:rPr>
      </w:pPr>
    </w:p>
    <w:p w:rsidR="009E7103" w:rsidRPr="00E80636" w:rsidRDefault="009E7103" w:rsidP="006C308E">
      <w:pPr>
        <w:tabs>
          <w:tab w:val="left" w:pos="360"/>
        </w:tabs>
        <w:ind w:left="720"/>
        <w:contextualSpacing/>
        <w:rPr>
          <w:rFonts w:asciiTheme="majorHAnsi" w:hAnsiTheme="majorHAnsi" w:cstheme="majorHAnsi"/>
          <w:sz w:val="20"/>
          <w:szCs w:val="20"/>
        </w:rPr>
      </w:pPr>
      <w:bookmarkStart w:id="146" w:name="tablef42"/>
      <w:r w:rsidRPr="00E80636">
        <w:rPr>
          <w:rFonts w:asciiTheme="majorHAnsi" w:hAnsiTheme="majorHAnsi" w:cstheme="majorHAnsi"/>
          <w:sz w:val="20"/>
          <w:szCs w:val="20"/>
        </w:rPr>
        <w:t>Table F</w:t>
      </w:r>
      <w:r w:rsidR="00684010" w:rsidRPr="00E80636">
        <w:rPr>
          <w:rFonts w:asciiTheme="majorHAnsi" w:hAnsiTheme="majorHAnsi" w:cstheme="majorHAnsi"/>
          <w:sz w:val="20"/>
          <w:szCs w:val="20"/>
        </w:rPr>
        <w:t>.</w:t>
      </w:r>
      <w:r w:rsidRPr="00E80636">
        <w:rPr>
          <w:rFonts w:asciiTheme="majorHAnsi" w:hAnsiTheme="majorHAnsi" w:cstheme="majorHAnsi"/>
          <w:sz w:val="20"/>
          <w:szCs w:val="20"/>
        </w:rPr>
        <w:t>4.2</w:t>
      </w:r>
      <w:r w:rsidR="00152064" w:rsidRPr="00E80636">
        <w:rPr>
          <w:rFonts w:asciiTheme="majorHAnsi" w:hAnsiTheme="majorHAnsi" w:cstheme="majorHAnsi"/>
          <w:sz w:val="20"/>
          <w:szCs w:val="20"/>
        </w:rPr>
        <w:t>.</w:t>
      </w:r>
      <w:r w:rsidRPr="00E80636">
        <w:rPr>
          <w:rFonts w:asciiTheme="majorHAnsi" w:hAnsiTheme="majorHAnsi" w:cstheme="majorHAnsi"/>
          <w:sz w:val="20"/>
          <w:szCs w:val="20"/>
        </w:rPr>
        <w:t xml:space="preserve"> </w:t>
      </w:r>
      <w:bookmarkEnd w:id="146"/>
      <w:r w:rsidRPr="00E80636">
        <w:rPr>
          <w:rFonts w:asciiTheme="majorHAnsi" w:hAnsiTheme="majorHAnsi" w:cstheme="majorHAnsi"/>
          <w:sz w:val="20"/>
          <w:szCs w:val="20"/>
        </w:rPr>
        <w:t>P2R Academy Training Data by Year, January 1, 2016–December 31, 2018</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5"/>
        <w:gridCol w:w="2580"/>
        <w:gridCol w:w="2580"/>
        <w:gridCol w:w="2580"/>
      </w:tblGrid>
      <w:tr w:rsidR="009E7103" w:rsidRPr="00743A41" w:rsidTr="009E7103">
        <w:trPr>
          <w:cantSplit/>
          <w:tblHeader/>
        </w:trPr>
        <w:tc>
          <w:tcPr>
            <w:tcW w:w="895" w:type="dxa"/>
            <w:shd w:val="clear" w:color="auto" w:fill="BFBFBF" w:themeFill="background1" w:themeFillShade="BF"/>
            <w:tcMar>
              <w:top w:w="0" w:type="dxa"/>
              <w:left w:w="108" w:type="dxa"/>
              <w:bottom w:w="0" w:type="dxa"/>
              <w:right w:w="108" w:type="dxa"/>
            </w:tcMar>
            <w:vAlign w:val="center"/>
            <w:hideMark/>
          </w:tcPr>
          <w:p w:rsidR="009E7103" w:rsidRPr="00E80636" w:rsidRDefault="009E7103" w:rsidP="006C308E">
            <w:pPr>
              <w:jc w:val="center"/>
              <w:rPr>
                <w:rFonts w:asciiTheme="majorHAnsi" w:hAnsiTheme="majorHAnsi" w:cstheme="majorHAnsi"/>
                <w:b/>
                <w:sz w:val="20"/>
                <w:szCs w:val="20"/>
              </w:rPr>
            </w:pPr>
            <w:r w:rsidRPr="00E80636">
              <w:rPr>
                <w:rFonts w:asciiTheme="majorHAnsi" w:hAnsiTheme="majorHAnsi" w:cstheme="majorHAnsi"/>
                <w:b/>
                <w:sz w:val="20"/>
                <w:szCs w:val="20"/>
              </w:rPr>
              <w:t>Year</w:t>
            </w:r>
          </w:p>
        </w:tc>
        <w:tc>
          <w:tcPr>
            <w:tcW w:w="2580" w:type="dxa"/>
            <w:shd w:val="clear" w:color="auto" w:fill="BFBFBF" w:themeFill="background1" w:themeFillShade="BF"/>
            <w:tcMar>
              <w:top w:w="0" w:type="dxa"/>
              <w:left w:w="108" w:type="dxa"/>
              <w:bottom w:w="0" w:type="dxa"/>
              <w:right w:w="108" w:type="dxa"/>
            </w:tcMar>
            <w:vAlign w:val="center"/>
            <w:hideMark/>
          </w:tcPr>
          <w:p w:rsidR="009E7103" w:rsidRPr="00E80636" w:rsidRDefault="009E7103" w:rsidP="006C308E">
            <w:pPr>
              <w:jc w:val="center"/>
              <w:rPr>
                <w:rFonts w:asciiTheme="majorHAnsi" w:hAnsiTheme="majorHAnsi" w:cstheme="majorHAnsi"/>
                <w:b/>
                <w:sz w:val="20"/>
                <w:szCs w:val="20"/>
              </w:rPr>
            </w:pPr>
            <w:r w:rsidRPr="00E80636">
              <w:rPr>
                <w:rFonts w:asciiTheme="majorHAnsi" w:hAnsiTheme="majorHAnsi" w:cstheme="majorHAnsi"/>
                <w:b/>
                <w:sz w:val="20"/>
                <w:szCs w:val="20"/>
              </w:rPr>
              <w:t>Number of Events</w:t>
            </w:r>
          </w:p>
        </w:tc>
        <w:tc>
          <w:tcPr>
            <w:tcW w:w="2580" w:type="dxa"/>
            <w:shd w:val="clear" w:color="auto" w:fill="BFBFBF" w:themeFill="background1" w:themeFillShade="BF"/>
            <w:tcMar>
              <w:top w:w="0" w:type="dxa"/>
              <w:left w:w="108" w:type="dxa"/>
              <w:bottom w:w="0" w:type="dxa"/>
              <w:right w:w="108" w:type="dxa"/>
            </w:tcMar>
            <w:vAlign w:val="center"/>
            <w:hideMark/>
          </w:tcPr>
          <w:p w:rsidR="009E7103" w:rsidRPr="00E80636" w:rsidRDefault="009E7103" w:rsidP="006C308E">
            <w:pPr>
              <w:jc w:val="center"/>
              <w:rPr>
                <w:rFonts w:asciiTheme="majorHAnsi" w:hAnsiTheme="majorHAnsi" w:cstheme="majorHAnsi"/>
                <w:b/>
                <w:sz w:val="20"/>
                <w:szCs w:val="20"/>
              </w:rPr>
            </w:pPr>
            <w:r w:rsidRPr="00E80636">
              <w:rPr>
                <w:rFonts w:asciiTheme="majorHAnsi" w:hAnsiTheme="majorHAnsi" w:cstheme="majorHAnsi"/>
                <w:b/>
                <w:sz w:val="20"/>
                <w:szCs w:val="20"/>
              </w:rPr>
              <w:t>Number of Participants</w:t>
            </w:r>
          </w:p>
        </w:tc>
        <w:tc>
          <w:tcPr>
            <w:tcW w:w="2580" w:type="dxa"/>
            <w:shd w:val="clear" w:color="auto" w:fill="BFBFBF" w:themeFill="background1" w:themeFillShade="BF"/>
            <w:tcMar>
              <w:top w:w="0" w:type="dxa"/>
              <w:left w:w="108" w:type="dxa"/>
              <w:bottom w:w="0" w:type="dxa"/>
              <w:right w:w="108" w:type="dxa"/>
            </w:tcMar>
            <w:vAlign w:val="center"/>
            <w:hideMark/>
          </w:tcPr>
          <w:p w:rsidR="009E7103" w:rsidRPr="00E80636" w:rsidRDefault="009E7103" w:rsidP="006C308E">
            <w:pPr>
              <w:jc w:val="center"/>
              <w:rPr>
                <w:rFonts w:asciiTheme="majorHAnsi" w:hAnsiTheme="majorHAnsi" w:cstheme="majorHAnsi"/>
                <w:b/>
                <w:sz w:val="20"/>
                <w:szCs w:val="20"/>
              </w:rPr>
            </w:pPr>
            <w:r w:rsidRPr="00E80636">
              <w:rPr>
                <w:rFonts w:asciiTheme="majorHAnsi" w:hAnsiTheme="majorHAnsi" w:cstheme="majorHAnsi"/>
                <w:b/>
                <w:sz w:val="20"/>
                <w:szCs w:val="20"/>
              </w:rPr>
              <w:t>Total Person-Hours of Training</w:t>
            </w:r>
          </w:p>
        </w:tc>
      </w:tr>
      <w:tr w:rsidR="009E7103" w:rsidRPr="00743A41" w:rsidTr="009E7103">
        <w:trPr>
          <w:cantSplit/>
        </w:trPr>
        <w:tc>
          <w:tcPr>
            <w:tcW w:w="895" w:type="dxa"/>
            <w:tcMar>
              <w:top w:w="0" w:type="dxa"/>
              <w:left w:w="108" w:type="dxa"/>
              <w:bottom w:w="0" w:type="dxa"/>
              <w:right w:w="108" w:type="dxa"/>
            </w:tcMar>
            <w:hideMark/>
          </w:tcPr>
          <w:p w:rsidR="009E7103" w:rsidRPr="00E80636" w:rsidRDefault="009E7103" w:rsidP="006C308E">
            <w:pPr>
              <w:jc w:val="center"/>
              <w:rPr>
                <w:rFonts w:asciiTheme="majorHAnsi" w:hAnsiTheme="majorHAnsi" w:cstheme="majorHAnsi"/>
                <w:sz w:val="20"/>
                <w:szCs w:val="20"/>
              </w:rPr>
            </w:pPr>
            <w:r w:rsidRPr="00E80636">
              <w:rPr>
                <w:rFonts w:asciiTheme="majorHAnsi" w:hAnsiTheme="majorHAnsi" w:cstheme="majorHAnsi"/>
                <w:sz w:val="20"/>
                <w:szCs w:val="20"/>
              </w:rPr>
              <w:t>2016</w:t>
            </w:r>
          </w:p>
        </w:tc>
        <w:tc>
          <w:tcPr>
            <w:tcW w:w="2580" w:type="dxa"/>
            <w:tcMar>
              <w:top w:w="0" w:type="dxa"/>
              <w:left w:w="108" w:type="dxa"/>
              <w:bottom w:w="0" w:type="dxa"/>
              <w:right w:w="108" w:type="dxa"/>
            </w:tcMar>
            <w:hideMark/>
          </w:tcPr>
          <w:p w:rsidR="009E7103" w:rsidRPr="00E80636" w:rsidRDefault="009E7103" w:rsidP="006C308E">
            <w:pPr>
              <w:jc w:val="center"/>
              <w:rPr>
                <w:rFonts w:asciiTheme="majorHAnsi" w:hAnsiTheme="majorHAnsi" w:cstheme="majorHAnsi"/>
                <w:sz w:val="20"/>
                <w:szCs w:val="20"/>
              </w:rPr>
            </w:pPr>
            <w:r w:rsidRPr="00E80636">
              <w:rPr>
                <w:rFonts w:asciiTheme="majorHAnsi" w:hAnsiTheme="majorHAnsi" w:cstheme="majorHAnsi"/>
                <w:sz w:val="20"/>
                <w:szCs w:val="20"/>
              </w:rPr>
              <w:t>147</w:t>
            </w:r>
          </w:p>
        </w:tc>
        <w:tc>
          <w:tcPr>
            <w:tcW w:w="2580" w:type="dxa"/>
            <w:tcMar>
              <w:top w:w="0" w:type="dxa"/>
              <w:left w:w="108" w:type="dxa"/>
              <w:bottom w:w="0" w:type="dxa"/>
              <w:right w:w="108" w:type="dxa"/>
            </w:tcMar>
            <w:hideMark/>
          </w:tcPr>
          <w:p w:rsidR="009E7103" w:rsidRPr="00E80636" w:rsidRDefault="009E7103" w:rsidP="006C308E">
            <w:pPr>
              <w:jc w:val="center"/>
              <w:rPr>
                <w:rFonts w:asciiTheme="majorHAnsi" w:hAnsiTheme="majorHAnsi" w:cstheme="majorHAnsi"/>
                <w:sz w:val="20"/>
                <w:szCs w:val="20"/>
              </w:rPr>
            </w:pPr>
            <w:r w:rsidRPr="00E80636">
              <w:rPr>
                <w:rFonts w:asciiTheme="majorHAnsi" w:hAnsiTheme="majorHAnsi" w:cstheme="majorHAnsi"/>
                <w:sz w:val="20"/>
                <w:szCs w:val="20"/>
              </w:rPr>
              <w:t>4,142</w:t>
            </w:r>
          </w:p>
        </w:tc>
        <w:tc>
          <w:tcPr>
            <w:tcW w:w="2580" w:type="dxa"/>
            <w:tcMar>
              <w:top w:w="0" w:type="dxa"/>
              <w:left w:w="108" w:type="dxa"/>
              <w:bottom w:w="0" w:type="dxa"/>
              <w:right w:w="108" w:type="dxa"/>
            </w:tcMar>
            <w:hideMark/>
          </w:tcPr>
          <w:p w:rsidR="009E7103" w:rsidRPr="00E80636" w:rsidRDefault="009E7103" w:rsidP="006C308E">
            <w:pPr>
              <w:jc w:val="center"/>
              <w:rPr>
                <w:rFonts w:asciiTheme="majorHAnsi" w:hAnsiTheme="majorHAnsi" w:cstheme="majorHAnsi"/>
                <w:sz w:val="20"/>
                <w:szCs w:val="20"/>
              </w:rPr>
            </w:pPr>
            <w:r w:rsidRPr="00E80636">
              <w:rPr>
                <w:rFonts w:asciiTheme="majorHAnsi" w:hAnsiTheme="majorHAnsi" w:cstheme="majorHAnsi"/>
                <w:sz w:val="20"/>
                <w:szCs w:val="20"/>
              </w:rPr>
              <w:t>15,311</w:t>
            </w:r>
          </w:p>
        </w:tc>
      </w:tr>
      <w:tr w:rsidR="009E7103" w:rsidRPr="00743A41" w:rsidTr="009E7103">
        <w:trPr>
          <w:cantSplit/>
        </w:trPr>
        <w:tc>
          <w:tcPr>
            <w:tcW w:w="895" w:type="dxa"/>
            <w:tcMar>
              <w:top w:w="0" w:type="dxa"/>
              <w:left w:w="108" w:type="dxa"/>
              <w:bottom w:w="0" w:type="dxa"/>
              <w:right w:w="108" w:type="dxa"/>
            </w:tcMar>
            <w:hideMark/>
          </w:tcPr>
          <w:p w:rsidR="009E7103" w:rsidRPr="00E80636" w:rsidRDefault="009E7103" w:rsidP="006C308E">
            <w:pPr>
              <w:jc w:val="center"/>
              <w:rPr>
                <w:rFonts w:asciiTheme="majorHAnsi" w:hAnsiTheme="majorHAnsi" w:cstheme="majorHAnsi"/>
                <w:sz w:val="20"/>
                <w:szCs w:val="20"/>
              </w:rPr>
            </w:pPr>
            <w:r w:rsidRPr="00E80636">
              <w:rPr>
                <w:rFonts w:asciiTheme="majorHAnsi" w:hAnsiTheme="majorHAnsi" w:cstheme="majorHAnsi"/>
                <w:sz w:val="20"/>
                <w:szCs w:val="20"/>
              </w:rPr>
              <w:t>2017</w:t>
            </w:r>
          </w:p>
        </w:tc>
        <w:tc>
          <w:tcPr>
            <w:tcW w:w="2580" w:type="dxa"/>
            <w:tcMar>
              <w:top w:w="0" w:type="dxa"/>
              <w:left w:w="108" w:type="dxa"/>
              <w:bottom w:w="0" w:type="dxa"/>
              <w:right w:w="108" w:type="dxa"/>
            </w:tcMar>
            <w:hideMark/>
          </w:tcPr>
          <w:p w:rsidR="009E7103" w:rsidRPr="00E80636" w:rsidRDefault="009E7103" w:rsidP="006C308E">
            <w:pPr>
              <w:jc w:val="center"/>
              <w:rPr>
                <w:rFonts w:asciiTheme="majorHAnsi" w:hAnsiTheme="majorHAnsi" w:cstheme="majorHAnsi"/>
                <w:sz w:val="20"/>
                <w:szCs w:val="20"/>
              </w:rPr>
            </w:pPr>
            <w:r w:rsidRPr="00E80636">
              <w:rPr>
                <w:rFonts w:asciiTheme="majorHAnsi" w:hAnsiTheme="majorHAnsi" w:cstheme="majorHAnsi"/>
                <w:sz w:val="20"/>
                <w:szCs w:val="20"/>
              </w:rPr>
              <w:t>118</w:t>
            </w:r>
          </w:p>
        </w:tc>
        <w:tc>
          <w:tcPr>
            <w:tcW w:w="2580" w:type="dxa"/>
            <w:tcMar>
              <w:top w:w="0" w:type="dxa"/>
              <w:left w:w="108" w:type="dxa"/>
              <w:bottom w:w="0" w:type="dxa"/>
              <w:right w:w="108" w:type="dxa"/>
            </w:tcMar>
            <w:hideMark/>
          </w:tcPr>
          <w:p w:rsidR="009E7103" w:rsidRPr="00E80636" w:rsidRDefault="009E7103" w:rsidP="006C308E">
            <w:pPr>
              <w:jc w:val="center"/>
              <w:rPr>
                <w:rFonts w:asciiTheme="majorHAnsi" w:hAnsiTheme="majorHAnsi" w:cstheme="majorHAnsi"/>
                <w:sz w:val="20"/>
                <w:szCs w:val="20"/>
              </w:rPr>
            </w:pPr>
            <w:r w:rsidRPr="00E80636">
              <w:rPr>
                <w:rFonts w:asciiTheme="majorHAnsi" w:hAnsiTheme="majorHAnsi" w:cstheme="majorHAnsi"/>
                <w:sz w:val="20"/>
                <w:szCs w:val="20"/>
              </w:rPr>
              <w:t>3,413</w:t>
            </w:r>
          </w:p>
        </w:tc>
        <w:tc>
          <w:tcPr>
            <w:tcW w:w="2580" w:type="dxa"/>
            <w:tcMar>
              <w:top w:w="0" w:type="dxa"/>
              <w:left w:w="108" w:type="dxa"/>
              <w:bottom w:w="0" w:type="dxa"/>
              <w:right w:w="108" w:type="dxa"/>
            </w:tcMar>
            <w:hideMark/>
          </w:tcPr>
          <w:p w:rsidR="009E7103" w:rsidRPr="00E80636" w:rsidRDefault="009E7103" w:rsidP="006C308E">
            <w:pPr>
              <w:jc w:val="center"/>
              <w:rPr>
                <w:rFonts w:asciiTheme="majorHAnsi" w:hAnsiTheme="majorHAnsi" w:cstheme="majorHAnsi"/>
                <w:sz w:val="20"/>
                <w:szCs w:val="20"/>
              </w:rPr>
            </w:pPr>
            <w:r w:rsidRPr="00E80636">
              <w:rPr>
                <w:rFonts w:asciiTheme="majorHAnsi" w:hAnsiTheme="majorHAnsi" w:cstheme="majorHAnsi"/>
                <w:sz w:val="20"/>
                <w:szCs w:val="20"/>
              </w:rPr>
              <w:t>14,246</w:t>
            </w:r>
          </w:p>
        </w:tc>
      </w:tr>
      <w:tr w:rsidR="009E7103" w:rsidRPr="00743A41" w:rsidTr="009E7103">
        <w:trPr>
          <w:cantSplit/>
        </w:trPr>
        <w:tc>
          <w:tcPr>
            <w:tcW w:w="895" w:type="dxa"/>
            <w:tcMar>
              <w:top w:w="0" w:type="dxa"/>
              <w:left w:w="108" w:type="dxa"/>
              <w:bottom w:w="0" w:type="dxa"/>
              <w:right w:w="108" w:type="dxa"/>
            </w:tcMar>
            <w:hideMark/>
          </w:tcPr>
          <w:p w:rsidR="009E7103" w:rsidRPr="00E80636" w:rsidRDefault="009E7103" w:rsidP="006C308E">
            <w:pPr>
              <w:jc w:val="center"/>
              <w:rPr>
                <w:rFonts w:asciiTheme="majorHAnsi" w:hAnsiTheme="majorHAnsi" w:cstheme="majorHAnsi"/>
                <w:sz w:val="20"/>
                <w:szCs w:val="20"/>
              </w:rPr>
            </w:pPr>
            <w:r w:rsidRPr="00E80636">
              <w:rPr>
                <w:rFonts w:asciiTheme="majorHAnsi" w:hAnsiTheme="majorHAnsi" w:cstheme="majorHAnsi"/>
                <w:sz w:val="20"/>
                <w:szCs w:val="20"/>
              </w:rPr>
              <w:t>2018</w:t>
            </w:r>
          </w:p>
        </w:tc>
        <w:tc>
          <w:tcPr>
            <w:tcW w:w="2580" w:type="dxa"/>
            <w:tcMar>
              <w:top w:w="0" w:type="dxa"/>
              <w:left w:w="108" w:type="dxa"/>
              <w:bottom w:w="0" w:type="dxa"/>
              <w:right w:w="108" w:type="dxa"/>
            </w:tcMar>
            <w:hideMark/>
          </w:tcPr>
          <w:p w:rsidR="009E7103" w:rsidRPr="00E80636" w:rsidRDefault="009E7103" w:rsidP="006C308E">
            <w:pPr>
              <w:jc w:val="center"/>
              <w:rPr>
                <w:rFonts w:asciiTheme="majorHAnsi" w:hAnsiTheme="majorHAnsi" w:cstheme="majorHAnsi"/>
                <w:sz w:val="20"/>
                <w:szCs w:val="20"/>
              </w:rPr>
            </w:pPr>
            <w:r w:rsidRPr="00E80636">
              <w:rPr>
                <w:rFonts w:asciiTheme="majorHAnsi" w:hAnsiTheme="majorHAnsi" w:cstheme="majorHAnsi"/>
                <w:sz w:val="20"/>
                <w:szCs w:val="20"/>
              </w:rPr>
              <w:t>114</w:t>
            </w:r>
          </w:p>
        </w:tc>
        <w:tc>
          <w:tcPr>
            <w:tcW w:w="2580" w:type="dxa"/>
            <w:tcMar>
              <w:top w:w="0" w:type="dxa"/>
              <w:left w:w="108" w:type="dxa"/>
              <w:bottom w:w="0" w:type="dxa"/>
              <w:right w:w="108" w:type="dxa"/>
            </w:tcMar>
            <w:hideMark/>
          </w:tcPr>
          <w:p w:rsidR="009E7103" w:rsidRPr="00E80636" w:rsidRDefault="009E7103" w:rsidP="006C308E">
            <w:pPr>
              <w:jc w:val="center"/>
              <w:rPr>
                <w:rFonts w:asciiTheme="majorHAnsi" w:hAnsiTheme="majorHAnsi" w:cstheme="majorHAnsi"/>
                <w:sz w:val="20"/>
                <w:szCs w:val="20"/>
              </w:rPr>
            </w:pPr>
            <w:r w:rsidRPr="00E80636">
              <w:rPr>
                <w:rFonts w:asciiTheme="majorHAnsi" w:hAnsiTheme="majorHAnsi" w:cstheme="majorHAnsi"/>
                <w:sz w:val="20"/>
                <w:szCs w:val="20"/>
              </w:rPr>
              <w:t>3,397</w:t>
            </w:r>
          </w:p>
        </w:tc>
        <w:tc>
          <w:tcPr>
            <w:tcW w:w="2580" w:type="dxa"/>
            <w:tcMar>
              <w:top w:w="0" w:type="dxa"/>
              <w:left w:w="108" w:type="dxa"/>
              <w:bottom w:w="0" w:type="dxa"/>
              <w:right w:w="108" w:type="dxa"/>
            </w:tcMar>
            <w:hideMark/>
          </w:tcPr>
          <w:p w:rsidR="009E7103" w:rsidRPr="00E80636" w:rsidRDefault="009E7103" w:rsidP="006C308E">
            <w:pPr>
              <w:jc w:val="center"/>
              <w:rPr>
                <w:rFonts w:asciiTheme="majorHAnsi" w:hAnsiTheme="majorHAnsi" w:cstheme="majorHAnsi"/>
                <w:sz w:val="20"/>
                <w:szCs w:val="20"/>
              </w:rPr>
            </w:pPr>
            <w:r w:rsidRPr="00E80636">
              <w:rPr>
                <w:rFonts w:asciiTheme="majorHAnsi" w:hAnsiTheme="majorHAnsi" w:cstheme="majorHAnsi"/>
                <w:sz w:val="20"/>
                <w:szCs w:val="20"/>
              </w:rPr>
              <w:t>21,560</w:t>
            </w:r>
          </w:p>
        </w:tc>
      </w:tr>
    </w:tbl>
    <w:p w:rsidR="009E7103" w:rsidRPr="00E80636" w:rsidRDefault="009E7103" w:rsidP="006C308E">
      <w:pPr>
        <w:ind w:left="720"/>
        <w:contextualSpacing/>
        <w:jc w:val="both"/>
        <w:rPr>
          <w:rFonts w:asciiTheme="majorHAnsi" w:hAnsiTheme="majorHAnsi" w:cstheme="majorHAnsi"/>
          <w:sz w:val="20"/>
          <w:szCs w:val="20"/>
        </w:rPr>
      </w:pPr>
    </w:p>
    <w:p w:rsidR="009E7103" w:rsidRPr="00E80636" w:rsidRDefault="009E7103" w:rsidP="006C308E">
      <w:pPr>
        <w:shd w:val="clear" w:color="auto" w:fill="FFFFFF"/>
        <w:ind w:left="720"/>
        <w:rPr>
          <w:rFonts w:asciiTheme="majorHAnsi" w:eastAsia="Times New Roman" w:hAnsiTheme="majorHAnsi" w:cstheme="majorHAnsi"/>
          <w:b/>
          <w:color w:val="222222"/>
          <w:sz w:val="20"/>
          <w:szCs w:val="20"/>
        </w:rPr>
      </w:pPr>
    </w:p>
    <w:p w:rsidR="00854AF0" w:rsidRPr="00E80636" w:rsidRDefault="00854AF0" w:rsidP="006C308E">
      <w:pPr>
        <w:ind w:left="720"/>
        <w:contextualSpacing/>
        <w:rPr>
          <w:rFonts w:asciiTheme="majorHAnsi" w:eastAsia="Times New Roman" w:hAnsiTheme="majorHAnsi" w:cstheme="majorHAnsi"/>
          <w:color w:val="222222"/>
          <w:sz w:val="20"/>
          <w:szCs w:val="20"/>
        </w:rPr>
      </w:pPr>
    </w:p>
    <w:p w:rsidR="00854AF0" w:rsidRPr="00E80636" w:rsidRDefault="00854AF0" w:rsidP="006C308E">
      <w:pPr>
        <w:ind w:left="720"/>
        <w:contextualSpacing/>
        <w:rPr>
          <w:rFonts w:asciiTheme="majorHAnsi" w:eastAsia="Times New Roman" w:hAnsiTheme="majorHAnsi" w:cstheme="majorHAnsi"/>
          <w:color w:val="222222"/>
          <w:sz w:val="20"/>
          <w:szCs w:val="20"/>
        </w:rPr>
      </w:pPr>
      <w:r w:rsidRPr="00E80636">
        <w:rPr>
          <w:rFonts w:asciiTheme="majorHAnsi" w:eastAsia="Times New Roman" w:hAnsiTheme="majorHAnsi" w:cstheme="majorHAnsi"/>
          <w:color w:val="222222"/>
          <w:sz w:val="20"/>
          <w:szCs w:val="20"/>
        </w:rPr>
        <w:t>Associated documents in the electronic resource file:</w:t>
      </w:r>
    </w:p>
    <w:p w:rsidR="006007B9" w:rsidRDefault="006007B9" w:rsidP="006007B9">
      <w:pPr>
        <w:pStyle w:val="ListParagraph"/>
        <w:numPr>
          <w:ilvl w:val="0"/>
          <w:numId w:val="109"/>
        </w:numPr>
        <w:contextualSpacing/>
        <w:rPr>
          <w:rFonts w:asciiTheme="majorHAnsi" w:hAnsiTheme="majorHAnsi" w:cstheme="majorHAnsi"/>
          <w:i/>
          <w:szCs w:val="20"/>
        </w:rPr>
      </w:pPr>
      <w:r w:rsidRPr="006007B9">
        <w:rPr>
          <w:rFonts w:asciiTheme="majorHAnsi" w:hAnsiTheme="majorHAnsi" w:cstheme="majorHAnsi"/>
          <w:i/>
          <w:szCs w:val="20"/>
        </w:rPr>
        <w:t>F4. Delivery of Professional Development Opportunities for the Workforce</w:t>
      </w:r>
    </w:p>
    <w:p w:rsidR="00854AF0" w:rsidRPr="00674571" w:rsidRDefault="00854AF0" w:rsidP="006007B9">
      <w:pPr>
        <w:pStyle w:val="ListParagraph"/>
        <w:numPr>
          <w:ilvl w:val="1"/>
          <w:numId w:val="109"/>
        </w:numPr>
        <w:contextualSpacing/>
        <w:rPr>
          <w:rFonts w:asciiTheme="majorHAnsi" w:hAnsiTheme="majorHAnsi" w:cstheme="majorHAnsi"/>
          <w:i/>
          <w:szCs w:val="20"/>
        </w:rPr>
      </w:pPr>
      <w:r w:rsidRPr="00674571">
        <w:rPr>
          <w:rFonts w:asciiTheme="majorHAnsi" w:hAnsiTheme="majorHAnsi" w:cstheme="majorHAnsi"/>
          <w:i/>
          <w:szCs w:val="20"/>
        </w:rPr>
        <w:t>Priority Needs Identified by State Needs Assessment</w:t>
      </w:r>
    </w:p>
    <w:p w:rsidR="00854AF0" w:rsidRPr="00674571" w:rsidRDefault="00854AF0" w:rsidP="006007B9">
      <w:pPr>
        <w:pStyle w:val="ListParagraph"/>
        <w:numPr>
          <w:ilvl w:val="1"/>
          <w:numId w:val="109"/>
        </w:numPr>
        <w:contextualSpacing/>
        <w:rPr>
          <w:rFonts w:asciiTheme="majorHAnsi" w:hAnsiTheme="majorHAnsi" w:cstheme="majorHAnsi"/>
          <w:i/>
          <w:szCs w:val="20"/>
        </w:rPr>
      </w:pPr>
      <w:r w:rsidRPr="00674571">
        <w:rPr>
          <w:rFonts w:asciiTheme="majorHAnsi" w:hAnsiTheme="majorHAnsi" w:cstheme="majorHAnsi"/>
          <w:i/>
          <w:szCs w:val="20"/>
        </w:rPr>
        <w:t>Workforce Development Assessment Report</w:t>
      </w:r>
    </w:p>
    <w:p w:rsidR="00854AF0" w:rsidRPr="00E80636" w:rsidRDefault="00854AF0" w:rsidP="006C308E">
      <w:pPr>
        <w:ind w:left="720"/>
        <w:contextualSpacing/>
        <w:jc w:val="both"/>
        <w:rPr>
          <w:rFonts w:asciiTheme="majorHAnsi" w:hAnsiTheme="majorHAnsi" w:cstheme="majorHAnsi"/>
          <w:sz w:val="20"/>
          <w:szCs w:val="20"/>
        </w:rPr>
      </w:pPr>
    </w:p>
    <w:p w:rsidR="00933038" w:rsidRPr="00E80636" w:rsidRDefault="00933038" w:rsidP="006C308E">
      <w:pPr>
        <w:numPr>
          <w:ilvl w:val="0"/>
          <w:numId w:val="40"/>
        </w:numPr>
        <w:contextualSpacing/>
        <w:jc w:val="both"/>
        <w:rPr>
          <w:rFonts w:asciiTheme="majorHAnsi" w:hAnsiTheme="majorHAnsi" w:cstheme="majorHAnsi"/>
          <w:sz w:val="20"/>
          <w:szCs w:val="20"/>
        </w:rPr>
      </w:pPr>
      <w:r w:rsidRPr="00E80636">
        <w:rPr>
          <w:rFonts w:asciiTheme="majorHAnsi" w:hAnsiTheme="majorHAnsi" w:cstheme="majorHAnsi"/>
          <w:sz w:val="20"/>
          <w:szCs w:val="20"/>
        </w:rPr>
        <w:t xml:space="preserve">If applicable, assess strengths and weaknesses related to this criterion and plans for improvement in this area. </w:t>
      </w:r>
    </w:p>
    <w:p w:rsidR="00933038" w:rsidRPr="00E80636" w:rsidRDefault="00933038" w:rsidP="006C308E">
      <w:pPr>
        <w:ind w:left="720"/>
        <w:contextualSpacing/>
        <w:jc w:val="both"/>
        <w:rPr>
          <w:rFonts w:asciiTheme="majorHAnsi" w:hAnsiTheme="majorHAnsi" w:cstheme="majorHAnsi"/>
          <w:sz w:val="20"/>
          <w:szCs w:val="20"/>
        </w:rPr>
      </w:pPr>
    </w:p>
    <w:p w:rsidR="00186280" w:rsidRPr="00E80636" w:rsidRDefault="00186280" w:rsidP="006C308E">
      <w:pPr>
        <w:ind w:left="720"/>
        <w:rPr>
          <w:rFonts w:asciiTheme="majorHAnsi" w:hAnsiTheme="majorHAnsi" w:cstheme="majorHAnsi"/>
          <w:b/>
          <w:sz w:val="20"/>
          <w:szCs w:val="20"/>
        </w:rPr>
      </w:pPr>
      <w:r w:rsidRPr="00E80636">
        <w:rPr>
          <w:rFonts w:asciiTheme="majorHAnsi" w:hAnsiTheme="majorHAnsi" w:cstheme="majorHAnsi"/>
          <w:b/>
          <w:sz w:val="20"/>
          <w:szCs w:val="20"/>
        </w:rPr>
        <w:t>Weaknesses:</w:t>
      </w:r>
    </w:p>
    <w:p w:rsidR="00186280" w:rsidRPr="00E80636" w:rsidRDefault="00186280" w:rsidP="006C308E">
      <w:pPr>
        <w:numPr>
          <w:ilvl w:val="0"/>
          <w:numId w:val="205"/>
        </w:numPr>
        <w:ind w:left="1440"/>
        <w:rPr>
          <w:rFonts w:asciiTheme="majorHAnsi" w:eastAsia="Times New Roman" w:hAnsiTheme="majorHAnsi" w:cstheme="majorHAnsi"/>
          <w:sz w:val="20"/>
          <w:szCs w:val="20"/>
        </w:rPr>
      </w:pPr>
      <w:r w:rsidRPr="00E80636">
        <w:rPr>
          <w:rFonts w:asciiTheme="majorHAnsi" w:eastAsia="Times New Roman" w:hAnsiTheme="majorHAnsi" w:cstheme="majorHAnsi"/>
          <w:sz w:val="20"/>
          <w:szCs w:val="20"/>
        </w:rPr>
        <w:t>The process for developing and implementing professional development activities is distributed throughout the UTHealth School of Public Health, so it is difficult to track and record these activities.</w:t>
      </w:r>
    </w:p>
    <w:p w:rsidR="00186280" w:rsidRPr="00E80636" w:rsidRDefault="00186280" w:rsidP="006C308E">
      <w:pPr>
        <w:numPr>
          <w:ilvl w:val="0"/>
          <w:numId w:val="205"/>
        </w:numPr>
        <w:ind w:left="1440"/>
        <w:rPr>
          <w:rFonts w:asciiTheme="majorHAnsi" w:eastAsia="Times New Roman" w:hAnsiTheme="majorHAnsi" w:cstheme="majorHAnsi"/>
          <w:sz w:val="20"/>
          <w:szCs w:val="20"/>
        </w:rPr>
      </w:pPr>
      <w:r w:rsidRPr="00E80636">
        <w:rPr>
          <w:rFonts w:asciiTheme="majorHAnsi" w:eastAsia="Times New Roman" w:hAnsiTheme="majorHAnsi" w:cstheme="majorHAnsi"/>
          <w:sz w:val="20"/>
          <w:szCs w:val="20"/>
        </w:rPr>
        <w:t>The UTHealth School of Public Health engages in many more professional development activities than could be described in the self-study.</w:t>
      </w:r>
    </w:p>
    <w:p w:rsidR="00933038" w:rsidRPr="00E80636" w:rsidRDefault="00186280" w:rsidP="006C308E">
      <w:pPr>
        <w:ind w:left="720"/>
        <w:rPr>
          <w:rStyle w:val="Heading1Char"/>
        </w:rPr>
      </w:pPr>
      <w:r w:rsidRPr="00E80636" w:rsidDel="00186280">
        <w:rPr>
          <w:rFonts w:asciiTheme="majorHAnsi" w:hAnsiTheme="majorHAnsi" w:cstheme="majorHAnsi"/>
          <w:i/>
          <w:sz w:val="20"/>
          <w:szCs w:val="20"/>
          <w:highlight w:val="yellow"/>
        </w:rPr>
        <w:t xml:space="preserve"> </w:t>
      </w:r>
      <w:bookmarkStart w:id="147" w:name="_Toc464487896"/>
      <w:r w:rsidR="00933038" w:rsidRPr="00E80636">
        <w:rPr>
          <w:rStyle w:val="Heading1Char"/>
        </w:rPr>
        <w:br w:type="page"/>
      </w:r>
    </w:p>
    <w:p w:rsidR="00933038" w:rsidRPr="00E80636" w:rsidRDefault="00933038" w:rsidP="007A68BE">
      <w:pPr>
        <w:pStyle w:val="Heading1"/>
      </w:pPr>
      <w:bookmarkStart w:id="148" w:name="_G1._Diversity_"/>
      <w:bookmarkStart w:id="149" w:name="_G1._Diversity_and"/>
      <w:bookmarkStart w:id="150" w:name="_Toc7118229"/>
      <w:bookmarkEnd w:id="148"/>
      <w:bookmarkEnd w:id="149"/>
      <w:r w:rsidRPr="00E80636">
        <w:rPr>
          <w:rStyle w:val="Heading1Char"/>
          <w:b/>
        </w:rPr>
        <w:t>G1. Diversity and Cultural Competence</w:t>
      </w:r>
      <w:bookmarkEnd w:id="147"/>
      <w:bookmarkEnd w:id="150"/>
    </w:p>
    <w:p w:rsidR="00933038" w:rsidRPr="00E80636" w:rsidRDefault="00933038" w:rsidP="006C308E">
      <w:pPr>
        <w:jc w:val="both"/>
        <w:rPr>
          <w:rFonts w:asciiTheme="majorHAnsi" w:hAnsiTheme="majorHAnsi" w:cstheme="majorHAnsi"/>
          <w:b/>
          <w:sz w:val="20"/>
          <w:szCs w:val="20"/>
        </w:rPr>
      </w:pPr>
    </w:p>
    <w:p w:rsidR="00933038" w:rsidRPr="00E80636" w:rsidRDefault="00933038" w:rsidP="006C308E">
      <w:pPr>
        <w:jc w:val="both"/>
        <w:rPr>
          <w:rFonts w:asciiTheme="majorHAnsi" w:hAnsiTheme="majorHAnsi" w:cstheme="majorHAnsi"/>
          <w:b/>
          <w:sz w:val="20"/>
          <w:szCs w:val="20"/>
        </w:rPr>
      </w:pPr>
      <w:r w:rsidRPr="00E80636">
        <w:rPr>
          <w:rFonts w:asciiTheme="majorHAnsi" w:hAnsiTheme="majorHAnsi" w:cstheme="majorHAnsi"/>
          <w:b/>
          <w:sz w:val="20"/>
          <w:szCs w:val="20"/>
        </w:rPr>
        <w:t>Aspects of diversity may include age, country of birth, disability, ethnicity, gender, gender identity, language, national origin, race, historical under-representation, refugee status, religion, culture, sexual orientation, health status, community affiliation and socioeconomic status. This list is not intended to be exhaustive.</w:t>
      </w:r>
    </w:p>
    <w:p w:rsidR="00933038" w:rsidRPr="00E80636" w:rsidRDefault="00933038" w:rsidP="006C308E">
      <w:pPr>
        <w:jc w:val="both"/>
        <w:rPr>
          <w:rFonts w:asciiTheme="majorHAnsi" w:hAnsiTheme="majorHAnsi" w:cstheme="majorHAnsi"/>
          <w:b/>
          <w:sz w:val="20"/>
          <w:szCs w:val="20"/>
        </w:rPr>
      </w:pPr>
    </w:p>
    <w:p w:rsidR="00933038" w:rsidRPr="00E80636" w:rsidRDefault="00933038" w:rsidP="006C308E">
      <w:pPr>
        <w:jc w:val="both"/>
        <w:rPr>
          <w:rFonts w:asciiTheme="majorHAnsi" w:hAnsiTheme="majorHAnsi" w:cstheme="majorHAnsi"/>
          <w:b/>
          <w:sz w:val="20"/>
          <w:szCs w:val="20"/>
        </w:rPr>
      </w:pPr>
      <w:r w:rsidRPr="00E80636">
        <w:rPr>
          <w:rFonts w:asciiTheme="majorHAnsi" w:hAnsiTheme="majorHAnsi" w:cstheme="majorHAnsi"/>
          <w:b/>
          <w:sz w:val="20"/>
          <w:szCs w:val="20"/>
        </w:rPr>
        <w:t xml:space="preserve">Cultural competence, in this criterion’s context, refers to competencies for working with diverse individuals and communities in ways that are appropriate and responsive to relevant cultural factors. Requisite competencies include self-awareness, open-minded inquiry and assessment and the ability to recognize and adapt to cultural differences, especially as these differences may vary from the school’s dominant culture. Reflecting on the public health context, recognizing that cultural differences affect all aspects of health and health systems, cultural competence refers to the competencies for recognizing and adapting to cultural differences and being conscious of these differences in the school’s scholarship and/or community engagement. </w:t>
      </w:r>
    </w:p>
    <w:p w:rsidR="00933038" w:rsidRPr="00E80636" w:rsidRDefault="00933038" w:rsidP="006C308E">
      <w:pPr>
        <w:keepNext/>
        <w:jc w:val="both"/>
        <w:rPr>
          <w:rFonts w:asciiTheme="majorHAnsi" w:hAnsiTheme="majorHAnsi" w:cstheme="majorHAnsi"/>
          <w:sz w:val="20"/>
          <w:szCs w:val="20"/>
        </w:rPr>
      </w:pPr>
    </w:p>
    <w:p w:rsidR="00933038" w:rsidRPr="00E80636" w:rsidRDefault="00933038" w:rsidP="006C308E">
      <w:pPr>
        <w:numPr>
          <w:ilvl w:val="0"/>
          <w:numId w:val="41"/>
        </w:numPr>
        <w:contextualSpacing/>
        <w:jc w:val="both"/>
        <w:rPr>
          <w:rFonts w:asciiTheme="majorHAnsi" w:hAnsiTheme="majorHAnsi" w:cstheme="majorHAnsi"/>
          <w:sz w:val="20"/>
          <w:szCs w:val="20"/>
        </w:rPr>
      </w:pPr>
      <w:r w:rsidRPr="00E80636">
        <w:rPr>
          <w:rFonts w:asciiTheme="majorHAnsi" w:hAnsiTheme="majorHAnsi" w:cstheme="majorHAnsi"/>
          <w:sz w:val="20"/>
          <w:szCs w:val="20"/>
        </w:rPr>
        <w:t xml:space="preserve">List the school’s self-defined, priority under-represented populations; explain why these groups are of particular interest and importance to the school; and describe the process used to define the priority population(s). These populations must include both faculty and students and may include staff, if appropriate. Populations may differ among these groups. </w:t>
      </w:r>
    </w:p>
    <w:p w:rsidR="00933038" w:rsidRPr="00E80636" w:rsidRDefault="00933038" w:rsidP="006C308E">
      <w:pPr>
        <w:ind w:left="720"/>
        <w:contextualSpacing/>
        <w:jc w:val="both"/>
        <w:rPr>
          <w:rFonts w:asciiTheme="majorHAnsi" w:hAnsiTheme="majorHAnsi" w:cstheme="majorHAnsi"/>
          <w:sz w:val="20"/>
          <w:szCs w:val="20"/>
        </w:rPr>
      </w:pPr>
    </w:p>
    <w:p w:rsidR="00B8746D" w:rsidRPr="00E80636" w:rsidRDefault="00B8746D" w:rsidP="006C308E">
      <w:pPr>
        <w:ind w:left="720" w:right="63"/>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At the UTHealth School of Public Health, we are committed to fostering a culture of diversity and inclusion in our workplace as it is foundational to training competent public health leaders and population health researchers; pursuing excellence in population health research; and maintaining a productive, equitable, and nimble organization. Our research focuses on under-represented populations that span the globe, and our students represent diversity in national origin, language, race, color, disability, ethnicity, gender, age, religion, sexual orientation, gender identity, socioeconomic status, veteran status, and family structure. Although the entirety of our work is global, we are in a unique position to impact health disparities throughout the state of Texas as our campuses touch virtually the entire Texas population. Our campuses are strategically located in very diverse communities where 70% of Texans live and work. </w:t>
      </w:r>
    </w:p>
    <w:p w:rsidR="00B8746D" w:rsidRPr="00E80636" w:rsidRDefault="00B8746D" w:rsidP="006C308E">
      <w:pPr>
        <w:ind w:left="720" w:right="63"/>
        <w:rPr>
          <w:rFonts w:asciiTheme="majorHAnsi" w:eastAsia="Arial" w:hAnsiTheme="majorHAnsi" w:cstheme="majorHAnsi"/>
          <w:sz w:val="20"/>
          <w:szCs w:val="20"/>
        </w:rPr>
      </w:pPr>
    </w:p>
    <w:p w:rsidR="00B8746D" w:rsidRPr="00E80636" w:rsidRDefault="00B8746D" w:rsidP="006C308E">
      <w:pPr>
        <w:ind w:left="720" w:right="63"/>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Texas is an excellent training ground for preparing students to serve as public leaders in a highly diverse, interconnected world. As the 2nd most populous and the most diverse state in the nation, Texas provides an excellent environment in which to educate students from around the world and to partner with diverse communities to address health disparities. Our campuses in Brownsville and El Paso are located in areas where the majority of the population is Hispanic/Latino, Spanish is spoken in most homes, one-third of the population is foreign born, and a large proportion of the population lacks health insurance. Our other campuses are located in areas that have substantial African-American and Asian populations.  </w:t>
      </w:r>
    </w:p>
    <w:p w:rsidR="00B8746D" w:rsidRPr="00E80636" w:rsidRDefault="00B8746D" w:rsidP="006C308E">
      <w:pPr>
        <w:ind w:left="720" w:right="63"/>
        <w:rPr>
          <w:rFonts w:asciiTheme="majorHAnsi" w:eastAsia="Arial" w:hAnsiTheme="majorHAnsi" w:cstheme="majorHAnsi"/>
          <w:sz w:val="20"/>
          <w:szCs w:val="20"/>
        </w:rPr>
      </w:pPr>
    </w:p>
    <w:p w:rsidR="00B8746D" w:rsidRPr="00E80636" w:rsidRDefault="00B8746D" w:rsidP="006C308E">
      <w:pPr>
        <w:ind w:left="720" w:right="63"/>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Three considerations guided our selection of the UTHealth School of Public Health’s priority under-represented populations: (1) the composition of the Texas population because of our commitment to impacting health disparities in our state and our commitment to training the State’s public health workforce; (2) the composition of our student body and previous input from our students that they would like to see a faculty composition reflective of the student body; and (3) input from faculty and school leadership about the future direction of the school. Given these considerations, our goal is to ensure that our faculty, staff, and student demographics more closely reflect the diversity found in our State. Our priority under-represented populations are Hispanics/Latinos, African Americans, and women.   </w:t>
      </w:r>
    </w:p>
    <w:p w:rsidR="00B8746D" w:rsidRPr="00E80636" w:rsidRDefault="00B8746D" w:rsidP="006C308E">
      <w:pPr>
        <w:ind w:left="720" w:right="63"/>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   </w:t>
      </w:r>
    </w:p>
    <w:p w:rsidR="00B8746D" w:rsidRPr="00E80636" w:rsidRDefault="00B8746D" w:rsidP="006C308E">
      <w:pPr>
        <w:ind w:left="720" w:right="63"/>
        <w:rPr>
          <w:rFonts w:asciiTheme="majorHAnsi" w:eastAsia="Arial" w:hAnsiTheme="majorHAnsi" w:cstheme="majorHAnsi"/>
          <w:sz w:val="20"/>
          <w:szCs w:val="20"/>
        </w:rPr>
      </w:pPr>
      <w:r w:rsidRPr="00E80636">
        <w:rPr>
          <w:rFonts w:asciiTheme="majorHAnsi" w:eastAsia="Arial" w:hAnsiTheme="majorHAnsi" w:cstheme="majorHAnsi"/>
          <w:sz w:val="20"/>
          <w:szCs w:val="20"/>
        </w:rPr>
        <w:t>The student body at the UTHealth School of Public Health is diverse (</w:t>
      </w:r>
      <w:r w:rsidR="00031C86" w:rsidRPr="000F3751">
        <w:rPr>
          <w:rFonts w:asciiTheme="majorHAnsi" w:eastAsia="Arial" w:hAnsiTheme="majorHAnsi" w:cstheme="majorHAnsi"/>
          <w:i/>
          <w:sz w:val="20"/>
          <w:szCs w:val="20"/>
        </w:rPr>
        <w:t>ERF,</w:t>
      </w:r>
      <w:r w:rsidR="00031C86">
        <w:rPr>
          <w:rFonts w:asciiTheme="majorHAnsi" w:eastAsia="Arial" w:hAnsiTheme="majorHAnsi" w:cstheme="majorHAnsi"/>
          <w:i/>
          <w:sz w:val="20"/>
          <w:szCs w:val="20"/>
        </w:rPr>
        <w:t xml:space="preserve"> Criteria G,</w:t>
      </w:r>
      <w:r w:rsidR="00031C86" w:rsidRPr="00EC4E5E">
        <w:t xml:space="preserve"> </w:t>
      </w:r>
      <w:r w:rsidR="00031C86" w:rsidRPr="00EC4E5E">
        <w:rPr>
          <w:rFonts w:asciiTheme="majorHAnsi" w:eastAsia="Arial" w:hAnsiTheme="majorHAnsi" w:cstheme="majorHAnsi"/>
          <w:i/>
          <w:sz w:val="20"/>
          <w:szCs w:val="20"/>
        </w:rPr>
        <w:t>Extended Data Tables for Criterion G1</w:t>
      </w:r>
      <w:r w:rsidR="00031C86">
        <w:rPr>
          <w:rFonts w:asciiTheme="majorHAnsi" w:eastAsia="Arial" w:hAnsiTheme="majorHAnsi" w:cstheme="majorHAnsi"/>
          <w:i/>
          <w:sz w:val="20"/>
          <w:szCs w:val="20"/>
        </w:rPr>
        <w:t>,</w:t>
      </w:r>
      <w:r w:rsidR="000F3751" w:rsidRPr="000F3751">
        <w:rPr>
          <w:rFonts w:asciiTheme="majorHAnsi" w:eastAsia="Arial" w:hAnsiTheme="majorHAnsi" w:cstheme="majorHAnsi"/>
          <w:i/>
          <w:sz w:val="20"/>
          <w:szCs w:val="20"/>
        </w:rPr>
        <w:t xml:space="preserve"> </w:t>
      </w:r>
      <w:r w:rsidRPr="000F3751">
        <w:rPr>
          <w:rFonts w:asciiTheme="majorHAnsi" w:eastAsia="Arial" w:hAnsiTheme="majorHAnsi" w:cstheme="majorHAnsi"/>
          <w:i/>
          <w:sz w:val="20"/>
          <w:szCs w:val="20"/>
        </w:rPr>
        <w:t>Table G</w:t>
      </w:r>
      <w:r w:rsidR="00872F04" w:rsidRPr="000F3751">
        <w:rPr>
          <w:rFonts w:asciiTheme="majorHAnsi" w:eastAsia="Arial" w:hAnsiTheme="majorHAnsi" w:cstheme="majorHAnsi"/>
          <w:i/>
          <w:sz w:val="20"/>
          <w:szCs w:val="20"/>
        </w:rPr>
        <w:t>.</w:t>
      </w:r>
      <w:r w:rsidRPr="000F3751">
        <w:rPr>
          <w:rFonts w:asciiTheme="majorHAnsi" w:eastAsia="Arial" w:hAnsiTheme="majorHAnsi" w:cstheme="majorHAnsi"/>
          <w:i/>
          <w:sz w:val="20"/>
          <w:szCs w:val="20"/>
        </w:rPr>
        <w:t>1.1</w:t>
      </w:r>
      <w:r w:rsidR="00872F04" w:rsidRPr="000F3751">
        <w:rPr>
          <w:rFonts w:asciiTheme="majorHAnsi" w:eastAsia="Arial" w:hAnsiTheme="majorHAnsi" w:cstheme="majorHAnsi"/>
          <w:i/>
          <w:sz w:val="20"/>
          <w:szCs w:val="20"/>
        </w:rPr>
        <w:t>.</w:t>
      </w:r>
      <w:r w:rsidRPr="00E80636">
        <w:rPr>
          <w:rFonts w:asciiTheme="majorHAnsi" w:eastAsia="Arial" w:hAnsiTheme="majorHAnsi" w:cstheme="majorHAnsi"/>
          <w:sz w:val="20"/>
          <w:szCs w:val="20"/>
        </w:rPr>
        <w:t>): 39% of our students are non-Hispanic white, 11% are African American, 21% are Hispanic/Latino, 19% are Asian, and 18% are international students. Our student body is perhaps more ethnically/racially diverse than that at the average U.S. school of public health, but it does not quite reflect the Texas population. Upon further examination of domestic applicants who were admitted and those who were denied admission to the school, some disparities were identified that need to be remedied (</w:t>
      </w:r>
      <w:r w:rsidR="005C77FC" w:rsidRPr="000F3751">
        <w:rPr>
          <w:rFonts w:asciiTheme="majorHAnsi" w:eastAsia="Arial" w:hAnsiTheme="majorHAnsi" w:cstheme="majorHAnsi"/>
          <w:i/>
          <w:sz w:val="20"/>
          <w:szCs w:val="20"/>
        </w:rPr>
        <w:t>ERF,</w:t>
      </w:r>
      <w:r w:rsidR="005C77FC">
        <w:rPr>
          <w:rFonts w:asciiTheme="majorHAnsi" w:eastAsia="Arial" w:hAnsiTheme="majorHAnsi" w:cstheme="majorHAnsi"/>
          <w:i/>
          <w:sz w:val="20"/>
          <w:szCs w:val="20"/>
        </w:rPr>
        <w:t xml:space="preserve"> Criteria G,</w:t>
      </w:r>
      <w:r w:rsidR="005C77FC" w:rsidRPr="00EC4E5E">
        <w:t xml:space="preserve"> </w:t>
      </w:r>
      <w:r w:rsidR="005C77FC" w:rsidRPr="00EC4E5E">
        <w:rPr>
          <w:rFonts w:asciiTheme="majorHAnsi" w:eastAsia="Arial" w:hAnsiTheme="majorHAnsi" w:cstheme="majorHAnsi"/>
          <w:i/>
          <w:sz w:val="20"/>
          <w:szCs w:val="20"/>
        </w:rPr>
        <w:t>Extended Data Tables for Criterion G1</w:t>
      </w:r>
      <w:r w:rsidR="005C77FC">
        <w:rPr>
          <w:rFonts w:asciiTheme="majorHAnsi" w:eastAsia="Arial" w:hAnsiTheme="majorHAnsi" w:cstheme="majorHAnsi"/>
          <w:i/>
          <w:sz w:val="20"/>
          <w:szCs w:val="20"/>
        </w:rPr>
        <w:t>,</w:t>
      </w:r>
      <w:r w:rsidR="005C77FC" w:rsidRPr="000F3751">
        <w:rPr>
          <w:rFonts w:asciiTheme="majorHAnsi" w:eastAsia="Arial" w:hAnsiTheme="majorHAnsi" w:cstheme="majorHAnsi"/>
          <w:i/>
          <w:sz w:val="20"/>
          <w:szCs w:val="20"/>
        </w:rPr>
        <w:t xml:space="preserve"> </w:t>
      </w:r>
      <w:r w:rsidRPr="000F3751">
        <w:rPr>
          <w:rFonts w:asciiTheme="majorHAnsi" w:eastAsia="Arial" w:hAnsiTheme="majorHAnsi" w:cstheme="majorHAnsi"/>
          <w:i/>
          <w:sz w:val="20"/>
          <w:szCs w:val="20"/>
        </w:rPr>
        <w:t>Table G</w:t>
      </w:r>
      <w:r w:rsidR="00872F04" w:rsidRPr="000F3751">
        <w:rPr>
          <w:rFonts w:asciiTheme="majorHAnsi" w:eastAsia="Arial" w:hAnsiTheme="majorHAnsi" w:cstheme="majorHAnsi"/>
          <w:i/>
          <w:sz w:val="20"/>
          <w:szCs w:val="20"/>
        </w:rPr>
        <w:t>.</w:t>
      </w:r>
      <w:r w:rsidRPr="000F3751">
        <w:rPr>
          <w:rFonts w:asciiTheme="majorHAnsi" w:eastAsia="Arial" w:hAnsiTheme="majorHAnsi" w:cstheme="majorHAnsi"/>
          <w:i/>
          <w:sz w:val="20"/>
          <w:szCs w:val="20"/>
        </w:rPr>
        <w:t>1.2</w:t>
      </w:r>
      <w:r w:rsidR="00872F04" w:rsidRPr="000F3751">
        <w:rPr>
          <w:rFonts w:asciiTheme="majorHAnsi" w:eastAsia="Arial" w:hAnsiTheme="majorHAnsi" w:cstheme="majorHAnsi"/>
          <w:sz w:val="20"/>
          <w:szCs w:val="20"/>
        </w:rPr>
        <w:t>.</w:t>
      </w:r>
      <w:r w:rsidRPr="00E80636">
        <w:rPr>
          <w:rFonts w:asciiTheme="majorHAnsi" w:eastAsia="Arial" w:hAnsiTheme="majorHAnsi" w:cstheme="majorHAnsi"/>
          <w:sz w:val="20"/>
          <w:szCs w:val="20"/>
        </w:rPr>
        <w:t xml:space="preserve">). Among domestic applicants to the school, more than one-third are white, with the remaining proportion evenly distributed among African-American/black, Hispanic/Latino, and Asian. Data indicate that among domestic applicants, African-American/black students are more likely to be denied admission than other racial/ethnic groups, whereas white students are more likely to be admitted than other racial/ethnic groups. </w:t>
      </w:r>
    </w:p>
    <w:p w:rsidR="00B8746D" w:rsidRPr="00E80636" w:rsidRDefault="00B8746D" w:rsidP="006C308E">
      <w:pPr>
        <w:ind w:left="720" w:right="63"/>
        <w:rPr>
          <w:rFonts w:asciiTheme="majorHAnsi" w:eastAsia="Arial" w:hAnsiTheme="majorHAnsi" w:cstheme="majorHAnsi"/>
          <w:sz w:val="20"/>
          <w:szCs w:val="20"/>
        </w:rPr>
      </w:pPr>
    </w:p>
    <w:p w:rsidR="00B8746D" w:rsidRPr="00E80636" w:rsidRDefault="00B8746D" w:rsidP="006C308E">
      <w:pPr>
        <w:ind w:left="720" w:right="63"/>
        <w:rPr>
          <w:rFonts w:asciiTheme="majorHAnsi" w:eastAsia="Arial" w:hAnsiTheme="majorHAnsi" w:cstheme="majorHAnsi"/>
          <w:sz w:val="20"/>
          <w:szCs w:val="20"/>
        </w:rPr>
      </w:pPr>
      <w:r w:rsidRPr="00E80636">
        <w:rPr>
          <w:rFonts w:asciiTheme="majorHAnsi" w:eastAsia="Arial" w:hAnsiTheme="majorHAnsi" w:cstheme="majorHAnsi"/>
          <w:sz w:val="20"/>
          <w:szCs w:val="20"/>
        </w:rPr>
        <w:t>The faculty at the UTHealth School of Public Health is slightly more ethnically/racially diverse than that at all other U.S. schools of public health (</w:t>
      </w:r>
      <w:r w:rsidR="005C77FC" w:rsidRPr="000F3751">
        <w:rPr>
          <w:rFonts w:asciiTheme="majorHAnsi" w:eastAsia="Arial" w:hAnsiTheme="majorHAnsi" w:cstheme="majorHAnsi"/>
          <w:i/>
          <w:sz w:val="20"/>
          <w:szCs w:val="20"/>
        </w:rPr>
        <w:t>ERF,</w:t>
      </w:r>
      <w:r w:rsidR="005C77FC">
        <w:rPr>
          <w:rFonts w:asciiTheme="majorHAnsi" w:eastAsia="Arial" w:hAnsiTheme="majorHAnsi" w:cstheme="majorHAnsi"/>
          <w:i/>
          <w:sz w:val="20"/>
          <w:szCs w:val="20"/>
        </w:rPr>
        <w:t xml:space="preserve"> Criteria G,</w:t>
      </w:r>
      <w:r w:rsidR="005C77FC" w:rsidRPr="00EC4E5E">
        <w:t xml:space="preserve"> </w:t>
      </w:r>
      <w:r w:rsidR="005C77FC" w:rsidRPr="00EC4E5E">
        <w:rPr>
          <w:rFonts w:asciiTheme="majorHAnsi" w:eastAsia="Arial" w:hAnsiTheme="majorHAnsi" w:cstheme="majorHAnsi"/>
          <w:i/>
          <w:sz w:val="20"/>
          <w:szCs w:val="20"/>
        </w:rPr>
        <w:t>Extended Data Tables for Criterion G1</w:t>
      </w:r>
      <w:r w:rsidR="005C77FC">
        <w:rPr>
          <w:rFonts w:asciiTheme="majorHAnsi" w:eastAsia="Arial" w:hAnsiTheme="majorHAnsi" w:cstheme="majorHAnsi"/>
          <w:i/>
          <w:sz w:val="20"/>
          <w:szCs w:val="20"/>
        </w:rPr>
        <w:t>,</w:t>
      </w:r>
      <w:r w:rsidR="005C77FC" w:rsidRPr="000F3751">
        <w:rPr>
          <w:rFonts w:asciiTheme="majorHAnsi" w:eastAsia="Arial" w:hAnsiTheme="majorHAnsi" w:cstheme="majorHAnsi"/>
          <w:i/>
          <w:sz w:val="20"/>
          <w:szCs w:val="20"/>
        </w:rPr>
        <w:t xml:space="preserve"> </w:t>
      </w:r>
      <w:r w:rsidRPr="000F3751">
        <w:rPr>
          <w:rFonts w:asciiTheme="majorHAnsi" w:eastAsia="Arial" w:hAnsiTheme="majorHAnsi" w:cstheme="majorHAnsi"/>
          <w:i/>
          <w:sz w:val="20"/>
          <w:szCs w:val="20"/>
        </w:rPr>
        <w:t>Table G</w:t>
      </w:r>
      <w:r w:rsidR="00872F04" w:rsidRPr="000F3751">
        <w:rPr>
          <w:rFonts w:asciiTheme="majorHAnsi" w:eastAsia="Arial" w:hAnsiTheme="majorHAnsi" w:cstheme="majorHAnsi"/>
          <w:i/>
          <w:sz w:val="20"/>
          <w:szCs w:val="20"/>
        </w:rPr>
        <w:t>.</w:t>
      </w:r>
      <w:r w:rsidRPr="000F3751">
        <w:rPr>
          <w:rFonts w:asciiTheme="majorHAnsi" w:eastAsia="Arial" w:hAnsiTheme="majorHAnsi" w:cstheme="majorHAnsi"/>
          <w:i/>
          <w:sz w:val="20"/>
          <w:szCs w:val="20"/>
        </w:rPr>
        <w:t>1.3</w:t>
      </w:r>
      <w:r w:rsidR="00872F04" w:rsidRPr="000F3751">
        <w:rPr>
          <w:rFonts w:asciiTheme="majorHAnsi" w:eastAsia="Arial" w:hAnsiTheme="majorHAnsi" w:cstheme="majorHAnsi"/>
          <w:i/>
          <w:sz w:val="20"/>
          <w:szCs w:val="20"/>
        </w:rPr>
        <w:t>.</w:t>
      </w:r>
      <w:r w:rsidRPr="00E80636">
        <w:rPr>
          <w:rFonts w:asciiTheme="majorHAnsi" w:eastAsia="Arial" w:hAnsiTheme="majorHAnsi" w:cstheme="majorHAnsi"/>
          <w:sz w:val="20"/>
          <w:szCs w:val="20"/>
        </w:rPr>
        <w:t>). Our faculty members are 62% white, 6% African-American/black, 9% Hispanic/Latino, and 22% Asian. However, the school needs to improve its diversity among faculty, compared with that of the Texas population (41% white, 13% African-American/black, 39% Hispanic/Latino, and 5% Asian). The racial/ethnic and gender distribution of our</w:t>
      </w:r>
      <w:r w:rsidR="000F3751">
        <w:rPr>
          <w:rFonts w:asciiTheme="majorHAnsi" w:eastAsia="Arial" w:hAnsiTheme="majorHAnsi" w:cstheme="majorHAnsi"/>
          <w:sz w:val="20"/>
          <w:szCs w:val="20"/>
        </w:rPr>
        <w:t xml:space="preserve"> faculty by rank and tenure (</w:t>
      </w:r>
      <w:r w:rsidR="005C77FC" w:rsidRPr="000F3751">
        <w:rPr>
          <w:rFonts w:asciiTheme="majorHAnsi" w:eastAsia="Arial" w:hAnsiTheme="majorHAnsi" w:cstheme="majorHAnsi"/>
          <w:i/>
          <w:sz w:val="20"/>
          <w:szCs w:val="20"/>
        </w:rPr>
        <w:t>ERF,</w:t>
      </w:r>
      <w:r w:rsidR="005C77FC">
        <w:rPr>
          <w:rFonts w:asciiTheme="majorHAnsi" w:eastAsia="Arial" w:hAnsiTheme="majorHAnsi" w:cstheme="majorHAnsi"/>
          <w:i/>
          <w:sz w:val="20"/>
          <w:szCs w:val="20"/>
        </w:rPr>
        <w:t xml:space="preserve"> Criteria G,</w:t>
      </w:r>
      <w:r w:rsidR="005C77FC" w:rsidRPr="00EC4E5E">
        <w:t xml:space="preserve"> </w:t>
      </w:r>
      <w:r w:rsidR="005C77FC" w:rsidRPr="00EC4E5E">
        <w:rPr>
          <w:rFonts w:asciiTheme="majorHAnsi" w:eastAsia="Arial" w:hAnsiTheme="majorHAnsi" w:cstheme="majorHAnsi"/>
          <w:i/>
          <w:sz w:val="20"/>
          <w:szCs w:val="20"/>
        </w:rPr>
        <w:t>Extended Data Tables for Criterion G1</w:t>
      </w:r>
      <w:r w:rsidR="005C77FC">
        <w:rPr>
          <w:rFonts w:asciiTheme="majorHAnsi" w:eastAsia="Arial" w:hAnsiTheme="majorHAnsi" w:cstheme="majorHAnsi"/>
          <w:i/>
          <w:sz w:val="20"/>
          <w:szCs w:val="20"/>
        </w:rPr>
        <w:t>,</w:t>
      </w:r>
      <w:r w:rsidR="005C77FC" w:rsidRPr="000F3751">
        <w:rPr>
          <w:rFonts w:asciiTheme="majorHAnsi" w:eastAsia="Arial" w:hAnsiTheme="majorHAnsi" w:cstheme="majorHAnsi"/>
          <w:i/>
          <w:sz w:val="20"/>
          <w:szCs w:val="20"/>
        </w:rPr>
        <w:t xml:space="preserve"> </w:t>
      </w:r>
      <w:r w:rsidR="005C77FC">
        <w:rPr>
          <w:rFonts w:asciiTheme="majorHAnsi" w:eastAsia="Arial" w:hAnsiTheme="majorHAnsi" w:cstheme="majorHAnsi"/>
          <w:i/>
          <w:sz w:val="20"/>
          <w:szCs w:val="20"/>
        </w:rPr>
        <w:t xml:space="preserve">Table </w:t>
      </w:r>
      <w:r w:rsidRPr="000F3751">
        <w:rPr>
          <w:rFonts w:asciiTheme="majorHAnsi" w:eastAsia="Arial" w:hAnsiTheme="majorHAnsi" w:cstheme="majorHAnsi"/>
          <w:i/>
          <w:sz w:val="20"/>
          <w:szCs w:val="20"/>
        </w:rPr>
        <w:t>G</w:t>
      </w:r>
      <w:r w:rsidR="00872F04" w:rsidRPr="000F3751">
        <w:rPr>
          <w:rFonts w:asciiTheme="majorHAnsi" w:eastAsia="Arial" w:hAnsiTheme="majorHAnsi" w:cstheme="majorHAnsi"/>
          <w:i/>
          <w:sz w:val="20"/>
          <w:szCs w:val="20"/>
        </w:rPr>
        <w:t>.</w:t>
      </w:r>
      <w:r w:rsidRPr="000F3751">
        <w:rPr>
          <w:rFonts w:asciiTheme="majorHAnsi" w:eastAsia="Arial" w:hAnsiTheme="majorHAnsi" w:cstheme="majorHAnsi"/>
          <w:i/>
          <w:sz w:val="20"/>
          <w:szCs w:val="20"/>
        </w:rPr>
        <w:t>1.4</w:t>
      </w:r>
      <w:r w:rsidR="00872F04" w:rsidRPr="000F3751">
        <w:rPr>
          <w:rFonts w:asciiTheme="majorHAnsi" w:eastAsia="Arial" w:hAnsiTheme="majorHAnsi" w:cstheme="majorHAnsi"/>
          <w:sz w:val="20"/>
          <w:szCs w:val="20"/>
        </w:rPr>
        <w:t>.</w:t>
      </w:r>
      <w:r w:rsidRPr="00E80636">
        <w:rPr>
          <w:rFonts w:asciiTheme="majorHAnsi" w:eastAsia="Arial" w:hAnsiTheme="majorHAnsi" w:cstheme="majorHAnsi"/>
          <w:sz w:val="20"/>
          <w:szCs w:val="20"/>
        </w:rPr>
        <w:t>) shows that there is a need to support African Americans, Hispanics/Latinos, and women towards achieving tenure.  While we have more Hispanic/Latino faculty on the tenure track than ASPPH schools nationally, we need to develop mentoring and other programs to ensure that these faculty members are retained and successfully reach tenure.</w:t>
      </w:r>
    </w:p>
    <w:p w:rsidR="00B8746D" w:rsidRPr="00E80636" w:rsidRDefault="00B8746D" w:rsidP="006C308E">
      <w:pPr>
        <w:ind w:left="720" w:right="63"/>
        <w:rPr>
          <w:rFonts w:asciiTheme="majorHAnsi" w:eastAsia="Arial" w:hAnsiTheme="majorHAnsi" w:cstheme="majorHAnsi"/>
          <w:sz w:val="20"/>
          <w:szCs w:val="20"/>
        </w:rPr>
      </w:pPr>
    </w:p>
    <w:p w:rsidR="00C62DE6" w:rsidRPr="000F3751" w:rsidRDefault="00B8746D" w:rsidP="006C308E">
      <w:pPr>
        <w:ind w:left="720" w:right="63"/>
        <w:rPr>
          <w:rFonts w:asciiTheme="majorHAnsi" w:eastAsia="Arial" w:hAnsiTheme="majorHAnsi" w:cstheme="majorHAnsi"/>
          <w:i/>
          <w:sz w:val="20"/>
          <w:szCs w:val="20"/>
        </w:rPr>
      </w:pPr>
      <w:r w:rsidRPr="00E80636">
        <w:rPr>
          <w:rFonts w:asciiTheme="majorHAnsi" w:eastAsia="Arial" w:hAnsiTheme="majorHAnsi" w:cstheme="majorHAnsi"/>
          <w:sz w:val="20"/>
          <w:szCs w:val="20"/>
        </w:rPr>
        <w:t>The staff at the UTHealth School of Public Health is also diverse in terms of ethnicity/race and gender: 78% of our staff are female, 50% are Hispanic/Latino, 26% are white, and 12% are African-American/black</w:t>
      </w:r>
      <w:r w:rsidR="00C16EB3" w:rsidRPr="00E80636">
        <w:rPr>
          <w:rFonts w:asciiTheme="majorHAnsi" w:eastAsia="Arial" w:hAnsiTheme="majorHAnsi" w:cstheme="majorHAnsi"/>
          <w:sz w:val="20"/>
          <w:szCs w:val="20"/>
        </w:rPr>
        <w:t xml:space="preserve"> </w:t>
      </w:r>
      <w:r w:rsidR="00C16EB3" w:rsidRPr="000F3751">
        <w:rPr>
          <w:rFonts w:asciiTheme="majorHAnsi" w:eastAsia="Arial" w:hAnsiTheme="majorHAnsi" w:cstheme="majorHAnsi"/>
          <w:i/>
          <w:sz w:val="20"/>
          <w:szCs w:val="20"/>
        </w:rPr>
        <w:t>(</w:t>
      </w:r>
      <w:r w:rsidR="000F3751" w:rsidRPr="000F3751">
        <w:rPr>
          <w:rFonts w:asciiTheme="majorHAnsi" w:eastAsia="Arial" w:hAnsiTheme="majorHAnsi" w:cstheme="majorHAnsi"/>
          <w:i/>
          <w:sz w:val="20"/>
          <w:szCs w:val="20"/>
        </w:rPr>
        <w:t>ERF,</w:t>
      </w:r>
      <w:r w:rsidR="00C16EB3" w:rsidRPr="000F3751">
        <w:rPr>
          <w:rFonts w:asciiTheme="majorHAnsi" w:eastAsia="Arial" w:hAnsiTheme="majorHAnsi" w:cstheme="majorHAnsi"/>
          <w:i/>
          <w:sz w:val="20"/>
          <w:szCs w:val="20"/>
        </w:rPr>
        <w:t xml:space="preserve"> staff diversity data)</w:t>
      </w:r>
      <w:r w:rsidRPr="000F3751">
        <w:rPr>
          <w:rFonts w:asciiTheme="majorHAnsi" w:eastAsia="Arial" w:hAnsiTheme="majorHAnsi" w:cstheme="majorHAnsi"/>
          <w:i/>
          <w:sz w:val="20"/>
          <w:szCs w:val="20"/>
        </w:rPr>
        <w:t xml:space="preserve">.  </w:t>
      </w:r>
      <w:r w:rsidR="00C62DE6" w:rsidRPr="000F3751">
        <w:rPr>
          <w:rFonts w:asciiTheme="majorHAnsi" w:eastAsia="Arial" w:hAnsiTheme="majorHAnsi" w:cstheme="majorHAnsi"/>
          <w:i/>
          <w:sz w:val="20"/>
          <w:szCs w:val="20"/>
        </w:rPr>
        <w:t xml:space="preserve">    </w:t>
      </w:r>
    </w:p>
    <w:p w:rsidR="0086315A" w:rsidRPr="00E80636" w:rsidRDefault="0086315A" w:rsidP="006C308E">
      <w:pPr>
        <w:ind w:left="360" w:right="63"/>
        <w:rPr>
          <w:rFonts w:asciiTheme="majorHAnsi" w:eastAsia="Arial" w:hAnsiTheme="majorHAnsi" w:cstheme="majorHAnsi"/>
          <w:sz w:val="20"/>
          <w:szCs w:val="20"/>
        </w:rPr>
      </w:pPr>
    </w:p>
    <w:p w:rsidR="00933038" w:rsidRPr="00E80636" w:rsidRDefault="00933038" w:rsidP="006C308E">
      <w:pPr>
        <w:numPr>
          <w:ilvl w:val="0"/>
          <w:numId w:val="41"/>
        </w:numPr>
        <w:contextualSpacing/>
        <w:jc w:val="both"/>
        <w:rPr>
          <w:rFonts w:asciiTheme="majorHAnsi" w:hAnsiTheme="majorHAnsi" w:cstheme="majorHAnsi"/>
          <w:sz w:val="20"/>
          <w:szCs w:val="20"/>
        </w:rPr>
      </w:pPr>
      <w:r w:rsidRPr="00E80636">
        <w:rPr>
          <w:rFonts w:asciiTheme="majorHAnsi" w:hAnsiTheme="majorHAnsi" w:cstheme="majorHAnsi"/>
          <w:sz w:val="20"/>
          <w:szCs w:val="20"/>
        </w:rPr>
        <w:t xml:space="preserve">List the school’s specific goals for increasing the representation and supporting the persistence (if applicable) and ongoing success of the specific populations defined in documentation request 1. </w:t>
      </w:r>
    </w:p>
    <w:p w:rsidR="00933038" w:rsidRPr="00E80636" w:rsidRDefault="00933038" w:rsidP="006C308E">
      <w:pPr>
        <w:contextualSpacing/>
        <w:jc w:val="both"/>
        <w:rPr>
          <w:rFonts w:asciiTheme="majorHAnsi" w:hAnsiTheme="majorHAnsi" w:cstheme="majorHAnsi"/>
          <w:sz w:val="20"/>
          <w:szCs w:val="20"/>
        </w:rPr>
      </w:pPr>
    </w:p>
    <w:p w:rsidR="00B8746D" w:rsidRPr="00E80636" w:rsidRDefault="00B8746D" w:rsidP="006C308E">
      <w:pPr>
        <w:autoSpaceDE w:val="0"/>
        <w:autoSpaceDN w:val="0"/>
        <w:adjustRightInd w:val="0"/>
        <w:ind w:left="720"/>
        <w:rPr>
          <w:rFonts w:asciiTheme="majorHAnsi" w:hAnsiTheme="majorHAnsi" w:cstheme="majorHAnsi"/>
          <w:sz w:val="20"/>
          <w:szCs w:val="20"/>
        </w:rPr>
      </w:pPr>
      <w:r w:rsidRPr="00E80636">
        <w:rPr>
          <w:rFonts w:asciiTheme="majorHAnsi" w:hAnsiTheme="majorHAnsi" w:cstheme="majorHAnsi"/>
          <w:color w:val="000000"/>
          <w:sz w:val="20"/>
          <w:szCs w:val="20"/>
        </w:rPr>
        <w:t xml:space="preserve">Diversity of staff and faculty is a necessary component of all workplaces, but it is an essential component of an academic public health workplace that serves diverse students and communities and trains students to interact with diverse communities. </w:t>
      </w:r>
      <w:r w:rsidRPr="00E80636">
        <w:rPr>
          <w:rFonts w:asciiTheme="majorHAnsi" w:hAnsiTheme="majorHAnsi" w:cstheme="majorHAnsi"/>
          <w:sz w:val="20"/>
          <w:szCs w:val="20"/>
        </w:rPr>
        <w:t xml:space="preserve">The UTHealth School of Public Health’s assessment is that we must improve our recruitment efforts for both students and faculty in under-represented groups, specifically, </w:t>
      </w:r>
      <w:r w:rsidRPr="00E80636">
        <w:rPr>
          <w:rFonts w:asciiTheme="majorHAnsi" w:eastAsia="Arial" w:hAnsiTheme="majorHAnsi" w:cstheme="majorHAnsi"/>
          <w:sz w:val="20"/>
          <w:szCs w:val="20"/>
        </w:rPr>
        <w:t>Hispanics/Latinos, African Americans, and women</w:t>
      </w:r>
      <w:r w:rsidRPr="00E80636">
        <w:rPr>
          <w:rFonts w:asciiTheme="majorHAnsi" w:hAnsiTheme="majorHAnsi" w:cstheme="majorHAnsi"/>
          <w:sz w:val="20"/>
          <w:szCs w:val="20"/>
        </w:rPr>
        <w:t xml:space="preserve">. A goal of the school has always been to improve diversity among faculty and to have a diverse student population, as evidenced through a longstanding diversity committee. However, through the self-study process, we recently revisited specific goals for increasing diversity. This goal is also reflected in our new guiding statements. Our long-term goal is to have faculty, staff, and a student body that are representative of the Texas population. </w:t>
      </w:r>
    </w:p>
    <w:p w:rsidR="00B8746D" w:rsidRPr="00E80636" w:rsidRDefault="00B8746D" w:rsidP="006C308E">
      <w:pPr>
        <w:autoSpaceDE w:val="0"/>
        <w:autoSpaceDN w:val="0"/>
        <w:adjustRightInd w:val="0"/>
        <w:rPr>
          <w:rFonts w:asciiTheme="majorHAnsi" w:hAnsiTheme="majorHAnsi" w:cstheme="majorHAnsi"/>
          <w:sz w:val="20"/>
          <w:szCs w:val="20"/>
        </w:rPr>
      </w:pPr>
    </w:p>
    <w:p w:rsidR="00B8746D" w:rsidRPr="00E80636" w:rsidRDefault="00B8746D" w:rsidP="006C308E">
      <w:pPr>
        <w:autoSpaceDE w:val="0"/>
        <w:autoSpaceDN w:val="0"/>
        <w:adjustRightInd w:val="0"/>
        <w:ind w:left="720"/>
        <w:rPr>
          <w:rFonts w:asciiTheme="majorHAnsi" w:hAnsiTheme="majorHAnsi" w:cstheme="majorHAnsi"/>
          <w:sz w:val="20"/>
          <w:szCs w:val="20"/>
        </w:rPr>
      </w:pPr>
      <w:r w:rsidRPr="00E80636">
        <w:rPr>
          <w:rFonts w:asciiTheme="majorHAnsi" w:hAnsiTheme="majorHAnsi" w:cstheme="majorHAnsi"/>
          <w:sz w:val="20"/>
          <w:szCs w:val="20"/>
        </w:rPr>
        <w:t>By Fall 2023, the UTHealth School of Public Health hopes to meet the following goals:</w:t>
      </w:r>
    </w:p>
    <w:p w:rsidR="00B8746D" w:rsidRPr="00E80636" w:rsidRDefault="00B8746D" w:rsidP="006C308E">
      <w:pPr>
        <w:autoSpaceDE w:val="0"/>
        <w:autoSpaceDN w:val="0"/>
        <w:adjustRightInd w:val="0"/>
        <w:rPr>
          <w:rFonts w:asciiTheme="majorHAnsi" w:hAnsiTheme="majorHAnsi" w:cstheme="majorHAnsi"/>
          <w:sz w:val="20"/>
          <w:szCs w:val="20"/>
        </w:rPr>
      </w:pPr>
    </w:p>
    <w:p w:rsidR="00B8746D" w:rsidRPr="00E80636" w:rsidRDefault="00B8746D" w:rsidP="006C308E">
      <w:pPr>
        <w:pStyle w:val="ListParagraph"/>
        <w:numPr>
          <w:ilvl w:val="0"/>
          <w:numId w:val="54"/>
        </w:numPr>
        <w:autoSpaceDE w:val="0"/>
        <w:autoSpaceDN w:val="0"/>
        <w:adjustRightInd w:val="0"/>
        <w:rPr>
          <w:rFonts w:asciiTheme="majorHAnsi" w:hAnsiTheme="majorHAnsi" w:cstheme="majorHAnsi"/>
          <w:szCs w:val="20"/>
        </w:rPr>
      </w:pPr>
      <w:r w:rsidRPr="00E80636">
        <w:rPr>
          <w:rFonts w:asciiTheme="majorHAnsi" w:hAnsiTheme="majorHAnsi" w:cstheme="majorHAnsi"/>
          <w:szCs w:val="20"/>
        </w:rPr>
        <w:t>Increase African-American/black faculty representation from 6% to 9% and Hispanic/Latino faculty representation from 10% to 13%.</w:t>
      </w:r>
    </w:p>
    <w:p w:rsidR="00B8746D" w:rsidRPr="00E80636" w:rsidRDefault="00B8746D" w:rsidP="006C308E">
      <w:pPr>
        <w:pStyle w:val="ListParagraph"/>
        <w:numPr>
          <w:ilvl w:val="0"/>
          <w:numId w:val="54"/>
        </w:numPr>
        <w:autoSpaceDE w:val="0"/>
        <w:autoSpaceDN w:val="0"/>
        <w:adjustRightInd w:val="0"/>
        <w:rPr>
          <w:rFonts w:asciiTheme="majorHAnsi" w:hAnsiTheme="majorHAnsi" w:cstheme="majorHAnsi"/>
          <w:szCs w:val="20"/>
        </w:rPr>
      </w:pPr>
      <w:r w:rsidRPr="00E80636">
        <w:rPr>
          <w:rFonts w:asciiTheme="majorHAnsi" w:hAnsiTheme="majorHAnsi" w:cstheme="majorHAnsi"/>
          <w:szCs w:val="20"/>
        </w:rPr>
        <w:t>Increase the proportion of enrolled African-American/black students from 11% to 13% and Hispanic/Latino students from 21% to 30%.</w:t>
      </w:r>
    </w:p>
    <w:p w:rsidR="00B8746D" w:rsidRPr="00E80636" w:rsidRDefault="00B8746D" w:rsidP="006C308E">
      <w:pPr>
        <w:pStyle w:val="ListParagraph"/>
        <w:numPr>
          <w:ilvl w:val="0"/>
          <w:numId w:val="54"/>
        </w:numPr>
        <w:autoSpaceDE w:val="0"/>
        <w:autoSpaceDN w:val="0"/>
        <w:adjustRightInd w:val="0"/>
        <w:rPr>
          <w:rFonts w:asciiTheme="majorHAnsi" w:eastAsia="Arial" w:hAnsiTheme="majorHAnsi" w:cstheme="majorHAnsi"/>
          <w:szCs w:val="20"/>
        </w:rPr>
      </w:pPr>
      <w:r w:rsidRPr="00E80636">
        <w:rPr>
          <w:rFonts w:asciiTheme="majorHAnsi" w:eastAsia="Arial" w:hAnsiTheme="majorHAnsi" w:cstheme="majorHAnsi"/>
          <w:szCs w:val="20"/>
        </w:rPr>
        <w:t xml:space="preserve">Develop and implement an educational campaign targeting staff and managers about professional development opportunities. </w:t>
      </w:r>
    </w:p>
    <w:p w:rsidR="00B8746D" w:rsidRPr="00E80636" w:rsidRDefault="00B8746D" w:rsidP="006C308E">
      <w:pPr>
        <w:pStyle w:val="ListParagraph"/>
        <w:numPr>
          <w:ilvl w:val="0"/>
          <w:numId w:val="54"/>
        </w:numPr>
        <w:autoSpaceDE w:val="0"/>
        <w:autoSpaceDN w:val="0"/>
        <w:adjustRightInd w:val="0"/>
        <w:rPr>
          <w:rFonts w:asciiTheme="majorHAnsi" w:eastAsia="Arial" w:hAnsiTheme="majorHAnsi" w:cstheme="majorHAnsi"/>
          <w:szCs w:val="20"/>
        </w:rPr>
      </w:pPr>
      <w:r w:rsidRPr="00E80636">
        <w:rPr>
          <w:rFonts w:asciiTheme="majorHAnsi" w:eastAsia="Arial" w:hAnsiTheme="majorHAnsi" w:cstheme="majorHAnsi"/>
          <w:szCs w:val="20"/>
        </w:rPr>
        <w:t xml:space="preserve">Implement a biannual assessment of diversity and inclusion policies, practices, activities, and attitudes among students, faculty, and staff. </w:t>
      </w:r>
    </w:p>
    <w:p w:rsidR="00952EE1" w:rsidRPr="00E80636" w:rsidRDefault="00952EE1" w:rsidP="006C308E">
      <w:pPr>
        <w:autoSpaceDE w:val="0"/>
        <w:autoSpaceDN w:val="0"/>
        <w:adjustRightInd w:val="0"/>
        <w:ind w:left="720"/>
        <w:rPr>
          <w:rFonts w:asciiTheme="majorHAnsi" w:eastAsia="Arial" w:hAnsiTheme="majorHAnsi" w:cstheme="majorHAnsi"/>
          <w:sz w:val="20"/>
          <w:szCs w:val="20"/>
        </w:rPr>
      </w:pPr>
    </w:p>
    <w:p w:rsidR="00933038" w:rsidRPr="00E80636" w:rsidRDefault="00933038" w:rsidP="006C308E">
      <w:pPr>
        <w:numPr>
          <w:ilvl w:val="0"/>
          <w:numId w:val="41"/>
        </w:numPr>
        <w:contextualSpacing/>
        <w:jc w:val="both"/>
        <w:rPr>
          <w:rFonts w:asciiTheme="majorHAnsi" w:hAnsiTheme="majorHAnsi" w:cstheme="majorHAnsi"/>
          <w:sz w:val="20"/>
          <w:szCs w:val="20"/>
        </w:rPr>
      </w:pPr>
      <w:r w:rsidRPr="00E80636">
        <w:rPr>
          <w:rFonts w:asciiTheme="majorHAnsi" w:hAnsiTheme="majorHAnsi" w:cstheme="majorHAnsi"/>
          <w:sz w:val="20"/>
          <w:szCs w:val="20"/>
        </w:rPr>
        <w:t xml:space="preserve">List the actions and strategies identified to advance the goals defined in documentation request 2, and describe the process used to define the actions and strategies. The process may include collection and/or analysis of school-specific data; convening stakeholder discussions and documenting their results; and other appropriate tools and strategies. </w:t>
      </w:r>
    </w:p>
    <w:p w:rsidR="00933038" w:rsidRPr="00E80636" w:rsidRDefault="00933038" w:rsidP="006C308E">
      <w:pPr>
        <w:contextualSpacing/>
        <w:jc w:val="both"/>
        <w:rPr>
          <w:rFonts w:asciiTheme="majorHAnsi" w:hAnsiTheme="majorHAnsi" w:cstheme="majorHAnsi"/>
          <w:sz w:val="20"/>
          <w:szCs w:val="20"/>
        </w:rPr>
      </w:pPr>
    </w:p>
    <w:p w:rsidR="00B8746D" w:rsidRPr="00E80636" w:rsidRDefault="00B8746D" w:rsidP="006C308E">
      <w:pPr>
        <w:autoSpaceDE w:val="0"/>
        <w:autoSpaceDN w:val="0"/>
        <w:adjustRightInd w:val="0"/>
        <w:ind w:left="720"/>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A list of the actions and strategies to advance the </w:t>
      </w:r>
      <w:r w:rsidRPr="00E80636">
        <w:rPr>
          <w:rFonts w:asciiTheme="majorHAnsi" w:hAnsiTheme="majorHAnsi" w:cstheme="majorHAnsi"/>
          <w:sz w:val="20"/>
          <w:szCs w:val="20"/>
        </w:rPr>
        <w:t>UTHealth School of Public Health</w:t>
      </w:r>
      <w:r w:rsidRPr="00E80636">
        <w:rPr>
          <w:rFonts w:asciiTheme="majorHAnsi" w:eastAsia="Arial" w:hAnsiTheme="majorHAnsi" w:cstheme="majorHAnsi"/>
          <w:sz w:val="20"/>
          <w:szCs w:val="20"/>
        </w:rPr>
        <w:t xml:space="preserve">’s diversity and inclusion goals is provided in </w:t>
      </w:r>
      <w:r w:rsidR="000F3751" w:rsidRPr="000F3751">
        <w:rPr>
          <w:rFonts w:asciiTheme="majorHAnsi" w:eastAsia="Arial" w:hAnsiTheme="majorHAnsi" w:cstheme="majorHAnsi"/>
          <w:i/>
          <w:sz w:val="20"/>
          <w:szCs w:val="20"/>
        </w:rPr>
        <w:t>(ERF,</w:t>
      </w:r>
      <w:r w:rsidR="00EC4E5E">
        <w:rPr>
          <w:rFonts w:asciiTheme="majorHAnsi" w:eastAsia="Arial" w:hAnsiTheme="majorHAnsi" w:cstheme="majorHAnsi"/>
          <w:i/>
          <w:sz w:val="20"/>
          <w:szCs w:val="20"/>
        </w:rPr>
        <w:t xml:space="preserve"> Criteria G,</w:t>
      </w:r>
      <w:r w:rsidR="00EC4E5E" w:rsidRPr="00EC4E5E">
        <w:t xml:space="preserve"> </w:t>
      </w:r>
      <w:r w:rsidR="00EC4E5E" w:rsidRPr="00EC4E5E">
        <w:rPr>
          <w:rFonts w:asciiTheme="majorHAnsi" w:eastAsia="Arial" w:hAnsiTheme="majorHAnsi" w:cstheme="majorHAnsi"/>
          <w:i/>
          <w:sz w:val="20"/>
          <w:szCs w:val="20"/>
        </w:rPr>
        <w:t>Extended Data Tables for Criterion G1</w:t>
      </w:r>
      <w:r w:rsidR="00031C86">
        <w:rPr>
          <w:rFonts w:asciiTheme="majorHAnsi" w:eastAsia="Arial" w:hAnsiTheme="majorHAnsi" w:cstheme="majorHAnsi"/>
          <w:i/>
          <w:sz w:val="20"/>
          <w:szCs w:val="20"/>
        </w:rPr>
        <w:t>,</w:t>
      </w:r>
      <w:r w:rsidR="000F3751" w:rsidRPr="000F3751">
        <w:rPr>
          <w:rFonts w:asciiTheme="majorHAnsi" w:eastAsia="Arial" w:hAnsiTheme="majorHAnsi" w:cstheme="majorHAnsi"/>
          <w:i/>
          <w:sz w:val="20"/>
          <w:szCs w:val="20"/>
        </w:rPr>
        <w:t xml:space="preserve"> </w:t>
      </w:r>
      <w:r w:rsidRPr="000F3751">
        <w:rPr>
          <w:rFonts w:asciiTheme="majorHAnsi" w:eastAsia="Arial" w:hAnsiTheme="majorHAnsi" w:cstheme="majorHAnsi"/>
          <w:i/>
          <w:sz w:val="20"/>
          <w:szCs w:val="20"/>
        </w:rPr>
        <w:t>Table G</w:t>
      </w:r>
      <w:r w:rsidR="00AC043D" w:rsidRPr="000F3751">
        <w:rPr>
          <w:rFonts w:asciiTheme="majorHAnsi" w:eastAsia="Arial" w:hAnsiTheme="majorHAnsi" w:cstheme="majorHAnsi"/>
          <w:i/>
          <w:sz w:val="20"/>
          <w:szCs w:val="20"/>
        </w:rPr>
        <w:t>.</w:t>
      </w:r>
      <w:r w:rsidRPr="000F3751">
        <w:rPr>
          <w:rFonts w:asciiTheme="majorHAnsi" w:eastAsia="Arial" w:hAnsiTheme="majorHAnsi" w:cstheme="majorHAnsi"/>
          <w:i/>
          <w:sz w:val="20"/>
          <w:szCs w:val="20"/>
        </w:rPr>
        <w:t>3.1</w:t>
      </w:r>
      <w:r w:rsidR="000F3751" w:rsidRPr="000F3751">
        <w:rPr>
          <w:rFonts w:asciiTheme="majorHAnsi" w:eastAsia="Arial" w:hAnsiTheme="majorHAnsi" w:cstheme="majorHAnsi"/>
          <w:i/>
          <w:sz w:val="20"/>
          <w:szCs w:val="20"/>
        </w:rPr>
        <w:t>)</w:t>
      </w:r>
      <w:r w:rsidRPr="00E80636">
        <w:rPr>
          <w:rFonts w:asciiTheme="majorHAnsi" w:eastAsia="Arial" w:hAnsiTheme="majorHAnsi" w:cstheme="majorHAnsi"/>
          <w:sz w:val="20"/>
          <w:szCs w:val="20"/>
        </w:rPr>
        <w:t xml:space="preserve">. These goals and strategies were developed by the diversity committee and a listening tour that included 9 sessions with students, faculty, and staff led by the members of the diversity committee. </w:t>
      </w:r>
    </w:p>
    <w:p w:rsidR="00B8746D" w:rsidRDefault="00B8746D" w:rsidP="006C308E">
      <w:pPr>
        <w:autoSpaceDE w:val="0"/>
        <w:autoSpaceDN w:val="0"/>
        <w:adjustRightInd w:val="0"/>
        <w:ind w:left="720"/>
        <w:rPr>
          <w:rFonts w:asciiTheme="majorHAnsi" w:eastAsia="Arial" w:hAnsiTheme="majorHAnsi" w:cstheme="majorHAnsi"/>
          <w:sz w:val="20"/>
          <w:szCs w:val="20"/>
        </w:rPr>
      </w:pPr>
    </w:p>
    <w:p w:rsidR="0035554C" w:rsidRPr="00E80636" w:rsidRDefault="0035554C" w:rsidP="006C308E">
      <w:pPr>
        <w:autoSpaceDE w:val="0"/>
        <w:autoSpaceDN w:val="0"/>
        <w:adjustRightInd w:val="0"/>
        <w:ind w:left="720"/>
        <w:rPr>
          <w:rFonts w:asciiTheme="majorHAnsi" w:eastAsia="Arial" w:hAnsiTheme="majorHAnsi" w:cstheme="majorHAnsi"/>
          <w:sz w:val="20"/>
          <w:szCs w:val="20"/>
        </w:rPr>
      </w:pPr>
    </w:p>
    <w:p w:rsidR="00B8746D" w:rsidRPr="00E80636" w:rsidRDefault="00B8746D" w:rsidP="006C308E">
      <w:pPr>
        <w:autoSpaceDE w:val="0"/>
        <w:autoSpaceDN w:val="0"/>
        <w:adjustRightInd w:val="0"/>
        <w:ind w:left="720"/>
        <w:rPr>
          <w:rFonts w:asciiTheme="majorHAnsi" w:eastAsia="Arial" w:hAnsiTheme="majorHAnsi" w:cstheme="majorHAnsi"/>
          <w:sz w:val="20"/>
          <w:szCs w:val="20"/>
        </w:rPr>
      </w:pPr>
      <w:bookmarkStart w:id="151" w:name="tableg31"/>
      <w:r w:rsidRPr="00E80636">
        <w:rPr>
          <w:rFonts w:asciiTheme="majorHAnsi" w:eastAsia="Arial" w:hAnsiTheme="majorHAnsi" w:cstheme="majorHAnsi"/>
          <w:sz w:val="20"/>
          <w:szCs w:val="20"/>
        </w:rPr>
        <w:t>Table G</w:t>
      </w:r>
      <w:r w:rsidR="006345A5" w:rsidRPr="00E80636">
        <w:rPr>
          <w:rFonts w:asciiTheme="majorHAnsi" w:eastAsia="Arial" w:hAnsiTheme="majorHAnsi" w:cstheme="majorHAnsi"/>
          <w:sz w:val="20"/>
          <w:szCs w:val="20"/>
        </w:rPr>
        <w:t>.</w:t>
      </w:r>
      <w:r w:rsidRPr="00E80636">
        <w:rPr>
          <w:rFonts w:asciiTheme="majorHAnsi" w:eastAsia="Arial" w:hAnsiTheme="majorHAnsi" w:cstheme="majorHAnsi"/>
          <w:sz w:val="20"/>
          <w:szCs w:val="20"/>
        </w:rPr>
        <w:t>3.</w:t>
      </w:r>
      <w:r w:rsidR="00AC043D" w:rsidRPr="00E80636">
        <w:rPr>
          <w:rFonts w:asciiTheme="majorHAnsi" w:eastAsia="Arial" w:hAnsiTheme="majorHAnsi" w:cstheme="majorHAnsi"/>
          <w:sz w:val="20"/>
          <w:szCs w:val="20"/>
        </w:rPr>
        <w:t>1</w:t>
      </w:r>
      <w:r w:rsidR="006345A5" w:rsidRPr="00E80636">
        <w:rPr>
          <w:rFonts w:asciiTheme="majorHAnsi" w:eastAsia="Arial" w:hAnsiTheme="majorHAnsi" w:cstheme="majorHAnsi"/>
          <w:sz w:val="20"/>
          <w:szCs w:val="20"/>
        </w:rPr>
        <w:t>.</w:t>
      </w:r>
      <w:r w:rsidRPr="00E80636">
        <w:rPr>
          <w:rFonts w:asciiTheme="majorHAnsi" w:eastAsia="Arial" w:hAnsiTheme="majorHAnsi" w:cstheme="majorHAnsi"/>
          <w:sz w:val="20"/>
          <w:szCs w:val="20"/>
        </w:rPr>
        <w:t xml:space="preserve"> </w:t>
      </w:r>
      <w:bookmarkEnd w:id="151"/>
      <w:r w:rsidRPr="00E80636">
        <w:rPr>
          <w:rFonts w:asciiTheme="majorHAnsi" w:eastAsia="Arial" w:hAnsiTheme="majorHAnsi" w:cstheme="majorHAnsi"/>
          <w:sz w:val="20"/>
          <w:szCs w:val="20"/>
        </w:rPr>
        <w:t>Diversity and Inclusion Goals and Strategies</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580"/>
      </w:tblGrid>
      <w:tr w:rsidR="00B8746D" w:rsidRPr="00743A41" w:rsidTr="00321053">
        <w:trPr>
          <w:cantSplit/>
          <w:trHeight w:val="280"/>
          <w:tblHeader/>
        </w:trPr>
        <w:tc>
          <w:tcPr>
            <w:tcW w:w="3150" w:type="dxa"/>
            <w:shd w:val="clear" w:color="auto" w:fill="auto"/>
          </w:tcPr>
          <w:p w:rsidR="00B8746D" w:rsidRPr="00E80636" w:rsidRDefault="00B8746D" w:rsidP="006C308E">
            <w:pPr>
              <w:autoSpaceDE w:val="0"/>
              <w:autoSpaceDN w:val="0"/>
              <w:adjustRightInd w:val="0"/>
              <w:rPr>
                <w:rFonts w:asciiTheme="majorHAnsi" w:eastAsia="Arial" w:hAnsiTheme="majorHAnsi" w:cstheme="majorHAnsi"/>
                <w:b/>
                <w:sz w:val="20"/>
                <w:szCs w:val="20"/>
              </w:rPr>
            </w:pPr>
            <w:r w:rsidRPr="00E80636">
              <w:rPr>
                <w:rFonts w:asciiTheme="majorHAnsi" w:eastAsia="Arial" w:hAnsiTheme="majorHAnsi" w:cstheme="majorHAnsi"/>
                <w:b/>
                <w:sz w:val="20"/>
                <w:szCs w:val="20"/>
              </w:rPr>
              <w:t>Goal</w:t>
            </w:r>
          </w:p>
        </w:tc>
        <w:tc>
          <w:tcPr>
            <w:tcW w:w="5580" w:type="dxa"/>
            <w:shd w:val="clear" w:color="auto" w:fill="auto"/>
          </w:tcPr>
          <w:p w:rsidR="00B8746D" w:rsidRPr="00E80636" w:rsidRDefault="00B8746D" w:rsidP="006C308E">
            <w:pPr>
              <w:autoSpaceDE w:val="0"/>
              <w:autoSpaceDN w:val="0"/>
              <w:adjustRightInd w:val="0"/>
              <w:rPr>
                <w:rFonts w:asciiTheme="majorHAnsi" w:eastAsia="Arial" w:hAnsiTheme="majorHAnsi" w:cstheme="majorHAnsi"/>
                <w:b/>
                <w:sz w:val="20"/>
                <w:szCs w:val="20"/>
              </w:rPr>
            </w:pPr>
            <w:r w:rsidRPr="00E80636">
              <w:rPr>
                <w:rFonts w:asciiTheme="majorHAnsi" w:eastAsia="Arial" w:hAnsiTheme="majorHAnsi" w:cstheme="majorHAnsi"/>
                <w:b/>
                <w:sz w:val="20"/>
                <w:szCs w:val="20"/>
              </w:rPr>
              <w:t>Strategies</w:t>
            </w:r>
          </w:p>
        </w:tc>
      </w:tr>
      <w:tr w:rsidR="00B8746D" w:rsidRPr="00743A41" w:rsidTr="00321053">
        <w:trPr>
          <w:trHeight w:val="270"/>
        </w:trPr>
        <w:tc>
          <w:tcPr>
            <w:tcW w:w="3150" w:type="dxa"/>
            <w:shd w:val="clear" w:color="auto" w:fill="auto"/>
          </w:tcPr>
          <w:p w:rsidR="00B8746D" w:rsidRPr="00E80636" w:rsidRDefault="00B8746D" w:rsidP="006C308E">
            <w:pPr>
              <w:autoSpaceDE w:val="0"/>
              <w:autoSpaceDN w:val="0"/>
              <w:adjustRightInd w:val="0"/>
              <w:rPr>
                <w:rFonts w:asciiTheme="majorHAnsi" w:hAnsiTheme="majorHAnsi" w:cstheme="majorHAnsi"/>
                <w:sz w:val="20"/>
                <w:szCs w:val="20"/>
              </w:rPr>
            </w:pPr>
            <w:r w:rsidRPr="00E80636">
              <w:rPr>
                <w:rFonts w:asciiTheme="majorHAnsi" w:hAnsiTheme="majorHAnsi" w:cstheme="majorHAnsi"/>
                <w:sz w:val="20"/>
                <w:szCs w:val="20"/>
              </w:rPr>
              <w:t>1. Increase African-American/black faculty representation from 6% to 9%.</w:t>
            </w:r>
          </w:p>
          <w:p w:rsidR="00B8746D" w:rsidRPr="00E80636" w:rsidRDefault="00B8746D" w:rsidP="006C308E">
            <w:pPr>
              <w:autoSpaceDE w:val="0"/>
              <w:autoSpaceDN w:val="0"/>
              <w:adjustRightInd w:val="0"/>
              <w:rPr>
                <w:rFonts w:asciiTheme="majorHAnsi" w:hAnsiTheme="majorHAnsi" w:cstheme="majorHAnsi"/>
                <w:sz w:val="20"/>
                <w:szCs w:val="20"/>
              </w:rPr>
            </w:pPr>
          </w:p>
        </w:tc>
        <w:tc>
          <w:tcPr>
            <w:tcW w:w="5580" w:type="dxa"/>
            <w:shd w:val="clear" w:color="auto" w:fill="auto"/>
          </w:tcPr>
          <w:p w:rsidR="00B8746D" w:rsidRPr="00E80636" w:rsidRDefault="00B8746D" w:rsidP="006C308E">
            <w:pPr>
              <w:pStyle w:val="ListParagraph"/>
              <w:numPr>
                <w:ilvl w:val="0"/>
                <w:numId w:val="55"/>
              </w:numPr>
              <w:autoSpaceDE w:val="0"/>
              <w:autoSpaceDN w:val="0"/>
              <w:adjustRightInd w:val="0"/>
              <w:ind w:left="361"/>
              <w:contextualSpacing/>
              <w:rPr>
                <w:rFonts w:asciiTheme="majorHAnsi" w:hAnsiTheme="majorHAnsi" w:cstheme="majorHAnsi"/>
                <w:color w:val="000000"/>
                <w:szCs w:val="20"/>
              </w:rPr>
            </w:pPr>
            <w:r w:rsidRPr="00E80636">
              <w:rPr>
                <w:rFonts w:asciiTheme="majorHAnsi" w:hAnsiTheme="majorHAnsi" w:cstheme="majorHAnsi"/>
                <w:color w:val="000000"/>
                <w:szCs w:val="20"/>
              </w:rPr>
              <w:t xml:space="preserve">Provide search committees with a list of resources and strategies to improve African-American/black faculty recruitment and retention that include aggressive recruitment in networks/channels known to minority faculty applicants. </w:t>
            </w:r>
          </w:p>
          <w:p w:rsidR="00B8746D" w:rsidRPr="00E80636" w:rsidRDefault="00B8746D" w:rsidP="006C308E">
            <w:pPr>
              <w:pStyle w:val="ListParagraph"/>
              <w:numPr>
                <w:ilvl w:val="0"/>
                <w:numId w:val="55"/>
              </w:numPr>
              <w:autoSpaceDE w:val="0"/>
              <w:autoSpaceDN w:val="0"/>
              <w:adjustRightInd w:val="0"/>
              <w:ind w:left="361"/>
              <w:contextualSpacing/>
              <w:rPr>
                <w:rFonts w:asciiTheme="majorHAnsi" w:hAnsiTheme="majorHAnsi" w:cstheme="majorHAnsi"/>
                <w:color w:val="000000"/>
                <w:szCs w:val="20"/>
              </w:rPr>
            </w:pPr>
            <w:r w:rsidRPr="00E80636">
              <w:rPr>
                <w:rFonts w:asciiTheme="majorHAnsi" w:hAnsiTheme="majorHAnsi" w:cstheme="majorHAnsi"/>
                <w:color w:val="000000"/>
                <w:szCs w:val="20"/>
              </w:rPr>
              <w:t xml:space="preserve">Provide search committees with in-person trainings, webinars, and/or updated protocols to identify and address implicit bias in the search and hiring process. </w:t>
            </w:r>
          </w:p>
          <w:p w:rsidR="00B8746D" w:rsidRPr="00E80636" w:rsidRDefault="00B8746D" w:rsidP="006C308E">
            <w:pPr>
              <w:pStyle w:val="ListParagraph"/>
              <w:numPr>
                <w:ilvl w:val="0"/>
                <w:numId w:val="55"/>
              </w:numPr>
              <w:autoSpaceDE w:val="0"/>
              <w:autoSpaceDN w:val="0"/>
              <w:adjustRightInd w:val="0"/>
              <w:ind w:left="361"/>
              <w:contextualSpacing/>
              <w:rPr>
                <w:rFonts w:asciiTheme="majorHAnsi" w:eastAsia="Arial" w:hAnsiTheme="majorHAnsi" w:cstheme="majorHAnsi"/>
                <w:szCs w:val="20"/>
              </w:rPr>
            </w:pPr>
            <w:r w:rsidRPr="00E80636">
              <w:rPr>
                <w:rFonts w:asciiTheme="majorHAnsi" w:hAnsiTheme="majorHAnsi" w:cstheme="majorHAnsi"/>
                <w:color w:val="000000"/>
                <w:szCs w:val="20"/>
              </w:rPr>
              <w:t>Identify strong African-American/black doctoral and postdoctoral candidates who can be retained or recruited back to the school after completing additional training at another institution.</w:t>
            </w:r>
          </w:p>
          <w:p w:rsidR="00B8746D" w:rsidRPr="00E80636" w:rsidRDefault="00B8746D" w:rsidP="006C308E">
            <w:pPr>
              <w:pStyle w:val="ListParagraph"/>
              <w:widowControl w:val="0"/>
              <w:numPr>
                <w:ilvl w:val="0"/>
                <w:numId w:val="55"/>
              </w:numPr>
              <w:autoSpaceDE w:val="0"/>
              <w:autoSpaceDN w:val="0"/>
              <w:adjustRightInd w:val="0"/>
              <w:spacing w:after="200"/>
              <w:ind w:left="361"/>
              <w:contextualSpacing/>
              <w:rPr>
                <w:rFonts w:asciiTheme="majorHAnsi" w:eastAsia="Arial" w:hAnsiTheme="majorHAnsi" w:cstheme="majorHAnsi"/>
                <w:szCs w:val="20"/>
              </w:rPr>
            </w:pPr>
            <w:r w:rsidRPr="00E80636">
              <w:rPr>
                <w:rFonts w:asciiTheme="majorHAnsi" w:eastAsia="Arial" w:hAnsiTheme="majorHAnsi" w:cstheme="majorHAnsi"/>
                <w:szCs w:val="20"/>
              </w:rPr>
              <w:t>Promote minority researchers and health disparities research on the school website and in print publications.</w:t>
            </w:r>
          </w:p>
          <w:p w:rsidR="00B8746D" w:rsidRPr="00E80636" w:rsidRDefault="00B8746D" w:rsidP="006C308E">
            <w:pPr>
              <w:pStyle w:val="ListParagraph"/>
              <w:widowControl w:val="0"/>
              <w:numPr>
                <w:ilvl w:val="0"/>
                <w:numId w:val="55"/>
              </w:numPr>
              <w:autoSpaceDE w:val="0"/>
              <w:autoSpaceDN w:val="0"/>
              <w:adjustRightInd w:val="0"/>
              <w:spacing w:after="200"/>
              <w:ind w:left="361"/>
              <w:contextualSpacing/>
              <w:rPr>
                <w:rFonts w:asciiTheme="majorHAnsi" w:eastAsia="Arial" w:hAnsiTheme="majorHAnsi" w:cstheme="majorHAnsi"/>
                <w:szCs w:val="20"/>
              </w:rPr>
            </w:pPr>
            <w:r w:rsidRPr="00E80636">
              <w:rPr>
                <w:rFonts w:asciiTheme="majorHAnsi" w:eastAsia="Arial" w:hAnsiTheme="majorHAnsi" w:cstheme="majorHAnsi"/>
                <w:szCs w:val="20"/>
              </w:rPr>
              <w:t>Partner with health disparities faculty to implement activities, resources, mentoring, and career advancement opportunities that attract and retain African-American/black faculty.</w:t>
            </w:r>
          </w:p>
          <w:p w:rsidR="00B8746D" w:rsidRPr="00E80636" w:rsidRDefault="00B8746D" w:rsidP="006C308E">
            <w:pPr>
              <w:pStyle w:val="ListParagraph"/>
              <w:numPr>
                <w:ilvl w:val="0"/>
                <w:numId w:val="55"/>
              </w:numPr>
              <w:autoSpaceDE w:val="0"/>
              <w:autoSpaceDN w:val="0"/>
              <w:adjustRightInd w:val="0"/>
              <w:ind w:left="361"/>
              <w:contextualSpacing/>
              <w:rPr>
                <w:rFonts w:asciiTheme="majorHAnsi" w:eastAsia="Arial" w:hAnsiTheme="majorHAnsi" w:cstheme="majorHAnsi"/>
                <w:szCs w:val="20"/>
              </w:rPr>
            </w:pPr>
            <w:r w:rsidRPr="00E80636">
              <w:rPr>
                <w:rFonts w:asciiTheme="majorHAnsi" w:hAnsiTheme="majorHAnsi" w:cstheme="majorHAnsi"/>
                <w:color w:val="000000"/>
                <w:szCs w:val="20"/>
              </w:rPr>
              <w:t>Annually, document changes in African-American/black faculty recruitment and retention.</w:t>
            </w:r>
          </w:p>
          <w:p w:rsidR="00B8746D" w:rsidRPr="00E80636" w:rsidRDefault="00B8746D" w:rsidP="006C308E">
            <w:pPr>
              <w:pStyle w:val="ListParagraph"/>
              <w:numPr>
                <w:ilvl w:val="0"/>
                <w:numId w:val="55"/>
              </w:numPr>
              <w:autoSpaceDE w:val="0"/>
              <w:autoSpaceDN w:val="0"/>
              <w:adjustRightInd w:val="0"/>
              <w:ind w:left="361"/>
              <w:contextualSpacing/>
              <w:rPr>
                <w:rFonts w:asciiTheme="majorHAnsi" w:eastAsia="Arial" w:hAnsiTheme="majorHAnsi" w:cstheme="majorHAnsi"/>
                <w:szCs w:val="20"/>
              </w:rPr>
            </w:pPr>
            <w:r w:rsidRPr="00E80636">
              <w:rPr>
                <w:rFonts w:asciiTheme="majorHAnsi" w:hAnsiTheme="majorHAnsi" w:cstheme="majorHAnsi"/>
                <w:color w:val="000000"/>
                <w:szCs w:val="20"/>
              </w:rPr>
              <w:t>Biannually, conduct a campus climate survey of faculty.</w:t>
            </w:r>
          </w:p>
        </w:tc>
      </w:tr>
      <w:tr w:rsidR="00B8746D" w:rsidRPr="00743A41" w:rsidTr="00321053">
        <w:trPr>
          <w:trHeight w:val="270"/>
        </w:trPr>
        <w:tc>
          <w:tcPr>
            <w:tcW w:w="3150" w:type="dxa"/>
            <w:shd w:val="clear" w:color="auto" w:fill="auto"/>
          </w:tcPr>
          <w:p w:rsidR="00B8746D" w:rsidRPr="00E80636" w:rsidRDefault="00B8746D" w:rsidP="006C308E">
            <w:pPr>
              <w:autoSpaceDE w:val="0"/>
              <w:autoSpaceDN w:val="0"/>
              <w:adjustRightInd w:val="0"/>
              <w:rPr>
                <w:rFonts w:asciiTheme="majorHAnsi" w:hAnsiTheme="majorHAnsi" w:cstheme="majorHAnsi"/>
                <w:sz w:val="20"/>
                <w:szCs w:val="20"/>
              </w:rPr>
            </w:pPr>
            <w:r w:rsidRPr="00E80636">
              <w:rPr>
                <w:rFonts w:asciiTheme="majorHAnsi" w:hAnsiTheme="majorHAnsi" w:cstheme="majorHAnsi"/>
                <w:sz w:val="20"/>
                <w:szCs w:val="20"/>
              </w:rPr>
              <w:t>2. Increase Hispanic/Latino faculty representation from 10% to 13%.</w:t>
            </w:r>
          </w:p>
          <w:p w:rsidR="00B8746D" w:rsidRPr="00E80636" w:rsidRDefault="00B8746D" w:rsidP="006C308E">
            <w:pPr>
              <w:autoSpaceDE w:val="0"/>
              <w:autoSpaceDN w:val="0"/>
              <w:adjustRightInd w:val="0"/>
              <w:rPr>
                <w:rFonts w:asciiTheme="majorHAnsi" w:hAnsiTheme="majorHAnsi" w:cstheme="majorHAnsi"/>
                <w:sz w:val="20"/>
                <w:szCs w:val="20"/>
              </w:rPr>
            </w:pPr>
          </w:p>
        </w:tc>
        <w:tc>
          <w:tcPr>
            <w:tcW w:w="5580" w:type="dxa"/>
            <w:shd w:val="clear" w:color="auto" w:fill="auto"/>
          </w:tcPr>
          <w:p w:rsidR="00B8746D" w:rsidRPr="00E80636" w:rsidRDefault="00B8746D" w:rsidP="006C308E">
            <w:pPr>
              <w:pStyle w:val="ListParagraph"/>
              <w:widowControl w:val="0"/>
              <w:numPr>
                <w:ilvl w:val="0"/>
                <w:numId w:val="55"/>
              </w:numPr>
              <w:shd w:val="clear" w:color="auto" w:fill="FFFFFF"/>
              <w:ind w:left="360"/>
              <w:contextualSpacing/>
              <w:rPr>
                <w:rFonts w:asciiTheme="majorHAnsi" w:hAnsiTheme="majorHAnsi" w:cstheme="majorHAnsi"/>
                <w:color w:val="000000"/>
                <w:szCs w:val="20"/>
              </w:rPr>
            </w:pPr>
            <w:r w:rsidRPr="00E80636">
              <w:rPr>
                <w:rFonts w:asciiTheme="majorHAnsi" w:hAnsiTheme="majorHAnsi" w:cstheme="majorHAnsi"/>
                <w:color w:val="000000"/>
                <w:szCs w:val="20"/>
              </w:rPr>
              <w:t xml:space="preserve">Provide search committees with a list of resources and strategies to improve </w:t>
            </w:r>
            <w:r w:rsidRPr="00E80636">
              <w:rPr>
                <w:rFonts w:asciiTheme="majorHAnsi" w:hAnsiTheme="majorHAnsi" w:cstheme="majorHAnsi"/>
                <w:szCs w:val="20"/>
              </w:rPr>
              <w:t xml:space="preserve">Hispanic/Latino </w:t>
            </w:r>
            <w:r w:rsidRPr="00E80636">
              <w:rPr>
                <w:rFonts w:asciiTheme="majorHAnsi" w:hAnsiTheme="majorHAnsi" w:cstheme="majorHAnsi"/>
                <w:color w:val="000000"/>
                <w:szCs w:val="20"/>
              </w:rPr>
              <w:t xml:space="preserve">faculty recruitment and retention that include aggressive recruitment in networks/channels known to minority faculty applicants. </w:t>
            </w:r>
          </w:p>
          <w:p w:rsidR="00B8746D" w:rsidRPr="00E80636" w:rsidRDefault="00B8746D" w:rsidP="006C308E">
            <w:pPr>
              <w:pStyle w:val="ListParagraph"/>
              <w:widowControl w:val="0"/>
              <w:numPr>
                <w:ilvl w:val="0"/>
                <w:numId w:val="55"/>
              </w:numPr>
              <w:shd w:val="clear" w:color="auto" w:fill="FFFFFF"/>
              <w:ind w:left="360"/>
              <w:contextualSpacing/>
              <w:rPr>
                <w:rFonts w:asciiTheme="majorHAnsi" w:hAnsiTheme="majorHAnsi" w:cstheme="majorHAnsi"/>
                <w:color w:val="000000"/>
                <w:szCs w:val="20"/>
              </w:rPr>
            </w:pPr>
            <w:r w:rsidRPr="00E80636">
              <w:rPr>
                <w:rFonts w:asciiTheme="majorHAnsi" w:hAnsiTheme="majorHAnsi" w:cstheme="majorHAnsi"/>
                <w:color w:val="000000"/>
                <w:szCs w:val="20"/>
              </w:rPr>
              <w:t xml:space="preserve">Provide search committees with in-person trainings, webinars, and/or updated protocols to identify and address implicit bias in the search and hiring process. </w:t>
            </w:r>
          </w:p>
          <w:p w:rsidR="00B8746D" w:rsidRPr="00E80636" w:rsidRDefault="00B8746D" w:rsidP="006C308E">
            <w:pPr>
              <w:pStyle w:val="ListParagraph"/>
              <w:widowControl w:val="0"/>
              <w:numPr>
                <w:ilvl w:val="0"/>
                <w:numId w:val="55"/>
              </w:numPr>
              <w:shd w:val="clear" w:color="auto" w:fill="FFFFFF"/>
              <w:spacing w:after="200"/>
              <w:ind w:left="361"/>
              <w:contextualSpacing/>
              <w:rPr>
                <w:rFonts w:asciiTheme="majorHAnsi" w:hAnsiTheme="majorHAnsi" w:cstheme="majorHAnsi"/>
                <w:color w:val="000000"/>
                <w:szCs w:val="20"/>
              </w:rPr>
            </w:pPr>
            <w:r w:rsidRPr="00E80636">
              <w:rPr>
                <w:rFonts w:asciiTheme="majorHAnsi" w:hAnsiTheme="majorHAnsi" w:cstheme="majorHAnsi"/>
                <w:color w:val="000000"/>
                <w:szCs w:val="20"/>
              </w:rPr>
              <w:t>Identify strong Hispanic/Latino doctoral and postdoctoral candidates who can be retained or recruited back to the school after completing additional training at another institution.</w:t>
            </w:r>
          </w:p>
          <w:p w:rsidR="00B8746D" w:rsidRPr="00E80636" w:rsidRDefault="00B8746D" w:rsidP="006C308E">
            <w:pPr>
              <w:pStyle w:val="ListParagraph"/>
              <w:widowControl w:val="0"/>
              <w:numPr>
                <w:ilvl w:val="0"/>
                <w:numId w:val="55"/>
              </w:numPr>
              <w:autoSpaceDE w:val="0"/>
              <w:autoSpaceDN w:val="0"/>
              <w:adjustRightInd w:val="0"/>
              <w:spacing w:after="200"/>
              <w:ind w:left="361"/>
              <w:contextualSpacing/>
              <w:rPr>
                <w:rFonts w:asciiTheme="majorHAnsi" w:hAnsiTheme="majorHAnsi" w:cstheme="majorHAnsi"/>
                <w:color w:val="000000"/>
                <w:szCs w:val="20"/>
              </w:rPr>
            </w:pPr>
            <w:r w:rsidRPr="00E80636">
              <w:rPr>
                <w:rFonts w:asciiTheme="majorHAnsi" w:eastAsia="Arial" w:hAnsiTheme="majorHAnsi" w:cstheme="majorHAnsi"/>
                <w:szCs w:val="20"/>
              </w:rPr>
              <w:t>Promote minority researchers and health disparities research on the school website and in print publications.</w:t>
            </w:r>
          </w:p>
          <w:p w:rsidR="00B8746D" w:rsidRPr="00E80636" w:rsidRDefault="00B8746D" w:rsidP="006C308E">
            <w:pPr>
              <w:pStyle w:val="ListParagraph"/>
              <w:widowControl w:val="0"/>
              <w:numPr>
                <w:ilvl w:val="0"/>
                <w:numId w:val="55"/>
              </w:numPr>
              <w:autoSpaceDE w:val="0"/>
              <w:autoSpaceDN w:val="0"/>
              <w:adjustRightInd w:val="0"/>
              <w:spacing w:after="200"/>
              <w:ind w:left="361"/>
              <w:contextualSpacing/>
              <w:rPr>
                <w:rFonts w:asciiTheme="majorHAnsi" w:hAnsiTheme="majorHAnsi" w:cstheme="majorHAnsi"/>
                <w:color w:val="000000"/>
                <w:szCs w:val="20"/>
              </w:rPr>
            </w:pPr>
            <w:r w:rsidRPr="00E80636">
              <w:rPr>
                <w:rFonts w:asciiTheme="majorHAnsi" w:eastAsia="Arial" w:hAnsiTheme="majorHAnsi" w:cstheme="majorHAnsi"/>
                <w:szCs w:val="20"/>
              </w:rPr>
              <w:t>Partner with health disparities faculty to implement activities, resources, mentoring, and career advancement opportunities that attract and retain Hispanic/Latino faculty.</w:t>
            </w:r>
          </w:p>
          <w:p w:rsidR="00B8746D" w:rsidRPr="00E80636" w:rsidRDefault="00B8746D" w:rsidP="006C308E">
            <w:pPr>
              <w:pStyle w:val="ListParagraph"/>
              <w:numPr>
                <w:ilvl w:val="0"/>
                <w:numId w:val="55"/>
              </w:numPr>
              <w:autoSpaceDE w:val="0"/>
              <w:autoSpaceDN w:val="0"/>
              <w:adjustRightInd w:val="0"/>
              <w:ind w:left="361"/>
              <w:contextualSpacing/>
              <w:rPr>
                <w:rFonts w:asciiTheme="majorHAnsi" w:eastAsia="Arial" w:hAnsiTheme="majorHAnsi" w:cstheme="majorHAnsi"/>
                <w:szCs w:val="20"/>
              </w:rPr>
            </w:pPr>
            <w:r w:rsidRPr="00E80636">
              <w:rPr>
                <w:rFonts w:asciiTheme="majorHAnsi" w:hAnsiTheme="majorHAnsi" w:cstheme="majorHAnsi"/>
                <w:color w:val="000000"/>
                <w:szCs w:val="20"/>
              </w:rPr>
              <w:t>Annually, document changes in Hispanic/Latino faculty recruitment and retention.</w:t>
            </w:r>
          </w:p>
          <w:p w:rsidR="00B8746D" w:rsidRPr="00E80636" w:rsidRDefault="00B8746D" w:rsidP="006C308E">
            <w:pPr>
              <w:pStyle w:val="ListParagraph"/>
              <w:numPr>
                <w:ilvl w:val="0"/>
                <w:numId w:val="55"/>
              </w:numPr>
              <w:autoSpaceDE w:val="0"/>
              <w:autoSpaceDN w:val="0"/>
              <w:adjustRightInd w:val="0"/>
              <w:ind w:left="361"/>
              <w:contextualSpacing/>
              <w:rPr>
                <w:rFonts w:asciiTheme="majorHAnsi" w:eastAsia="Arial" w:hAnsiTheme="majorHAnsi" w:cstheme="majorHAnsi"/>
                <w:szCs w:val="20"/>
              </w:rPr>
            </w:pPr>
            <w:r w:rsidRPr="00E80636">
              <w:rPr>
                <w:rFonts w:asciiTheme="majorHAnsi" w:hAnsiTheme="majorHAnsi" w:cstheme="majorHAnsi"/>
                <w:color w:val="000000"/>
                <w:szCs w:val="20"/>
              </w:rPr>
              <w:t>Biannually, conduct a campus climate survey of faculty.</w:t>
            </w:r>
          </w:p>
        </w:tc>
      </w:tr>
      <w:tr w:rsidR="00B8746D" w:rsidRPr="00743A41" w:rsidTr="00321053">
        <w:trPr>
          <w:trHeight w:val="280"/>
        </w:trPr>
        <w:tc>
          <w:tcPr>
            <w:tcW w:w="3150" w:type="dxa"/>
            <w:shd w:val="clear" w:color="auto" w:fill="auto"/>
          </w:tcPr>
          <w:p w:rsidR="00B8746D" w:rsidRPr="00E80636" w:rsidRDefault="00B8746D" w:rsidP="006C308E">
            <w:pPr>
              <w:autoSpaceDE w:val="0"/>
              <w:autoSpaceDN w:val="0"/>
              <w:adjustRightInd w:val="0"/>
              <w:rPr>
                <w:rFonts w:asciiTheme="majorHAnsi" w:hAnsiTheme="majorHAnsi" w:cstheme="majorHAnsi"/>
                <w:sz w:val="20"/>
                <w:szCs w:val="20"/>
              </w:rPr>
            </w:pPr>
            <w:r w:rsidRPr="00E80636">
              <w:rPr>
                <w:rFonts w:asciiTheme="majorHAnsi" w:hAnsiTheme="majorHAnsi" w:cstheme="majorHAnsi"/>
                <w:sz w:val="20"/>
                <w:szCs w:val="20"/>
              </w:rPr>
              <w:t>3. Increase proportion of enrolled African-American/black students from 11% to 13%.</w:t>
            </w:r>
          </w:p>
          <w:p w:rsidR="00B8746D" w:rsidRPr="00E80636" w:rsidRDefault="00B8746D" w:rsidP="006C308E">
            <w:pPr>
              <w:autoSpaceDE w:val="0"/>
              <w:autoSpaceDN w:val="0"/>
              <w:adjustRightInd w:val="0"/>
              <w:rPr>
                <w:rFonts w:asciiTheme="majorHAnsi" w:hAnsiTheme="majorHAnsi" w:cstheme="majorHAnsi"/>
                <w:sz w:val="20"/>
                <w:szCs w:val="20"/>
              </w:rPr>
            </w:pPr>
          </w:p>
        </w:tc>
        <w:tc>
          <w:tcPr>
            <w:tcW w:w="5580" w:type="dxa"/>
            <w:shd w:val="clear" w:color="auto" w:fill="auto"/>
          </w:tcPr>
          <w:p w:rsidR="00B8746D" w:rsidRPr="00E80636" w:rsidRDefault="00B8746D" w:rsidP="006C308E">
            <w:pPr>
              <w:pStyle w:val="ListParagraph"/>
              <w:widowControl w:val="0"/>
              <w:numPr>
                <w:ilvl w:val="0"/>
                <w:numId w:val="55"/>
              </w:numPr>
              <w:autoSpaceDE w:val="0"/>
              <w:autoSpaceDN w:val="0"/>
              <w:adjustRightInd w:val="0"/>
              <w:spacing w:after="200"/>
              <w:ind w:left="360"/>
              <w:contextualSpacing/>
              <w:rPr>
                <w:rFonts w:asciiTheme="majorHAnsi" w:eastAsia="Arial" w:hAnsiTheme="majorHAnsi" w:cstheme="majorHAnsi"/>
                <w:szCs w:val="20"/>
              </w:rPr>
            </w:pPr>
            <w:r w:rsidRPr="00E80636">
              <w:rPr>
                <w:rFonts w:asciiTheme="majorHAnsi" w:eastAsia="Arial" w:hAnsiTheme="majorHAnsi" w:cstheme="majorHAnsi"/>
                <w:szCs w:val="20"/>
              </w:rPr>
              <w:t>Partner with undergraduate universities in Texas to establish or strengthen programs that create a pipeline that results in increased applications and admissions (i.e., 4+1 or similar programs).</w:t>
            </w:r>
          </w:p>
          <w:p w:rsidR="00B8746D" w:rsidRPr="00E80636" w:rsidRDefault="00B8746D" w:rsidP="006C308E">
            <w:pPr>
              <w:pStyle w:val="ListParagraph"/>
              <w:widowControl w:val="0"/>
              <w:numPr>
                <w:ilvl w:val="0"/>
                <w:numId w:val="55"/>
              </w:numPr>
              <w:autoSpaceDE w:val="0"/>
              <w:autoSpaceDN w:val="0"/>
              <w:adjustRightInd w:val="0"/>
              <w:spacing w:after="200"/>
              <w:ind w:left="360"/>
              <w:contextualSpacing/>
              <w:rPr>
                <w:rFonts w:asciiTheme="majorHAnsi" w:eastAsia="Arial" w:hAnsiTheme="majorHAnsi" w:cstheme="majorHAnsi"/>
                <w:szCs w:val="20"/>
              </w:rPr>
            </w:pPr>
            <w:r w:rsidRPr="00E80636">
              <w:rPr>
                <w:rFonts w:asciiTheme="majorHAnsi" w:eastAsia="Arial" w:hAnsiTheme="majorHAnsi" w:cstheme="majorHAnsi"/>
                <w:szCs w:val="20"/>
              </w:rPr>
              <w:t xml:space="preserve">Increase the school’s participation at targeted undergraduate university recruitment events by allowing faculty, students, and staff to volunteer, i.e., student ambassador’s program. </w:t>
            </w:r>
          </w:p>
          <w:p w:rsidR="00B8746D" w:rsidRPr="00E80636" w:rsidRDefault="00B8746D" w:rsidP="006C308E">
            <w:pPr>
              <w:pStyle w:val="ListParagraph"/>
              <w:numPr>
                <w:ilvl w:val="0"/>
                <w:numId w:val="55"/>
              </w:numPr>
              <w:autoSpaceDE w:val="0"/>
              <w:autoSpaceDN w:val="0"/>
              <w:adjustRightInd w:val="0"/>
              <w:ind w:left="360"/>
              <w:contextualSpacing/>
              <w:rPr>
                <w:rFonts w:asciiTheme="majorHAnsi" w:eastAsia="Arial" w:hAnsiTheme="majorHAnsi" w:cstheme="majorHAnsi"/>
                <w:szCs w:val="20"/>
              </w:rPr>
            </w:pPr>
            <w:r w:rsidRPr="00E80636">
              <w:rPr>
                <w:rFonts w:asciiTheme="majorHAnsi" w:hAnsiTheme="majorHAnsi" w:cstheme="majorHAnsi"/>
                <w:color w:val="000000"/>
                <w:szCs w:val="20"/>
              </w:rPr>
              <w:t>Annually, document changes in African-American/black student enrollment and retention.</w:t>
            </w:r>
          </w:p>
          <w:p w:rsidR="00B8746D" w:rsidRPr="00E80636" w:rsidRDefault="00B8746D" w:rsidP="006C308E">
            <w:pPr>
              <w:pStyle w:val="ListParagraph"/>
              <w:numPr>
                <w:ilvl w:val="0"/>
                <w:numId w:val="55"/>
              </w:numPr>
              <w:autoSpaceDE w:val="0"/>
              <w:autoSpaceDN w:val="0"/>
              <w:adjustRightInd w:val="0"/>
              <w:ind w:left="360"/>
              <w:contextualSpacing/>
              <w:rPr>
                <w:rFonts w:asciiTheme="majorHAnsi" w:eastAsia="Arial" w:hAnsiTheme="majorHAnsi" w:cstheme="majorHAnsi"/>
                <w:szCs w:val="20"/>
              </w:rPr>
            </w:pPr>
            <w:r w:rsidRPr="00E80636">
              <w:rPr>
                <w:rFonts w:asciiTheme="majorHAnsi" w:hAnsiTheme="majorHAnsi" w:cstheme="majorHAnsi"/>
                <w:color w:val="000000"/>
                <w:szCs w:val="20"/>
              </w:rPr>
              <w:t>Biannually, conduct a campus climate survey of students.</w:t>
            </w:r>
          </w:p>
          <w:p w:rsidR="00B8746D" w:rsidRPr="00E80636" w:rsidRDefault="00B8746D" w:rsidP="006C308E">
            <w:pPr>
              <w:pStyle w:val="ListParagraph"/>
              <w:numPr>
                <w:ilvl w:val="0"/>
                <w:numId w:val="55"/>
              </w:numPr>
              <w:autoSpaceDE w:val="0"/>
              <w:autoSpaceDN w:val="0"/>
              <w:adjustRightInd w:val="0"/>
              <w:ind w:left="360"/>
              <w:contextualSpacing/>
              <w:rPr>
                <w:rFonts w:asciiTheme="majorHAnsi" w:eastAsia="Arial" w:hAnsiTheme="majorHAnsi" w:cstheme="majorHAnsi"/>
                <w:szCs w:val="20"/>
              </w:rPr>
            </w:pPr>
            <w:r w:rsidRPr="00E80636">
              <w:rPr>
                <w:rFonts w:asciiTheme="majorHAnsi" w:hAnsiTheme="majorHAnsi" w:cstheme="majorHAnsi"/>
                <w:color w:val="000000"/>
                <w:szCs w:val="20"/>
              </w:rPr>
              <w:t>Every semester, document all diversity and inclusion activities, including changes in policies that affect students, which happen within the school.</w:t>
            </w:r>
          </w:p>
          <w:p w:rsidR="00B8746D" w:rsidRPr="00E80636" w:rsidRDefault="00B8746D" w:rsidP="006C308E">
            <w:pPr>
              <w:pStyle w:val="ListParagraph"/>
              <w:numPr>
                <w:ilvl w:val="0"/>
                <w:numId w:val="55"/>
              </w:numPr>
              <w:autoSpaceDE w:val="0"/>
              <w:autoSpaceDN w:val="0"/>
              <w:adjustRightInd w:val="0"/>
              <w:ind w:left="338"/>
              <w:rPr>
                <w:rFonts w:asciiTheme="majorHAnsi" w:eastAsia="Arial" w:hAnsiTheme="majorHAnsi" w:cstheme="majorHAnsi"/>
                <w:szCs w:val="20"/>
              </w:rPr>
            </w:pPr>
            <w:r w:rsidRPr="00E80636">
              <w:rPr>
                <w:rFonts w:asciiTheme="majorHAnsi" w:hAnsiTheme="majorHAnsi" w:cstheme="majorHAnsi"/>
                <w:color w:val="000000"/>
                <w:szCs w:val="20"/>
              </w:rPr>
              <w:t>Annually, record the number of students who enroll or obtain a health disparities certificate.</w:t>
            </w:r>
          </w:p>
        </w:tc>
      </w:tr>
      <w:tr w:rsidR="00B8746D" w:rsidRPr="00743A41" w:rsidTr="00321053">
        <w:trPr>
          <w:trHeight w:val="280"/>
        </w:trPr>
        <w:tc>
          <w:tcPr>
            <w:tcW w:w="3150" w:type="dxa"/>
            <w:shd w:val="clear" w:color="auto" w:fill="auto"/>
          </w:tcPr>
          <w:p w:rsidR="00B8746D" w:rsidRPr="00E80636" w:rsidRDefault="00B8746D" w:rsidP="006C308E">
            <w:pPr>
              <w:autoSpaceDE w:val="0"/>
              <w:autoSpaceDN w:val="0"/>
              <w:adjustRightInd w:val="0"/>
              <w:rPr>
                <w:rFonts w:asciiTheme="majorHAnsi" w:hAnsiTheme="majorHAnsi" w:cstheme="majorHAnsi"/>
                <w:sz w:val="20"/>
                <w:szCs w:val="20"/>
              </w:rPr>
            </w:pPr>
            <w:r w:rsidRPr="00E80636">
              <w:rPr>
                <w:rFonts w:asciiTheme="majorHAnsi" w:hAnsiTheme="majorHAnsi" w:cstheme="majorHAnsi"/>
                <w:sz w:val="20"/>
                <w:szCs w:val="20"/>
              </w:rPr>
              <w:t>4. Increase proportion of enrolled Hispanic/Latino students from 21% to 30%.</w:t>
            </w:r>
          </w:p>
          <w:p w:rsidR="00B8746D" w:rsidRPr="00E80636" w:rsidRDefault="00B8746D" w:rsidP="006C308E">
            <w:pPr>
              <w:autoSpaceDE w:val="0"/>
              <w:autoSpaceDN w:val="0"/>
              <w:adjustRightInd w:val="0"/>
              <w:rPr>
                <w:rFonts w:asciiTheme="majorHAnsi" w:hAnsiTheme="majorHAnsi" w:cstheme="majorHAnsi"/>
                <w:sz w:val="20"/>
                <w:szCs w:val="20"/>
              </w:rPr>
            </w:pPr>
          </w:p>
        </w:tc>
        <w:tc>
          <w:tcPr>
            <w:tcW w:w="5580" w:type="dxa"/>
            <w:shd w:val="clear" w:color="auto" w:fill="auto"/>
          </w:tcPr>
          <w:p w:rsidR="00B8746D" w:rsidRPr="00E80636" w:rsidRDefault="00B8746D" w:rsidP="006C308E">
            <w:pPr>
              <w:pStyle w:val="ListParagraph"/>
              <w:widowControl w:val="0"/>
              <w:numPr>
                <w:ilvl w:val="0"/>
                <w:numId w:val="55"/>
              </w:numPr>
              <w:autoSpaceDE w:val="0"/>
              <w:autoSpaceDN w:val="0"/>
              <w:adjustRightInd w:val="0"/>
              <w:spacing w:after="200"/>
              <w:ind w:left="360"/>
              <w:contextualSpacing/>
              <w:rPr>
                <w:rFonts w:asciiTheme="majorHAnsi" w:eastAsia="Arial" w:hAnsiTheme="majorHAnsi" w:cstheme="majorHAnsi"/>
                <w:szCs w:val="20"/>
              </w:rPr>
            </w:pPr>
            <w:r w:rsidRPr="00E80636">
              <w:rPr>
                <w:rFonts w:asciiTheme="majorHAnsi" w:eastAsia="Arial" w:hAnsiTheme="majorHAnsi" w:cstheme="majorHAnsi"/>
                <w:szCs w:val="20"/>
              </w:rPr>
              <w:t>Partner with Hispanic-serving institutions in Texas to establish or strengthen programs that create a pipeline that results in increased applications and admissions (i.e., 4+1 or similar programs).</w:t>
            </w:r>
          </w:p>
          <w:p w:rsidR="00B8746D" w:rsidRPr="00E80636" w:rsidRDefault="00B8746D" w:rsidP="006C308E">
            <w:pPr>
              <w:pStyle w:val="ListParagraph"/>
              <w:widowControl w:val="0"/>
              <w:numPr>
                <w:ilvl w:val="0"/>
                <w:numId w:val="55"/>
              </w:numPr>
              <w:autoSpaceDE w:val="0"/>
              <w:autoSpaceDN w:val="0"/>
              <w:adjustRightInd w:val="0"/>
              <w:spacing w:after="200"/>
              <w:ind w:left="360"/>
              <w:contextualSpacing/>
              <w:rPr>
                <w:rFonts w:asciiTheme="majorHAnsi" w:eastAsia="Arial" w:hAnsiTheme="majorHAnsi" w:cstheme="majorHAnsi"/>
                <w:szCs w:val="20"/>
              </w:rPr>
            </w:pPr>
            <w:r w:rsidRPr="00E80636">
              <w:rPr>
                <w:rFonts w:asciiTheme="majorHAnsi" w:eastAsia="Arial" w:hAnsiTheme="majorHAnsi" w:cstheme="majorHAnsi"/>
                <w:szCs w:val="20"/>
              </w:rPr>
              <w:t xml:space="preserve">Increase the school’s participation at undergraduate Hispanic-serving institutions’ recruitment events by allowing faculty, students, and staff to volunteer, i.e., student ambassador’s program. </w:t>
            </w:r>
          </w:p>
          <w:p w:rsidR="00B8746D" w:rsidRPr="00E80636" w:rsidRDefault="00B8746D" w:rsidP="006C308E">
            <w:pPr>
              <w:pStyle w:val="ListParagraph"/>
              <w:numPr>
                <w:ilvl w:val="0"/>
                <w:numId w:val="55"/>
              </w:numPr>
              <w:autoSpaceDE w:val="0"/>
              <w:autoSpaceDN w:val="0"/>
              <w:adjustRightInd w:val="0"/>
              <w:ind w:left="360"/>
              <w:contextualSpacing/>
              <w:rPr>
                <w:rFonts w:asciiTheme="majorHAnsi" w:eastAsia="Arial" w:hAnsiTheme="majorHAnsi" w:cstheme="majorHAnsi"/>
                <w:szCs w:val="20"/>
              </w:rPr>
            </w:pPr>
            <w:r w:rsidRPr="00E80636">
              <w:rPr>
                <w:rFonts w:asciiTheme="majorHAnsi" w:hAnsiTheme="majorHAnsi" w:cstheme="majorHAnsi"/>
                <w:color w:val="000000"/>
                <w:szCs w:val="20"/>
              </w:rPr>
              <w:t>Annually, document changes in Hispanic/Latino student enrollment and retention.</w:t>
            </w:r>
          </w:p>
          <w:p w:rsidR="00B8746D" w:rsidRPr="00E80636" w:rsidRDefault="00B8746D" w:rsidP="006C308E">
            <w:pPr>
              <w:pStyle w:val="ListParagraph"/>
              <w:numPr>
                <w:ilvl w:val="0"/>
                <w:numId w:val="55"/>
              </w:numPr>
              <w:autoSpaceDE w:val="0"/>
              <w:autoSpaceDN w:val="0"/>
              <w:adjustRightInd w:val="0"/>
              <w:ind w:left="360"/>
              <w:contextualSpacing/>
              <w:rPr>
                <w:rFonts w:asciiTheme="majorHAnsi" w:eastAsia="Arial" w:hAnsiTheme="majorHAnsi" w:cstheme="majorHAnsi"/>
                <w:szCs w:val="20"/>
              </w:rPr>
            </w:pPr>
            <w:r w:rsidRPr="00E80636">
              <w:rPr>
                <w:rFonts w:asciiTheme="majorHAnsi" w:hAnsiTheme="majorHAnsi" w:cstheme="majorHAnsi"/>
                <w:color w:val="000000"/>
                <w:szCs w:val="20"/>
              </w:rPr>
              <w:t>Biannually, conduct a campus climate survey of students.</w:t>
            </w:r>
          </w:p>
          <w:p w:rsidR="00B8746D" w:rsidRPr="00E80636" w:rsidRDefault="00B8746D" w:rsidP="006C308E">
            <w:pPr>
              <w:pStyle w:val="ListParagraph"/>
              <w:numPr>
                <w:ilvl w:val="0"/>
                <w:numId w:val="55"/>
              </w:numPr>
              <w:autoSpaceDE w:val="0"/>
              <w:autoSpaceDN w:val="0"/>
              <w:adjustRightInd w:val="0"/>
              <w:ind w:left="360"/>
              <w:contextualSpacing/>
              <w:rPr>
                <w:rFonts w:asciiTheme="majorHAnsi" w:eastAsia="Arial" w:hAnsiTheme="majorHAnsi" w:cstheme="majorHAnsi"/>
                <w:szCs w:val="20"/>
              </w:rPr>
            </w:pPr>
            <w:r w:rsidRPr="00E80636">
              <w:rPr>
                <w:rFonts w:asciiTheme="majorHAnsi" w:hAnsiTheme="majorHAnsi" w:cstheme="majorHAnsi"/>
                <w:color w:val="000000"/>
                <w:szCs w:val="20"/>
              </w:rPr>
              <w:t>Every semester, document all diversity and inclusion activities that affect students, including changes in policies, which happen within the school.</w:t>
            </w:r>
          </w:p>
          <w:p w:rsidR="00B8746D" w:rsidRPr="00E80636" w:rsidRDefault="00B8746D" w:rsidP="006C308E">
            <w:pPr>
              <w:pStyle w:val="ListParagraph"/>
              <w:numPr>
                <w:ilvl w:val="0"/>
                <w:numId w:val="55"/>
              </w:numPr>
              <w:autoSpaceDE w:val="0"/>
              <w:autoSpaceDN w:val="0"/>
              <w:adjustRightInd w:val="0"/>
              <w:ind w:left="338"/>
              <w:rPr>
                <w:rFonts w:asciiTheme="majorHAnsi" w:eastAsia="Arial" w:hAnsiTheme="majorHAnsi" w:cstheme="majorHAnsi"/>
                <w:szCs w:val="20"/>
              </w:rPr>
            </w:pPr>
            <w:r w:rsidRPr="00E80636">
              <w:rPr>
                <w:rFonts w:asciiTheme="majorHAnsi" w:hAnsiTheme="majorHAnsi" w:cstheme="majorHAnsi"/>
                <w:color w:val="000000"/>
                <w:szCs w:val="20"/>
              </w:rPr>
              <w:t>Annually, record the number of students who enroll or obtain a health disparities certificate.</w:t>
            </w:r>
          </w:p>
        </w:tc>
      </w:tr>
      <w:tr w:rsidR="00B8746D" w:rsidRPr="00743A41" w:rsidTr="00321053">
        <w:trPr>
          <w:trHeight w:val="270"/>
        </w:trPr>
        <w:tc>
          <w:tcPr>
            <w:tcW w:w="3150" w:type="dxa"/>
            <w:shd w:val="clear" w:color="auto" w:fill="auto"/>
          </w:tcPr>
          <w:p w:rsidR="00B8746D" w:rsidRPr="00E80636" w:rsidRDefault="00B8746D" w:rsidP="006C308E">
            <w:pPr>
              <w:autoSpaceDE w:val="0"/>
              <w:autoSpaceDN w:val="0"/>
              <w:adjustRightInd w:val="0"/>
              <w:rPr>
                <w:rFonts w:asciiTheme="majorHAnsi" w:eastAsia="Arial" w:hAnsiTheme="majorHAnsi" w:cstheme="majorHAnsi"/>
                <w:sz w:val="20"/>
                <w:szCs w:val="20"/>
              </w:rPr>
            </w:pPr>
            <w:r w:rsidRPr="00E80636">
              <w:rPr>
                <w:rFonts w:asciiTheme="majorHAnsi" w:hAnsiTheme="majorHAnsi" w:cstheme="majorHAnsi"/>
                <w:sz w:val="20"/>
                <w:szCs w:val="20"/>
              </w:rPr>
              <w:t xml:space="preserve">5. </w:t>
            </w:r>
            <w:r w:rsidRPr="00E80636">
              <w:rPr>
                <w:rFonts w:asciiTheme="majorHAnsi" w:eastAsia="Arial" w:hAnsiTheme="majorHAnsi" w:cstheme="majorHAnsi"/>
                <w:sz w:val="20"/>
                <w:szCs w:val="20"/>
              </w:rPr>
              <w:t xml:space="preserve">Develop and implement an educational campaign targeting staff and managers about professional development opportunities. </w:t>
            </w:r>
          </w:p>
          <w:p w:rsidR="00B8746D" w:rsidRPr="00E80636" w:rsidRDefault="00B8746D" w:rsidP="006C308E">
            <w:pPr>
              <w:autoSpaceDE w:val="0"/>
              <w:autoSpaceDN w:val="0"/>
              <w:adjustRightInd w:val="0"/>
              <w:rPr>
                <w:rFonts w:asciiTheme="majorHAnsi" w:hAnsiTheme="majorHAnsi" w:cstheme="majorHAnsi"/>
                <w:sz w:val="20"/>
                <w:szCs w:val="20"/>
              </w:rPr>
            </w:pPr>
          </w:p>
        </w:tc>
        <w:tc>
          <w:tcPr>
            <w:tcW w:w="5580" w:type="dxa"/>
            <w:shd w:val="clear" w:color="auto" w:fill="auto"/>
          </w:tcPr>
          <w:p w:rsidR="00B8746D" w:rsidRPr="00E80636" w:rsidRDefault="00B8746D" w:rsidP="006C308E">
            <w:pPr>
              <w:pStyle w:val="ListParagraph"/>
              <w:numPr>
                <w:ilvl w:val="0"/>
                <w:numId w:val="56"/>
              </w:numPr>
              <w:autoSpaceDE w:val="0"/>
              <w:autoSpaceDN w:val="0"/>
              <w:adjustRightInd w:val="0"/>
              <w:ind w:left="360"/>
              <w:contextualSpacing/>
              <w:rPr>
                <w:rFonts w:asciiTheme="majorHAnsi" w:eastAsia="Arial" w:hAnsiTheme="majorHAnsi" w:cstheme="majorHAnsi"/>
                <w:szCs w:val="20"/>
              </w:rPr>
            </w:pPr>
            <w:r w:rsidRPr="00E80636">
              <w:rPr>
                <w:rFonts w:asciiTheme="majorHAnsi" w:eastAsia="Arial" w:hAnsiTheme="majorHAnsi" w:cstheme="majorHAnsi"/>
                <w:szCs w:val="20"/>
              </w:rPr>
              <w:t>Recognize staff accomplishments and contributions within the school by having a regular staff highlight section in the school newsletter and staff person-of-the-year award.</w:t>
            </w:r>
          </w:p>
          <w:p w:rsidR="00B8746D" w:rsidRPr="00E80636" w:rsidRDefault="00B8746D" w:rsidP="006C308E">
            <w:pPr>
              <w:pStyle w:val="ListParagraph"/>
              <w:numPr>
                <w:ilvl w:val="0"/>
                <w:numId w:val="56"/>
              </w:numPr>
              <w:autoSpaceDE w:val="0"/>
              <w:autoSpaceDN w:val="0"/>
              <w:adjustRightInd w:val="0"/>
              <w:ind w:left="360"/>
              <w:contextualSpacing/>
              <w:rPr>
                <w:rFonts w:asciiTheme="majorHAnsi" w:eastAsia="Arial" w:hAnsiTheme="majorHAnsi" w:cstheme="majorHAnsi"/>
                <w:szCs w:val="20"/>
              </w:rPr>
            </w:pPr>
            <w:r w:rsidRPr="00E80636">
              <w:rPr>
                <w:rFonts w:asciiTheme="majorHAnsi" w:eastAsia="Arial" w:hAnsiTheme="majorHAnsi" w:cstheme="majorHAnsi"/>
                <w:szCs w:val="20"/>
              </w:rPr>
              <w:t>Increase visibility of staff development and advancement opportunities via website, email, and newsletters.</w:t>
            </w:r>
          </w:p>
          <w:p w:rsidR="00B8746D" w:rsidRPr="00E80636" w:rsidRDefault="00B8746D" w:rsidP="006C308E">
            <w:pPr>
              <w:pStyle w:val="ListParagraph"/>
              <w:numPr>
                <w:ilvl w:val="0"/>
                <w:numId w:val="56"/>
              </w:numPr>
              <w:autoSpaceDE w:val="0"/>
              <w:autoSpaceDN w:val="0"/>
              <w:adjustRightInd w:val="0"/>
              <w:ind w:left="360"/>
              <w:contextualSpacing/>
              <w:rPr>
                <w:rFonts w:asciiTheme="majorHAnsi" w:eastAsia="Arial" w:hAnsiTheme="majorHAnsi" w:cstheme="majorHAnsi"/>
                <w:szCs w:val="20"/>
              </w:rPr>
            </w:pPr>
            <w:r w:rsidRPr="00E80636">
              <w:rPr>
                <w:rFonts w:asciiTheme="majorHAnsi" w:eastAsia="Arial" w:hAnsiTheme="majorHAnsi" w:cstheme="majorHAnsi"/>
                <w:szCs w:val="20"/>
              </w:rPr>
              <w:t>Develop and implement a training for supervisors about the importance of staff development.</w:t>
            </w:r>
          </w:p>
          <w:p w:rsidR="00B8746D" w:rsidRPr="00E80636" w:rsidRDefault="00B8746D" w:rsidP="006C308E">
            <w:pPr>
              <w:pStyle w:val="ListParagraph"/>
              <w:numPr>
                <w:ilvl w:val="0"/>
                <w:numId w:val="56"/>
              </w:numPr>
              <w:autoSpaceDE w:val="0"/>
              <w:autoSpaceDN w:val="0"/>
              <w:adjustRightInd w:val="0"/>
              <w:ind w:left="360"/>
              <w:contextualSpacing/>
              <w:rPr>
                <w:rFonts w:asciiTheme="majorHAnsi" w:eastAsia="Arial" w:hAnsiTheme="majorHAnsi" w:cstheme="majorHAnsi"/>
                <w:szCs w:val="20"/>
              </w:rPr>
            </w:pPr>
            <w:r w:rsidRPr="00E80636">
              <w:rPr>
                <w:rFonts w:asciiTheme="majorHAnsi" w:hAnsiTheme="majorHAnsi" w:cstheme="majorHAnsi"/>
                <w:color w:val="000000"/>
                <w:szCs w:val="20"/>
              </w:rPr>
              <w:t>Biannually, conduct a campus climate survey of staff.</w:t>
            </w:r>
          </w:p>
          <w:p w:rsidR="00B8746D" w:rsidRPr="00E80636" w:rsidRDefault="00B8746D" w:rsidP="006C308E">
            <w:pPr>
              <w:pStyle w:val="ListParagraph"/>
              <w:numPr>
                <w:ilvl w:val="0"/>
                <w:numId w:val="56"/>
              </w:numPr>
              <w:autoSpaceDE w:val="0"/>
              <w:autoSpaceDN w:val="0"/>
              <w:adjustRightInd w:val="0"/>
              <w:ind w:left="360"/>
              <w:contextualSpacing/>
              <w:rPr>
                <w:rFonts w:asciiTheme="majorHAnsi" w:eastAsia="Arial" w:hAnsiTheme="majorHAnsi" w:cstheme="majorHAnsi"/>
                <w:szCs w:val="20"/>
              </w:rPr>
            </w:pPr>
            <w:r w:rsidRPr="00E80636">
              <w:rPr>
                <w:rFonts w:asciiTheme="majorHAnsi" w:hAnsiTheme="majorHAnsi" w:cstheme="majorHAnsi"/>
                <w:color w:val="000000"/>
                <w:szCs w:val="20"/>
              </w:rPr>
              <w:t>Every semester, document all diversity and inclusion activities that affect staff, including changes in policies, which happen within the school.</w:t>
            </w:r>
          </w:p>
        </w:tc>
      </w:tr>
    </w:tbl>
    <w:p w:rsidR="00B8746D" w:rsidRPr="00E80636" w:rsidRDefault="00B8746D" w:rsidP="006C308E">
      <w:pPr>
        <w:ind w:left="720"/>
        <w:contextualSpacing/>
        <w:jc w:val="both"/>
        <w:rPr>
          <w:rFonts w:asciiTheme="majorHAnsi" w:hAnsiTheme="majorHAnsi" w:cstheme="majorHAnsi"/>
          <w:sz w:val="20"/>
          <w:szCs w:val="20"/>
        </w:rPr>
      </w:pPr>
    </w:p>
    <w:p w:rsidR="00933038" w:rsidRPr="00E80636" w:rsidRDefault="00933038" w:rsidP="006C308E">
      <w:pPr>
        <w:numPr>
          <w:ilvl w:val="0"/>
          <w:numId w:val="41"/>
        </w:numPr>
        <w:contextualSpacing/>
        <w:jc w:val="both"/>
        <w:rPr>
          <w:rFonts w:asciiTheme="majorHAnsi" w:hAnsiTheme="majorHAnsi" w:cstheme="majorHAnsi"/>
          <w:sz w:val="20"/>
          <w:szCs w:val="20"/>
        </w:rPr>
      </w:pPr>
      <w:r w:rsidRPr="00E80636">
        <w:rPr>
          <w:rFonts w:asciiTheme="majorHAnsi" w:hAnsiTheme="majorHAnsi" w:cstheme="majorHAnsi"/>
          <w:sz w:val="20"/>
          <w:szCs w:val="20"/>
        </w:rPr>
        <w:t xml:space="preserve">List the actions and strategies identified that create and maintain a culturally competent environment and describe the process used to develop them. The description addresses curricular requirements; assurance that students are exposed to faculty, staff, preceptors, guest lecturers and community agencies reflective of the diversity in their communities; and faculty and student scholarship and/or community engagement activities. </w:t>
      </w:r>
    </w:p>
    <w:p w:rsidR="00933038" w:rsidRPr="00E80636" w:rsidRDefault="00933038" w:rsidP="006C308E">
      <w:pPr>
        <w:ind w:left="720"/>
        <w:contextualSpacing/>
        <w:rPr>
          <w:rFonts w:asciiTheme="majorHAnsi" w:hAnsiTheme="majorHAnsi" w:cstheme="majorHAnsi"/>
          <w:sz w:val="20"/>
          <w:szCs w:val="20"/>
        </w:rPr>
      </w:pPr>
    </w:p>
    <w:p w:rsidR="00B8746D" w:rsidRPr="00E80636" w:rsidRDefault="00B8746D" w:rsidP="006C308E">
      <w:pPr>
        <w:autoSpaceDE w:val="0"/>
        <w:autoSpaceDN w:val="0"/>
        <w:adjustRightInd w:val="0"/>
        <w:ind w:left="720"/>
        <w:rPr>
          <w:rFonts w:asciiTheme="majorHAnsi" w:hAnsiTheme="majorHAnsi" w:cstheme="majorHAnsi"/>
          <w:sz w:val="20"/>
          <w:szCs w:val="20"/>
        </w:rPr>
      </w:pPr>
      <w:r w:rsidRPr="00E80636">
        <w:rPr>
          <w:rFonts w:asciiTheme="majorHAnsi" w:hAnsiTheme="majorHAnsi" w:cstheme="majorHAnsi"/>
          <w:sz w:val="20"/>
          <w:szCs w:val="20"/>
        </w:rPr>
        <w:t xml:space="preserve">Creating a culture of inclusion and maintaining a culturally competent environment is one of our central responsibilities as an academic public health institution. At the UTHealth School of Public Health, this responsibility includes not only creating a culture of inclusion, where all members of our school community feel valued and respected, but also maintain a culturally competent environment, where students can learn about communicating and interacting with diverse communities. </w:t>
      </w:r>
    </w:p>
    <w:p w:rsidR="00B8746D" w:rsidRPr="00E80636" w:rsidRDefault="00B8746D" w:rsidP="006C308E">
      <w:pPr>
        <w:autoSpaceDE w:val="0"/>
        <w:autoSpaceDN w:val="0"/>
        <w:adjustRightInd w:val="0"/>
        <w:rPr>
          <w:rFonts w:asciiTheme="majorHAnsi" w:hAnsiTheme="majorHAnsi" w:cstheme="majorHAnsi"/>
          <w:b/>
          <w:sz w:val="20"/>
          <w:szCs w:val="20"/>
        </w:rPr>
      </w:pPr>
    </w:p>
    <w:p w:rsidR="00B8746D" w:rsidRPr="00E80636" w:rsidRDefault="00B8746D" w:rsidP="006C308E">
      <w:pPr>
        <w:autoSpaceDE w:val="0"/>
        <w:autoSpaceDN w:val="0"/>
        <w:adjustRightInd w:val="0"/>
        <w:ind w:left="720"/>
        <w:rPr>
          <w:rFonts w:asciiTheme="majorHAnsi" w:hAnsiTheme="majorHAnsi" w:cstheme="majorHAnsi"/>
          <w:sz w:val="20"/>
          <w:szCs w:val="20"/>
        </w:rPr>
      </w:pPr>
      <w:r w:rsidRPr="000F3751">
        <w:rPr>
          <w:rFonts w:asciiTheme="majorHAnsi" w:hAnsiTheme="majorHAnsi" w:cstheme="majorHAnsi"/>
          <w:b/>
          <w:sz w:val="20"/>
          <w:szCs w:val="20"/>
        </w:rPr>
        <w:t>Certificates</w:t>
      </w:r>
      <w:r w:rsidRPr="00E80636">
        <w:rPr>
          <w:rFonts w:asciiTheme="majorHAnsi" w:hAnsiTheme="majorHAnsi" w:cstheme="majorHAnsi"/>
          <w:b/>
          <w:sz w:val="20"/>
          <w:szCs w:val="20"/>
        </w:rPr>
        <w:t xml:space="preserve">. </w:t>
      </w:r>
      <w:r w:rsidRPr="00E80636">
        <w:rPr>
          <w:rFonts w:asciiTheme="majorHAnsi" w:hAnsiTheme="majorHAnsi" w:cstheme="majorHAnsi"/>
          <w:sz w:val="20"/>
          <w:szCs w:val="20"/>
        </w:rPr>
        <w:t xml:space="preserve">The UTHealth School of Public Health offers certificates </w:t>
      </w:r>
      <w:r w:rsidR="000F3751">
        <w:rPr>
          <w:rFonts w:asciiTheme="majorHAnsi" w:hAnsiTheme="majorHAnsi" w:cstheme="majorHAnsi"/>
          <w:sz w:val="20"/>
          <w:szCs w:val="20"/>
        </w:rPr>
        <w:t>(</w:t>
      </w:r>
      <w:r w:rsidR="000F3751" w:rsidRPr="000F3751">
        <w:rPr>
          <w:rFonts w:asciiTheme="majorHAnsi" w:hAnsiTheme="majorHAnsi" w:cstheme="majorHAnsi"/>
          <w:i/>
          <w:sz w:val="20"/>
          <w:szCs w:val="20"/>
        </w:rPr>
        <w:t xml:space="preserve">ERF, </w:t>
      </w:r>
      <w:r w:rsidR="00AA7A1A">
        <w:rPr>
          <w:rFonts w:asciiTheme="majorHAnsi" w:hAnsiTheme="majorHAnsi" w:cstheme="majorHAnsi"/>
          <w:i/>
          <w:sz w:val="20"/>
          <w:szCs w:val="20"/>
        </w:rPr>
        <w:t xml:space="preserve">Criteria G, </w:t>
      </w:r>
      <w:r w:rsidR="000F3751" w:rsidRPr="000F3751">
        <w:rPr>
          <w:rFonts w:asciiTheme="majorHAnsi" w:hAnsiTheme="majorHAnsi" w:cstheme="majorHAnsi"/>
          <w:i/>
          <w:sz w:val="20"/>
          <w:szCs w:val="20"/>
        </w:rPr>
        <w:t>Certificate</w:t>
      </w:r>
      <w:r w:rsidR="00C27DB4">
        <w:rPr>
          <w:rFonts w:asciiTheme="majorHAnsi" w:hAnsiTheme="majorHAnsi" w:cstheme="majorHAnsi"/>
          <w:i/>
          <w:sz w:val="20"/>
          <w:szCs w:val="20"/>
        </w:rPr>
        <w:t xml:space="preserve"> Planners</w:t>
      </w:r>
      <w:r w:rsidR="000F3751">
        <w:rPr>
          <w:rFonts w:asciiTheme="majorHAnsi" w:hAnsiTheme="majorHAnsi" w:cstheme="majorHAnsi"/>
          <w:sz w:val="20"/>
          <w:szCs w:val="20"/>
        </w:rPr>
        <w:t xml:space="preserve">) </w:t>
      </w:r>
      <w:r w:rsidRPr="00E80636">
        <w:rPr>
          <w:rFonts w:asciiTheme="majorHAnsi" w:hAnsiTheme="majorHAnsi" w:cstheme="majorHAnsi"/>
          <w:sz w:val="20"/>
          <w:szCs w:val="20"/>
        </w:rPr>
        <w:t xml:space="preserve">in global health, health disparities, and leadership to enhance cultural competence training for degree and non-degree students. Faculty from all departments and campuses are committed to teaching students how to interact in a diverse global community. </w:t>
      </w:r>
    </w:p>
    <w:p w:rsidR="00B8746D" w:rsidRPr="00E80636" w:rsidRDefault="00B8746D" w:rsidP="006C308E">
      <w:pPr>
        <w:autoSpaceDE w:val="0"/>
        <w:autoSpaceDN w:val="0"/>
        <w:adjustRightInd w:val="0"/>
        <w:ind w:left="720"/>
        <w:rPr>
          <w:rFonts w:asciiTheme="majorHAnsi" w:hAnsiTheme="majorHAnsi" w:cstheme="majorHAnsi"/>
          <w:sz w:val="20"/>
          <w:szCs w:val="20"/>
        </w:rPr>
      </w:pPr>
    </w:p>
    <w:p w:rsidR="00B8746D" w:rsidRPr="00E80636" w:rsidRDefault="00B8746D" w:rsidP="006C308E">
      <w:pPr>
        <w:autoSpaceDE w:val="0"/>
        <w:autoSpaceDN w:val="0"/>
        <w:adjustRightInd w:val="0"/>
        <w:ind w:left="720"/>
        <w:rPr>
          <w:rFonts w:asciiTheme="majorHAnsi" w:hAnsiTheme="majorHAnsi" w:cstheme="majorHAnsi"/>
          <w:sz w:val="20"/>
          <w:szCs w:val="20"/>
        </w:rPr>
      </w:pPr>
      <w:r w:rsidRPr="00E80636">
        <w:rPr>
          <w:rFonts w:asciiTheme="majorHAnsi" w:hAnsiTheme="majorHAnsi" w:cstheme="majorHAnsi"/>
          <w:b/>
          <w:sz w:val="20"/>
          <w:szCs w:val="20"/>
        </w:rPr>
        <w:t>Curriculum.</w:t>
      </w:r>
      <w:r w:rsidRPr="00E80636">
        <w:rPr>
          <w:rFonts w:asciiTheme="majorHAnsi" w:hAnsiTheme="majorHAnsi" w:cstheme="majorHAnsi"/>
          <w:sz w:val="20"/>
          <w:szCs w:val="20"/>
        </w:rPr>
        <w:t xml:space="preserve"> At the UTHealth School of Public Health, cultural competence is woven into the core curriculum. Core courses include competencies focused on topics such as race, class, social justice, and cultural competence. Examples of other courses that students enroll in as part of their major or an elective include: </w:t>
      </w:r>
    </w:p>
    <w:p w:rsidR="00B8746D" w:rsidRPr="00E80636" w:rsidRDefault="00B8746D" w:rsidP="006C308E">
      <w:pPr>
        <w:pStyle w:val="ListParagraph"/>
        <w:numPr>
          <w:ilvl w:val="0"/>
          <w:numId w:val="57"/>
        </w:numPr>
        <w:autoSpaceDE w:val="0"/>
        <w:autoSpaceDN w:val="0"/>
        <w:adjustRightInd w:val="0"/>
        <w:rPr>
          <w:rFonts w:asciiTheme="majorHAnsi" w:hAnsiTheme="majorHAnsi" w:cstheme="majorHAnsi"/>
          <w:szCs w:val="20"/>
        </w:rPr>
      </w:pPr>
      <w:r w:rsidRPr="00E80636">
        <w:rPr>
          <w:rFonts w:asciiTheme="majorHAnsi" w:hAnsiTheme="majorHAnsi" w:cstheme="majorHAnsi"/>
          <w:szCs w:val="20"/>
        </w:rPr>
        <w:t>The History and Culture of Disease and Healing, Health Disparities Core Seminar</w:t>
      </w:r>
    </w:p>
    <w:p w:rsidR="00B8746D" w:rsidRPr="00E80636" w:rsidRDefault="00B8746D" w:rsidP="006C308E">
      <w:pPr>
        <w:pStyle w:val="ListParagraph"/>
        <w:numPr>
          <w:ilvl w:val="0"/>
          <w:numId w:val="57"/>
        </w:numPr>
        <w:autoSpaceDE w:val="0"/>
        <w:autoSpaceDN w:val="0"/>
        <w:adjustRightInd w:val="0"/>
        <w:rPr>
          <w:rFonts w:asciiTheme="majorHAnsi" w:hAnsiTheme="majorHAnsi" w:cstheme="majorHAnsi"/>
          <w:szCs w:val="20"/>
        </w:rPr>
      </w:pPr>
      <w:r w:rsidRPr="00E80636">
        <w:rPr>
          <w:rFonts w:asciiTheme="majorHAnsi" w:hAnsiTheme="majorHAnsi" w:cstheme="majorHAnsi"/>
          <w:szCs w:val="20"/>
        </w:rPr>
        <w:t xml:space="preserve">Foundations of Leadership in Public Health </w:t>
      </w:r>
    </w:p>
    <w:p w:rsidR="00B8746D" w:rsidRPr="00E80636" w:rsidRDefault="00B8746D" w:rsidP="006C308E">
      <w:pPr>
        <w:pStyle w:val="ListParagraph"/>
        <w:numPr>
          <w:ilvl w:val="0"/>
          <w:numId w:val="57"/>
        </w:numPr>
        <w:autoSpaceDE w:val="0"/>
        <w:autoSpaceDN w:val="0"/>
        <w:adjustRightInd w:val="0"/>
        <w:rPr>
          <w:rFonts w:asciiTheme="majorHAnsi" w:hAnsiTheme="majorHAnsi" w:cstheme="majorHAnsi"/>
          <w:szCs w:val="20"/>
        </w:rPr>
      </w:pPr>
      <w:r w:rsidRPr="00E80636">
        <w:rPr>
          <w:rFonts w:asciiTheme="majorHAnsi" w:hAnsiTheme="majorHAnsi" w:cstheme="majorHAnsi"/>
          <w:szCs w:val="20"/>
        </w:rPr>
        <w:t xml:space="preserve">Gender and Leadership </w:t>
      </w:r>
    </w:p>
    <w:p w:rsidR="00B8746D" w:rsidRPr="00E80636" w:rsidRDefault="00B8746D" w:rsidP="006C308E">
      <w:pPr>
        <w:pStyle w:val="ListParagraph"/>
        <w:numPr>
          <w:ilvl w:val="0"/>
          <w:numId w:val="57"/>
        </w:numPr>
        <w:autoSpaceDE w:val="0"/>
        <w:autoSpaceDN w:val="0"/>
        <w:adjustRightInd w:val="0"/>
        <w:rPr>
          <w:rFonts w:asciiTheme="majorHAnsi" w:hAnsiTheme="majorHAnsi" w:cstheme="majorHAnsi"/>
          <w:szCs w:val="20"/>
        </w:rPr>
      </w:pPr>
      <w:r w:rsidRPr="00E80636">
        <w:rPr>
          <w:rFonts w:asciiTheme="majorHAnsi" w:hAnsiTheme="majorHAnsi" w:cstheme="majorHAnsi"/>
          <w:szCs w:val="20"/>
        </w:rPr>
        <w:t>Disability and Public Health</w:t>
      </w:r>
    </w:p>
    <w:p w:rsidR="00B8746D" w:rsidRPr="00E80636" w:rsidRDefault="00B8746D" w:rsidP="006C308E">
      <w:pPr>
        <w:pStyle w:val="ListParagraph"/>
        <w:numPr>
          <w:ilvl w:val="0"/>
          <w:numId w:val="57"/>
        </w:numPr>
        <w:autoSpaceDE w:val="0"/>
        <w:autoSpaceDN w:val="0"/>
        <w:adjustRightInd w:val="0"/>
        <w:rPr>
          <w:rFonts w:asciiTheme="majorHAnsi" w:hAnsiTheme="majorHAnsi" w:cstheme="majorHAnsi"/>
          <w:szCs w:val="20"/>
        </w:rPr>
      </w:pPr>
      <w:r w:rsidRPr="00E80636">
        <w:rPr>
          <w:rFonts w:asciiTheme="majorHAnsi" w:hAnsiTheme="majorHAnsi" w:cstheme="majorHAnsi"/>
          <w:szCs w:val="20"/>
        </w:rPr>
        <w:t xml:space="preserve">Adolescent Sexual Health </w:t>
      </w:r>
    </w:p>
    <w:p w:rsidR="00B8746D" w:rsidRPr="00E80636" w:rsidRDefault="00B8746D" w:rsidP="006C308E">
      <w:pPr>
        <w:pStyle w:val="ListParagraph"/>
        <w:numPr>
          <w:ilvl w:val="0"/>
          <w:numId w:val="57"/>
        </w:numPr>
        <w:autoSpaceDE w:val="0"/>
        <w:autoSpaceDN w:val="0"/>
        <w:adjustRightInd w:val="0"/>
        <w:rPr>
          <w:rFonts w:asciiTheme="majorHAnsi" w:hAnsiTheme="majorHAnsi" w:cstheme="majorHAnsi"/>
          <w:szCs w:val="20"/>
        </w:rPr>
      </w:pPr>
      <w:r w:rsidRPr="00E80636">
        <w:rPr>
          <w:rFonts w:asciiTheme="majorHAnsi" w:hAnsiTheme="majorHAnsi" w:cstheme="majorHAnsi"/>
          <w:szCs w:val="20"/>
        </w:rPr>
        <w:t xml:space="preserve">Issues in Aging  </w:t>
      </w:r>
    </w:p>
    <w:p w:rsidR="00B8746D" w:rsidRPr="00E80636" w:rsidRDefault="00B8746D" w:rsidP="006C308E">
      <w:pPr>
        <w:pStyle w:val="ListParagraph"/>
        <w:numPr>
          <w:ilvl w:val="0"/>
          <w:numId w:val="57"/>
        </w:numPr>
        <w:autoSpaceDE w:val="0"/>
        <w:autoSpaceDN w:val="0"/>
        <w:adjustRightInd w:val="0"/>
        <w:rPr>
          <w:rFonts w:asciiTheme="majorHAnsi" w:hAnsiTheme="majorHAnsi" w:cstheme="majorHAnsi"/>
          <w:szCs w:val="20"/>
        </w:rPr>
      </w:pPr>
      <w:r w:rsidRPr="00E80636">
        <w:rPr>
          <w:rFonts w:asciiTheme="majorHAnsi" w:hAnsiTheme="majorHAnsi" w:cstheme="majorHAnsi"/>
          <w:szCs w:val="20"/>
        </w:rPr>
        <w:t xml:space="preserve">Ethnicity, Race, Class &amp; Gender: A Multicultural Public Health Perspective </w:t>
      </w:r>
    </w:p>
    <w:p w:rsidR="00B8746D" w:rsidRPr="00E80636" w:rsidRDefault="00B8746D" w:rsidP="006C308E">
      <w:pPr>
        <w:pStyle w:val="ListParagraph"/>
        <w:numPr>
          <w:ilvl w:val="0"/>
          <w:numId w:val="57"/>
        </w:numPr>
        <w:autoSpaceDE w:val="0"/>
        <w:autoSpaceDN w:val="0"/>
        <w:adjustRightInd w:val="0"/>
        <w:rPr>
          <w:rFonts w:asciiTheme="majorHAnsi" w:hAnsiTheme="majorHAnsi" w:cstheme="majorHAnsi"/>
          <w:szCs w:val="20"/>
        </w:rPr>
      </w:pPr>
      <w:r w:rsidRPr="00E80636">
        <w:rPr>
          <w:rFonts w:asciiTheme="majorHAnsi" w:hAnsiTheme="majorHAnsi" w:cstheme="majorHAnsi"/>
          <w:szCs w:val="20"/>
        </w:rPr>
        <w:t xml:space="preserve">Social Justice and Public Health </w:t>
      </w:r>
    </w:p>
    <w:p w:rsidR="00B8746D" w:rsidRPr="00E80636" w:rsidRDefault="00B8746D" w:rsidP="006C308E">
      <w:pPr>
        <w:pStyle w:val="ListParagraph"/>
        <w:numPr>
          <w:ilvl w:val="0"/>
          <w:numId w:val="57"/>
        </w:numPr>
        <w:autoSpaceDE w:val="0"/>
        <w:autoSpaceDN w:val="0"/>
        <w:adjustRightInd w:val="0"/>
        <w:rPr>
          <w:rFonts w:asciiTheme="majorHAnsi" w:hAnsiTheme="majorHAnsi" w:cstheme="majorHAnsi"/>
          <w:szCs w:val="20"/>
        </w:rPr>
      </w:pPr>
      <w:r w:rsidRPr="00E80636">
        <w:rPr>
          <w:rFonts w:asciiTheme="majorHAnsi" w:hAnsiTheme="majorHAnsi" w:cstheme="majorHAnsi"/>
          <w:szCs w:val="20"/>
        </w:rPr>
        <w:t xml:space="preserve">Epidemiologic Methods in Racial and Ethnic Disparities </w:t>
      </w:r>
    </w:p>
    <w:p w:rsidR="00B8746D" w:rsidRPr="00E80636" w:rsidRDefault="00B8746D" w:rsidP="006C308E">
      <w:pPr>
        <w:pStyle w:val="ListParagraph"/>
        <w:numPr>
          <w:ilvl w:val="0"/>
          <w:numId w:val="57"/>
        </w:numPr>
        <w:autoSpaceDE w:val="0"/>
        <w:autoSpaceDN w:val="0"/>
        <w:adjustRightInd w:val="0"/>
        <w:rPr>
          <w:rFonts w:asciiTheme="majorHAnsi" w:hAnsiTheme="majorHAnsi" w:cstheme="majorHAnsi"/>
          <w:szCs w:val="20"/>
        </w:rPr>
      </w:pPr>
      <w:r w:rsidRPr="00E80636">
        <w:rPr>
          <w:rFonts w:asciiTheme="majorHAnsi" w:hAnsiTheme="majorHAnsi" w:cstheme="majorHAnsi"/>
          <w:szCs w:val="20"/>
        </w:rPr>
        <w:t xml:space="preserve">Mental Health Epidemiology </w:t>
      </w:r>
    </w:p>
    <w:p w:rsidR="00B8746D" w:rsidRPr="00E80636" w:rsidRDefault="00B8746D" w:rsidP="006C308E">
      <w:pPr>
        <w:pStyle w:val="ListParagraph"/>
        <w:numPr>
          <w:ilvl w:val="0"/>
          <w:numId w:val="57"/>
        </w:numPr>
        <w:autoSpaceDE w:val="0"/>
        <w:autoSpaceDN w:val="0"/>
        <w:adjustRightInd w:val="0"/>
        <w:rPr>
          <w:rFonts w:asciiTheme="majorHAnsi" w:hAnsiTheme="majorHAnsi" w:cstheme="majorHAnsi"/>
          <w:szCs w:val="20"/>
        </w:rPr>
      </w:pPr>
      <w:r w:rsidRPr="00E80636">
        <w:rPr>
          <w:rFonts w:asciiTheme="majorHAnsi" w:hAnsiTheme="majorHAnsi" w:cstheme="majorHAnsi"/>
          <w:szCs w:val="20"/>
        </w:rPr>
        <w:t>Disease Detectives</w:t>
      </w:r>
    </w:p>
    <w:p w:rsidR="00B8746D" w:rsidRPr="00E80636" w:rsidRDefault="00B8746D" w:rsidP="006C308E">
      <w:pPr>
        <w:pStyle w:val="ListParagraph"/>
        <w:numPr>
          <w:ilvl w:val="0"/>
          <w:numId w:val="57"/>
        </w:numPr>
        <w:autoSpaceDE w:val="0"/>
        <w:autoSpaceDN w:val="0"/>
        <w:adjustRightInd w:val="0"/>
        <w:rPr>
          <w:rFonts w:asciiTheme="majorHAnsi" w:hAnsiTheme="majorHAnsi" w:cstheme="majorHAnsi"/>
          <w:szCs w:val="20"/>
        </w:rPr>
      </w:pPr>
      <w:r w:rsidRPr="00E80636">
        <w:rPr>
          <w:rFonts w:asciiTheme="majorHAnsi" w:hAnsiTheme="majorHAnsi" w:cstheme="majorHAnsi"/>
          <w:szCs w:val="20"/>
        </w:rPr>
        <w:t xml:space="preserve">Working with Diverse Communities </w:t>
      </w:r>
    </w:p>
    <w:p w:rsidR="00B8746D" w:rsidRPr="00E80636" w:rsidRDefault="00B8746D" w:rsidP="006C308E">
      <w:pPr>
        <w:pStyle w:val="ListParagraph"/>
        <w:numPr>
          <w:ilvl w:val="0"/>
          <w:numId w:val="57"/>
        </w:numPr>
        <w:autoSpaceDE w:val="0"/>
        <w:autoSpaceDN w:val="0"/>
        <w:adjustRightInd w:val="0"/>
        <w:rPr>
          <w:rFonts w:asciiTheme="majorHAnsi" w:hAnsiTheme="majorHAnsi" w:cstheme="majorHAnsi"/>
          <w:szCs w:val="20"/>
        </w:rPr>
      </w:pPr>
      <w:r w:rsidRPr="00E80636">
        <w:rPr>
          <w:rFonts w:asciiTheme="majorHAnsi" w:hAnsiTheme="majorHAnsi" w:cstheme="majorHAnsi"/>
          <w:szCs w:val="20"/>
        </w:rPr>
        <w:t xml:space="preserve">Strategic Leadership in Public Health </w:t>
      </w:r>
    </w:p>
    <w:p w:rsidR="00B8746D" w:rsidRPr="00E80636" w:rsidRDefault="00B8746D" w:rsidP="006C308E">
      <w:pPr>
        <w:pStyle w:val="ListParagraph"/>
        <w:numPr>
          <w:ilvl w:val="0"/>
          <w:numId w:val="57"/>
        </w:numPr>
        <w:autoSpaceDE w:val="0"/>
        <w:autoSpaceDN w:val="0"/>
        <w:adjustRightInd w:val="0"/>
        <w:rPr>
          <w:rFonts w:asciiTheme="majorHAnsi" w:hAnsiTheme="majorHAnsi" w:cstheme="majorHAnsi"/>
          <w:szCs w:val="20"/>
        </w:rPr>
      </w:pPr>
      <w:r w:rsidRPr="00E80636">
        <w:rPr>
          <w:rFonts w:asciiTheme="majorHAnsi" w:hAnsiTheme="majorHAnsi" w:cstheme="majorHAnsi"/>
          <w:szCs w:val="20"/>
        </w:rPr>
        <w:t>Advanced Leadership Studies in Public Health</w:t>
      </w:r>
    </w:p>
    <w:p w:rsidR="00B8746D" w:rsidRPr="00E80636" w:rsidRDefault="00B8746D" w:rsidP="006C308E">
      <w:pPr>
        <w:autoSpaceDE w:val="0"/>
        <w:autoSpaceDN w:val="0"/>
        <w:adjustRightInd w:val="0"/>
        <w:ind w:left="720"/>
        <w:rPr>
          <w:rFonts w:asciiTheme="majorHAnsi" w:hAnsiTheme="majorHAnsi" w:cstheme="majorHAnsi"/>
          <w:sz w:val="20"/>
          <w:szCs w:val="20"/>
        </w:rPr>
      </w:pPr>
    </w:p>
    <w:p w:rsidR="00B8746D" w:rsidRPr="00E80636" w:rsidRDefault="00B8746D" w:rsidP="006C308E">
      <w:pPr>
        <w:autoSpaceDE w:val="0"/>
        <w:autoSpaceDN w:val="0"/>
        <w:adjustRightInd w:val="0"/>
        <w:ind w:left="720"/>
        <w:rPr>
          <w:rFonts w:asciiTheme="majorHAnsi" w:hAnsiTheme="majorHAnsi" w:cstheme="majorHAnsi"/>
          <w:sz w:val="20"/>
          <w:szCs w:val="20"/>
        </w:rPr>
      </w:pPr>
      <w:r w:rsidRPr="00E80636">
        <w:rPr>
          <w:rFonts w:asciiTheme="majorHAnsi" w:hAnsiTheme="majorHAnsi" w:cstheme="majorHAnsi"/>
          <w:b/>
          <w:sz w:val="20"/>
          <w:szCs w:val="20"/>
        </w:rPr>
        <w:t>Signature Events</w:t>
      </w:r>
      <w:r w:rsidRPr="00E80636">
        <w:rPr>
          <w:rFonts w:asciiTheme="majorHAnsi" w:hAnsiTheme="majorHAnsi" w:cstheme="majorHAnsi"/>
          <w:sz w:val="20"/>
          <w:szCs w:val="20"/>
        </w:rPr>
        <w:t>. At the UTHealth School of Public Health, programs are planned every year that highlight diversity and cultural competence. The school’s student governance hosts an annual SPH Diversity Fair for the entire UTHealth Community. This event includes almost 400 participants and features foods, traditions, and entertainment from around the world. The school’s outREACH organization has worked with UTHealth to sponsor involvement in Houston’s Gay Pride Parade. The Global Health Society organizes an annual potluck dinner featuring cuisine from different parts of the world.</w:t>
      </w:r>
    </w:p>
    <w:p w:rsidR="00B8746D" w:rsidRPr="00E80636" w:rsidRDefault="00B8746D" w:rsidP="006C308E">
      <w:pPr>
        <w:autoSpaceDE w:val="0"/>
        <w:autoSpaceDN w:val="0"/>
        <w:adjustRightInd w:val="0"/>
        <w:ind w:left="720"/>
        <w:rPr>
          <w:rFonts w:asciiTheme="majorHAnsi" w:hAnsiTheme="majorHAnsi" w:cstheme="majorHAnsi"/>
          <w:b/>
          <w:sz w:val="20"/>
          <w:szCs w:val="20"/>
        </w:rPr>
      </w:pPr>
    </w:p>
    <w:p w:rsidR="00B8746D" w:rsidRPr="00E80636" w:rsidRDefault="00B8746D" w:rsidP="006C308E">
      <w:pPr>
        <w:autoSpaceDE w:val="0"/>
        <w:autoSpaceDN w:val="0"/>
        <w:adjustRightInd w:val="0"/>
        <w:ind w:left="720"/>
        <w:rPr>
          <w:rFonts w:asciiTheme="majorHAnsi" w:hAnsiTheme="majorHAnsi" w:cstheme="majorHAnsi"/>
          <w:sz w:val="20"/>
          <w:szCs w:val="20"/>
        </w:rPr>
      </w:pPr>
      <w:r w:rsidRPr="00E80636">
        <w:rPr>
          <w:rFonts w:asciiTheme="majorHAnsi" w:hAnsiTheme="majorHAnsi" w:cstheme="majorHAnsi"/>
          <w:b/>
          <w:sz w:val="20"/>
          <w:szCs w:val="20"/>
        </w:rPr>
        <w:t xml:space="preserve">Trainings.  </w:t>
      </w:r>
      <w:r w:rsidRPr="00E80636">
        <w:rPr>
          <w:rFonts w:asciiTheme="majorHAnsi" w:hAnsiTheme="majorHAnsi" w:cstheme="majorHAnsi"/>
          <w:sz w:val="20"/>
          <w:szCs w:val="20"/>
        </w:rPr>
        <w:t xml:space="preserve">The UTHealth School of Public Health sponsors trainings for both faculty and staff in teaching diverse students. The following topics have been presented in the last two years: </w:t>
      </w:r>
    </w:p>
    <w:p w:rsidR="00B8746D" w:rsidRPr="00E80636" w:rsidRDefault="00B8746D" w:rsidP="006C308E">
      <w:pPr>
        <w:pStyle w:val="ListParagraph"/>
        <w:numPr>
          <w:ilvl w:val="0"/>
          <w:numId w:val="58"/>
        </w:numPr>
        <w:autoSpaceDE w:val="0"/>
        <w:autoSpaceDN w:val="0"/>
        <w:adjustRightInd w:val="0"/>
        <w:rPr>
          <w:rFonts w:asciiTheme="majorHAnsi" w:hAnsiTheme="majorHAnsi" w:cstheme="majorHAnsi"/>
          <w:b/>
          <w:szCs w:val="20"/>
        </w:rPr>
      </w:pPr>
      <w:r w:rsidRPr="00E80636">
        <w:rPr>
          <w:rFonts w:asciiTheme="majorHAnsi" w:hAnsiTheme="majorHAnsi" w:cstheme="majorHAnsi"/>
          <w:szCs w:val="20"/>
        </w:rPr>
        <w:t>Teaching diverse students for faculty</w:t>
      </w:r>
    </w:p>
    <w:p w:rsidR="00B8746D" w:rsidRPr="00E80636" w:rsidRDefault="00B8746D" w:rsidP="006C308E">
      <w:pPr>
        <w:pStyle w:val="ListParagraph"/>
        <w:numPr>
          <w:ilvl w:val="0"/>
          <w:numId w:val="58"/>
        </w:numPr>
        <w:autoSpaceDE w:val="0"/>
        <w:autoSpaceDN w:val="0"/>
        <w:adjustRightInd w:val="0"/>
        <w:rPr>
          <w:rFonts w:asciiTheme="majorHAnsi" w:hAnsiTheme="majorHAnsi" w:cstheme="majorHAnsi"/>
          <w:b/>
          <w:szCs w:val="20"/>
        </w:rPr>
      </w:pPr>
      <w:r w:rsidRPr="00E80636">
        <w:rPr>
          <w:rFonts w:asciiTheme="majorHAnsi" w:hAnsiTheme="majorHAnsi" w:cstheme="majorHAnsi"/>
          <w:szCs w:val="20"/>
        </w:rPr>
        <w:t>Teaching diverse students for teaching assistants</w:t>
      </w:r>
    </w:p>
    <w:p w:rsidR="00B8746D" w:rsidRPr="00E80636" w:rsidRDefault="00B8746D" w:rsidP="006C308E">
      <w:pPr>
        <w:pStyle w:val="ListParagraph"/>
        <w:numPr>
          <w:ilvl w:val="0"/>
          <w:numId w:val="58"/>
        </w:numPr>
        <w:autoSpaceDE w:val="0"/>
        <w:autoSpaceDN w:val="0"/>
        <w:adjustRightInd w:val="0"/>
        <w:rPr>
          <w:rFonts w:asciiTheme="majorHAnsi" w:hAnsiTheme="majorHAnsi" w:cstheme="majorHAnsi"/>
          <w:b/>
          <w:szCs w:val="20"/>
        </w:rPr>
      </w:pPr>
      <w:r w:rsidRPr="00E80636">
        <w:rPr>
          <w:rFonts w:asciiTheme="majorHAnsi" w:hAnsiTheme="majorHAnsi" w:cstheme="majorHAnsi"/>
          <w:szCs w:val="20"/>
        </w:rPr>
        <w:t xml:space="preserve">Teacher-to-teacher presentation: </w:t>
      </w:r>
      <w:r w:rsidRPr="00E80636">
        <w:rPr>
          <w:rFonts w:asciiTheme="majorHAnsi" w:hAnsiTheme="majorHAnsi" w:cstheme="majorHAnsi"/>
          <w:i/>
          <w:szCs w:val="20"/>
        </w:rPr>
        <w:t>UTH School of Public Health Climate Survey: What Did We Find Out and What Are the Next Steps?</w:t>
      </w:r>
    </w:p>
    <w:p w:rsidR="00B8746D" w:rsidRPr="00E80636" w:rsidRDefault="00B8746D" w:rsidP="006C308E">
      <w:pPr>
        <w:autoSpaceDE w:val="0"/>
        <w:autoSpaceDN w:val="0"/>
        <w:adjustRightInd w:val="0"/>
        <w:ind w:left="720"/>
        <w:rPr>
          <w:rFonts w:asciiTheme="majorHAnsi" w:hAnsiTheme="majorHAnsi" w:cstheme="majorHAnsi"/>
          <w:b/>
          <w:sz w:val="20"/>
          <w:szCs w:val="20"/>
        </w:rPr>
      </w:pPr>
    </w:p>
    <w:p w:rsidR="00B8746D" w:rsidRPr="00E80636" w:rsidRDefault="00B8746D" w:rsidP="006C308E">
      <w:pPr>
        <w:autoSpaceDE w:val="0"/>
        <w:autoSpaceDN w:val="0"/>
        <w:adjustRightInd w:val="0"/>
        <w:ind w:left="720"/>
        <w:rPr>
          <w:rFonts w:asciiTheme="majorHAnsi" w:hAnsiTheme="majorHAnsi" w:cstheme="majorHAnsi"/>
          <w:sz w:val="20"/>
          <w:szCs w:val="20"/>
        </w:rPr>
      </w:pPr>
      <w:r w:rsidRPr="00E80636">
        <w:rPr>
          <w:rFonts w:asciiTheme="majorHAnsi" w:hAnsiTheme="majorHAnsi" w:cstheme="majorHAnsi"/>
          <w:b/>
          <w:sz w:val="20"/>
          <w:szCs w:val="20"/>
        </w:rPr>
        <w:t xml:space="preserve">Student Organizations and Affinity Groups. </w:t>
      </w:r>
      <w:r w:rsidRPr="00E80636">
        <w:rPr>
          <w:rFonts w:asciiTheme="majorHAnsi" w:hAnsiTheme="majorHAnsi" w:cstheme="majorHAnsi"/>
          <w:sz w:val="20"/>
          <w:szCs w:val="20"/>
        </w:rPr>
        <w:t xml:space="preserve"> The UTHealth School of Public Health sponsors student organizations that focus on diversity and inclusion. The Student Association plans and hosts the annual SPH Diversity Fair. The outREACH organization is a student organization that promotes equity and inclusion for LGBTQ students, staff, and faculty at the school; it sponsors the UTHealth–coordinated involvement in Gay Pride Parade and sets up tables to educate the community on LGBTQ issues. The Global Health Society sponsors an annual potluck dinner and sets up tables to educate the community on global health issues.</w:t>
      </w:r>
    </w:p>
    <w:p w:rsidR="00DB5D2F" w:rsidRPr="00E80636" w:rsidRDefault="00DB5D2F" w:rsidP="006C308E">
      <w:pPr>
        <w:autoSpaceDE w:val="0"/>
        <w:autoSpaceDN w:val="0"/>
        <w:adjustRightInd w:val="0"/>
        <w:ind w:left="720"/>
        <w:rPr>
          <w:rFonts w:asciiTheme="majorHAnsi" w:hAnsiTheme="majorHAnsi" w:cstheme="majorHAnsi"/>
          <w:sz w:val="20"/>
          <w:szCs w:val="20"/>
        </w:rPr>
      </w:pPr>
    </w:p>
    <w:p w:rsidR="00933038" w:rsidRPr="00E80636" w:rsidRDefault="00933038" w:rsidP="006C308E">
      <w:pPr>
        <w:numPr>
          <w:ilvl w:val="0"/>
          <w:numId w:val="41"/>
        </w:numPr>
        <w:contextualSpacing/>
        <w:jc w:val="both"/>
        <w:rPr>
          <w:rFonts w:asciiTheme="majorHAnsi" w:hAnsiTheme="majorHAnsi" w:cstheme="majorHAnsi"/>
          <w:sz w:val="20"/>
          <w:szCs w:val="20"/>
        </w:rPr>
      </w:pPr>
      <w:r w:rsidRPr="00E80636">
        <w:rPr>
          <w:rFonts w:asciiTheme="majorHAnsi" w:hAnsiTheme="majorHAnsi" w:cstheme="majorHAnsi"/>
          <w:sz w:val="20"/>
          <w:szCs w:val="20"/>
        </w:rPr>
        <w:t xml:space="preserve">Provide quantitative and qualitative data that document the school’s approaches, successes and/or challenges in increasing representation and supporting persistence and ongoing success of the priority population(s) defined in documentation request 1. </w:t>
      </w:r>
    </w:p>
    <w:p w:rsidR="00933038" w:rsidRPr="00E80636" w:rsidRDefault="00933038" w:rsidP="006C308E">
      <w:pPr>
        <w:ind w:left="720"/>
        <w:contextualSpacing/>
        <w:jc w:val="both"/>
        <w:rPr>
          <w:rFonts w:asciiTheme="majorHAnsi" w:hAnsiTheme="majorHAnsi" w:cstheme="majorHAnsi"/>
          <w:sz w:val="20"/>
          <w:szCs w:val="20"/>
        </w:rPr>
      </w:pPr>
    </w:p>
    <w:p w:rsidR="00B8746D" w:rsidRPr="00E80636" w:rsidRDefault="00B8746D" w:rsidP="006C308E">
      <w:pPr>
        <w:autoSpaceDE w:val="0"/>
        <w:autoSpaceDN w:val="0"/>
        <w:adjustRightInd w:val="0"/>
        <w:ind w:left="720"/>
        <w:rPr>
          <w:rFonts w:asciiTheme="majorHAnsi" w:hAnsiTheme="majorHAnsi" w:cstheme="majorHAnsi"/>
          <w:sz w:val="20"/>
          <w:szCs w:val="20"/>
        </w:rPr>
      </w:pPr>
      <w:r w:rsidRPr="00E80636">
        <w:rPr>
          <w:rFonts w:asciiTheme="majorHAnsi" w:hAnsiTheme="majorHAnsi" w:cstheme="majorHAnsi"/>
          <w:sz w:val="20"/>
          <w:szCs w:val="20"/>
        </w:rPr>
        <w:t xml:space="preserve">Data on the UTHealth School of Public Health’s priority populations </w:t>
      </w:r>
      <w:r w:rsidR="004340AB">
        <w:rPr>
          <w:rFonts w:asciiTheme="majorHAnsi" w:hAnsiTheme="majorHAnsi" w:cstheme="majorHAnsi"/>
          <w:sz w:val="20"/>
          <w:szCs w:val="20"/>
        </w:rPr>
        <w:t>is available in the electronic resource file (</w:t>
      </w:r>
      <w:r w:rsidR="004340AB" w:rsidRPr="000F3751">
        <w:rPr>
          <w:rFonts w:asciiTheme="majorHAnsi" w:eastAsia="Arial" w:hAnsiTheme="majorHAnsi" w:cstheme="majorHAnsi"/>
          <w:i/>
          <w:sz w:val="20"/>
          <w:szCs w:val="20"/>
        </w:rPr>
        <w:t>ERF,</w:t>
      </w:r>
      <w:r w:rsidR="004340AB">
        <w:rPr>
          <w:rFonts w:asciiTheme="majorHAnsi" w:eastAsia="Arial" w:hAnsiTheme="majorHAnsi" w:cstheme="majorHAnsi"/>
          <w:i/>
          <w:sz w:val="20"/>
          <w:szCs w:val="20"/>
        </w:rPr>
        <w:t xml:space="preserve"> Criteria G,</w:t>
      </w:r>
      <w:r w:rsidR="004340AB" w:rsidRPr="00EC4E5E">
        <w:t xml:space="preserve"> </w:t>
      </w:r>
      <w:r w:rsidR="004340AB" w:rsidRPr="00EC4E5E">
        <w:rPr>
          <w:rFonts w:asciiTheme="majorHAnsi" w:eastAsia="Arial" w:hAnsiTheme="majorHAnsi" w:cstheme="majorHAnsi"/>
          <w:i/>
          <w:sz w:val="20"/>
          <w:szCs w:val="20"/>
        </w:rPr>
        <w:t>Extended Data Tables for Criterion G1</w:t>
      </w:r>
      <w:r w:rsidR="004340AB">
        <w:rPr>
          <w:rFonts w:asciiTheme="majorHAnsi" w:eastAsia="Arial" w:hAnsiTheme="majorHAnsi" w:cstheme="majorHAnsi"/>
          <w:i/>
          <w:sz w:val="20"/>
          <w:szCs w:val="20"/>
        </w:rPr>
        <w:t>,</w:t>
      </w:r>
      <w:r w:rsidR="004340AB" w:rsidRPr="000F3751">
        <w:rPr>
          <w:rFonts w:asciiTheme="majorHAnsi" w:eastAsia="Arial" w:hAnsiTheme="majorHAnsi" w:cstheme="majorHAnsi"/>
          <w:i/>
          <w:sz w:val="20"/>
          <w:szCs w:val="20"/>
        </w:rPr>
        <w:t xml:space="preserve"> </w:t>
      </w:r>
      <w:r w:rsidRPr="0074345B">
        <w:rPr>
          <w:rFonts w:asciiTheme="majorHAnsi" w:hAnsiTheme="majorHAnsi" w:cstheme="majorHAnsi"/>
          <w:i/>
          <w:sz w:val="20"/>
          <w:szCs w:val="20"/>
        </w:rPr>
        <w:t>Tables G</w:t>
      </w:r>
      <w:r w:rsidR="00CB16DB" w:rsidRPr="0074345B">
        <w:rPr>
          <w:rFonts w:asciiTheme="majorHAnsi" w:hAnsiTheme="majorHAnsi" w:cstheme="majorHAnsi"/>
          <w:i/>
          <w:sz w:val="20"/>
          <w:szCs w:val="20"/>
        </w:rPr>
        <w:t>.</w:t>
      </w:r>
      <w:r w:rsidRPr="0074345B">
        <w:rPr>
          <w:rFonts w:asciiTheme="majorHAnsi" w:hAnsiTheme="majorHAnsi" w:cstheme="majorHAnsi"/>
          <w:i/>
          <w:sz w:val="20"/>
          <w:szCs w:val="20"/>
        </w:rPr>
        <w:t>5.1</w:t>
      </w:r>
      <w:r w:rsidR="00CB16DB" w:rsidRPr="0074345B">
        <w:rPr>
          <w:rFonts w:asciiTheme="majorHAnsi" w:hAnsiTheme="majorHAnsi" w:cstheme="majorHAnsi"/>
          <w:i/>
          <w:sz w:val="20"/>
          <w:szCs w:val="20"/>
        </w:rPr>
        <w:t>.</w:t>
      </w:r>
      <w:r w:rsidRPr="0074345B">
        <w:rPr>
          <w:rFonts w:asciiTheme="majorHAnsi" w:hAnsiTheme="majorHAnsi" w:cstheme="majorHAnsi"/>
          <w:i/>
          <w:sz w:val="20"/>
          <w:szCs w:val="20"/>
        </w:rPr>
        <w:t>, G</w:t>
      </w:r>
      <w:r w:rsidR="00CB16DB" w:rsidRPr="0074345B">
        <w:rPr>
          <w:rFonts w:asciiTheme="majorHAnsi" w:hAnsiTheme="majorHAnsi" w:cstheme="majorHAnsi"/>
          <w:i/>
          <w:sz w:val="20"/>
          <w:szCs w:val="20"/>
        </w:rPr>
        <w:t>.</w:t>
      </w:r>
      <w:r w:rsidRPr="0074345B">
        <w:rPr>
          <w:rFonts w:asciiTheme="majorHAnsi" w:hAnsiTheme="majorHAnsi" w:cstheme="majorHAnsi"/>
          <w:i/>
          <w:sz w:val="20"/>
          <w:szCs w:val="20"/>
        </w:rPr>
        <w:t>5.2</w:t>
      </w:r>
      <w:r w:rsidR="00CB16DB" w:rsidRPr="0074345B">
        <w:rPr>
          <w:rFonts w:asciiTheme="majorHAnsi" w:hAnsiTheme="majorHAnsi" w:cstheme="majorHAnsi"/>
          <w:i/>
          <w:sz w:val="20"/>
          <w:szCs w:val="20"/>
        </w:rPr>
        <w:t>.</w:t>
      </w:r>
      <w:r w:rsidRPr="0074345B">
        <w:rPr>
          <w:rFonts w:asciiTheme="majorHAnsi" w:hAnsiTheme="majorHAnsi" w:cstheme="majorHAnsi"/>
          <w:i/>
          <w:sz w:val="20"/>
          <w:szCs w:val="20"/>
        </w:rPr>
        <w:t>, G</w:t>
      </w:r>
      <w:r w:rsidR="00CB16DB" w:rsidRPr="0074345B">
        <w:rPr>
          <w:rFonts w:asciiTheme="majorHAnsi" w:hAnsiTheme="majorHAnsi" w:cstheme="majorHAnsi"/>
          <w:i/>
          <w:sz w:val="20"/>
          <w:szCs w:val="20"/>
        </w:rPr>
        <w:t>.</w:t>
      </w:r>
      <w:r w:rsidRPr="0074345B">
        <w:rPr>
          <w:rFonts w:asciiTheme="majorHAnsi" w:hAnsiTheme="majorHAnsi" w:cstheme="majorHAnsi"/>
          <w:i/>
          <w:sz w:val="20"/>
          <w:szCs w:val="20"/>
        </w:rPr>
        <w:t>5.3</w:t>
      </w:r>
      <w:r w:rsidR="00CB16DB" w:rsidRPr="0074345B">
        <w:rPr>
          <w:rFonts w:asciiTheme="majorHAnsi" w:hAnsiTheme="majorHAnsi" w:cstheme="majorHAnsi"/>
          <w:i/>
          <w:sz w:val="20"/>
          <w:szCs w:val="20"/>
        </w:rPr>
        <w:t>.</w:t>
      </w:r>
      <w:r w:rsidRPr="0074345B">
        <w:rPr>
          <w:rFonts w:asciiTheme="majorHAnsi" w:hAnsiTheme="majorHAnsi" w:cstheme="majorHAnsi"/>
          <w:i/>
          <w:sz w:val="20"/>
          <w:szCs w:val="20"/>
        </w:rPr>
        <w:t>, and G</w:t>
      </w:r>
      <w:r w:rsidR="00CB16DB" w:rsidRPr="0074345B">
        <w:rPr>
          <w:rFonts w:asciiTheme="majorHAnsi" w:hAnsiTheme="majorHAnsi" w:cstheme="majorHAnsi"/>
          <w:i/>
          <w:sz w:val="20"/>
          <w:szCs w:val="20"/>
        </w:rPr>
        <w:t>.</w:t>
      </w:r>
      <w:r w:rsidRPr="0074345B">
        <w:rPr>
          <w:rFonts w:asciiTheme="majorHAnsi" w:hAnsiTheme="majorHAnsi" w:cstheme="majorHAnsi"/>
          <w:i/>
          <w:sz w:val="20"/>
          <w:szCs w:val="20"/>
        </w:rPr>
        <w:t>5.4</w:t>
      </w:r>
      <w:r w:rsidRPr="00E80636">
        <w:rPr>
          <w:rFonts w:asciiTheme="majorHAnsi" w:hAnsiTheme="majorHAnsi" w:cstheme="majorHAnsi"/>
          <w:sz w:val="20"/>
          <w:szCs w:val="20"/>
        </w:rPr>
        <w:t>.</w:t>
      </w:r>
      <w:r w:rsidR="004340AB">
        <w:rPr>
          <w:rFonts w:asciiTheme="majorHAnsi" w:hAnsiTheme="majorHAnsi" w:cstheme="majorHAnsi"/>
          <w:sz w:val="20"/>
          <w:szCs w:val="20"/>
        </w:rPr>
        <w:t>).</w:t>
      </w:r>
      <w:r w:rsidRPr="00E80636">
        <w:rPr>
          <w:rFonts w:asciiTheme="majorHAnsi" w:hAnsiTheme="majorHAnsi" w:cstheme="majorHAnsi"/>
          <w:sz w:val="20"/>
          <w:szCs w:val="20"/>
        </w:rPr>
        <w:t xml:space="preserve"> Since 2010, the number of Hispanic/Latino applicants and acceptances has doubled, but the number of Black or African-American applicants has decreased slightly and the number of Black or African-American acceptances has decreased by 20%. Since 2010, the enrollment of Hispanic/Latino students has increased by 50%, but the enrollment of Black or African-American students has decreased by 20%.  The number of FTEs for Hispanic/Latino faculty and Black or African-American faculty has remained stable since 2010. Over the past 10 years, the proportion of Black or African-American faculty has doubled. </w:t>
      </w:r>
    </w:p>
    <w:p w:rsidR="00B8746D" w:rsidRPr="00E80636" w:rsidRDefault="00B8746D" w:rsidP="006C308E">
      <w:pPr>
        <w:autoSpaceDE w:val="0"/>
        <w:autoSpaceDN w:val="0"/>
        <w:adjustRightInd w:val="0"/>
        <w:ind w:left="720"/>
        <w:rPr>
          <w:rFonts w:asciiTheme="majorHAnsi" w:hAnsiTheme="majorHAnsi" w:cstheme="majorHAnsi"/>
          <w:sz w:val="20"/>
          <w:szCs w:val="20"/>
        </w:rPr>
      </w:pPr>
    </w:p>
    <w:p w:rsidR="00B8746D" w:rsidRPr="00E80636" w:rsidRDefault="00B8746D" w:rsidP="006C308E">
      <w:pPr>
        <w:autoSpaceDE w:val="0"/>
        <w:autoSpaceDN w:val="0"/>
        <w:adjustRightInd w:val="0"/>
        <w:ind w:left="720"/>
        <w:rPr>
          <w:rFonts w:asciiTheme="majorHAnsi" w:hAnsiTheme="majorHAnsi" w:cstheme="majorHAnsi"/>
          <w:sz w:val="20"/>
          <w:szCs w:val="20"/>
        </w:rPr>
      </w:pPr>
      <w:bookmarkStart w:id="152" w:name="tableg51"/>
      <w:r w:rsidRPr="00E80636">
        <w:rPr>
          <w:rFonts w:asciiTheme="majorHAnsi" w:hAnsiTheme="majorHAnsi" w:cstheme="majorHAnsi"/>
          <w:sz w:val="20"/>
          <w:szCs w:val="20"/>
        </w:rPr>
        <w:t>Table G</w:t>
      </w:r>
      <w:r w:rsidR="00CB16DB" w:rsidRPr="00E80636">
        <w:rPr>
          <w:rFonts w:asciiTheme="majorHAnsi" w:hAnsiTheme="majorHAnsi" w:cstheme="majorHAnsi"/>
          <w:sz w:val="20"/>
          <w:szCs w:val="20"/>
        </w:rPr>
        <w:t>.</w:t>
      </w:r>
      <w:r w:rsidRPr="00E80636">
        <w:rPr>
          <w:rFonts w:asciiTheme="majorHAnsi" w:hAnsiTheme="majorHAnsi" w:cstheme="majorHAnsi"/>
          <w:sz w:val="20"/>
          <w:szCs w:val="20"/>
        </w:rPr>
        <w:t>5.1</w:t>
      </w:r>
      <w:r w:rsidR="00CB16DB" w:rsidRPr="00E80636">
        <w:rPr>
          <w:rFonts w:asciiTheme="majorHAnsi" w:hAnsiTheme="majorHAnsi" w:cstheme="majorHAnsi"/>
          <w:sz w:val="20"/>
          <w:szCs w:val="20"/>
        </w:rPr>
        <w:t>.</w:t>
      </w:r>
      <w:r w:rsidRPr="00E80636">
        <w:rPr>
          <w:rFonts w:asciiTheme="majorHAnsi" w:hAnsiTheme="majorHAnsi" w:cstheme="majorHAnsi"/>
          <w:sz w:val="20"/>
          <w:szCs w:val="20"/>
        </w:rPr>
        <w:t xml:space="preserve"> </w:t>
      </w:r>
      <w:bookmarkEnd w:id="152"/>
      <w:r w:rsidRPr="00E80636">
        <w:rPr>
          <w:rFonts w:asciiTheme="majorHAnsi" w:hAnsiTheme="majorHAnsi" w:cstheme="majorHAnsi"/>
          <w:sz w:val="20"/>
          <w:szCs w:val="20"/>
        </w:rPr>
        <w:t>Racial/Ethnicity Applications of Domestic Applicants by Year</w:t>
      </w:r>
    </w:p>
    <w:tbl>
      <w:tblPr>
        <w:tblW w:w="8730"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30"/>
        <w:gridCol w:w="830"/>
        <w:gridCol w:w="830"/>
        <w:gridCol w:w="830"/>
        <w:gridCol w:w="830"/>
        <w:gridCol w:w="830"/>
        <w:gridCol w:w="830"/>
        <w:gridCol w:w="622"/>
        <w:gridCol w:w="742"/>
      </w:tblGrid>
      <w:tr w:rsidR="00BA5707" w:rsidRPr="00743A41" w:rsidTr="00321053">
        <w:trPr>
          <w:trHeight w:val="307"/>
        </w:trPr>
        <w:tc>
          <w:tcPr>
            <w:tcW w:w="1556" w:type="dxa"/>
            <w:shd w:val="clear" w:color="auto" w:fill="D9D9D9" w:themeFill="background1" w:themeFillShade="D9"/>
            <w:noWrap/>
            <w:vAlign w:val="center"/>
            <w:hideMark/>
          </w:tcPr>
          <w:p w:rsidR="00BA5707" w:rsidRPr="00E80636" w:rsidRDefault="00BA5707"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Applicants</w:t>
            </w:r>
          </w:p>
        </w:tc>
        <w:tc>
          <w:tcPr>
            <w:tcW w:w="830" w:type="dxa"/>
            <w:shd w:val="clear" w:color="auto" w:fill="D9D9D9" w:themeFill="background1" w:themeFillShade="D9"/>
            <w:noWrap/>
            <w:vAlign w:val="center"/>
            <w:hideMark/>
          </w:tcPr>
          <w:p w:rsidR="00BA5707" w:rsidRPr="00E80636" w:rsidRDefault="00BA5707"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2010</w:t>
            </w:r>
          </w:p>
        </w:tc>
        <w:tc>
          <w:tcPr>
            <w:tcW w:w="830" w:type="dxa"/>
            <w:shd w:val="clear" w:color="auto" w:fill="D9D9D9" w:themeFill="background1" w:themeFillShade="D9"/>
            <w:noWrap/>
            <w:vAlign w:val="center"/>
            <w:hideMark/>
          </w:tcPr>
          <w:p w:rsidR="00BA5707" w:rsidRPr="00E80636" w:rsidRDefault="00BA5707"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2011</w:t>
            </w:r>
          </w:p>
        </w:tc>
        <w:tc>
          <w:tcPr>
            <w:tcW w:w="830" w:type="dxa"/>
            <w:shd w:val="clear" w:color="auto" w:fill="D9D9D9" w:themeFill="background1" w:themeFillShade="D9"/>
            <w:noWrap/>
            <w:vAlign w:val="center"/>
            <w:hideMark/>
          </w:tcPr>
          <w:p w:rsidR="00BA5707" w:rsidRPr="00E80636" w:rsidRDefault="00BA5707"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2012</w:t>
            </w:r>
          </w:p>
        </w:tc>
        <w:tc>
          <w:tcPr>
            <w:tcW w:w="830" w:type="dxa"/>
            <w:shd w:val="clear" w:color="auto" w:fill="D9D9D9" w:themeFill="background1" w:themeFillShade="D9"/>
            <w:noWrap/>
            <w:vAlign w:val="center"/>
            <w:hideMark/>
          </w:tcPr>
          <w:p w:rsidR="00BA5707" w:rsidRPr="00E80636" w:rsidRDefault="00BA5707"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2013</w:t>
            </w:r>
          </w:p>
        </w:tc>
        <w:tc>
          <w:tcPr>
            <w:tcW w:w="830" w:type="dxa"/>
            <w:shd w:val="clear" w:color="auto" w:fill="D9D9D9" w:themeFill="background1" w:themeFillShade="D9"/>
            <w:noWrap/>
            <w:vAlign w:val="center"/>
            <w:hideMark/>
          </w:tcPr>
          <w:p w:rsidR="00BA5707" w:rsidRPr="00E80636" w:rsidRDefault="00BA5707"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2014</w:t>
            </w:r>
          </w:p>
        </w:tc>
        <w:tc>
          <w:tcPr>
            <w:tcW w:w="830" w:type="dxa"/>
            <w:shd w:val="clear" w:color="auto" w:fill="D9D9D9" w:themeFill="background1" w:themeFillShade="D9"/>
            <w:noWrap/>
            <w:vAlign w:val="center"/>
            <w:hideMark/>
          </w:tcPr>
          <w:p w:rsidR="00BA5707" w:rsidRPr="00E80636" w:rsidRDefault="00BA5707"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2015</w:t>
            </w:r>
          </w:p>
        </w:tc>
        <w:tc>
          <w:tcPr>
            <w:tcW w:w="830" w:type="dxa"/>
            <w:shd w:val="clear" w:color="auto" w:fill="D9D9D9" w:themeFill="background1" w:themeFillShade="D9"/>
            <w:noWrap/>
            <w:vAlign w:val="center"/>
            <w:hideMark/>
          </w:tcPr>
          <w:p w:rsidR="00BA5707" w:rsidRPr="00E80636" w:rsidRDefault="00BA5707"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2016</w:t>
            </w:r>
          </w:p>
        </w:tc>
        <w:tc>
          <w:tcPr>
            <w:tcW w:w="622" w:type="dxa"/>
            <w:shd w:val="clear" w:color="auto" w:fill="D9D9D9" w:themeFill="background1" w:themeFillShade="D9"/>
            <w:noWrap/>
            <w:vAlign w:val="center"/>
            <w:hideMark/>
          </w:tcPr>
          <w:p w:rsidR="00BA5707" w:rsidRPr="00E80636" w:rsidRDefault="00BA5707"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2017</w:t>
            </w:r>
          </w:p>
        </w:tc>
        <w:tc>
          <w:tcPr>
            <w:tcW w:w="742" w:type="dxa"/>
            <w:shd w:val="clear" w:color="auto" w:fill="D9D9D9" w:themeFill="background1" w:themeFillShade="D9"/>
            <w:noWrap/>
            <w:vAlign w:val="center"/>
            <w:hideMark/>
          </w:tcPr>
          <w:p w:rsidR="00BA5707" w:rsidRPr="00E80636" w:rsidRDefault="00BA5707"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2018</w:t>
            </w:r>
          </w:p>
        </w:tc>
      </w:tr>
      <w:tr w:rsidR="00BA5707" w:rsidRPr="00743A41" w:rsidTr="00321053">
        <w:trPr>
          <w:trHeight w:val="307"/>
        </w:trPr>
        <w:tc>
          <w:tcPr>
            <w:tcW w:w="1556" w:type="dxa"/>
            <w:shd w:val="clear" w:color="auto" w:fill="auto"/>
            <w:noWrap/>
            <w:vAlign w:val="center"/>
            <w:hideMark/>
          </w:tcPr>
          <w:p w:rsidR="00BA5707" w:rsidRPr="00E80636" w:rsidRDefault="00BA5707" w:rsidP="006C308E">
            <w:pP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Hispanic/Latino</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9%</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5%</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12%</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13%</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17%</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18%</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15%</w:t>
            </w:r>
          </w:p>
        </w:tc>
        <w:tc>
          <w:tcPr>
            <w:tcW w:w="622"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16%</w:t>
            </w:r>
          </w:p>
        </w:tc>
        <w:tc>
          <w:tcPr>
            <w:tcW w:w="742"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19%</w:t>
            </w:r>
          </w:p>
        </w:tc>
      </w:tr>
      <w:tr w:rsidR="00BA5707" w:rsidRPr="00743A41" w:rsidTr="00321053">
        <w:trPr>
          <w:trHeight w:val="307"/>
        </w:trPr>
        <w:tc>
          <w:tcPr>
            <w:tcW w:w="1556" w:type="dxa"/>
            <w:shd w:val="clear" w:color="auto" w:fill="auto"/>
            <w:noWrap/>
            <w:vAlign w:val="center"/>
            <w:hideMark/>
          </w:tcPr>
          <w:p w:rsidR="00BA5707" w:rsidRPr="00E80636" w:rsidRDefault="00BA5707" w:rsidP="006C308E">
            <w:pP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Asian</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19%</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19%</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15%</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13%</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16%</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19%</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23%</w:t>
            </w:r>
          </w:p>
        </w:tc>
        <w:tc>
          <w:tcPr>
            <w:tcW w:w="622"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19%</w:t>
            </w:r>
          </w:p>
        </w:tc>
        <w:tc>
          <w:tcPr>
            <w:tcW w:w="742"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18%</w:t>
            </w:r>
          </w:p>
        </w:tc>
      </w:tr>
      <w:tr w:rsidR="00BA5707" w:rsidRPr="00743A41" w:rsidTr="00321053">
        <w:trPr>
          <w:trHeight w:val="307"/>
        </w:trPr>
        <w:tc>
          <w:tcPr>
            <w:tcW w:w="1556" w:type="dxa"/>
            <w:shd w:val="clear" w:color="auto" w:fill="auto"/>
            <w:noWrap/>
            <w:vAlign w:val="center"/>
            <w:hideMark/>
          </w:tcPr>
          <w:p w:rsidR="00BA5707" w:rsidRPr="00E80636" w:rsidRDefault="00BA5707" w:rsidP="006C308E">
            <w:pP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Black or African-American</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20%</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16%</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13%</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14%</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16%</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18%</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19%</w:t>
            </w:r>
          </w:p>
        </w:tc>
        <w:tc>
          <w:tcPr>
            <w:tcW w:w="622"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18%</w:t>
            </w:r>
          </w:p>
        </w:tc>
        <w:tc>
          <w:tcPr>
            <w:tcW w:w="742"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17%</w:t>
            </w:r>
          </w:p>
        </w:tc>
      </w:tr>
      <w:tr w:rsidR="00BA5707" w:rsidRPr="00743A41" w:rsidTr="00321053">
        <w:trPr>
          <w:trHeight w:val="307"/>
        </w:trPr>
        <w:tc>
          <w:tcPr>
            <w:tcW w:w="1556" w:type="dxa"/>
            <w:shd w:val="clear" w:color="auto" w:fill="auto"/>
            <w:noWrap/>
            <w:vAlign w:val="center"/>
            <w:hideMark/>
          </w:tcPr>
          <w:p w:rsidR="00BA5707" w:rsidRPr="00E80636" w:rsidRDefault="00BA5707" w:rsidP="006C308E">
            <w:pP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White</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45%</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40%</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38%</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35%</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38%</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34%</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19%</w:t>
            </w:r>
          </w:p>
        </w:tc>
        <w:tc>
          <w:tcPr>
            <w:tcW w:w="622"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37%</w:t>
            </w:r>
          </w:p>
        </w:tc>
        <w:tc>
          <w:tcPr>
            <w:tcW w:w="742"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34%</w:t>
            </w:r>
          </w:p>
        </w:tc>
      </w:tr>
      <w:tr w:rsidR="00BA5707" w:rsidRPr="00743A41" w:rsidTr="00321053">
        <w:trPr>
          <w:trHeight w:val="307"/>
        </w:trPr>
        <w:tc>
          <w:tcPr>
            <w:tcW w:w="1556" w:type="dxa"/>
            <w:shd w:val="clear" w:color="auto" w:fill="auto"/>
            <w:noWrap/>
            <w:vAlign w:val="center"/>
          </w:tcPr>
          <w:p w:rsidR="00BA5707" w:rsidRPr="00E80636" w:rsidRDefault="00BA5707" w:rsidP="006C308E">
            <w:pP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Other</w:t>
            </w:r>
          </w:p>
        </w:tc>
        <w:tc>
          <w:tcPr>
            <w:tcW w:w="830" w:type="dxa"/>
            <w:shd w:val="clear" w:color="auto" w:fill="auto"/>
            <w:noWrap/>
            <w:vAlign w:val="center"/>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7%</w:t>
            </w:r>
          </w:p>
        </w:tc>
        <w:tc>
          <w:tcPr>
            <w:tcW w:w="830" w:type="dxa"/>
            <w:shd w:val="clear" w:color="auto" w:fill="auto"/>
            <w:noWrap/>
            <w:vAlign w:val="center"/>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20%</w:t>
            </w:r>
          </w:p>
        </w:tc>
        <w:tc>
          <w:tcPr>
            <w:tcW w:w="830" w:type="dxa"/>
            <w:shd w:val="clear" w:color="auto" w:fill="auto"/>
            <w:noWrap/>
            <w:vAlign w:val="center"/>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22%</w:t>
            </w:r>
          </w:p>
        </w:tc>
        <w:tc>
          <w:tcPr>
            <w:tcW w:w="830" w:type="dxa"/>
            <w:shd w:val="clear" w:color="auto" w:fill="auto"/>
            <w:noWrap/>
            <w:vAlign w:val="center"/>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25%</w:t>
            </w:r>
          </w:p>
        </w:tc>
        <w:tc>
          <w:tcPr>
            <w:tcW w:w="830" w:type="dxa"/>
            <w:shd w:val="clear" w:color="auto" w:fill="auto"/>
            <w:noWrap/>
            <w:vAlign w:val="center"/>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13%</w:t>
            </w:r>
          </w:p>
        </w:tc>
        <w:tc>
          <w:tcPr>
            <w:tcW w:w="830" w:type="dxa"/>
            <w:shd w:val="clear" w:color="auto" w:fill="auto"/>
            <w:noWrap/>
            <w:vAlign w:val="center"/>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11%</w:t>
            </w:r>
          </w:p>
        </w:tc>
        <w:tc>
          <w:tcPr>
            <w:tcW w:w="830" w:type="dxa"/>
            <w:shd w:val="clear" w:color="auto" w:fill="auto"/>
            <w:noWrap/>
            <w:vAlign w:val="center"/>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24%</w:t>
            </w:r>
          </w:p>
        </w:tc>
        <w:tc>
          <w:tcPr>
            <w:tcW w:w="622" w:type="dxa"/>
            <w:shd w:val="clear" w:color="auto" w:fill="auto"/>
            <w:noWrap/>
            <w:vAlign w:val="center"/>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10%</w:t>
            </w:r>
          </w:p>
        </w:tc>
        <w:tc>
          <w:tcPr>
            <w:tcW w:w="742" w:type="dxa"/>
            <w:shd w:val="clear" w:color="auto" w:fill="auto"/>
            <w:noWrap/>
            <w:vAlign w:val="center"/>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12%</w:t>
            </w:r>
          </w:p>
        </w:tc>
      </w:tr>
    </w:tbl>
    <w:p w:rsidR="00BA5707" w:rsidRPr="00E80636" w:rsidRDefault="00BA5707" w:rsidP="006C308E">
      <w:pPr>
        <w:autoSpaceDE w:val="0"/>
        <w:autoSpaceDN w:val="0"/>
        <w:adjustRightInd w:val="0"/>
        <w:ind w:left="720"/>
        <w:rPr>
          <w:rFonts w:asciiTheme="majorHAnsi" w:hAnsiTheme="majorHAnsi" w:cstheme="majorHAnsi"/>
          <w:sz w:val="20"/>
          <w:szCs w:val="20"/>
        </w:rPr>
      </w:pPr>
    </w:p>
    <w:p w:rsidR="00BA5707" w:rsidRPr="00E80636" w:rsidRDefault="00B8746D" w:rsidP="006C308E">
      <w:pPr>
        <w:autoSpaceDE w:val="0"/>
        <w:autoSpaceDN w:val="0"/>
        <w:adjustRightInd w:val="0"/>
        <w:ind w:left="720"/>
        <w:rPr>
          <w:rFonts w:asciiTheme="majorHAnsi" w:hAnsiTheme="majorHAnsi" w:cstheme="majorHAnsi"/>
          <w:sz w:val="20"/>
          <w:szCs w:val="20"/>
        </w:rPr>
      </w:pPr>
      <w:r w:rsidRPr="00E80636">
        <w:rPr>
          <w:rFonts w:asciiTheme="majorHAnsi" w:hAnsiTheme="majorHAnsi" w:cstheme="majorHAnsi"/>
          <w:sz w:val="20"/>
          <w:szCs w:val="20"/>
        </w:rPr>
        <w:t>Table G</w:t>
      </w:r>
      <w:r w:rsidR="00CB16DB" w:rsidRPr="00E80636">
        <w:rPr>
          <w:rFonts w:asciiTheme="majorHAnsi" w:hAnsiTheme="majorHAnsi" w:cstheme="majorHAnsi"/>
          <w:sz w:val="20"/>
          <w:szCs w:val="20"/>
        </w:rPr>
        <w:t>.</w:t>
      </w:r>
      <w:r w:rsidRPr="00E80636">
        <w:rPr>
          <w:rFonts w:asciiTheme="majorHAnsi" w:hAnsiTheme="majorHAnsi" w:cstheme="majorHAnsi"/>
          <w:sz w:val="20"/>
          <w:szCs w:val="20"/>
        </w:rPr>
        <w:t>5.2</w:t>
      </w:r>
      <w:r w:rsidR="00CB16DB" w:rsidRPr="00E80636">
        <w:rPr>
          <w:rFonts w:asciiTheme="majorHAnsi" w:hAnsiTheme="majorHAnsi" w:cstheme="majorHAnsi"/>
          <w:sz w:val="20"/>
          <w:szCs w:val="20"/>
        </w:rPr>
        <w:t>.</w:t>
      </w:r>
      <w:r w:rsidRPr="00E80636">
        <w:rPr>
          <w:rFonts w:asciiTheme="majorHAnsi" w:hAnsiTheme="majorHAnsi" w:cstheme="majorHAnsi"/>
          <w:sz w:val="20"/>
          <w:szCs w:val="20"/>
        </w:rPr>
        <w:t xml:space="preserve"> Racial/Ethnicity Acceptance Rate of Domestic Applicants by Year</w:t>
      </w:r>
    </w:p>
    <w:tbl>
      <w:tblPr>
        <w:tblW w:w="8730"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30"/>
        <w:gridCol w:w="830"/>
        <w:gridCol w:w="830"/>
        <w:gridCol w:w="830"/>
        <w:gridCol w:w="830"/>
        <w:gridCol w:w="830"/>
        <w:gridCol w:w="830"/>
        <w:gridCol w:w="622"/>
        <w:gridCol w:w="742"/>
      </w:tblGrid>
      <w:tr w:rsidR="00BA5707" w:rsidRPr="00743A41" w:rsidTr="00321053">
        <w:trPr>
          <w:trHeight w:val="307"/>
        </w:trPr>
        <w:tc>
          <w:tcPr>
            <w:tcW w:w="1556" w:type="dxa"/>
            <w:shd w:val="clear" w:color="auto" w:fill="D9D9D9" w:themeFill="background1" w:themeFillShade="D9"/>
            <w:noWrap/>
            <w:vAlign w:val="center"/>
            <w:hideMark/>
          </w:tcPr>
          <w:p w:rsidR="00BA5707" w:rsidRPr="00E80636" w:rsidRDefault="00BA5707"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Applicants</w:t>
            </w:r>
          </w:p>
        </w:tc>
        <w:tc>
          <w:tcPr>
            <w:tcW w:w="830" w:type="dxa"/>
            <w:shd w:val="clear" w:color="auto" w:fill="D9D9D9" w:themeFill="background1" w:themeFillShade="D9"/>
            <w:noWrap/>
            <w:vAlign w:val="center"/>
            <w:hideMark/>
          </w:tcPr>
          <w:p w:rsidR="00BA5707" w:rsidRPr="00E80636" w:rsidRDefault="00BA5707"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2010</w:t>
            </w:r>
          </w:p>
        </w:tc>
        <w:tc>
          <w:tcPr>
            <w:tcW w:w="830" w:type="dxa"/>
            <w:shd w:val="clear" w:color="auto" w:fill="D9D9D9" w:themeFill="background1" w:themeFillShade="D9"/>
            <w:noWrap/>
            <w:vAlign w:val="center"/>
            <w:hideMark/>
          </w:tcPr>
          <w:p w:rsidR="00BA5707" w:rsidRPr="00E80636" w:rsidRDefault="00BA5707"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2011</w:t>
            </w:r>
          </w:p>
        </w:tc>
        <w:tc>
          <w:tcPr>
            <w:tcW w:w="830" w:type="dxa"/>
            <w:shd w:val="clear" w:color="auto" w:fill="D9D9D9" w:themeFill="background1" w:themeFillShade="D9"/>
            <w:noWrap/>
            <w:vAlign w:val="center"/>
            <w:hideMark/>
          </w:tcPr>
          <w:p w:rsidR="00BA5707" w:rsidRPr="00E80636" w:rsidRDefault="00BA5707"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2012</w:t>
            </w:r>
          </w:p>
        </w:tc>
        <w:tc>
          <w:tcPr>
            <w:tcW w:w="830" w:type="dxa"/>
            <w:shd w:val="clear" w:color="auto" w:fill="D9D9D9" w:themeFill="background1" w:themeFillShade="D9"/>
            <w:noWrap/>
            <w:vAlign w:val="center"/>
            <w:hideMark/>
          </w:tcPr>
          <w:p w:rsidR="00BA5707" w:rsidRPr="00E80636" w:rsidRDefault="00BA5707"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2013</w:t>
            </w:r>
          </w:p>
        </w:tc>
        <w:tc>
          <w:tcPr>
            <w:tcW w:w="830" w:type="dxa"/>
            <w:shd w:val="clear" w:color="auto" w:fill="D9D9D9" w:themeFill="background1" w:themeFillShade="D9"/>
            <w:noWrap/>
            <w:vAlign w:val="center"/>
            <w:hideMark/>
          </w:tcPr>
          <w:p w:rsidR="00BA5707" w:rsidRPr="00E80636" w:rsidRDefault="00BA5707"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2014</w:t>
            </w:r>
          </w:p>
        </w:tc>
        <w:tc>
          <w:tcPr>
            <w:tcW w:w="830" w:type="dxa"/>
            <w:shd w:val="clear" w:color="auto" w:fill="D9D9D9" w:themeFill="background1" w:themeFillShade="D9"/>
            <w:noWrap/>
            <w:vAlign w:val="center"/>
            <w:hideMark/>
          </w:tcPr>
          <w:p w:rsidR="00BA5707" w:rsidRPr="00E80636" w:rsidRDefault="00BA5707"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2015</w:t>
            </w:r>
          </w:p>
        </w:tc>
        <w:tc>
          <w:tcPr>
            <w:tcW w:w="830" w:type="dxa"/>
            <w:shd w:val="clear" w:color="auto" w:fill="D9D9D9" w:themeFill="background1" w:themeFillShade="D9"/>
            <w:noWrap/>
            <w:vAlign w:val="center"/>
            <w:hideMark/>
          </w:tcPr>
          <w:p w:rsidR="00BA5707" w:rsidRPr="00E80636" w:rsidRDefault="00BA5707"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2016</w:t>
            </w:r>
          </w:p>
        </w:tc>
        <w:tc>
          <w:tcPr>
            <w:tcW w:w="622" w:type="dxa"/>
            <w:shd w:val="clear" w:color="auto" w:fill="D9D9D9" w:themeFill="background1" w:themeFillShade="D9"/>
            <w:noWrap/>
            <w:vAlign w:val="center"/>
            <w:hideMark/>
          </w:tcPr>
          <w:p w:rsidR="00BA5707" w:rsidRPr="00E80636" w:rsidRDefault="00BA5707"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2017</w:t>
            </w:r>
          </w:p>
        </w:tc>
        <w:tc>
          <w:tcPr>
            <w:tcW w:w="742" w:type="dxa"/>
            <w:shd w:val="clear" w:color="auto" w:fill="D9D9D9" w:themeFill="background1" w:themeFillShade="D9"/>
            <w:noWrap/>
            <w:vAlign w:val="center"/>
            <w:hideMark/>
          </w:tcPr>
          <w:p w:rsidR="00BA5707" w:rsidRPr="00E80636" w:rsidRDefault="00BA5707"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2018</w:t>
            </w:r>
          </w:p>
        </w:tc>
      </w:tr>
      <w:tr w:rsidR="00BA5707" w:rsidRPr="00743A41" w:rsidTr="00321053">
        <w:trPr>
          <w:trHeight w:val="307"/>
        </w:trPr>
        <w:tc>
          <w:tcPr>
            <w:tcW w:w="1556" w:type="dxa"/>
            <w:shd w:val="clear" w:color="auto" w:fill="auto"/>
            <w:noWrap/>
            <w:vAlign w:val="center"/>
            <w:hideMark/>
          </w:tcPr>
          <w:p w:rsidR="00BA5707" w:rsidRPr="00E80636" w:rsidRDefault="00BA5707" w:rsidP="006C308E">
            <w:pP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Hispanic/Latino</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10%</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5%</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12%</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14%</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17%</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18%</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14%</w:t>
            </w:r>
          </w:p>
        </w:tc>
        <w:tc>
          <w:tcPr>
            <w:tcW w:w="622"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16%</w:t>
            </w:r>
          </w:p>
        </w:tc>
        <w:tc>
          <w:tcPr>
            <w:tcW w:w="742"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20%</w:t>
            </w:r>
          </w:p>
        </w:tc>
      </w:tr>
      <w:tr w:rsidR="00BA5707" w:rsidRPr="00743A41" w:rsidTr="00321053">
        <w:trPr>
          <w:trHeight w:val="307"/>
        </w:trPr>
        <w:tc>
          <w:tcPr>
            <w:tcW w:w="1556" w:type="dxa"/>
            <w:shd w:val="clear" w:color="auto" w:fill="auto"/>
            <w:noWrap/>
            <w:vAlign w:val="center"/>
            <w:hideMark/>
          </w:tcPr>
          <w:p w:rsidR="00BA5707" w:rsidRPr="00E80636" w:rsidRDefault="00BA5707" w:rsidP="006C308E">
            <w:pP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Asian</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21%</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20%</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14%</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13%</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16%</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18%</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21%</w:t>
            </w:r>
          </w:p>
        </w:tc>
        <w:tc>
          <w:tcPr>
            <w:tcW w:w="622"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20%</w:t>
            </w:r>
          </w:p>
        </w:tc>
        <w:tc>
          <w:tcPr>
            <w:tcW w:w="742"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19%</w:t>
            </w:r>
          </w:p>
        </w:tc>
      </w:tr>
      <w:tr w:rsidR="00BA5707" w:rsidRPr="00743A41" w:rsidTr="00321053">
        <w:trPr>
          <w:trHeight w:val="307"/>
        </w:trPr>
        <w:tc>
          <w:tcPr>
            <w:tcW w:w="1556" w:type="dxa"/>
            <w:shd w:val="clear" w:color="auto" w:fill="auto"/>
            <w:noWrap/>
            <w:vAlign w:val="center"/>
            <w:hideMark/>
          </w:tcPr>
          <w:p w:rsidR="00BA5707" w:rsidRPr="00E80636" w:rsidRDefault="00BA5707" w:rsidP="006C308E">
            <w:pP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Black or African-American</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15%</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10%</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9%</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9%</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11%</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12%</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12%</w:t>
            </w:r>
          </w:p>
        </w:tc>
        <w:tc>
          <w:tcPr>
            <w:tcW w:w="622"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11%</w:t>
            </w:r>
          </w:p>
        </w:tc>
        <w:tc>
          <w:tcPr>
            <w:tcW w:w="742"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12%</w:t>
            </w:r>
          </w:p>
        </w:tc>
      </w:tr>
      <w:tr w:rsidR="00BA5707" w:rsidRPr="00743A41" w:rsidTr="00321053">
        <w:trPr>
          <w:trHeight w:val="307"/>
        </w:trPr>
        <w:tc>
          <w:tcPr>
            <w:tcW w:w="1556" w:type="dxa"/>
            <w:shd w:val="clear" w:color="auto" w:fill="auto"/>
            <w:noWrap/>
            <w:vAlign w:val="center"/>
            <w:hideMark/>
          </w:tcPr>
          <w:p w:rsidR="00BA5707" w:rsidRPr="00E80636" w:rsidRDefault="00BA5707" w:rsidP="006C308E">
            <w:pP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White</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49%</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48%</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45%</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40%</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44%</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39%</w:t>
            </w:r>
          </w:p>
        </w:tc>
        <w:tc>
          <w:tcPr>
            <w:tcW w:w="830"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29%</w:t>
            </w:r>
          </w:p>
        </w:tc>
        <w:tc>
          <w:tcPr>
            <w:tcW w:w="622"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42%</w:t>
            </w:r>
          </w:p>
        </w:tc>
        <w:tc>
          <w:tcPr>
            <w:tcW w:w="742" w:type="dxa"/>
            <w:shd w:val="clear" w:color="auto" w:fill="auto"/>
            <w:noWrap/>
            <w:vAlign w:val="center"/>
            <w:hideMark/>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41%</w:t>
            </w:r>
          </w:p>
        </w:tc>
      </w:tr>
      <w:tr w:rsidR="00BA5707" w:rsidRPr="00743A41" w:rsidTr="00321053">
        <w:trPr>
          <w:trHeight w:val="307"/>
        </w:trPr>
        <w:tc>
          <w:tcPr>
            <w:tcW w:w="1556" w:type="dxa"/>
            <w:shd w:val="clear" w:color="auto" w:fill="auto"/>
            <w:noWrap/>
            <w:vAlign w:val="center"/>
          </w:tcPr>
          <w:p w:rsidR="00BA5707" w:rsidRPr="00E80636" w:rsidRDefault="00BA5707" w:rsidP="006C308E">
            <w:pP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Other</w:t>
            </w:r>
          </w:p>
        </w:tc>
        <w:tc>
          <w:tcPr>
            <w:tcW w:w="830" w:type="dxa"/>
            <w:shd w:val="clear" w:color="auto" w:fill="auto"/>
            <w:noWrap/>
            <w:vAlign w:val="center"/>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5%</w:t>
            </w:r>
          </w:p>
        </w:tc>
        <w:tc>
          <w:tcPr>
            <w:tcW w:w="830" w:type="dxa"/>
            <w:shd w:val="clear" w:color="auto" w:fill="auto"/>
            <w:noWrap/>
            <w:vAlign w:val="center"/>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17%</w:t>
            </w:r>
          </w:p>
        </w:tc>
        <w:tc>
          <w:tcPr>
            <w:tcW w:w="830" w:type="dxa"/>
            <w:shd w:val="clear" w:color="auto" w:fill="auto"/>
            <w:noWrap/>
            <w:vAlign w:val="center"/>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20%</w:t>
            </w:r>
          </w:p>
        </w:tc>
        <w:tc>
          <w:tcPr>
            <w:tcW w:w="830" w:type="dxa"/>
            <w:shd w:val="clear" w:color="auto" w:fill="auto"/>
            <w:noWrap/>
            <w:vAlign w:val="center"/>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24%</w:t>
            </w:r>
          </w:p>
        </w:tc>
        <w:tc>
          <w:tcPr>
            <w:tcW w:w="830" w:type="dxa"/>
            <w:shd w:val="clear" w:color="auto" w:fill="auto"/>
            <w:noWrap/>
            <w:vAlign w:val="center"/>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12%</w:t>
            </w:r>
          </w:p>
        </w:tc>
        <w:tc>
          <w:tcPr>
            <w:tcW w:w="830" w:type="dxa"/>
            <w:shd w:val="clear" w:color="auto" w:fill="auto"/>
            <w:noWrap/>
            <w:vAlign w:val="center"/>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13%</w:t>
            </w:r>
          </w:p>
        </w:tc>
        <w:tc>
          <w:tcPr>
            <w:tcW w:w="830" w:type="dxa"/>
            <w:shd w:val="clear" w:color="auto" w:fill="auto"/>
            <w:noWrap/>
            <w:vAlign w:val="center"/>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24%</w:t>
            </w:r>
          </w:p>
        </w:tc>
        <w:tc>
          <w:tcPr>
            <w:tcW w:w="622" w:type="dxa"/>
            <w:shd w:val="clear" w:color="auto" w:fill="auto"/>
            <w:noWrap/>
            <w:vAlign w:val="center"/>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11%</w:t>
            </w:r>
          </w:p>
        </w:tc>
        <w:tc>
          <w:tcPr>
            <w:tcW w:w="742" w:type="dxa"/>
            <w:shd w:val="clear" w:color="auto" w:fill="auto"/>
            <w:noWrap/>
            <w:vAlign w:val="center"/>
          </w:tcPr>
          <w:p w:rsidR="00BA5707" w:rsidRPr="00E80636" w:rsidRDefault="00BA5707"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8%</w:t>
            </w:r>
          </w:p>
        </w:tc>
      </w:tr>
    </w:tbl>
    <w:p w:rsidR="00B8746D" w:rsidRPr="00E80636" w:rsidRDefault="00B8746D" w:rsidP="006C308E">
      <w:pPr>
        <w:autoSpaceDE w:val="0"/>
        <w:autoSpaceDN w:val="0"/>
        <w:adjustRightInd w:val="0"/>
        <w:ind w:left="720"/>
        <w:rPr>
          <w:rFonts w:asciiTheme="majorHAnsi" w:hAnsiTheme="majorHAnsi" w:cstheme="majorHAnsi"/>
          <w:sz w:val="20"/>
          <w:szCs w:val="20"/>
        </w:rPr>
      </w:pPr>
    </w:p>
    <w:p w:rsidR="00B8746D" w:rsidRPr="00E80636" w:rsidRDefault="00B8746D" w:rsidP="006C308E">
      <w:pPr>
        <w:autoSpaceDE w:val="0"/>
        <w:autoSpaceDN w:val="0"/>
        <w:adjustRightInd w:val="0"/>
        <w:ind w:left="720"/>
        <w:rPr>
          <w:rFonts w:asciiTheme="majorHAnsi" w:hAnsiTheme="majorHAnsi" w:cstheme="majorHAnsi"/>
          <w:sz w:val="20"/>
          <w:szCs w:val="20"/>
        </w:rPr>
      </w:pPr>
      <w:r w:rsidRPr="00E80636">
        <w:rPr>
          <w:rFonts w:asciiTheme="majorHAnsi" w:hAnsiTheme="majorHAnsi" w:cstheme="majorHAnsi"/>
          <w:sz w:val="20"/>
          <w:szCs w:val="20"/>
        </w:rPr>
        <w:t>Table G</w:t>
      </w:r>
      <w:r w:rsidR="00CB16DB" w:rsidRPr="00E80636">
        <w:rPr>
          <w:rFonts w:asciiTheme="majorHAnsi" w:hAnsiTheme="majorHAnsi" w:cstheme="majorHAnsi"/>
          <w:sz w:val="20"/>
          <w:szCs w:val="20"/>
        </w:rPr>
        <w:t>.</w:t>
      </w:r>
      <w:r w:rsidRPr="00E80636">
        <w:rPr>
          <w:rFonts w:asciiTheme="majorHAnsi" w:hAnsiTheme="majorHAnsi" w:cstheme="majorHAnsi"/>
          <w:sz w:val="20"/>
          <w:szCs w:val="20"/>
        </w:rPr>
        <w:t>5.3</w:t>
      </w:r>
      <w:r w:rsidR="00CB16DB" w:rsidRPr="00E80636">
        <w:rPr>
          <w:rFonts w:asciiTheme="majorHAnsi" w:hAnsiTheme="majorHAnsi" w:cstheme="majorHAnsi"/>
          <w:sz w:val="20"/>
          <w:szCs w:val="20"/>
        </w:rPr>
        <w:t>.</w:t>
      </w:r>
      <w:r w:rsidRPr="00E80636">
        <w:rPr>
          <w:rFonts w:asciiTheme="majorHAnsi" w:hAnsiTheme="majorHAnsi" w:cstheme="majorHAnsi"/>
          <w:sz w:val="20"/>
          <w:szCs w:val="20"/>
        </w:rPr>
        <w:t xml:space="preserve"> Racial/Ethnicity Enrollment Rates of Domestic Applicants by Year</w:t>
      </w:r>
    </w:p>
    <w:tbl>
      <w:tblPr>
        <w:tblW w:w="873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622"/>
        <w:gridCol w:w="707"/>
        <w:gridCol w:w="630"/>
        <w:gridCol w:w="630"/>
        <w:gridCol w:w="720"/>
        <w:gridCol w:w="630"/>
        <w:gridCol w:w="810"/>
        <w:gridCol w:w="630"/>
        <w:gridCol w:w="630"/>
        <w:gridCol w:w="1170"/>
      </w:tblGrid>
      <w:tr w:rsidR="001A6FFE" w:rsidRPr="00743A41" w:rsidTr="00643789">
        <w:trPr>
          <w:trHeight w:val="307"/>
        </w:trPr>
        <w:tc>
          <w:tcPr>
            <w:tcW w:w="1556" w:type="dxa"/>
            <w:shd w:val="clear" w:color="auto" w:fill="D9D9D9" w:themeFill="background1" w:themeFillShade="D9"/>
            <w:noWrap/>
            <w:vAlign w:val="center"/>
            <w:hideMark/>
          </w:tcPr>
          <w:p w:rsidR="0055593B" w:rsidRPr="00E80636" w:rsidRDefault="0055593B"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Applicants</w:t>
            </w:r>
          </w:p>
        </w:tc>
        <w:tc>
          <w:tcPr>
            <w:tcW w:w="622" w:type="dxa"/>
            <w:shd w:val="clear" w:color="auto" w:fill="D9D9D9" w:themeFill="background1" w:themeFillShade="D9"/>
            <w:noWrap/>
            <w:vAlign w:val="center"/>
            <w:hideMark/>
          </w:tcPr>
          <w:p w:rsidR="0055593B" w:rsidRPr="00E80636" w:rsidRDefault="0055593B"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2010</w:t>
            </w:r>
          </w:p>
        </w:tc>
        <w:tc>
          <w:tcPr>
            <w:tcW w:w="707" w:type="dxa"/>
            <w:shd w:val="clear" w:color="auto" w:fill="D9D9D9" w:themeFill="background1" w:themeFillShade="D9"/>
            <w:noWrap/>
            <w:vAlign w:val="center"/>
            <w:hideMark/>
          </w:tcPr>
          <w:p w:rsidR="0055593B" w:rsidRPr="00E80636" w:rsidRDefault="0055593B"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2011</w:t>
            </w:r>
          </w:p>
        </w:tc>
        <w:tc>
          <w:tcPr>
            <w:tcW w:w="630" w:type="dxa"/>
            <w:shd w:val="clear" w:color="auto" w:fill="D9D9D9" w:themeFill="background1" w:themeFillShade="D9"/>
            <w:noWrap/>
            <w:vAlign w:val="center"/>
            <w:hideMark/>
          </w:tcPr>
          <w:p w:rsidR="0055593B" w:rsidRPr="00E80636" w:rsidRDefault="0055593B"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2012</w:t>
            </w:r>
          </w:p>
        </w:tc>
        <w:tc>
          <w:tcPr>
            <w:tcW w:w="630" w:type="dxa"/>
            <w:shd w:val="clear" w:color="auto" w:fill="D9D9D9" w:themeFill="background1" w:themeFillShade="D9"/>
            <w:noWrap/>
            <w:vAlign w:val="center"/>
            <w:hideMark/>
          </w:tcPr>
          <w:p w:rsidR="0055593B" w:rsidRPr="00E80636" w:rsidRDefault="0055593B"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2013</w:t>
            </w:r>
          </w:p>
        </w:tc>
        <w:tc>
          <w:tcPr>
            <w:tcW w:w="720" w:type="dxa"/>
            <w:shd w:val="clear" w:color="auto" w:fill="D9D9D9" w:themeFill="background1" w:themeFillShade="D9"/>
            <w:noWrap/>
            <w:vAlign w:val="center"/>
            <w:hideMark/>
          </w:tcPr>
          <w:p w:rsidR="0055593B" w:rsidRPr="00E80636" w:rsidRDefault="0055593B"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2014</w:t>
            </w:r>
          </w:p>
        </w:tc>
        <w:tc>
          <w:tcPr>
            <w:tcW w:w="630" w:type="dxa"/>
            <w:shd w:val="clear" w:color="auto" w:fill="D9D9D9" w:themeFill="background1" w:themeFillShade="D9"/>
            <w:noWrap/>
            <w:vAlign w:val="center"/>
            <w:hideMark/>
          </w:tcPr>
          <w:p w:rsidR="0055593B" w:rsidRPr="00E80636" w:rsidRDefault="0055593B"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2015</w:t>
            </w:r>
          </w:p>
        </w:tc>
        <w:tc>
          <w:tcPr>
            <w:tcW w:w="810" w:type="dxa"/>
            <w:shd w:val="clear" w:color="auto" w:fill="D9D9D9" w:themeFill="background1" w:themeFillShade="D9"/>
            <w:noWrap/>
            <w:vAlign w:val="center"/>
            <w:hideMark/>
          </w:tcPr>
          <w:p w:rsidR="0055593B" w:rsidRPr="00E80636" w:rsidRDefault="0055593B"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2016</w:t>
            </w:r>
          </w:p>
        </w:tc>
        <w:tc>
          <w:tcPr>
            <w:tcW w:w="630" w:type="dxa"/>
            <w:shd w:val="clear" w:color="auto" w:fill="D9D9D9" w:themeFill="background1" w:themeFillShade="D9"/>
            <w:noWrap/>
            <w:vAlign w:val="center"/>
            <w:hideMark/>
          </w:tcPr>
          <w:p w:rsidR="0055593B" w:rsidRPr="00E80636" w:rsidRDefault="0055593B"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2017</w:t>
            </w:r>
          </w:p>
        </w:tc>
        <w:tc>
          <w:tcPr>
            <w:tcW w:w="630" w:type="dxa"/>
            <w:shd w:val="clear" w:color="auto" w:fill="D9D9D9" w:themeFill="background1" w:themeFillShade="D9"/>
            <w:noWrap/>
            <w:vAlign w:val="center"/>
            <w:hideMark/>
          </w:tcPr>
          <w:p w:rsidR="0055593B" w:rsidRPr="00E80636" w:rsidRDefault="0055593B"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2018</w:t>
            </w:r>
          </w:p>
        </w:tc>
        <w:tc>
          <w:tcPr>
            <w:tcW w:w="1170" w:type="dxa"/>
            <w:shd w:val="clear" w:color="auto" w:fill="D9D9D9" w:themeFill="background1" w:themeFillShade="D9"/>
            <w:vAlign w:val="center"/>
          </w:tcPr>
          <w:p w:rsidR="0055593B" w:rsidRPr="00E80636" w:rsidRDefault="0055593B"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Target</w:t>
            </w:r>
          </w:p>
        </w:tc>
      </w:tr>
      <w:tr w:rsidR="001A6FFE" w:rsidRPr="00743A41" w:rsidTr="00643789">
        <w:trPr>
          <w:trHeight w:val="307"/>
        </w:trPr>
        <w:tc>
          <w:tcPr>
            <w:tcW w:w="1556" w:type="dxa"/>
            <w:shd w:val="clear" w:color="auto" w:fill="auto"/>
            <w:noWrap/>
            <w:vAlign w:val="center"/>
            <w:hideMark/>
          </w:tcPr>
          <w:p w:rsidR="0055593B" w:rsidRPr="00E80636" w:rsidRDefault="0055593B" w:rsidP="006C308E">
            <w:pP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Hispanic/Latino</w:t>
            </w:r>
          </w:p>
        </w:tc>
        <w:tc>
          <w:tcPr>
            <w:tcW w:w="622"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14%</w:t>
            </w:r>
          </w:p>
        </w:tc>
        <w:tc>
          <w:tcPr>
            <w:tcW w:w="707"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10%</w:t>
            </w:r>
          </w:p>
        </w:tc>
        <w:tc>
          <w:tcPr>
            <w:tcW w:w="63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15%</w:t>
            </w:r>
          </w:p>
        </w:tc>
        <w:tc>
          <w:tcPr>
            <w:tcW w:w="63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16%</w:t>
            </w:r>
          </w:p>
        </w:tc>
        <w:tc>
          <w:tcPr>
            <w:tcW w:w="72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17%</w:t>
            </w:r>
          </w:p>
        </w:tc>
        <w:tc>
          <w:tcPr>
            <w:tcW w:w="63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18%</w:t>
            </w:r>
          </w:p>
        </w:tc>
        <w:tc>
          <w:tcPr>
            <w:tcW w:w="81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19%</w:t>
            </w:r>
          </w:p>
        </w:tc>
        <w:tc>
          <w:tcPr>
            <w:tcW w:w="63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19%</w:t>
            </w:r>
          </w:p>
        </w:tc>
        <w:tc>
          <w:tcPr>
            <w:tcW w:w="63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21%</w:t>
            </w:r>
          </w:p>
        </w:tc>
        <w:tc>
          <w:tcPr>
            <w:tcW w:w="1170" w:type="dxa"/>
            <w:vAlign w:val="center"/>
          </w:tcPr>
          <w:p w:rsidR="0055593B" w:rsidRPr="00E80636" w:rsidRDefault="0055593B"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30%</w:t>
            </w:r>
          </w:p>
        </w:tc>
      </w:tr>
      <w:tr w:rsidR="001A6FFE" w:rsidRPr="00743A41" w:rsidTr="00643789">
        <w:trPr>
          <w:trHeight w:val="307"/>
        </w:trPr>
        <w:tc>
          <w:tcPr>
            <w:tcW w:w="1556" w:type="dxa"/>
            <w:shd w:val="clear" w:color="auto" w:fill="auto"/>
            <w:noWrap/>
            <w:vAlign w:val="center"/>
            <w:hideMark/>
          </w:tcPr>
          <w:p w:rsidR="0055593B" w:rsidRPr="00E80636" w:rsidRDefault="0055593B" w:rsidP="006C308E">
            <w:pP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Asian</w:t>
            </w:r>
          </w:p>
        </w:tc>
        <w:tc>
          <w:tcPr>
            <w:tcW w:w="622"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19%</w:t>
            </w:r>
          </w:p>
        </w:tc>
        <w:tc>
          <w:tcPr>
            <w:tcW w:w="707"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19%</w:t>
            </w:r>
          </w:p>
        </w:tc>
        <w:tc>
          <w:tcPr>
            <w:tcW w:w="63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17%</w:t>
            </w:r>
          </w:p>
        </w:tc>
        <w:tc>
          <w:tcPr>
            <w:tcW w:w="63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14%</w:t>
            </w:r>
          </w:p>
        </w:tc>
        <w:tc>
          <w:tcPr>
            <w:tcW w:w="72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15%</w:t>
            </w:r>
          </w:p>
        </w:tc>
        <w:tc>
          <w:tcPr>
            <w:tcW w:w="63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15%</w:t>
            </w:r>
          </w:p>
        </w:tc>
        <w:tc>
          <w:tcPr>
            <w:tcW w:w="81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18%</w:t>
            </w:r>
          </w:p>
        </w:tc>
        <w:tc>
          <w:tcPr>
            <w:tcW w:w="63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18%</w:t>
            </w:r>
          </w:p>
        </w:tc>
        <w:tc>
          <w:tcPr>
            <w:tcW w:w="63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19%</w:t>
            </w:r>
          </w:p>
        </w:tc>
        <w:tc>
          <w:tcPr>
            <w:tcW w:w="1170" w:type="dxa"/>
            <w:vAlign w:val="center"/>
          </w:tcPr>
          <w:p w:rsidR="0055593B" w:rsidRPr="00E80636" w:rsidRDefault="0055593B" w:rsidP="006C308E">
            <w:pPr>
              <w:jc w:val="center"/>
              <w:rPr>
                <w:rFonts w:asciiTheme="majorHAnsi" w:eastAsia="Times New Roman" w:hAnsiTheme="majorHAnsi" w:cstheme="majorHAnsi"/>
                <w:color w:val="000000"/>
                <w:sz w:val="20"/>
                <w:szCs w:val="20"/>
              </w:rPr>
            </w:pPr>
          </w:p>
        </w:tc>
      </w:tr>
      <w:tr w:rsidR="001A6FFE" w:rsidRPr="00743A41" w:rsidTr="00643789">
        <w:trPr>
          <w:trHeight w:val="307"/>
        </w:trPr>
        <w:tc>
          <w:tcPr>
            <w:tcW w:w="1556" w:type="dxa"/>
            <w:shd w:val="clear" w:color="auto" w:fill="auto"/>
            <w:noWrap/>
            <w:vAlign w:val="center"/>
            <w:hideMark/>
          </w:tcPr>
          <w:p w:rsidR="0055593B" w:rsidRPr="00E80636" w:rsidRDefault="0055593B" w:rsidP="006C308E">
            <w:pP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Black or African-American</w:t>
            </w:r>
          </w:p>
        </w:tc>
        <w:tc>
          <w:tcPr>
            <w:tcW w:w="622"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15%</w:t>
            </w:r>
          </w:p>
        </w:tc>
        <w:tc>
          <w:tcPr>
            <w:tcW w:w="707"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13%</w:t>
            </w:r>
          </w:p>
        </w:tc>
        <w:tc>
          <w:tcPr>
            <w:tcW w:w="63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13%</w:t>
            </w:r>
          </w:p>
        </w:tc>
        <w:tc>
          <w:tcPr>
            <w:tcW w:w="63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11%</w:t>
            </w:r>
          </w:p>
        </w:tc>
        <w:tc>
          <w:tcPr>
            <w:tcW w:w="72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11%</w:t>
            </w:r>
          </w:p>
        </w:tc>
        <w:tc>
          <w:tcPr>
            <w:tcW w:w="63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11%</w:t>
            </w:r>
          </w:p>
        </w:tc>
        <w:tc>
          <w:tcPr>
            <w:tcW w:w="81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10%</w:t>
            </w:r>
          </w:p>
        </w:tc>
        <w:tc>
          <w:tcPr>
            <w:tcW w:w="63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10%</w:t>
            </w:r>
          </w:p>
        </w:tc>
        <w:tc>
          <w:tcPr>
            <w:tcW w:w="63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11%</w:t>
            </w:r>
          </w:p>
        </w:tc>
        <w:tc>
          <w:tcPr>
            <w:tcW w:w="1170" w:type="dxa"/>
            <w:vAlign w:val="center"/>
          </w:tcPr>
          <w:p w:rsidR="0055593B" w:rsidRPr="00E80636" w:rsidRDefault="001A6FFE"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b/>
                <w:color w:val="000000"/>
                <w:sz w:val="20"/>
                <w:szCs w:val="20"/>
              </w:rPr>
              <w:t>13%</w:t>
            </w:r>
          </w:p>
        </w:tc>
      </w:tr>
      <w:tr w:rsidR="001A6FFE" w:rsidRPr="00743A41" w:rsidTr="00643789">
        <w:trPr>
          <w:trHeight w:val="307"/>
        </w:trPr>
        <w:tc>
          <w:tcPr>
            <w:tcW w:w="1556" w:type="dxa"/>
            <w:shd w:val="clear" w:color="auto" w:fill="auto"/>
            <w:noWrap/>
            <w:vAlign w:val="center"/>
            <w:hideMark/>
          </w:tcPr>
          <w:p w:rsidR="0055593B" w:rsidRPr="00E80636" w:rsidRDefault="0055593B" w:rsidP="006C308E">
            <w:pP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White</w:t>
            </w:r>
          </w:p>
        </w:tc>
        <w:tc>
          <w:tcPr>
            <w:tcW w:w="622"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47%</w:t>
            </w:r>
          </w:p>
        </w:tc>
        <w:tc>
          <w:tcPr>
            <w:tcW w:w="707"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48%</w:t>
            </w:r>
          </w:p>
        </w:tc>
        <w:tc>
          <w:tcPr>
            <w:tcW w:w="63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45%</w:t>
            </w:r>
          </w:p>
        </w:tc>
        <w:tc>
          <w:tcPr>
            <w:tcW w:w="63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43%</w:t>
            </w:r>
          </w:p>
        </w:tc>
        <w:tc>
          <w:tcPr>
            <w:tcW w:w="72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44%</w:t>
            </w:r>
          </w:p>
        </w:tc>
        <w:tc>
          <w:tcPr>
            <w:tcW w:w="63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36%</w:t>
            </w:r>
          </w:p>
        </w:tc>
        <w:tc>
          <w:tcPr>
            <w:tcW w:w="81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44%</w:t>
            </w:r>
          </w:p>
        </w:tc>
        <w:tc>
          <w:tcPr>
            <w:tcW w:w="63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44%</w:t>
            </w:r>
          </w:p>
        </w:tc>
        <w:tc>
          <w:tcPr>
            <w:tcW w:w="630" w:type="dxa"/>
            <w:shd w:val="clear" w:color="auto" w:fill="auto"/>
            <w:noWrap/>
            <w:vAlign w:val="center"/>
            <w:hideMark/>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39%</w:t>
            </w:r>
          </w:p>
        </w:tc>
        <w:tc>
          <w:tcPr>
            <w:tcW w:w="1170" w:type="dxa"/>
            <w:vAlign w:val="center"/>
          </w:tcPr>
          <w:p w:rsidR="0055593B" w:rsidRPr="00E80636" w:rsidRDefault="0055593B" w:rsidP="006C308E">
            <w:pPr>
              <w:jc w:val="center"/>
              <w:rPr>
                <w:rFonts w:asciiTheme="majorHAnsi" w:eastAsia="Times New Roman" w:hAnsiTheme="majorHAnsi" w:cstheme="majorHAnsi"/>
                <w:b/>
                <w:color w:val="000000"/>
                <w:sz w:val="20"/>
                <w:szCs w:val="20"/>
              </w:rPr>
            </w:pPr>
          </w:p>
        </w:tc>
      </w:tr>
      <w:tr w:rsidR="001A6FFE" w:rsidRPr="00743A41" w:rsidTr="00643789">
        <w:trPr>
          <w:trHeight w:val="307"/>
        </w:trPr>
        <w:tc>
          <w:tcPr>
            <w:tcW w:w="1556" w:type="dxa"/>
            <w:shd w:val="clear" w:color="auto" w:fill="auto"/>
            <w:noWrap/>
            <w:vAlign w:val="center"/>
          </w:tcPr>
          <w:p w:rsidR="0055593B" w:rsidRPr="00E80636" w:rsidRDefault="0055593B" w:rsidP="006C308E">
            <w:pP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Other</w:t>
            </w:r>
          </w:p>
        </w:tc>
        <w:tc>
          <w:tcPr>
            <w:tcW w:w="622" w:type="dxa"/>
            <w:shd w:val="clear" w:color="auto" w:fill="auto"/>
            <w:noWrap/>
            <w:vAlign w:val="center"/>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5%</w:t>
            </w:r>
          </w:p>
        </w:tc>
        <w:tc>
          <w:tcPr>
            <w:tcW w:w="707" w:type="dxa"/>
            <w:shd w:val="clear" w:color="auto" w:fill="auto"/>
            <w:noWrap/>
            <w:vAlign w:val="center"/>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10%</w:t>
            </w:r>
          </w:p>
        </w:tc>
        <w:tc>
          <w:tcPr>
            <w:tcW w:w="630" w:type="dxa"/>
            <w:shd w:val="clear" w:color="auto" w:fill="auto"/>
            <w:noWrap/>
            <w:vAlign w:val="center"/>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10%</w:t>
            </w:r>
          </w:p>
        </w:tc>
        <w:tc>
          <w:tcPr>
            <w:tcW w:w="630" w:type="dxa"/>
            <w:shd w:val="clear" w:color="auto" w:fill="auto"/>
            <w:noWrap/>
            <w:vAlign w:val="center"/>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16%</w:t>
            </w:r>
          </w:p>
        </w:tc>
        <w:tc>
          <w:tcPr>
            <w:tcW w:w="720" w:type="dxa"/>
            <w:shd w:val="clear" w:color="auto" w:fill="auto"/>
            <w:noWrap/>
            <w:vAlign w:val="center"/>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13%</w:t>
            </w:r>
          </w:p>
        </w:tc>
        <w:tc>
          <w:tcPr>
            <w:tcW w:w="630" w:type="dxa"/>
            <w:shd w:val="clear" w:color="auto" w:fill="auto"/>
            <w:noWrap/>
            <w:vAlign w:val="center"/>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20%</w:t>
            </w:r>
          </w:p>
        </w:tc>
        <w:tc>
          <w:tcPr>
            <w:tcW w:w="810" w:type="dxa"/>
            <w:shd w:val="clear" w:color="auto" w:fill="auto"/>
            <w:noWrap/>
            <w:vAlign w:val="center"/>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9%</w:t>
            </w:r>
          </w:p>
        </w:tc>
        <w:tc>
          <w:tcPr>
            <w:tcW w:w="630" w:type="dxa"/>
            <w:shd w:val="clear" w:color="auto" w:fill="auto"/>
            <w:noWrap/>
            <w:vAlign w:val="center"/>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9%</w:t>
            </w:r>
          </w:p>
        </w:tc>
        <w:tc>
          <w:tcPr>
            <w:tcW w:w="630" w:type="dxa"/>
            <w:shd w:val="clear" w:color="auto" w:fill="auto"/>
            <w:noWrap/>
            <w:vAlign w:val="center"/>
          </w:tcPr>
          <w:p w:rsidR="0055593B" w:rsidRPr="00E80636" w:rsidRDefault="0055593B"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10%</w:t>
            </w:r>
          </w:p>
        </w:tc>
        <w:tc>
          <w:tcPr>
            <w:tcW w:w="1170" w:type="dxa"/>
            <w:vAlign w:val="center"/>
          </w:tcPr>
          <w:p w:rsidR="0055593B" w:rsidRPr="00E80636" w:rsidRDefault="0055593B" w:rsidP="006C308E">
            <w:pPr>
              <w:jc w:val="center"/>
              <w:rPr>
                <w:rFonts w:asciiTheme="majorHAnsi" w:hAnsiTheme="majorHAnsi" w:cstheme="majorHAnsi"/>
                <w:color w:val="000000"/>
                <w:sz w:val="20"/>
                <w:szCs w:val="20"/>
              </w:rPr>
            </w:pPr>
          </w:p>
        </w:tc>
      </w:tr>
    </w:tbl>
    <w:p w:rsidR="0055593B" w:rsidRPr="00E80636" w:rsidRDefault="0055593B" w:rsidP="006C308E">
      <w:pPr>
        <w:autoSpaceDE w:val="0"/>
        <w:autoSpaceDN w:val="0"/>
        <w:adjustRightInd w:val="0"/>
        <w:ind w:left="720"/>
        <w:rPr>
          <w:rFonts w:asciiTheme="majorHAnsi" w:hAnsiTheme="majorHAnsi" w:cstheme="majorHAnsi"/>
          <w:sz w:val="20"/>
          <w:szCs w:val="20"/>
        </w:rPr>
      </w:pPr>
    </w:p>
    <w:p w:rsidR="001A6FFE" w:rsidRPr="00E80636" w:rsidRDefault="00B8746D" w:rsidP="006C308E">
      <w:pPr>
        <w:pStyle w:val="ListParagraph"/>
        <w:rPr>
          <w:rFonts w:asciiTheme="majorHAnsi" w:hAnsiTheme="majorHAnsi" w:cstheme="majorHAnsi"/>
          <w:szCs w:val="20"/>
        </w:rPr>
      </w:pPr>
      <w:r w:rsidRPr="00E80636">
        <w:rPr>
          <w:rFonts w:asciiTheme="majorHAnsi" w:hAnsiTheme="majorHAnsi" w:cstheme="majorHAnsi"/>
          <w:szCs w:val="20"/>
        </w:rPr>
        <w:t>Table G</w:t>
      </w:r>
      <w:r w:rsidR="00CB16DB" w:rsidRPr="00E80636">
        <w:rPr>
          <w:rFonts w:asciiTheme="majorHAnsi" w:hAnsiTheme="majorHAnsi" w:cstheme="majorHAnsi"/>
          <w:szCs w:val="20"/>
        </w:rPr>
        <w:t>.</w:t>
      </w:r>
      <w:r w:rsidRPr="00E80636">
        <w:rPr>
          <w:rFonts w:asciiTheme="majorHAnsi" w:hAnsiTheme="majorHAnsi" w:cstheme="majorHAnsi"/>
          <w:szCs w:val="20"/>
        </w:rPr>
        <w:t>5.4</w:t>
      </w:r>
      <w:r w:rsidR="00CB16DB" w:rsidRPr="00E80636">
        <w:rPr>
          <w:rFonts w:asciiTheme="majorHAnsi" w:hAnsiTheme="majorHAnsi" w:cstheme="majorHAnsi"/>
          <w:szCs w:val="20"/>
        </w:rPr>
        <w:t>.</w:t>
      </w:r>
      <w:r w:rsidRPr="00E80636">
        <w:rPr>
          <w:rFonts w:asciiTheme="majorHAnsi" w:hAnsiTheme="majorHAnsi" w:cstheme="majorHAnsi"/>
          <w:szCs w:val="20"/>
        </w:rPr>
        <w:t xml:space="preserve"> Racial/Ethnicity of Full-Time Faculty by Year </w:t>
      </w:r>
    </w:p>
    <w:tbl>
      <w:tblPr>
        <w:tblW w:w="873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622"/>
        <w:gridCol w:w="707"/>
        <w:gridCol w:w="630"/>
        <w:gridCol w:w="630"/>
        <w:gridCol w:w="720"/>
        <w:gridCol w:w="630"/>
        <w:gridCol w:w="810"/>
        <w:gridCol w:w="630"/>
        <w:gridCol w:w="630"/>
        <w:gridCol w:w="1170"/>
      </w:tblGrid>
      <w:tr w:rsidR="001A6FFE" w:rsidRPr="00743A41" w:rsidTr="007D440E">
        <w:trPr>
          <w:trHeight w:val="307"/>
        </w:trPr>
        <w:tc>
          <w:tcPr>
            <w:tcW w:w="1556" w:type="dxa"/>
            <w:shd w:val="clear" w:color="auto" w:fill="D9D9D9" w:themeFill="background1" w:themeFillShade="D9"/>
            <w:noWrap/>
            <w:vAlign w:val="bottom"/>
            <w:hideMark/>
          </w:tcPr>
          <w:p w:rsidR="001A6FFE" w:rsidRPr="00E80636" w:rsidRDefault="001A6FFE"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Applicants</w:t>
            </w:r>
          </w:p>
        </w:tc>
        <w:tc>
          <w:tcPr>
            <w:tcW w:w="622" w:type="dxa"/>
            <w:shd w:val="clear" w:color="auto" w:fill="D9D9D9" w:themeFill="background1" w:themeFillShade="D9"/>
            <w:noWrap/>
            <w:vAlign w:val="bottom"/>
            <w:hideMark/>
          </w:tcPr>
          <w:p w:rsidR="001A6FFE" w:rsidRPr="00E80636" w:rsidRDefault="001A6FFE"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2010</w:t>
            </w:r>
          </w:p>
        </w:tc>
        <w:tc>
          <w:tcPr>
            <w:tcW w:w="707" w:type="dxa"/>
            <w:shd w:val="clear" w:color="auto" w:fill="D9D9D9" w:themeFill="background1" w:themeFillShade="D9"/>
            <w:noWrap/>
            <w:vAlign w:val="bottom"/>
            <w:hideMark/>
          </w:tcPr>
          <w:p w:rsidR="001A6FFE" w:rsidRPr="00E80636" w:rsidRDefault="001A6FFE"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2011</w:t>
            </w:r>
          </w:p>
        </w:tc>
        <w:tc>
          <w:tcPr>
            <w:tcW w:w="630" w:type="dxa"/>
            <w:shd w:val="clear" w:color="auto" w:fill="D9D9D9" w:themeFill="background1" w:themeFillShade="D9"/>
            <w:noWrap/>
            <w:vAlign w:val="bottom"/>
            <w:hideMark/>
          </w:tcPr>
          <w:p w:rsidR="001A6FFE" w:rsidRPr="00E80636" w:rsidRDefault="001A6FFE"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2012</w:t>
            </w:r>
          </w:p>
        </w:tc>
        <w:tc>
          <w:tcPr>
            <w:tcW w:w="630" w:type="dxa"/>
            <w:shd w:val="clear" w:color="auto" w:fill="D9D9D9" w:themeFill="background1" w:themeFillShade="D9"/>
            <w:noWrap/>
            <w:vAlign w:val="bottom"/>
            <w:hideMark/>
          </w:tcPr>
          <w:p w:rsidR="001A6FFE" w:rsidRPr="00E80636" w:rsidRDefault="001A6FFE"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2013</w:t>
            </w:r>
          </w:p>
        </w:tc>
        <w:tc>
          <w:tcPr>
            <w:tcW w:w="720" w:type="dxa"/>
            <w:shd w:val="clear" w:color="auto" w:fill="D9D9D9" w:themeFill="background1" w:themeFillShade="D9"/>
            <w:noWrap/>
            <w:vAlign w:val="bottom"/>
            <w:hideMark/>
          </w:tcPr>
          <w:p w:rsidR="001A6FFE" w:rsidRPr="00E80636" w:rsidRDefault="001A6FFE"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2014</w:t>
            </w:r>
          </w:p>
        </w:tc>
        <w:tc>
          <w:tcPr>
            <w:tcW w:w="630" w:type="dxa"/>
            <w:shd w:val="clear" w:color="auto" w:fill="D9D9D9" w:themeFill="background1" w:themeFillShade="D9"/>
            <w:noWrap/>
            <w:vAlign w:val="bottom"/>
            <w:hideMark/>
          </w:tcPr>
          <w:p w:rsidR="001A6FFE" w:rsidRPr="00E80636" w:rsidRDefault="001A6FFE"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2015</w:t>
            </w:r>
          </w:p>
        </w:tc>
        <w:tc>
          <w:tcPr>
            <w:tcW w:w="810" w:type="dxa"/>
            <w:shd w:val="clear" w:color="auto" w:fill="D9D9D9" w:themeFill="background1" w:themeFillShade="D9"/>
            <w:noWrap/>
            <w:vAlign w:val="bottom"/>
            <w:hideMark/>
          </w:tcPr>
          <w:p w:rsidR="001A6FFE" w:rsidRPr="00E80636" w:rsidRDefault="001A6FFE"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2016</w:t>
            </w:r>
          </w:p>
        </w:tc>
        <w:tc>
          <w:tcPr>
            <w:tcW w:w="630" w:type="dxa"/>
            <w:shd w:val="clear" w:color="auto" w:fill="D9D9D9" w:themeFill="background1" w:themeFillShade="D9"/>
            <w:noWrap/>
            <w:vAlign w:val="bottom"/>
            <w:hideMark/>
          </w:tcPr>
          <w:p w:rsidR="001A6FFE" w:rsidRPr="00E80636" w:rsidRDefault="001A6FFE"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2017</w:t>
            </w:r>
          </w:p>
        </w:tc>
        <w:tc>
          <w:tcPr>
            <w:tcW w:w="630" w:type="dxa"/>
            <w:shd w:val="clear" w:color="auto" w:fill="D9D9D9" w:themeFill="background1" w:themeFillShade="D9"/>
            <w:noWrap/>
            <w:vAlign w:val="bottom"/>
            <w:hideMark/>
          </w:tcPr>
          <w:p w:rsidR="001A6FFE" w:rsidRPr="00E80636" w:rsidRDefault="001A6FFE"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2018</w:t>
            </w:r>
          </w:p>
        </w:tc>
        <w:tc>
          <w:tcPr>
            <w:tcW w:w="1170" w:type="dxa"/>
            <w:shd w:val="clear" w:color="auto" w:fill="D9D9D9" w:themeFill="background1" w:themeFillShade="D9"/>
          </w:tcPr>
          <w:p w:rsidR="001A6FFE" w:rsidRPr="00E80636" w:rsidRDefault="001A6FFE"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Target</w:t>
            </w:r>
          </w:p>
        </w:tc>
      </w:tr>
      <w:tr w:rsidR="00643789" w:rsidRPr="00743A41" w:rsidTr="00643789">
        <w:trPr>
          <w:trHeight w:val="307"/>
        </w:trPr>
        <w:tc>
          <w:tcPr>
            <w:tcW w:w="1556" w:type="dxa"/>
            <w:shd w:val="clear" w:color="auto" w:fill="auto"/>
            <w:noWrap/>
            <w:vAlign w:val="bottom"/>
            <w:hideMark/>
          </w:tcPr>
          <w:p w:rsidR="00643789" w:rsidRPr="00E80636" w:rsidRDefault="00643789" w:rsidP="006C308E">
            <w:pP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Hispanic/Latino</w:t>
            </w:r>
          </w:p>
        </w:tc>
        <w:tc>
          <w:tcPr>
            <w:tcW w:w="622" w:type="dxa"/>
            <w:shd w:val="clear" w:color="auto" w:fill="auto"/>
            <w:noWrap/>
            <w:vAlign w:val="center"/>
            <w:hideMark/>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12%</w:t>
            </w:r>
          </w:p>
        </w:tc>
        <w:tc>
          <w:tcPr>
            <w:tcW w:w="707" w:type="dxa"/>
            <w:shd w:val="clear" w:color="auto" w:fill="auto"/>
            <w:noWrap/>
            <w:vAlign w:val="center"/>
            <w:hideMark/>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11%</w:t>
            </w:r>
          </w:p>
        </w:tc>
        <w:tc>
          <w:tcPr>
            <w:tcW w:w="630" w:type="dxa"/>
            <w:shd w:val="clear" w:color="auto" w:fill="auto"/>
            <w:noWrap/>
            <w:vAlign w:val="center"/>
            <w:hideMark/>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10%</w:t>
            </w:r>
          </w:p>
        </w:tc>
        <w:tc>
          <w:tcPr>
            <w:tcW w:w="630" w:type="dxa"/>
            <w:shd w:val="clear" w:color="auto" w:fill="auto"/>
            <w:noWrap/>
            <w:vAlign w:val="center"/>
            <w:hideMark/>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11%</w:t>
            </w:r>
          </w:p>
        </w:tc>
        <w:tc>
          <w:tcPr>
            <w:tcW w:w="720" w:type="dxa"/>
            <w:shd w:val="clear" w:color="auto" w:fill="auto"/>
            <w:noWrap/>
            <w:vAlign w:val="center"/>
            <w:hideMark/>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12%</w:t>
            </w:r>
          </w:p>
        </w:tc>
        <w:tc>
          <w:tcPr>
            <w:tcW w:w="630" w:type="dxa"/>
            <w:shd w:val="clear" w:color="auto" w:fill="auto"/>
            <w:noWrap/>
            <w:vAlign w:val="center"/>
            <w:hideMark/>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13%</w:t>
            </w:r>
          </w:p>
        </w:tc>
        <w:tc>
          <w:tcPr>
            <w:tcW w:w="810" w:type="dxa"/>
            <w:shd w:val="clear" w:color="auto" w:fill="auto"/>
            <w:noWrap/>
            <w:vAlign w:val="center"/>
            <w:hideMark/>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12%</w:t>
            </w:r>
          </w:p>
        </w:tc>
        <w:tc>
          <w:tcPr>
            <w:tcW w:w="630" w:type="dxa"/>
            <w:shd w:val="clear" w:color="auto" w:fill="auto"/>
            <w:noWrap/>
            <w:vAlign w:val="center"/>
            <w:hideMark/>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12%</w:t>
            </w:r>
          </w:p>
        </w:tc>
        <w:tc>
          <w:tcPr>
            <w:tcW w:w="630" w:type="dxa"/>
            <w:shd w:val="clear" w:color="auto" w:fill="auto"/>
            <w:noWrap/>
            <w:vAlign w:val="center"/>
            <w:hideMark/>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10%</w:t>
            </w:r>
          </w:p>
        </w:tc>
        <w:tc>
          <w:tcPr>
            <w:tcW w:w="1170" w:type="dxa"/>
            <w:vAlign w:val="bottom"/>
          </w:tcPr>
          <w:p w:rsidR="00643789" w:rsidRPr="00E80636" w:rsidRDefault="00643789" w:rsidP="006C308E">
            <w:pPr>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color w:val="000000"/>
                <w:sz w:val="20"/>
                <w:szCs w:val="20"/>
              </w:rPr>
              <w:t>13%</w:t>
            </w:r>
          </w:p>
        </w:tc>
      </w:tr>
      <w:tr w:rsidR="00643789" w:rsidRPr="00743A41" w:rsidTr="00643789">
        <w:trPr>
          <w:trHeight w:val="307"/>
        </w:trPr>
        <w:tc>
          <w:tcPr>
            <w:tcW w:w="1556" w:type="dxa"/>
            <w:shd w:val="clear" w:color="auto" w:fill="auto"/>
            <w:noWrap/>
            <w:vAlign w:val="bottom"/>
            <w:hideMark/>
          </w:tcPr>
          <w:p w:rsidR="00643789" w:rsidRPr="00E80636" w:rsidRDefault="00643789" w:rsidP="006C308E">
            <w:pP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Asian</w:t>
            </w:r>
          </w:p>
        </w:tc>
        <w:tc>
          <w:tcPr>
            <w:tcW w:w="622" w:type="dxa"/>
            <w:shd w:val="clear" w:color="auto" w:fill="auto"/>
            <w:noWrap/>
            <w:vAlign w:val="center"/>
            <w:hideMark/>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14%</w:t>
            </w:r>
          </w:p>
        </w:tc>
        <w:tc>
          <w:tcPr>
            <w:tcW w:w="707" w:type="dxa"/>
            <w:shd w:val="clear" w:color="auto" w:fill="auto"/>
            <w:noWrap/>
            <w:vAlign w:val="center"/>
            <w:hideMark/>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15%</w:t>
            </w:r>
          </w:p>
        </w:tc>
        <w:tc>
          <w:tcPr>
            <w:tcW w:w="630" w:type="dxa"/>
            <w:shd w:val="clear" w:color="auto" w:fill="auto"/>
            <w:noWrap/>
            <w:vAlign w:val="center"/>
            <w:hideMark/>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21%</w:t>
            </w:r>
          </w:p>
        </w:tc>
        <w:tc>
          <w:tcPr>
            <w:tcW w:w="630" w:type="dxa"/>
            <w:shd w:val="clear" w:color="auto" w:fill="auto"/>
            <w:noWrap/>
            <w:vAlign w:val="center"/>
            <w:hideMark/>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21%</w:t>
            </w:r>
          </w:p>
        </w:tc>
        <w:tc>
          <w:tcPr>
            <w:tcW w:w="720" w:type="dxa"/>
            <w:shd w:val="clear" w:color="auto" w:fill="auto"/>
            <w:noWrap/>
            <w:vAlign w:val="center"/>
            <w:hideMark/>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21%</w:t>
            </w:r>
          </w:p>
        </w:tc>
        <w:tc>
          <w:tcPr>
            <w:tcW w:w="630" w:type="dxa"/>
            <w:shd w:val="clear" w:color="auto" w:fill="auto"/>
            <w:noWrap/>
            <w:vAlign w:val="center"/>
            <w:hideMark/>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20%</w:t>
            </w:r>
          </w:p>
        </w:tc>
        <w:tc>
          <w:tcPr>
            <w:tcW w:w="810" w:type="dxa"/>
            <w:shd w:val="clear" w:color="auto" w:fill="auto"/>
            <w:noWrap/>
            <w:vAlign w:val="center"/>
            <w:hideMark/>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20%</w:t>
            </w:r>
          </w:p>
        </w:tc>
        <w:tc>
          <w:tcPr>
            <w:tcW w:w="630" w:type="dxa"/>
            <w:shd w:val="clear" w:color="auto" w:fill="auto"/>
            <w:noWrap/>
            <w:vAlign w:val="center"/>
            <w:hideMark/>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20%</w:t>
            </w:r>
          </w:p>
        </w:tc>
        <w:tc>
          <w:tcPr>
            <w:tcW w:w="630" w:type="dxa"/>
            <w:shd w:val="clear" w:color="auto" w:fill="auto"/>
            <w:noWrap/>
            <w:vAlign w:val="center"/>
            <w:hideMark/>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22%</w:t>
            </w:r>
          </w:p>
        </w:tc>
        <w:tc>
          <w:tcPr>
            <w:tcW w:w="1170" w:type="dxa"/>
            <w:vAlign w:val="bottom"/>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 </w:t>
            </w:r>
          </w:p>
        </w:tc>
      </w:tr>
      <w:tr w:rsidR="00643789" w:rsidRPr="00743A41" w:rsidTr="00643789">
        <w:trPr>
          <w:trHeight w:val="307"/>
        </w:trPr>
        <w:tc>
          <w:tcPr>
            <w:tcW w:w="1556" w:type="dxa"/>
            <w:shd w:val="clear" w:color="auto" w:fill="auto"/>
            <w:noWrap/>
            <w:vAlign w:val="bottom"/>
            <w:hideMark/>
          </w:tcPr>
          <w:p w:rsidR="00643789" w:rsidRPr="00E80636" w:rsidRDefault="00643789" w:rsidP="006C308E">
            <w:pP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Black or African-American</w:t>
            </w:r>
          </w:p>
        </w:tc>
        <w:tc>
          <w:tcPr>
            <w:tcW w:w="622" w:type="dxa"/>
            <w:shd w:val="clear" w:color="auto" w:fill="auto"/>
            <w:noWrap/>
            <w:vAlign w:val="center"/>
            <w:hideMark/>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3%</w:t>
            </w:r>
          </w:p>
        </w:tc>
        <w:tc>
          <w:tcPr>
            <w:tcW w:w="707" w:type="dxa"/>
            <w:shd w:val="clear" w:color="auto" w:fill="auto"/>
            <w:noWrap/>
            <w:vAlign w:val="center"/>
            <w:hideMark/>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2%</w:t>
            </w:r>
          </w:p>
        </w:tc>
        <w:tc>
          <w:tcPr>
            <w:tcW w:w="630" w:type="dxa"/>
            <w:shd w:val="clear" w:color="auto" w:fill="auto"/>
            <w:noWrap/>
            <w:vAlign w:val="center"/>
            <w:hideMark/>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2%</w:t>
            </w:r>
          </w:p>
        </w:tc>
        <w:tc>
          <w:tcPr>
            <w:tcW w:w="630" w:type="dxa"/>
            <w:shd w:val="clear" w:color="auto" w:fill="auto"/>
            <w:noWrap/>
            <w:vAlign w:val="center"/>
            <w:hideMark/>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2%</w:t>
            </w:r>
          </w:p>
        </w:tc>
        <w:tc>
          <w:tcPr>
            <w:tcW w:w="720" w:type="dxa"/>
            <w:shd w:val="clear" w:color="auto" w:fill="auto"/>
            <w:noWrap/>
            <w:vAlign w:val="center"/>
            <w:hideMark/>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4%</w:t>
            </w:r>
          </w:p>
        </w:tc>
        <w:tc>
          <w:tcPr>
            <w:tcW w:w="630" w:type="dxa"/>
            <w:shd w:val="clear" w:color="auto" w:fill="auto"/>
            <w:noWrap/>
            <w:vAlign w:val="center"/>
            <w:hideMark/>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5%</w:t>
            </w:r>
          </w:p>
        </w:tc>
        <w:tc>
          <w:tcPr>
            <w:tcW w:w="810" w:type="dxa"/>
            <w:shd w:val="clear" w:color="auto" w:fill="auto"/>
            <w:noWrap/>
            <w:vAlign w:val="center"/>
            <w:hideMark/>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5%</w:t>
            </w:r>
          </w:p>
        </w:tc>
        <w:tc>
          <w:tcPr>
            <w:tcW w:w="630" w:type="dxa"/>
            <w:shd w:val="clear" w:color="auto" w:fill="auto"/>
            <w:noWrap/>
            <w:vAlign w:val="center"/>
            <w:hideMark/>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5%</w:t>
            </w:r>
          </w:p>
        </w:tc>
        <w:tc>
          <w:tcPr>
            <w:tcW w:w="630" w:type="dxa"/>
            <w:shd w:val="clear" w:color="auto" w:fill="auto"/>
            <w:noWrap/>
            <w:vAlign w:val="center"/>
            <w:hideMark/>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6%</w:t>
            </w:r>
          </w:p>
        </w:tc>
        <w:tc>
          <w:tcPr>
            <w:tcW w:w="1170" w:type="dxa"/>
            <w:vAlign w:val="bottom"/>
          </w:tcPr>
          <w:p w:rsidR="00643789" w:rsidRPr="00E80636" w:rsidRDefault="00643789" w:rsidP="006C308E">
            <w:pPr>
              <w:jc w:val="cente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9%</w:t>
            </w:r>
          </w:p>
        </w:tc>
      </w:tr>
      <w:tr w:rsidR="001A6FFE" w:rsidRPr="00743A41" w:rsidTr="007D440E">
        <w:trPr>
          <w:trHeight w:val="307"/>
        </w:trPr>
        <w:tc>
          <w:tcPr>
            <w:tcW w:w="1556" w:type="dxa"/>
            <w:shd w:val="clear" w:color="auto" w:fill="auto"/>
            <w:noWrap/>
            <w:vAlign w:val="bottom"/>
            <w:hideMark/>
          </w:tcPr>
          <w:p w:rsidR="001A6FFE" w:rsidRPr="00E80636" w:rsidRDefault="001A6FFE" w:rsidP="006C308E">
            <w:pP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White</w:t>
            </w:r>
          </w:p>
        </w:tc>
        <w:tc>
          <w:tcPr>
            <w:tcW w:w="622" w:type="dxa"/>
            <w:shd w:val="clear" w:color="auto" w:fill="auto"/>
            <w:noWrap/>
            <w:vAlign w:val="center"/>
            <w:hideMark/>
          </w:tcPr>
          <w:p w:rsidR="001A6FFE" w:rsidRPr="00E80636" w:rsidRDefault="001A6FFE"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71%</w:t>
            </w:r>
          </w:p>
        </w:tc>
        <w:tc>
          <w:tcPr>
            <w:tcW w:w="707" w:type="dxa"/>
            <w:shd w:val="clear" w:color="auto" w:fill="auto"/>
            <w:noWrap/>
            <w:vAlign w:val="center"/>
            <w:hideMark/>
          </w:tcPr>
          <w:p w:rsidR="001A6FFE" w:rsidRPr="00E80636" w:rsidRDefault="001A6FFE"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72%</w:t>
            </w:r>
          </w:p>
        </w:tc>
        <w:tc>
          <w:tcPr>
            <w:tcW w:w="630" w:type="dxa"/>
            <w:shd w:val="clear" w:color="auto" w:fill="auto"/>
            <w:noWrap/>
            <w:vAlign w:val="center"/>
            <w:hideMark/>
          </w:tcPr>
          <w:p w:rsidR="001A6FFE" w:rsidRPr="00E80636" w:rsidRDefault="001A6FFE"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67%</w:t>
            </w:r>
          </w:p>
        </w:tc>
        <w:tc>
          <w:tcPr>
            <w:tcW w:w="630" w:type="dxa"/>
            <w:shd w:val="clear" w:color="auto" w:fill="auto"/>
            <w:noWrap/>
            <w:vAlign w:val="center"/>
            <w:hideMark/>
          </w:tcPr>
          <w:p w:rsidR="001A6FFE" w:rsidRPr="00E80636" w:rsidRDefault="001A6FFE"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66%</w:t>
            </w:r>
          </w:p>
        </w:tc>
        <w:tc>
          <w:tcPr>
            <w:tcW w:w="720" w:type="dxa"/>
            <w:shd w:val="clear" w:color="auto" w:fill="auto"/>
            <w:noWrap/>
            <w:vAlign w:val="center"/>
            <w:hideMark/>
          </w:tcPr>
          <w:p w:rsidR="001A6FFE" w:rsidRPr="00E80636" w:rsidRDefault="001A6FFE"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63%</w:t>
            </w:r>
          </w:p>
        </w:tc>
        <w:tc>
          <w:tcPr>
            <w:tcW w:w="630" w:type="dxa"/>
            <w:shd w:val="clear" w:color="auto" w:fill="auto"/>
            <w:noWrap/>
            <w:vAlign w:val="center"/>
            <w:hideMark/>
          </w:tcPr>
          <w:p w:rsidR="001A6FFE" w:rsidRPr="00E80636" w:rsidRDefault="001A6FFE"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62%</w:t>
            </w:r>
          </w:p>
        </w:tc>
        <w:tc>
          <w:tcPr>
            <w:tcW w:w="810" w:type="dxa"/>
            <w:shd w:val="clear" w:color="auto" w:fill="auto"/>
            <w:noWrap/>
            <w:vAlign w:val="center"/>
            <w:hideMark/>
          </w:tcPr>
          <w:p w:rsidR="001A6FFE" w:rsidRPr="00E80636" w:rsidRDefault="001A6FFE"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63%</w:t>
            </w:r>
          </w:p>
        </w:tc>
        <w:tc>
          <w:tcPr>
            <w:tcW w:w="630" w:type="dxa"/>
            <w:shd w:val="clear" w:color="auto" w:fill="auto"/>
            <w:noWrap/>
            <w:vAlign w:val="center"/>
            <w:hideMark/>
          </w:tcPr>
          <w:p w:rsidR="001A6FFE" w:rsidRPr="00E80636" w:rsidRDefault="001A6FFE"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63%</w:t>
            </w:r>
          </w:p>
        </w:tc>
        <w:tc>
          <w:tcPr>
            <w:tcW w:w="630" w:type="dxa"/>
            <w:shd w:val="clear" w:color="auto" w:fill="auto"/>
            <w:noWrap/>
            <w:vAlign w:val="center"/>
            <w:hideMark/>
          </w:tcPr>
          <w:p w:rsidR="001A6FFE" w:rsidRPr="00E80636" w:rsidRDefault="001A6FFE" w:rsidP="006C308E">
            <w:pPr>
              <w:jc w:val="center"/>
              <w:rPr>
                <w:rFonts w:asciiTheme="majorHAnsi" w:eastAsia="Times New Roman" w:hAnsiTheme="majorHAnsi" w:cstheme="majorHAnsi"/>
                <w:color w:val="000000"/>
                <w:sz w:val="20"/>
                <w:szCs w:val="20"/>
              </w:rPr>
            </w:pPr>
            <w:r w:rsidRPr="00E80636">
              <w:rPr>
                <w:rFonts w:asciiTheme="majorHAnsi" w:hAnsiTheme="majorHAnsi" w:cstheme="majorHAnsi"/>
                <w:color w:val="000000"/>
                <w:sz w:val="20"/>
                <w:szCs w:val="20"/>
              </w:rPr>
              <w:t>62%</w:t>
            </w:r>
          </w:p>
        </w:tc>
        <w:tc>
          <w:tcPr>
            <w:tcW w:w="1170" w:type="dxa"/>
          </w:tcPr>
          <w:p w:rsidR="001A6FFE" w:rsidRPr="00E80636" w:rsidRDefault="001A6FFE" w:rsidP="006C308E">
            <w:pPr>
              <w:jc w:val="center"/>
              <w:rPr>
                <w:rFonts w:asciiTheme="majorHAnsi" w:eastAsia="Times New Roman" w:hAnsiTheme="majorHAnsi" w:cstheme="majorHAnsi"/>
                <w:b/>
                <w:color w:val="000000"/>
                <w:sz w:val="20"/>
                <w:szCs w:val="20"/>
              </w:rPr>
            </w:pPr>
          </w:p>
        </w:tc>
      </w:tr>
    </w:tbl>
    <w:p w:rsidR="00B8746D" w:rsidRPr="00E80636" w:rsidRDefault="00B8746D" w:rsidP="006C308E">
      <w:pPr>
        <w:pStyle w:val="ListParagraph"/>
        <w:rPr>
          <w:rFonts w:asciiTheme="majorHAnsi" w:hAnsiTheme="majorHAnsi" w:cstheme="majorHAnsi"/>
          <w:szCs w:val="20"/>
        </w:rPr>
      </w:pPr>
    </w:p>
    <w:p w:rsidR="00933038" w:rsidRPr="00E80636" w:rsidRDefault="00933038" w:rsidP="006C308E">
      <w:pPr>
        <w:numPr>
          <w:ilvl w:val="0"/>
          <w:numId w:val="41"/>
        </w:numPr>
        <w:contextualSpacing/>
        <w:jc w:val="both"/>
        <w:rPr>
          <w:rFonts w:asciiTheme="majorHAnsi" w:hAnsiTheme="majorHAnsi" w:cstheme="majorHAnsi"/>
          <w:sz w:val="20"/>
          <w:szCs w:val="20"/>
        </w:rPr>
      </w:pPr>
      <w:r w:rsidRPr="00E80636">
        <w:rPr>
          <w:rFonts w:asciiTheme="majorHAnsi" w:hAnsiTheme="majorHAnsi" w:cstheme="majorHAnsi"/>
          <w:sz w:val="20"/>
          <w:szCs w:val="20"/>
        </w:rPr>
        <w:t xml:space="preserve">Provide student and faculty (and staff, if applicable) perceptions of the school’s climate regarding diversity and cultural competence. </w:t>
      </w:r>
    </w:p>
    <w:p w:rsidR="00094E6E" w:rsidRPr="00E80636" w:rsidRDefault="00094E6E" w:rsidP="006C308E">
      <w:pPr>
        <w:contextualSpacing/>
        <w:jc w:val="both"/>
        <w:rPr>
          <w:rFonts w:asciiTheme="majorHAnsi" w:hAnsiTheme="majorHAnsi" w:cstheme="majorHAnsi"/>
          <w:sz w:val="20"/>
          <w:szCs w:val="20"/>
        </w:rPr>
      </w:pPr>
    </w:p>
    <w:p w:rsidR="00B8746D" w:rsidRPr="00E80636" w:rsidRDefault="00B8746D" w:rsidP="006C308E">
      <w:pPr>
        <w:ind w:left="720"/>
        <w:contextualSpacing/>
        <w:rPr>
          <w:rFonts w:asciiTheme="majorHAnsi" w:hAnsiTheme="majorHAnsi" w:cstheme="majorHAnsi"/>
          <w:sz w:val="20"/>
          <w:szCs w:val="20"/>
        </w:rPr>
      </w:pPr>
      <w:r w:rsidRPr="00E80636">
        <w:rPr>
          <w:rFonts w:asciiTheme="majorHAnsi" w:hAnsiTheme="majorHAnsi" w:cstheme="majorHAnsi"/>
          <w:sz w:val="20"/>
          <w:szCs w:val="20"/>
        </w:rPr>
        <w:t xml:space="preserve">The UTHealth School of Public Health regularly conducts a </w:t>
      </w:r>
      <w:r w:rsidRPr="0074345B">
        <w:rPr>
          <w:rFonts w:asciiTheme="majorHAnsi" w:hAnsiTheme="majorHAnsi" w:cstheme="majorHAnsi"/>
          <w:sz w:val="20"/>
          <w:szCs w:val="20"/>
        </w:rPr>
        <w:t>campus climate survey</w:t>
      </w:r>
      <w:r w:rsidRPr="00E80636">
        <w:rPr>
          <w:rFonts w:asciiTheme="majorHAnsi" w:hAnsiTheme="majorHAnsi" w:cstheme="majorHAnsi"/>
          <w:sz w:val="20"/>
          <w:szCs w:val="20"/>
        </w:rPr>
        <w:t xml:space="preserve"> </w:t>
      </w:r>
      <w:r w:rsidR="0074345B">
        <w:rPr>
          <w:rFonts w:asciiTheme="majorHAnsi" w:hAnsiTheme="majorHAnsi" w:cstheme="majorHAnsi"/>
          <w:sz w:val="20"/>
          <w:szCs w:val="20"/>
        </w:rPr>
        <w:t>(</w:t>
      </w:r>
      <w:r w:rsidR="0074345B" w:rsidRPr="0074345B">
        <w:rPr>
          <w:rFonts w:asciiTheme="majorHAnsi" w:hAnsiTheme="majorHAnsi" w:cstheme="majorHAnsi"/>
          <w:i/>
          <w:sz w:val="20"/>
          <w:szCs w:val="20"/>
        </w:rPr>
        <w:t xml:space="preserve">ERF, </w:t>
      </w:r>
      <w:r w:rsidR="00013BF6">
        <w:rPr>
          <w:rFonts w:asciiTheme="majorHAnsi" w:hAnsiTheme="majorHAnsi" w:cstheme="majorHAnsi"/>
          <w:i/>
          <w:sz w:val="20"/>
          <w:szCs w:val="20"/>
        </w:rPr>
        <w:t xml:space="preserve">Criteria G, </w:t>
      </w:r>
      <w:r w:rsidR="0074345B" w:rsidRPr="0074345B">
        <w:rPr>
          <w:rFonts w:asciiTheme="majorHAnsi" w:hAnsiTheme="majorHAnsi" w:cstheme="majorHAnsi"/>
          <w:i/>
          <w:sz w:val="20"/>
          <w:szCs w:val="20"/>
        </w:rPr>
        <w:t>SPH</w:t>
      </w:r>
      <w:r w:rsidR="00013BF6">
        <w:rPr>
          <w:rFonts w:asciiTheme="majorHAnsi" w:hAnsiTheme="majorHAnsi" w:cstheme="majorHAnsi"/>
          <w:i/>
          <w:sz w:val="20"/>
          <w:szCs w:val="20"/>
        </w:rPr>
        <w:t xml:space="preserve"> </w:t>
      </w:r>
      <w:r w:rsidR="0074345B" w:rsidRPr="0074345B">
        <w:rPr>
          <w:rFonts w:asciiTheme="majorHAnsi" w:hAnsiTheme="majorHAnsi" w:cstheme="majorHAnsi"/>
          <w:i/>
          <w:sz w:val="20"/>
          <w:szCs w:val="20"/>
        </w:rPr>
        <w:t>Diversity and Inclusion Climate Survey)</w:t>
      </w:r>
      <w:r w:rsidR="0074345B">
        <w:rPr>
          <w:rFonts w:asciiTheme="majorHAnsi" w:hAnsiTheme="majorHAnsi" w:cstheme="majorHAnsi"/>
          <w:sz w:val="20"/>
          <w:szCs w:val="20"/>
        </w:rPr>
        <w:t xml:space="preserve"> </w:t>
      </w:r>
      <w:r w:rsidRPr="00E80636">
        <w:rPr>
          <w:rFonts w:asciiTheme="majorHAnsi" w:hAnsiTheme="majorHAnsi" w:cstheme="majorHAnsi"/>
          <w:sz w:val="20"/>
          <w:szCs w:val="20"/>
        </w:rPr>
        <w:t>to better understand the perceptions of students, faculty, and staff regarding the school’s climate.</w:t>
      </w:r>
    </w:p>
    <w:p w:rsidR="00B8746D" w:rsidRPr="00E80636" w:rsidRDefault="00B8746D" w:rsidP="006C308E">
      <w:pPr>
        <w:contextualSpacing/>
        <w:rPr>
          <w:rFonts w:asciiTheme="majorHAnsi" w:hAnsiTheme="majorHAnsi" w:cstheme="majorHAnsi"/>
          <w:sz w:val="20"/>
          <w:szCs w:val="20"/>
        </w:rPr>
      </w:pPr>
    </w:p>
    <w:p w:rsidR="00B8746D" w:rsidRPr="0065467D" w:rsidRDefault="00B8746D" w:rsidP="006C308E">
      <w:pPr>
        <w:autoSpaceDE w:val="0"/>
        <w:autoSpaceDN w:val="0"/>
        <w:adjustRightInd w:val="0"/>
        <w:ind w:left="720"/>
        <w:rPr>
          <w:rFonts w:asciiTheme="majorHAnsi" w:hAnsiTheme="majorHAnsi" w:cstheme="majorHAnsi"/>
          <w:sz w:val="20"/>
          <w:szCs w:val="20"/>
        </w:rPr>
      </w:pPr>
      <w:r w:rsidRPr="0065467D">
        <w:rPr>
          <w:rFonts w:asciiTheme="majorHAnsi" w:hAnsiTheme="majorHAnsi" w:cstheme="majorHAnsi"/>
          <w:sz w:val="20"/>
          <w:szCs w:val="20"/>
        </w:rPr>
        <w:t>Tables G</w:t>
      </w:r>
      <w:r w:rsidR="007D158B" w:rsidRPr="0065467D">
        <w:rPr>
          <w:rFonts w:asciiTheme="majorHAnsi" w:hAnsiTheme="majorHAnsi" w:cstheme="majorHAnsi"/>
          <w:sz w:val="20"/>
          <w:szCs w:val="20"/>
        </w:rPr>
        <w:t>.</w:t>
      </w:r>
      <w:r w:rsidRPr="0065467D">
        <w:rPr>
          <w:rFonts w:asciiTheme="majorHAnsi" w:hAnsiTheme="majorHAnsi" w:cstheme="majorHAnsi"/>
          <w:sz w:val="20"/>
          <w:szCs w:val="20"/>
        </w:rPr>
        <w:t>6.1</w:t>
      </w:r>
      <w:r w:rsidR="00A63A85" w:rsidRPr="0065467D">
        <w:rPr>
          <w:rFonts w:asciiTheme="majorHAnsi" w:hAnsiTheme="majorHAnsi" w:cstheme="majorHAnsi"/>
          <w:sz w:val="20"/>
          <w:szCs w:val="20"/>
        </w:rPr>
        <w:t>. -</w:t>
      </w:r>
      <w:r w:rsidR="00582B8A" w:rsidRPr="0065467D">
        <w:rPr>
          <w:rFonts w:asciiTheme="majorHAnsi" w:hAnsiTheme="majorHAnsi" w:cstheme="majorHAnsi"/>
          <w:sz w:val="20"/>
          <w:szCs w:val="20"/>
        </w:rPr>
        <w:t xml:space="preserve"> </w:t>
      </w:r>
      <w:r w:rsidRPr="0065467D">
        <w:rPr>
          <w:rFonts w:asciiTheme="majorHAnsi" w:hAnsiTheme="majorHAnsi" w:cstheme="majorHAnsi"/>
          <w:sz w:val="20"/>
          <w:szCs w:val="20"/>
        </w:rPr>
        <w:t>G</w:t>
      </w:r>
      <w:r w:rsidR="007D158B" w:rsidRPr="0065467D">
        <w:rPr>
          <w:rFonts w:asciiTheme="majorHAnsi" w:hAnsiTheme="majorHAnsi" w:cstheme="majorHAnsi"/>
          <w:sz w:val="20"/>
          <w:szCs w:val="20"/>
        </w:rPr>
        <w:t>.</w:t>
      </w:r>
      <w:r w:rsidRPr="0065467D">
        <w:rPr>
          <w:rFonts w:asciiTheme="majorHAnsi" w:hAnsiTheme="majorHAnsi" w:cstheme="majorHAnsi"/>
          <w:sz w:val="20"/>
          <w:szCs w:val="20"/>
        </w:rPr>
        <w:t>6.16</w:t>
      </w:r>
      <w:r w:rsidR="007D158B" w:rsidRPr="0065467D">
        <w:rPr>
          <w:rFonts w:asciiTheme="majorHAnsi" w:hAnsiTheme="majorHAnsi" w:cstheme="majorHAnsi"/>
          <w:sz w:val="20"/>
          <w:szCs w:val="20"/>
        </w:rPr>
        <w:t>.</w:t>
      </w:r>
      <w:r w:rsidRPr="0065467D">
        <w:rPr>
          <w:rFonts w:asciiTheme="majorHAnsi" w:hAnsiTheme="majorHAnsi" w:cstheme="majorHAnsi"/>
          <w:sz w:val="20"/>
          <w:szCs w:val="20"/>
        </w:rPr>
        <w:t xml:space="preserve"> in the </w:t>
      </w:r>
      <w:r w:rsidR="0065467D" w:rsidRPr="0065467D">
        <w:rPr>
          <w:rFonts w:asciiTheme="majorHAnsi" w:hAnsiTheme="majorHAnsi" w:cstheme="majorHAnsi"/>
          <w:sz w:val="20"/>
          <w:szCs w:val="20"/>
        </w:rPr>
        <w:t>electronic resource file (</w:t>
      </w:r>
      <w:r w:rsidR="0065467D" w:rsidRPr="0065467D">
        <w:rPr>
          <w:rFonts w:asciiTheme="majorHAnsi" w:eastAsia="Arial" w:hAnsiTheme="majorHAnsi" w:cstheme="majorHAnsi"/>
          <w:i/>
          <w:sz w:val="20"/>
          <w:szCs w:val="20"/>
        </w:rPr>
        <w:t>ERF, Criteria G,</w:t>
      </w:r>
      <w:r w:rsidR="0065467D" w:rsidRPr="0065467D">
        <w:rPr>
          <w:i/>
        </w:rPr>
        <w:t xml:space="preserve"> </w:t>
      </w:r>
      <w:r w:rsidR="0065467D" w:rsidRPr="0065467D">
        <w:rPr>
          <w:rFonts w:asciiTheme="majorHAnsi" w:eastAsia="Arial" w:hAnsiTheme="majorHAnsi" w:cstheme="majorHAnsi"/>
          <w:i/>
          <w:sz w:val="20"/>
          <w:szCs w:val="20"/>
        </w:rPr>
        <w:t>Extended Data Tables for Criterion G1, Tables G.6.1. – G.6.1.6.</w:t>
      </w:r>
      <w:r w:rsidR="0065467D" w:rsidRPr="0065467D">
        <w:rPr>
          <w:rFonts w:asciiTheme="majorHAnsi" w:eastAsia="Arial" w:hAnsiTheme="majorHAnsi" w:cstheme="majorHAnsi"/>
          <w:sz w:val="20"/>
          <w:szCs w:val="20"/>
        </w:rPr>
        <w:t>)</w:t>
      </w:r>
      <w:r w:rsidRPr="0065467D">
        <w:rPr>
          <w:rFonts w:asciiTheme="majorHAnsi" w:hAnsiTheme="majorHAnsi" w:cstheme="majorHAnsi"/>
          <w:sz w:val="20"/>
          <w:szCs w:val="20"/>
        </w:rPr>
        <w:t xml:space="preserve"> </w:t>
      </w:r>
      <w:r w:rsidR="00D37A1C">
        <w:rPr>
          <w:rFonts w:asciiTheme="majorHAnsi" w:hAnsiTheme="majorHAnsi" w:cstheme="majorHAnsi"/>
          <w:sz w:val="20"/>
          <w:szCs w:val="20"/>
        </w:rPr>
        <w:t>demonstrate</w:t>
      </w:r>
      <w:r w:rsidRPr="0065467D">
        <w:rPr>
          <w:rFonts w:asciiTheme="majorHAnsi" w:hAnsiTheme="majorHAnsi" w:cstheme="majorHAnsi"/>
          <w:sz w:val="20"/>
          <w:szCs w:val="20"/>
        </w:rPr>
        <w:t xml:space="preserve"> student, faculty, and staff perceptions regarding diversity and cultural competence. The primary results are the following:</w:t>
      </w:r>
    </w:p>
    <w:p w:rsidR="00B8746D" w:rsidRPr="00E80636" w:rsidRDefault="00B8746D" w:rsidP="006C308E">
      <w:pPr>
        <w:autoSpaceDE w:val="0"/>
        <w:autoSpaceDN w:val="0"/>
        <w:adjustRightInd w:val="0"/>
        <w:rPr>
          <w:rFonts w:asciiTheme="majorHAnsi" w:hAnsiTheme="majorHAnsi" w:cstheme="majorHAnsi"/>
          <w:sz w:val="20"/>
          <w:szCs w:val="20"/>
        </w:rPr>
      </w:pPr>
    </w:p>
    <w:p w:rsidR="00B8746D" w:rsidRPr="00E80636" w:rsidRDefault="00B8746D" w:rsidP="006C308E">
      <w:pPr>
        <w:pStyle w:val="ListParagraph"/>
        <w:numPr>
          <w:ilvl w:val="0"/>
          <w:numId w:val="59"/>
        </w:numPr>
        <w:autoSpaceDE w:val="0"/>
        <w:autoSpaceDN w:val="0"/>
        <w:adjustRightInd w:val="0"/>
        <w:contextualSpacing/>
        <w:rPr>
          <w:rFonts w:asciiTheme="majorHAnsi" w:hAnsiTheme="majorHAnsi" w:cstheme="majorHAnsi"/>
          <w:szCs w:val="20"/>
        </w:rPr>
      </w:pPr>
      <w:r w:rsidRPr="00E80636">
        <w:rPr>
          <w:rFonts w:asciiTheme="majorHAnsi" w:hAnsiTheme="majorHAnsi" w:cstheme="majorHAnsi"/>
          <w:szCs w:val="20"/>
        </w:rPr>
        <w:t xml:space="preserve">The majority of students (77%), faculty (70%), and staff (83%) feel a sense of belonging to SPH; whereas 8% of students, 11% of faculty, and 5% of staff do not feel a sense of belonging at SPH. </w:t>
      </w:r>
    </w:p>
    <w:p w:rsidR="00B8746D" w:rsidRPr="00E80636" w:rsidRDefault="00B8746D" w:rsidP="006C308E">
      <w:pPr>
        <w:pStyle w:val="ListParagraph"/>
        <w:numPr>
          <w:ilvl w:val="0"/>
          <w:numId w:val="59"/>
        </w:numPr>
        <w:autoSpaceDE w:val="0"/>
        <w:autoSpaceDN w:val="0"/>
        <w:adjustRightInd w:val="0"/>
        <w:contextualSpacing/>
        <w:rPr>
          <w:rFonts w:asciiTheme="majorHAnsi" w:hAnsiTheme="majorHAnsi" w:cstheme="majorHAnsi"/>
          <w:szCs w:val="20"/>
        </w:rPr>
      </w:pPr>
      <w:r w:rsidRPr="00E80636">
        <w:rPr>
          <w:rFonts w:asciiTheme="majorHAnsi" w:hAnsiTheme="majorHAnsi" w:cstheme="majorHAnsi"/>
          <w:szCs w:val="20"/>
        </w:rPr>
        <w:t>The results vary by department and campuses providing valuable insights about remediation priorities.</w:t>
      </w:r>
    </w:p>
    <w:p w:rsidR="00B8746D" w:rsidRPr="00E80636" w:rsidRDefault="00B8746D" w:rsidP="006C308E">
      <w:pPr>
        <w:pStyle w:val="ListParagraph"/>
        <w:numPr>
          <w:ilvl w:val="0"/>
          <w:numId w:val="59"/>
        </w:numPr>
        <w:autoSpaceDE w:val="0"/>
        <w:autoSpaceDN w:val="0"/>
        <w:adjustRightInd w:val="0"/>
        <w:contextualSpacing/>
        <w:rPr>
          <w:rFonts w:asciiTheme="majorHAnsi" w:hAnsiTheme="majorHAnsi" w:cstheme="majorHAnsi"/>
          <w:szCs w:val="20"/>
        </w:rPr>
      </w:pPr>
      <w:r w:rsidRPr="00E80636">
        <w:rPr>
          <w:rFonts w:asciiTheme="majorHAnsi" w:hAnsiTheme="majorHAnsi" w:cstheme="majorHAnsi"/>
          <w:szCs w:val="20"/>
        </w:rPr>
        <w:t xml:space="preserve">The majority of students (89%) agree that faculty are respectful of different races and cultures, whereas 6% of students do not agree with this statement. </w:t>
      </w:r>
    </w:p>
    <w:p w:rsidR="00B8746D" w:rsidRPr="00E80636" w:rsidRDefault="00B8746D" w:rsidP="006C308E">
      <w:pPr>
        <w:pStyle w:val="ListParagraph"/>
        <w:numPr>
          <w:ilvl w:val="0"/>
          <w:numId w:val="59"/>
        </w:numPr>
        <w:autoSpaceDE w:val="0"/>
        <w:autoSpaceDN w:val="0"/>
        <w:adjustRightInd w:val="0"/>
        <w:contextualSpacing/>
        <w:rPr>
          <w:rFonts w:asciiTheme="majorHAnsi" w:hAnsiTheme="majorHAnsi" w:cstheme="majorHAnsi"/>
          <w:szCs w:val="20"/>
        </w:rPr>
      </w:pPr>
      <w:r w:rsidRPr="00E80636">
        <w:rPr>
          <w:rFonts w:asciiTheme="majorHAnsi" w:hAnsiTheme="majorHAnsi" w:cstheme="majorHAnsi"/>
          <w:szCs w:val="20"/>
        </w:rPr>
        <w:t xml:space="preserve">The majority of students (87%) agree that faculty are respectful of different religions, whereas 4% of students do not agree with this statement. </w:t>
      </w:r>
    </w:p>
    <w:p w:rsidR="00B8746D" w:rsidRPr="00E80636" w:rsidRDefault="00B8746D" w:rsidP="006C308E">
      <w:pPr>
        <w:pStyle w:val="ListParagraph"/>
        <w:numPr>
          <w:ilvl w:val="0"/>
          <w:numId w:val="59"/>
        </w:numPr>
        <w:autoSpaceDE w:val="0"/>
        <w:autoSpaceDN w:val="0"/>
        <w:adjustRightInd w:val="0"/>
        <w:contextualSpacing/>
        <w:rPr>
          <w:rFonts w:asciiTheme="majorHAnsi" w:hAnsiTheme="majorHAnsi" w:cstheme="majorHAnsi"/>
          <w:szCs w:val="20"/>
        </w:rPr>
      </w:pPr>
      <w:r w:rsidRPr="00E80636">
        <w:rPr>
          <w:rFonts w:asciiTheme="majorHAnsi" w:hAnsiTheme="majorHAnsi" w:cstheme="majorHAnsi"/>
          <w:szCs w:val="20"/>
        </w:rPr>
        <w:t xml:space="preserve">The majority of students (75%) agree that faculty are respectful of different political beliefs, whereas 10% of students do not agree with this statement. </w:t>
      </w:r>
    </w:p>
    <w:p w:rsidR="00B8746D" w:rsidRPr="00E80636" w:rsidRDefault="00B8746D" w:rsidP="006C308E">
      <w:pPr>
        <w:pStyle w:val="ListParagraph"/>
        <w:numPr>
          <w:ilvl w:val="0"/>
          <w:numId w:val="59"/>
        </w:numPr>
        <w:autoSpaceDE w:val="0"/>
        <w:autoSpaceDN w:val="0"/>
        <w:adjustRightInd w:val="0"/>
        <w:contextualSpacing/>
        <w:rPr>
          <w:rFonts w:asciiTheme="majorHAnsi" w:hAnsiTheme="majorHAnsi" w:cstheme="majorHAnsi"/>
          <w:szCs w:val="20"/>
        </w:rPr>
      </w:pPr>
      <w:r w:rsidRPr="00E80636">
        <w:rPr>
          <w:rFonts w:asciiTheme="majorHAnsi" w:hAnsiTheme="majorHAnsi" w:cstheme="majorHAnsi"/>
          <w:szCs w:val="20"/>
        </w:rPr>
        <w:t xml:space="preserve">The majority of students (88%) agree that faculty are respectful of international faculty, staff, and students, whereas 4% of students do not agree with this statement. </w:t>
      </w:r>
    </w:p>
    <w:p w:rsidR="00B8746D" w:rsidRPr="00E80636" w:rsidRDefault="00B8746D" w:rsidP="006C308E">
      <w:pPr>
        <w:pStyle w:val="ListParagraph"/>
        <w:numPr>
          <w:ilvl w:val="0"/>
          <w:numId w:val="59"/>
        </w:numPr>
        <w:autoSpaceDE w:val="0"/>
        <w:autoSpaceDN w:val="0"/>
        <w:adjustRightInd w:val="0"/>
        <w:contextualSpacing/>
        <w:rPr>
          <w:rFonts w:asciiTheme="majorHAnsi" w:hAnsiTheme="majorHAnsi" w:cstheme="majorHAnsi"/>
          <w:szCs w:val="20"/>
        </w:rPr>
      </w:pPr>
      <w:r w:rsidRPr="00E80636">
        <w:rPr>
          <w:rFonts w:asciiTheme="majorHAnsi" w:hAnsiTheme="majorHAnsi" w:cstheme="majorHAnsi"/>
          <w:szCs w:val="20"/>
        </w:rPr>
        <w:t xml:space="preserve">The overwhelming majority of students perceived that those with different sexual orientations, gender identities, political beliefs, religions, physical and mental abilities, socioeconomic statutes, and countries of origin were accepted socially at SPH. </w:t>
      </w:r>
    </w:p>
    <w:p w:rsidR="00B8746D" w:rsidRPr="00E80636" w:rsidRDefault="00B8746D" w:rsidP="006C308E">
      <w:pPr>
        <w:autoSpaceDE w:val="0"/>
        <w:autoSpaceDN w:val="0"/>
        <w:adjustRightInd w:val="0"/>
        <w:ind w:left="720"/>
        <w:contextualSpacing/>
        <w:rPr>
          <w:rFonts w:asciiTheme="majorHAnsi" w:hAnsiTheme="majorHAnsi" w:cstheme="majorHAnsi"/>
          <w:sz w:val="20"/>
          <w:szCs w:val="20"/>
        </w:rPr>
      </w:pPr>
    </w:p>
    <w:p w:rsidR="00B8746D" w:rsidRPr="00E80636" w:rsidRDefault="00B8746D" w:rsidP="006C308E">
      <w:pPr>
        <w:ind w:left="720"/>
        <w:rPr>
          <w:rFonts w:asciiTheme="majorHAnsi" w:eastAsia="Arial" w:hAnsiTheme="majorHAnsi" w:cstheme="majorHAnsi"/>
          <w:b/>
          <w:sz w:val="20"/>
          <w:szCs w:val="20"/>
        </w:rPr>
      </w:pPr>
      <w:r w:rsidRPr="00E80636">
        <w:rPr>
          <w:rFonts w:asciiTheme="majorHAnsi" w:eastAsia="Arial" w:hAnsiTheme="majorHAnsi" w:cstheme="majorHAnsi"/>
          <w:b/>
          <w:sz w:val="20"/>
          <w:szCs w:val="20"/>
        </w:rPr>
        <w:t>Major Themes from 2016–2017 Listening Sessions</w:t>
      </w:r>
    </w:p>
    <w:p w:rsidR="00B8746D" w:rsidRPr="00E80636" w:rsidRDefault="00B8746D" w:rsidP="006C308E">
      <w:pPr>
        <w:pStyle w:val="ListParagraph"/>
        <w:numPr>
          <w:ilvl w:val="0"/>
          <w:numId w:val="60"/>
        </w:numPr>
        <w:rPr>
          <w:rFonts w:asciiTheme="majorHAnsi" w:eastAsia="Arial" w:hAnsiTheme="majorHAnsi" w:cstheme="majorHAnsi"/>
          <w:szCs w:val="20"/>
        </w:rPr>
      </w:pPr>
      <w:r w:rsidRPr="00E80636">
        <w:rPr>
          <w:rFonts w:asciiTheme="majorHAnsi" w:eastAsia="Arial" w:hAnsiTheme="majorHAnsi" w:cstheme="majorHAnsi"/>
          <w:szCs w:val="20"/>
        </w:rPr>
        <w:t>Student listening sessions (n = 2)</w:t>
      </w:r>
    </w:p>
    <w:p w:rsidR="00B8746D" w:rsidRPr="00E80636" w:rsidRDefault="00B8746D" w:rsidP="006C308E">
      <w:pPr>
        <w:pStyle w:val="ListParagraph"/>
        <w:numPr>
          <w:ilvl w:val="1"/>
          <w:numId w:val="60"/>
        </w:numPr>
        <w:rPr>
          <w:rFonts w:asciiTheme="majorHAnsi" w:eastAsia="Arial" w:hAnsiTheme="majorHAnsi" w:cstheme="majorHAnsi"/>
          <w:szCs w:val="20"/>
        </w:rPr>
      </w:pPr>
      <w:r w:rsidRPr="00E80636">
        <w:rPr>
          <w:rFonts w:asciiTheme="majorHAnsi" w:eastAsia="Arial" w:hAnsiTheme="majorHAnsi" w:cstheme="majorHAnsi"/>
          <w:szCs w:val="20"/>
        </w:rPr>
        <w:t>Increase opportunities to interact with students and faculty from other programs</w:t>
      </w:r>
    </w:p>
    <w:p w:rsidR="00B8746D" w:rsidRPr="00E80636" w:rsidRDefault="00B8746D" w:rsidP="006C308E">
      <w:pPr>
        <w:pStyle w:val="ListParagraph"/>
        <w:numPr>
          <w:ilvl w:val="1"/>
          <w:numId w:val="60"/>
        </w:numPr>
        <w:rPr>
          <w:rFonts w:asciiTheme="majorHAnsi" w:eastAsia="Arial" w:hAnsiTheme="majorHAnsi" w:cstheme="majorHAnsi"/>
          <w:szCs w:val="20"/>
        </w:rPr>
      </w:pPr>
      <w:r w:rsidRPr="00E80636">
        <w:rPr>
          <w:rFonts w:asciiTheme="majorHAnsi" w:eastAsia="Arial" w:hAnsiTheme="majorHAnsi" w:cstheme="majorHAnsi"/>
          <w:szCs w:val="20"/>
        </w:rPr>
        <w:t>Increase awareness and education of diversity and cultural sensitivity</w:t>
      </w:r>
    </w:p>
    <w:p w:rsidR="00B8746D" w:rsidRPr="00E80636" w:rsidRDefault="00B8746D" w:rsidP="006C308E">
      <w:pPr>
        <w:pStyle w:val="ListParagraph"/>
        <w:numPr>
          <w:ilvl w:val="1"/>
          <w:numId w:val="60"/>
        </w:numPr>
        <w:rPr>
          <w:rFonts w:asciiTheme="majorHAnsi" w:eastAsia="Arial" w:hAnsiTheme="majorHAnsi" w:cstheme="majorHAnsi"/>
          <w:szCs w:val="20"/>
        </w:rPr>
      </w:pPr>
      <w:r w:rsidRPr="00E80636">
        <w:rPr>
          <w:rFonts w:asciiTheme="majorHAnsi" w:eastAsia="Arial" w:hAnsiTheme="majorHAnsi" w:cstheme="majorHAnsi"/>
          <w:szCs w:val="20"/>
        </w:rPr>
        <w:t>Increase minorities in leadership positions</w:t>
      </w:r>
    </w:p>
    <w:p w:rsidR="00B8746D" w:rsidRPr="00E80636" w:rsidRDefault="00B8746D" w:rsidP="006C308E">
      <w:pPr>
        <w:pStyle w:val="ListParagraph"/>
        <w:numPr>
          <w:ilvl w:val="0"/>
          <w:numId w:val="60"/>
        </w:numPr>
        <w:rPr>
          <w:rFonts w:asciiTheme="majorHAnsi" w:eastAsia="Arial" w:hAnsiTheme="majorHAnsi" w:cstheme="majorHAnsi"/>
          <w:szCs w:val="20"/>
        </w:rPr>
      </w:pPr>
      <w:r w:rsidRPr="00E80636">
        <w:rPr>
          <w:rFonts w:asciiTheme="majorHAnsi" w:eastAsia="Arial" w:hAnsiTheme="majorHAnsi" w:cstheme="majorHAnsi"/>
          <w:szCs w:val="20"/>
        </w:rPr>
        <w:t>Faculty listening sessions (n = 4)</w:t>
      </w:r>
    </w:p>
    <w:p w:rsidR="00B8746D" w:rsidRPr="00E80636" w:rsidRDefault="00B8746D" w:rsidP="006C308E">
      <w:pPr>
        <w:numPr>
          <w:ilvl w:val="1"/>
          <w:numId w:val="60"/>
        </w:numPr>
        <w:rPr>
          <w:rFonts w:asciiTheme="majorHAnsi" w:eastAsia="Arial" w:hAnsiTheme="majorHAnsi" w:cstheme="majorHAnsi"/>
          <w:sz w:val="20"/>
          <w:szCs w:val="20"/>
        </w:rPr>
      </w:pPr>
      <w:r w:rsidRPr="00E80636">
        <w:rPr>
          <w:rFonts w:asciiTheme="majorHAnsi" w:eastAsia="Arial" w:hAnsiTheme="majorHAnsi" w:cstheme="majorHAnsi"/>
          <w:sz w:val="20"/>
          <w:szCs w:val="20"/>
        </w:rPr>
        <w:t>Increase minority faculty recruitment, retention, and promotion into leadership positions</w:t>
      </w:r>
    </w:p>
    <w:p w:rsidR="00B8746D" w:rsidRPr="00E80636" w:rsidRDefault="00B8746D" w:rsidP="006C308E">
      <w:pPr>
        <w:numPr>
          <w:ilvl w:val="1"/>
          <w:numId w:val="60"/>
        </w:numPr>
        <w:rPr>
          <w:rFonts w:asciiTheme="majorHAnsi" w:eastAsia="Arial" w:hAnsiTheme="majorHAnsi" w:cstheme="majorHAnsi"/>
          <w:sz w:val="20"/>
          <w:szCs w:val="20"/>
        </w:rPr>
      </w:pPr>
      <w:r w:rsidRPr="00E80636">
        <w:rPr>
          <w:rFonts w:asciiTheme="majorHAnsi" w:eastAsia="Arial" w:hAnsiTheme="majorHAnsi" w:cstheme="majorHAnsi"/>
          <w:sz w:val="20"/>
          <w:szCs w:val="20"/>
        </w:rPr>
        <w:t>Ensure equity in pay, tenure, and promotion</w:t>
      </w:r>
    </w:p>
    <w:p w:rsidR="00B8746D" w:rsidRPr="00E80636" w:rsidRDefault="00B8746D" w:rsidP="006C308E">
      <w:pPr>
        <w:numPr>
          <w:ilvl w:val="1"/>
          <w:numId w:val="60"/>
        </w:numPr>
        <w:rPr>
          <w:rFonts w:asciiTheme="majorHAnsi" w:eastAsia="Arial" w:hAnsiTheme="majorHAnsi" w:cstheme="majorHAnsi"/>
          <w:sz w:val="20"/>
          <w:szCs w:val="20"/>
        </w:rPr>
      </w:pPr>
      <w:r w:rsidRPr="00E80636">
        <w:rPr>
          <w:rFonts w:asciiTheme="majorHAnsi" w:eastAsia="Arial" w:hAnsiTheme="majorHAnsi" w:cstheme="majorHAnsi"/>
          <w:sz w:val="20"/>
          <w:szCs w:val="20"/>
        </w:rPr>
        <w:t>Align student and faculty demographics</w:t>
      </w:r>
    </w:p>
    <w:p w:rsidR="00B8746D" w:rsidRPr="00E80636" w:rsidRDefault="00B8746D" w:rsidP="006C308E">
      <w:pPr>
        <w:numPr>
          <w:ilvl w:val="1"/>
          <w:numId w:val="60"/>
        </w:numPr>
        <w:rPr>
          <w:rFonts w:asciiTheme="majorHAnsi" w:eastAsia="Arial" w:hAnsiTheme="majorHAnsi" w:cstheme="majorHAnsi"/>
          <w:sz w:val="20"/>
          <w:szCs w:val="20"/>
        </w:rPr>
      </w:pPr>
      <w:r w:rsidRPr="00E80636">
        <w:rPr>
          <w:rFonts w:asciiTheme="majorHAnsi" w:eastAsia="Arial" w:hAnsiTheme="majorHAnsi" w:cstheme="majorHAnsi"/>
          <w:sz w:val="20"/>
          <w:szCs w:val="20"/>
        </w:rPr>
        <w:t>Provide resources and training on how to support students from different backgrounds</w:t>
      </w:r>
    </w:p>
    <w:p w:rsidR="00B8746D" w:rsidRPr="00E80636" w:rsidRDefault="00B8746D" w:rsidP="006C308E">
      <w:pPr>
        <w:numPr>
          <w:ilvl w:val="1"/>
          <w:numId w:val="60"/>
        </w:numPr>
        <w:rPr>
          <w:rFonts w:asciiTheme="majorHAnsi" w:eastAsia="Arial" w:hAnsiTheme="majorHAnsi" w:cstheme="majorHAnsi"/>
          <w:sz w:val="20"/>
          <w:szCs w:val="20"/>
        </w:rPr>
      </w:pPr>
      <w:r w:rsidRPr="00E80636">
        <w:rPr>
          <w:rFonts w:asciiTheme="majorHAnsi" w:eastAsia="Arial" w:hAnsiTheme="majorHAnsi" w:cstheme="majorHAnsi"/>
          <w:sz w:val="20"/>
          <w:szCs w:val="20"/>
        </w:rPr>
        <w:t>Ensure physical space supports diverse needs (e.g., pumping room)</w:t>
      </w:r>
    </w:p>
    <w:p w:rsidR="00B8746D" w:rsidRPr="00E80636" w:rsidRDefault="00B8746D" w:rsidP="006C308E">
      <w:pPr>
        <w:pStyle w:val="ListParagraph"/>
        <w:numPr>
          <w:ilvl w:val="0"/>
          <w:numId w:val="60"/>
        </w:numPr>
        <w:rPr>
          <w:rFonts w:asciiTheme="majorHAnsi" w:eastAsia="Arial" w:hAnsiTheme="majorHAnsi" w:cstheme="majorHAnsi"/>
          <w:szCs w:val="20"/>
        </w:rPr>
      </w:pPr>
      <w:r w:rsidRPr="00E80636">
        <w:rPr>
          <w:rFonts w:asciiTheme="majorHAnsi" w:eastAsia="Arial" w:hAnsiTheme="majorHAnsi" w:cstheme="majorHAnsi"/>
          <w:szCs w:val="20"/>
        </w:rPr>
        <w:t>Staff listening sessions (n = 3)</w:t>
      </w:r>
    </w:p>
    <w:p w:rsidR="00B8746D" w:rsidRPr="00E80636" w:rsidRDefault="00B8746D" w:rsidP="006C308E">
      <w:pPr>
        <w:numPr>
          <w:ilvl w:val="1"/>
          <w:numId w:val="60"/>
        </w:numPr>
        <w:rPr>
          <w:rFonts w:asciiTheme="majorHAnsi" w:eastAsia="Arial" w:hAnsiTheme="majorHAnsi" w:cstheme="majorHAnsi"/>
          <w:sz w:val="20"/>
          <w:szCs w:val="20"/>
        </w:rPr>
      </w:pPr>
      <w:r w:rsidRPr="00E80636">
        <w:rPr>
          <w:rFonts w:asciiTheme="majorHAnsi" w:eastAsia="Arial" w:hAnsiTheme="majorHAnsi" w:cstheme="majorHAnsi"/>
          <w:sz w:val="20"/>
          <w:szCs w:val="20"/>
        </w:rPr>
        <w:t>Increase connectedness to the institution, staff appreciation, and respect by faculty and students</w:t>
      </w:r>
    </w:p>
    <w:p w:rsidR="00B8746D" w:rsidRPr="00E80636" w:rsidRDefault="00B8746D" w:rsidP="006C308E">
      <w:pPr>
        <w:numPr>
          <w:ilvl w:val="1"/>
          <w:numId w:val="60"/>
        </w:numPr>
        <w:rPr>
          <w:rFonts w:asciiTheme="majorHAnsi" w:eastAsia="Arial" w:hAnsiTheme="majorHAnsi" w:cstheme="majorHAnsi"/>
          <w:sz w:val="20"/>
          <w:szCs w:val="20"/>
        </w:rPr>
      </w:pPr>
      <w:r w:rsidRPr="00E80636">
        <w:rPr>
          <w:rFonts w:asciiTheme="majorHAnsi" w:eastAsia="Arial" w:hAnsiTheme="majorHAnsi" w:cstheme="majorHAnsi"/>
          <w:sz w:val="20"/>
          <w:szCs w:val="20"/>
        </w:rPr>
        <w:t>Increase awareness of employee services and training opportunities</w:t>
      </w:r>
    </w:p>
    <w:p w:rsidR="00B8746D" w:rsidRPr="00E80636" w:rsidRDefault="00B8746D" w:rsidP="006C308E">
      <w:pPr>
        <w:numPr>
          <w:ilvl w:val="1"/>
          <w:numId w:val="60"/>
        </w:numPr>
        <w:rPr>
          <w:rFonts w:asciiTheme="majorHAnsi" w:eastAsia="Arial" w:hAnsiTheme="majorHAnsi" w:cstheme="majorHAnsi"/>
          <w:sz w:val="20"/>
          <w:szCs w:val="20"/>
        </w:rPr>
      </w:pPr>
      <w:r w:rsidRPr="00E80636">
        <w:rPr>
          <w:rFonts w:asciiTheme="majorHAnsi" w:eastAsia="Arial" w:hAnsiTheme="majorHAnsi" w:cstheme="majorHAnsi"/>
          <w:sz w:val="20"/>
          <w:szCs w:val="20"/>
        </w:rPr>
        <w:t>Provide resources and training on how to support students from different backgrounds</w:t>
      </w:r>
    </w:p>
    <w:p w:rsidR="00073BD9" w:rsidRPr="00E80636" w:rsidRDefault="00073BD9" w:rsidP="006C308E">
      <w:pPr>
        <w:pStyle w:val="ListParagraph"/>
        <w:rPr>
          <w:rFonts w:asciiTheme="majorHAnsi" w:hAnsiTheme="majorHAnsi" w:cstheme="majorHAnsi"/>
          <w:szCs w:val="20"/>
        </w:rPr>
      </w:pPr>
    </w:p>
    <w:p w:rsidR="00933038" w:rsidRPr="00E80636" w:rsidRDefault="00933038" w:rsidP="006C308E">
      <w:pPr>
        <w:keepNext/>
        <w:numPr>
          <w:ilvl w:val="0"/>
          <w:numId w:val="41"/>
        </w:numPr>
        <w:contextualSpacing/>
        <w:jc w:val="both"/>
        <w:rPr>
          <w:rFonts w:asciiTheme="majorHAnsi" w:hAnsiTheme="majorHAnsi" w:cstheme="majorHAnsi"/>
          <w:sz w:val="20"/>
          <w:szCs w:val="20"/>
        </w:rPr>
      </w:pPr>
      <w:r w:rsidRPr="00E80636">
        <w:rPr>
          <w:rFonts w:asciiTheme="majorHAnsi" w:hAnsiTheme="majorHAnsi" w:cstheme="majorHAnsi"/>
          <w:sz w:val="20"/>
          <w:szCs w:val="20"/>
        </w:rPr>
        <w:t>If applicable, assess strengths and weaknesses related to this criterion and plans for improvement in this area.</w:t>
      </w:r>
      <w:bookmarkStart w:id="153" w:name="_Toc464487897"/>
    </w:p>
    <w:p w:rsidR="00643789" w:rsidRPr="00E80636" w:rsidRDefault="00643789" w:rsidP="006C308E">
      <w:pPr>
        <w:ind w:left="720"/>
        <w:rPr>
          <w:rFonts w:asciiTheme="majorHAnsi" w:hAnsiTheme="majorHAnsi" w:cstheme="majorHAnsi"/>
          <w:b/>
          <w:sz w:val="20"/>
          <w:szCs w:val="20"/>
        </w:rPr>
      </w:pPr>
    </w:p>
    <w:p w:rsidR="00643789" w:rsidRPr="00E80636" w:rsidRDefault="00643789" w:rsidP="006C308E">
      <w:pPr>
        <w:ind w:left="720"/>
        <w:rPr>
          <w:rFonts w:asciiTheme="majorHAnsi" w:hAnsiTheme="majorHAnsi" w:cstheme="majorHAnsi"/>
          <w:b/>
          <w:sz w:val="20"/>
          <w:szCs w:val="20"/>
        </w:rPr>
      </w:pPr>
      <w:r w:rsidRPr="00E80636">
        <w:rPr>
          <w:rFonts w:asciiTheme="majorHAnsi" w:hAnsiTheme="majorHAnsi" w:cstheme="majorHAnsi"/>
          <w:b/>
          <w:sz w:val="20"/>
          <w:szCs w:val="20"/>
        </w:rPr>
        <w:t>Strength:</w:t>
      </w:r>
    </w:p>
    <w:p w:rsidR="00643789" w:rsidRPr="00E80636" w:rsidRDefault="00643789" w:rsidP="006C308E">
      <w:pPr>
        <w:pStyle w:val="ListParagraph"/>
        <w:numPr>
          <w:ilvl w:val="0"/>
          <w:numId w:val="187"/>
        </w:numPr>
        <w:spacing w:after="160"/>
        <w:ind w:left="1440"/>
        <w:contextualSpacing/>
        <w:rPr>
          <w:rFonts w:asciiTheme="majorHAnsi" w:hAnsiTheme="majorHAnsi" w:cstheme="majorHAnsi"/>
          <w:szCs w:val="20"/>
        </w:rPr>
      </w:pPr>
      <w:r w:rsidRPr="00E80636">
        <w:rPr>
          <w:rFonts w:asciiTheme="majorHAnsi" w:hAnsiTheme="majorHAnsi" w:cstheme="majorHAnsi"/>
          <w:szCs w:val="20"/>
        </w:rPr>
        <w:t xml:space="preserve">The UTHealth School of Public Health’s Diversity Committee is composed of students, faculty, and staff who are committed to influencing the school’s culture. This committee has conducted an extensive needs assessment to understand the gaps in diversity and cultural competence at the school, and has reached out to other institutions to understand best practices for creating a diverse, culturally competent culture. </w:t>
      </w:r>
    </w:p>
    <w:p w:rsidR="00933038" w:rsidRPr="00E80636" w:rsidRDefault="00933038" w:rsidP="006C308E">
      <w:pPr>
        <w:keepNext/>
        <w:ind w:left="720"/>
        <w:contextualSpacing/>
        <w:jc w:val="both"/>
        <w:rPr>
          <w:rFonts w:asciiTheme="majorHAnsi" w:hAnsiTheme="majorHAnsi" w:cstheme="majorHAnsi"/>
          <w:i/>
          <w:sz w:val="20"/>
          <w:szCs w:val="20"/>
        </w:rPr>
      </w:pPr>
    </w:p>
    <w:p w:rsidR="00643789" w:rsidRPr="00E80636" w:rsidRDefault="00B8746D" w:rsidP="006C308E">
      <w:pPr>
        <w:keepNext/>
        <w:ind w:left="720"/>
        <w:rPr>
          <w:rFonts w:asciiTheme="majorHAnsi" w:hAnsiTheme="majorHAnsi" w:cstheme="majorHAnsi"/>
          <w:sz w:val="20"/>
          <w:szCs w:val="20"/>
        </w:rPr>
      </w:pPr>
      <w:r w:rsidRPr="00E80636">
        <w:rPr>
          <w:rFonts w:asciiTheme="majorHAnsi" w:hAnsiTheme="majorHAnsi" w:cstheme="majorHAnsi"/>
          <w:b/>
          <w:sz w:val="20"/>
          <w:szCs w:val="20"/>
        </w:rPr>
        <w:t>Weaknesses</w:t>
      </w:r>
      <w:r w:rsidRPr="00E80636">
        <w:rPr>
          <w:rFonts w:asciiTheme="majorHAnsi" w:hAnsiTheme="majorHAnsi" w:cstheme="majorHAnsi"/>
          <w:sz w:val="20"/>
          <w:szCs w:val="20"/>
        </w:rPr>
        <w:t xml:space="preserve">: </w:t>
      </w:r>
    </w:p>
    <w:p w:rsidR="00643789" w:rsidRPr="00E80636" w:rsidRDefault="00643789" w:rsidP="006C308E">
      <w:pPr>
        <w:pStyle w:val="ListParagraph"/>
        <w:numPr>
          <w:ilvl w:val="1"/>
          <w:numId w:val="187"/>
        </w:numPr>
        <w:spacing w:after="160"/>
        <w:contextualSpacing/>
        <w:rPr>
          <w:rFonts w:asciiTheme="majorHAnsi" w:hAnsiTheme="majorHAnsi" w:cstheme="majorHAnsi"/>
          <w:szCs w:val="20"/>
        </w:rPr>
      </w:pPr>
      <w:r w:rsidRPr="00E80636">
        <w:rPr>
          <w:rFonts w:asciiTheme="majorHAnsi" w:hAnsiTheme="majorHAnsi" w:cstheme="majorHAnsi"/>
          <w:szCs w:val="20"/>
        </w:rPr>
        <w:t>The self-study process revealed an important finding of a major disparity in student acceptance rate by race/ethnicity at the UTHealth School of Public Health. This finding was previously unknown because data on race/ethnicity have been typically analyzed for the entire student population, not for domestic students only, so this disparity was overlooked. These data have been shared with the Diversity Committee and the Admissions Committee.  We will continue to investigate the causes of this racial/ethnic disparity and will train all faculty on the admissions committee to identify and address implicit bias in the admissions process.</w:t>
      </w:r>
    </w:p>
    <w:p w:rsidR="00933038" w:rsidRPr="00E80636" w:rsidRDefault="00933038" w:rsidP="007A68BE">
      <w:pPr>
        <w:pStyle w:val="Heading1"/>
      </w:pPr>
      <w:bookmarkStart w:id="154" w:name="_Toc7118230"/>
      <w:r w:rsidRPr="00E80636">
        <w:rPr>
          <w:rStyle w:val="Heading1Char"/>
          <w:b/>
        </w:rPr>
        <w:t>H1. Academic Advising</w:t>
      </w:r>
      <w:bookmarkEnd w:id="153"/>
      <w:bookmarkEnd w:id="154"/>
      <w:r w:rsidRPr="00E80636">
        <w:t xml:space="preserve"> </w:t>
      </w:r>
    </w:p>
    <w:p w:rsidR="00933038" w:rsidRPr="00E80636" w:rsidRDefault="00933038" w:rsidP="006C308E">
      <w:pPr>
        <w:jc w:val="both"/>
        <w:rPr>
          <w:rFonts w:asciiTheme="majorHAnsi" w:hAnsiTheme="majorHAnsi" w:cstheme="majorHAnsi"/>
          <w:b/>
          <w:sz w:val="20"/>
          <w:szCs w:val="20"/>
        </w:rPr>
      </w:pPr>
    </w:p>
    <w:p w:rsidR="00933038" w:rsidRPr="00E80636" w:rsidRDefault="00933038" w:rsidP="006C308E">
      <w:pPr>
        <w:jc w:val="both"/>
        <w:rPr>
          <w:rFonts w:asciiTheme="majorHAnsi" w:hAnsiTheme="majorHAnsi" w:cstheme="majorHAnsi"/>
          <w:b/>
          <w:sz w:val="20"/>
          <w:szCs w:val="20"/>
        </w:rPr>
      </w:pPr>
      <w:r w:rsidRPr="00E80636">
        <w:rPr>
          <w:rFonts w:asciiTheme="majorHAnsi" w:hAnsiTheme="majorHAnsi" w:cstheme="majorHAnsi"/>
          <w:b/>
          <w:sz w:val="20"/>
          <w:szCs w:val="20"/>
        </w:rPr>
        <w:t xml:space="preserve">The school provides an accessible and supportive academic advising system for students. Each student has access, from the time of enrollment, to advisors who are actively engaged and knowledgeable about the school’s curricula and about specific courses and </w:t>
      </w:r>
      <w:r w:rsidR="00025EAF" w:rsidRPr="00E80636">
        <w:rPr>
          <w:rFonts w:asciiTheme="majorHAnsi" w:hAnsiTheme="majorHAnsi" w:cstheme="majorHAnsi"/>
          <w:b/>
          <w:sz w:val="20"/>
          <w:szCs w:val="20"/>
        </w:rPr>
        <w:t>programs</w:t>
      </w:r>
      <w:r w:rsidRPr="00E80636">
        <w:rPr>
          <w:rFonts w:asciiTheme="majorHAnsi" w:hAnsiTheme="majorHAnsi" w:cstheme="majorHAnsi"/>
          <w:b/>
          <w:sz w:val="20"/>
          <w:szCs w:val="20"/>
        </w:rPr>
        <w:t xml:space="preserve"> of study. Qualified faculty and/or staff serve as advisors in monitoring student progress and identifying and supporting those who may experience difficulty in progressing through courses or completing other degree requirements. Orientation, including written guidance, is provided to all entering students.</w:t>
      </w:r>
    </w:p>
    <w:p w:rsidR="00933038" w:rsidRPr="00E80636" w:rsidRDefault="00933038" w:rsidP="006C308E">
      <w:pPr>
        <w:jc w:val="both"/>
        <w:rPr>
          <w:rFonts w:asciiTheme="majorHAnsi" w:hAnsiTheme="majorHAnsi" w:cstheme="majorHAnsi"/>
          <w:sz w:val="20"/>
          <w:szCs w:val="20"/>
        </w:rPr>
      </w:pPr>
    </w:p>
    <w:p w:rsidR="00933038" w:rsidRPr="00E80636" w:rsidRDefault="00933038" w:rsidP="006C308E">
      <w:pPr>
        <w:numPr>
          <w:ilvl w:val="0"/>
          <w:numId w:val="42"/>
        </w:numPr>
        <w:jc w:val="both"/>
        <w:rPr>
          <w:rFonts w:asciiTheme="majorHAnsi" w:hAnsiTheme="majorHAnsi" w:cstheme="majorHAnsi"/>
          <w:sz w:val="20"/>
          <w:szCs w:val="20"/>
        </w:rPr>
      </w:pPr>
      <w:r w:rsidRPr="00E80636">
        <w:rPr>
          <w:rFonts w:asciiTheme="majorHAnsi" w:hAnsiTheme="majorHAnsi" w:cstheme="majorHAnsi"/>
          <w:sz w:val="20"/>
          <w:szCs w:val="20"/>
        </w:rPr>
        <w:t xml:space="preserve">Describe the school’s academic advising services. If services differ by degree and/or concentration, a description should be provided for each public health degree offering. </w:t>
      </w:r>
    </w:p>
    <w:p w:rsidR="00933038" w:rsidRPr="00E80636" w:rsidRDefault="00933038" w:rsidP="006C308E">
      <w:pPr>
        <w:ind w:left="720"/>
        <w:rPr>
          <w:rFonts w:asciiTheme="majorHAnsi" w:hAnsiTheme="majorHAnsi" w:cstheme="majorHAnsi"/>
          <w:sz w:val="20"/>
          <w:szCs w:val="20"/>
        </w:rPr>
      </w:pPr>
    </w:p>
    <w:p w:rsidR="00510864" w:rsidRPr="00E80636" w:rsidRDefault="00510864" w:rsidP="006C308E">
      <w:pPr>
        <w:ind w:left="720" w:right="63"/>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 xml:space="preserve">The UTHealth School of Public Health has an established academic advising system that provides comprehensive guidance and support to students from admission to graduation. All students have access to three types of advisors during their tenure at the school: (1) a faculty advisor, (2) departmental or campus-specific staff advisors, and (3) staff advisors from the Office of Academic Affairs and Student Services. Academic advising covers the areas of degree planning, course selection, goal setting, career planning, integrated learning experiences, preliminary examinations, practica, theses, and dissertations.  </w:t>
      </w:r>
    </w:p>
    <w:p w:rsidR="00510864" w:rsidRPr="00E80636" w:rsidRDefault="00510864" w:rsidP="006C308E">
      <w:pPr>
        <w:ind w:left="720" w:right="63"/>
        <w:rPr>
          <w:rFonts w:asciiTheme="majorHAnsi" w:eastAsia="Times New Roman" w:hAnsiTheme="majorHAnsi" w:cstheme="majorHAnsi"/>
          <w:color w:val="000000"/>
          <w:sz w:val="20"/>
          <w:szCs w:val="20"/>
        </w:rPr>
      </w:pPr>
    </w:p>
    <w:p w:rsidR="00510864" w:rsidRPr="00E80636" w:rsidRDefault="00510864" w:rsidP="006C308E">
      <w:pPr>
        <w:ind w:left="720" w:right="63"/>
        <w:rPr>
          <w:rFonts w:asciiTheme="majorHAnsi" w:eastAsia="Times New Roman" w:hAnsiTheme="majorHAnsi" w:cstheme="majorHAnsi"/>
          <w:sz w:val="20"/>
          <w:szCs w:val="20"/>
        </w:rPr>
      </w:pPr>
      <w:r w:rsidRPr="00E80636">
        <w:rPr>
          <w:rFonts w:asciiTheme="majorHAnsi" w:eastAsia="Times New Roman" w:hAnsiTheme="majorHAnsi" w:cstheme="majorHAnsi"/>
          <w:b/>
          <w:color w:val="000000"/>
          <w:sz w:val="20"/>
          <w:szCs w:val="20"/>
        </w:rPr>
        <w:t>Faculty Advisor</w:t>
      </w:r>
      <w:r w:rsidRPr="00E80636">
        <w:rPr>
          <w:rFonts w:asciiTheme="majorHAnsi" w:eastAsia="Times New Roman" w:hAnsiTheme="majorHAnsi" w:cstheme="majorHAnsi"/>
          <w:color w:val="000000"/>
          <w:sz w:val="20"/>
          <w:szCs w:val="20"/>
        </w:rPr>
        <w:t xml:space="preserve"> – During the admissions process, primary faculty members are identified as advisors for students based on their degree program, campus, and public health interests. The faculty advisor offers students support and addresses questions or concerns regarding academic programs and other issues, as needed throughout their academic career, specifically advising on course and research interests, providing thesis or dissertation oversight, as well as offering career guidance. Faculty and students meet at minimum every fall and spring semester to evaluate their progress</w:t>
      </w:r>
      <w:r w:rsidR="00B166DD" w:rsidRPr="00E80636">
        <w:rPr>
          <w:rFonts w:asciiTheme="majorHAnsi" w:eastAsia="Times New Roman" w:hAnsiTheme="majorHAnsi" w:cstheme="majorHAnsi"/>
          <w:color w:val="000000"/>
          <w:sz w:val="20"/>
          <w:szCs w:val="20"/>
        </w:rPr>
        <w:t xml:space="preserve"> (see electronic resource files, H1. Academic </w:t>
      </w:r>
      <w:r w:rsidR="00AD6F36" w:rsidRPr="00E80636">
        <w:rPr>
          <w:rFonts w:asciiTheme="majorHAnsi" w:eastAsia="Times New Roman" w:hAnsiTheme="majorHAnsi" w:cstheme="majorHAnsi"/>
          <w:color w:val="000000"/>
          <w:sz w:val="20"/>
          <w:szCs w:val="20"/>
        </w:rPr>
        <w:t xml:space="preserve">Advising. </w:t>
      </w:r>
    </w:p>
    <w:p w:rsidR="00510864" w:rsidRPr="00E80636" w:rsidRDefault="00510864" w:rsidP="006C308E">
      <w:pPr>
        <w:ind w:left="720"/>
        <w:rPr>
          <w:rFonts w:asciiTheme="majorHAnsi" w:eastAsia="Times New Roman" w:hAnsiTheme="majorHAnsi" w:cstheme="majorHAnsi"/>
          <w:sz w:val="20"/>
          <w:szCs w:val="20"/>
        </w:rPr>
      </w:pPr>
    </w:p>
    <w:p w:rsidR="00510864" w:rsidRPr="00E80636" w:rsidRDefault="00510864" w:rsidP="006C308E">
      <w:pPr>
        <w:ind w:left="720" w:right="63"/>
        <w:rPr>
          <w:rFonts w:asciiTheme="majorHAnsi" w:eastAsia="Times New Roman" w:hAnsiTheme="majorHAnsi" w:cstheme="majorHAnsi"/>
          <w:color w:val="000000"/>
          <w:sz w:val="20"/>
          <w:szCs w:val="20"/>
        </w:rPr>
      </w:pPr>
      <w:r w:rsidRPr="00E80636">
        <w:rPr>
          <w:rFonts w:asciiTheme="majorHAnsi" w:eastAsia="Times New Roman" w:hAnsiTheme="majorHAnsi" w:cstheme="majorHAnsi"/>
          <w:b/>
          <w:color w:val="000000"/>
          <w:sz w:val="20"/>
          <w:szCs w:val="20"/>
        </w:rPr>
        <w:t>Departmental/Campus Staff Advisor –</w:t>
      </w:r>
      <w:r w:rsidRPr="00E80636">
        <w:rPr>
          <w:rFonts w:asciiTheme="majorHAnsi" w:eastAsia="Times New Roman" w:hAnsiTheme="majorHAnsi" w:cstheme="majorHAnsi"/>
          <w:color w:val="000000"/>
          <w:sz w:val="20"/>
          <w:szCs w:val="20"/>
        </w:rPr>
        <w:t xml:space="preserve"> Each department and regional campus has one or more staff advisors to guide students throughout their degree program, as well as course selection, and to provide support to students as they move through their degree program. </w:t>
      </w:r>
    </w:p>
    <w:p w:rsidR="00510864" w:rsidRPr="00E80636" w:rsidRDefault="00510864" w:rsidP="006C308E">
      <w:pPr>
        <w:ind w:left="720" w:right="63"/>
        <w:rPr>
          <w:rFonts w:asciiTheme="majorHAnsi" w:eastAsia="Times New Roman" w:hAnsiTheme="majorHAnsi" w:cstheme="majorHAnsi"/>
          <w:color w:val="000000"/>
          <w:sz w:val="20"/>
          <w:szCs w:val="20"/>
        </w:rPr>
      </w:pPr>
    </w:p>
    <w:p w:rsidR="00510864" w:rsidRPr="00E80636" w:rsidRDefault="00510864" w:rsidP="006C308E">
      <w:pPr>
        <w:ind w:left="720" w:right="63"/>
        <w:rPr>
          <w:rFonts w:asciiTheme="majorHAnsi" w:eastAsia="Times New Roman" w:hAnsiTheme="majorHAnsi" w:cstheme="majorHAnsi"/>
          <w:sz w:val="20"/>
          <w:szCs w:val="20"/>
        </w:rPr>
      </w:pPr>
      <w:r w:rsidRPr="00E80636">
        <w:rPr>
          <w:rFonts w:asciiTheme="majorHAnsi" w:eastAsia="Times New Roman" w:hAnsiTheme="majorHAnsi" w:cstheme="majorHAnsi"/>
          <w:b/>
          <w:color w:val="000000"/>
          <w:sz w:val="20"/>
          <w:szCs w:val="20"/>
        </w:rPr>
        <w:t xml:space="preserve">Advisors in the Office of Academic Affairs and Student Services – </w:t>
      </w:r>
      <w:r w:rsidRPr="00E80636">
        <w:rPr>
          <w:rFonts w:asciiTheme="majorHAnsi" w:eastAsia="Times New Roman" w:hAnsiTheme="majorHAnsi" w:cstheme="majorHAnsi"/>
          <w:color w:val="000000"/>
          <w:sz w:val="20"/>
          <w:szCs w:val="20"/>
        </w:rPr>
        <w:t>Students have access to central advisors within the Office of Academic Affairs and Student Services who are available to all students, regardless of degree program, department, or campus. These central advisors can assist with degree audits, course registration, and academic guidance on policies. They also monitor student progress and identify students who may be experiencing difficulty in progressing through courses or completing other degree requirements each semester through a systemized process. Lastly, they offer support and guidance to all students as needed.</w:t>
      </w:r>
    </w:p>
    <w:p w:rsidR="00510864" w:rsidRPr="00E80636" w:rsidRDefault="00510864" w:rsidP="006C308E">
      <w:pPr>
        <w:ind w:left="720" w:right="63"/>
        <w:rPr>
          <w:rFonts w:asciiTheme="majorHAnsi" w:eastAsia="Times New Roman" w:hAnsiTheme="majorHAnsi" w:cstheme="majorHAnsi"/>
          <w:color w:val="000000"/>
          <w:sz w:val="20"/>
          <w:szCs w:val="20"/>
        </w:rPr>
      </w:pPr>
    </w:p>
    <w:p w:rsidR="00510864" w:rsidRPr="00E80636" w:rsidRDefault="00510864" w:rsidP="006C308E">
      <w:pPr>
        <w:ind w:left="720" w:right="63"/>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Students are encouraged to meet with a departmental, campus, or central advisor after meeting with their faculty advisor for academic and research guidance.</w:t>
      </w:r>
    </w:p>
    <w:p w:rsidR="00510864" w:rsidRPr="00E80636" w:rsidRDefault="00510864" w:rsidP="006C308E">
      <w:pPr>
        <w:ind w:left="720" w:right="63"/>
        <w:rPr>
          <w:rFonts w:asciiTheme="majorHAnsi" w:eastAsia="Times New Roman" w:hAnsiTheme="majorHAnsi" w:cstheme="majorHAnsi"/>
          <w:color w:val="000000"/>
          <w:sz w:val="20"/>
          <w:szCs w:val="20"/>
        </w:rPr>
      </w:pPr>
    </w:p>
    <w:p w:rsidR="00510864" w:rsidRPr="00E80636" w:rsidRDefault="00510864" w:rsidP="006C308E">
      <w:pPr>
        <w:ind w:left="720" w:right="63"/>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Dual-degree students, entered into the interdepartmental customized MPH program, are assigned a faculty advisor specific to their dual-degree program. Dual-degree students at the Houston campus are also assigned to the central advisor in the Office of Academic Affairs and Student Services. Dual-degree students at the regional campuses are assigned to the campus-specific advisor. All dual-degree students have the support of UTHealth School of Public Health faculty and staff advisors, as well as support from their partnering institution’s advisors.</w:t>
      </w:r>
    </w:p>
    <w:p w:rsidR="00510864" w:rsidRPr="00E80636" w:rsidRDefault="00510864" w:rsidP="006C308E">
      <w:pPr>
        <w:rPr>
          <w:rFonts w:asciiTheme="majorHAnsi" w:eastAsia="Times New Roman" w:hAnsiTheme="majorHAnsi" w:cstheme="majorHAnsi"/>
          <w:sz w:val="20"/>
          <w:szCs w:val="20"/>
        </w:rPr>
      </w:pPr>
    </w:p>
    <w:p w:rsidR="00510864" w:rsidRPr="00E80636" w:rsidRDefault="00510864" w:rsidP="006C308E">
      <w:pPr>
        <w:ind w:left="720" w:right="63"/>
        <w:rPr>
          <w:rFonts w:asciiTheme="majorHAnsi" w:eastAsia="Times New Roman" w:hAnsiTheme="majorHAnsi" w:cstheme="majorHAnsi"/>
          <w:sz w:val="20"/>
          <w:szCs w:val="20"/>
        </w:rPr>
      </w:pPr>
      <w:r w:rsidRPr="00E80636">
        <w:rPr>
          <w:rFonts w:asciiTheme="majorHAnsi" w:eastAsia="Times New Roman" w:hAnsiTheme="majorHAnsi" w:cstheme="majorHAnsi"/>
          <w:b/>
          <w:bCs/>
          <w:color w:val="000000"/>
          <w:sz w:val="20"/>
          <w:szCs w:val="20"/>
        </w:rPr>
        <w:t>Master’s Advisory Committee Structure</w:t>
      </w:r>
    </w:p>
    <w:p w:rsidR="00510864" w:rsidRPr="00E80636" w:rsidRDefault="00510864" w:rsidP="006C308E">
      <w:pPr>
        <w:ind w:left="720" w:right="63"/>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For incoming MPH students, a faculty advisor is assigned at the time of admission. MPH students who elect to complete a graduate certificate in Global Health, Maternal and Child Health, and Physical Activity and Public Health must add an additional advisory committee member to represent the certificate area, if their faculty advisor does not already represent that area. Students who pursue a thesis must select at least one additional member who will provide expertise in support of the thesis (the certificate advisor can serve in this role as well).</w:t>
      </w:r>
    </w:p>
    <w:p w:rsidR="00510864" w:rsidRPr="00E80636" w:rsidRDefault="00510864" w:rsidP="006C308E">
      <w:pPr>
        <w:ind w:left="720"/>
        <w:rPr>
          <w:rFonts w:asciiTheme="majorHAnsi" w:eastAsia="Times New Roman" w:hAnsiTheme="majorHAnsi" w:cstheme="majorHAnsi"/>
          <w:sz w:val="20"/>
          <w:szCs w:val="20"/>
        </w:rPr>
      </w:pPr>
    </w:p>
    <w:p w:rsidR="00510864" w:rsidRPr="00E80636" w:rsidRDefault="00510864" w:rsidP="006C308E">
      <w:pPr>
        <w:ind w:left="720" w:right="63"/>
        <w:rPr>
          <w:rFonts w:asciiTheme="majorHAnsi" w:eastAsia="Times New Roman" w:hAnsiTheme="majorHAnsi" w:cstheme="majorHAnsi"/>
          <w:sz w:val="20"/>
          <w:szCs w:val="20"/>
        </w:rPr>
      </w:pPr>
      <w:r w:rsidRPr="00E80636">
        <w:rPr>
          <w:rFonts w:asciiTheme="majorHAnsi" w:eastAsia="Times New Roman" w:hAnsiTheme="majorHAnsi" w:cstheme="majorHAnsi"/>
          <w:color w:val="000000"/>
          <w:sz w:val="20"/>
          <w:szCs w:val="20"/>
        </w:rPr>
        <w:t xml:space="preserve">MS students have a faculty advisor assigned at the time of admission, and are required to have one additional member to represent the minor discipline. These students may add additional members to direct the thesis or to represent an elected certificate. </w:t>
      </w:r>
    </w:p>
    <w:p w:rsidR="00510864" w:rsidRPr="00E80636" w:rsidRDefault="00510864" w:rsidP="006C308E">
      <w:pPr>
        <w:ind w:left="720"/>
        <w:rPr>
          <w:rFonts w:asciiTheme="majorHAnsi" w:eastAsia="Times New Roman" w:hAnsiTheme="majorHAnsi" w:cstheme="majorHAnsi"/>
          <w:sz w:val="20"/>
          <w:szCs w:val="20"/>
        </w:rPr>
      </w:pPr>
    </w:p>
    <w:p w:rsidR="00510864" w:rsidRPr="00E80636" w:rsidRDefault="00510864" w:rsidP="006C308E">
      <w:pPr>
        <w:ind w:left="720" w:right="63"/>
        <w:rPr>
          <w:rFonts w:asciiTheme="majorHAnsi" w:eastAsia="Times New Roman" w:hAnsiTheme="majorHAnsi" w:cstheme="majorHAnsi"/>
          <w:sz w:val="20"/>
          <w:szCs w:val="20"/>
        </w:rPr>
      </w:pPr>
      <w:r w:rsidRPr="00E80636">
        <w:rPr>
          <w:rFonts w:asciiTheme="majorHAnsi" w:eastAsia="Times New Roman" w:hAnsiTheme="majorHAnsi" w:cstheme="majorHAnsi"/>
          <w:b/>
          <w:bCs/>
          <w:color w:val="000000"/>
          <w:sz w:val="20"/>
          <w:szCs w:val="20"/>
        </w:rPr>
        <w:t>Doctoral Committee Structure</w:t>
      </w:r>
    </w:p>
    <w:p w:rsidR="00510864" w:rsidRPr="00E80636" w:rsidRDefault="00510864" w:rsidP="006C308E">
      <w:pPr>
        <w:ind w:left="720"/>
        <w:contextualSpacing/>
        <w:rPr>
          <w:rFonts w:asciiTheme="majorHAnsi" w:hAnsiTheme="majorHAnsi" w:cstheme="majorHAnsi"/>
          <w:sz w:val="20"/>
          <w:szCs w:val="20"/>
        </w:rPr>
      </w:pPr>
      <w:r w:rsidRPr="00E80636">
        <w:rPr>
          <w:rFonts w:asciiTheme="majorHAnsi" w:eastAsia="Times New Roman" w:hAnsiTheme="majorHAnsi" w:cstheme="majorHAnsi"/>
          <w:color w:val="000000"/>
          <w:sz w:val="20"/>
          <w:szCs w:val="20"/>
        </w:rPr>
        <w:t>Doctoral students are assigned a faculty advisor who provides guidance throughout their tenure at the school. After students complete their preliminary examination and most of their coursework, they assemble their dissertation committee, which is composed of faculty representatives from their minor and breadth areas, as well as a faculty member who serves as the dissertation supervisor. Students may elect to add additional members to their dissertation committee. If additional members are from another institution, their credentials and expertise are reviewed by the dissertation committee. The dissertation committee is responsible for guiding the student through their proposal development, proposal defense, research, and final dissertation product. The final dissertation defense is evaluated by the dissertation committee and one external reviewer.</w:t>
      </w:r>
    </w:p>
    <w:p w:rsidR="00933038" w:rsidRPr="00E80636" w:rsidRDefault="00933038" w:rsidP="006C308E">
      <w:pPr>
        <w:ind w:left="720"/>
        <w:jc w:val="both"/>
        <w:rPr>
          <w:rFonts w:asciiTheme="majorHAnsi" w:hAnsiTheme="majorHAnsi" w:cstheme="majorHAnsi"/>
          <w:sz w:val="20"/>
          <w:szCs w:val="20"/>
        </w:rPr>
      </w:pPr>
    </w:p>
    <w:p w:rsidR="00933038" w:rsidRPr="00E80636" w:rsidRDefault="00933038" w:rsidP="006C308E">
      <w:pPr>
        <w:numPr>
          <w:ilvl w:val="0"/>
          <w:numId w:val="42"/>
        </w:numPr>
        <w:jc w:val="both"/>
        <w:rPr>
          <w:rFonts w:asciiTheme="majorHAnsi" w:hAnsiTheme="majorHAnsi" w:cstheme="majorHAnsi"/>
          <w:sz w:val="20"/>
          <w:szCs w:val="20"/>
        </w:rPr>
      </w:pPr>
      <w:r w:rsidRPr="00E80636">
        <w:rPr>
          <w:rFonts w:asciiTheme="majorHAnsi" w:hAnsiTheme="majorHAnsi" w:cstheme="majorHAnsi"/>
          <w:sz w:val="20"/>
          <w:szCs w:val="20"/>
        </w:rPr>
        <w:t xml:space="preserve">Explain how advisors are selected and oriented to their roles and responsibilities. </w:t>
      </w:r>
    </w:p>
    <w:p w:rsidR="00933038" w:rsidRPr="00E80636" w:rsidRDefault="00933038" w:rsidP="006C308E">
      <w:pPr>
        <w:jc w:val="both"/>
        <w:rPr>
          <w:rFonts w:asciiTheme="majorHAnsi" w:hAnsiTheme="majorHAnsi" w:cstheme="majorHAnsi"/>
          <w:sz w:val="20"/>
          <w:szCs w:val="20"/>
        </w:rPr>
      </w:pPr>
    </w:p>
    <w:p w:rsidR="00510864" w:rsidRPr="00E80636" w:rsidRDefault="00510864" w:rsidP="006C308E">
      <w:pPr>
        <w:ind w:left="720" w:right="63"/>
        <w:rPr>
          <w:rFonts w:asciiTheme="majorHAnsi" w:eastAsia="Times New Roman" w:hAnsiTheme="majorHAnsi" w:cstheme="majorHAnsi"/>
          <w:sz w:val="20"/>
          <w:szCs w:val="20"/>
        </w:rPr>
      </w:pPr>
      <w:r w:rsidRPr="00E80636">
        <w:rPr>
          <w:rFonts w:asciiTheme="majorHAnsi" w:eastAsia="Times New Roman" w:hAnsiTheme="majorHAnsi" w:cstheme="majorHAnsi"/>
          <w:b/>
          <w:bCs/>
          <w:color w:val="000000"/>
          <w:sz w:val="20"/>
          <w:szCs w:val="20"/>
        </w:rPr>
        <w:t>Advisor Selection and Orientation</w:t>
      </w:r>
    </w:p>
    <w:p w:rsidR="00510864" w:rsidRPr="00E80636" w:rsidRDefault="00510864" w:rsidP="006C308E">
      <w:pPr>
        <w:ind w:left="720" w:right="63"/>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 xml:space="preserve">During the admissions process, faculty advisors are assigned to students based on faculty interests and availability. Faculty are oriented to their advising roles and responsibilities through their mentoring committee, departmental meetings, the faculty advising handbook, the weekly faculty and staff newsletter, and the faculty frequently-asked questions document. The Office of Academic Affairs and Student Services regularly attends departmental meetings and general faculty meetings to discuss policy changes and answer questions regarding advising. </w:t>
      </w:r>
    </w:p>
    <w:p w:rsidR="00510864" w:rsidRPr="00E80636" w:rsidRDefault="00510864" w:rsidP="006C308E">
      <w:pPr>
        <w:ind w:left="720" w:right="63"/>
        <w:rPr>
          <w:rFonts w:asciiTheme="majorHAnsi" w:eastAsia="Times New Roman" w:hAnsiTheme="majorHAnsi" w:cstheme="majorHAnsi"/>
          <w:color w:val="000000"/>
          <w:sz w:val="20"/>
          <w:szCs w:val="20"/>
        </w:rPr>
      </w:pPr>
    </w:p>
    <w:p w:rsidR="00510864" w:rsidRPr="00E80636" w:rsidRDefault="00510864" w:rsidP="006C308E">
      <w:pPr>
        <w:ind w:left="720" w:right="63"/>
        <w:textAlignment w:val="baseline"/>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 xml:space="preserve">Staff advisors are available to all students in their specific program or campus. The orientation process for staff advisors includes one-on-one informational interviews and training sessions with current staff members, observations of live advising sessions with students, and participation in staff meetings and training sessions. </w:t>
      </w:r>
    </w:p>
    <w:p w:rsidR="00933038" w:rsidRPr="00E80636" w:rsidRDefault="00933038" w:rsidP="006C308E">
      <w:pPr>
        <w:ind w:left="720"/>
        <w:jc w:val="both"/>
        <w:rPr>
          <w:rFonts w:asciiTheme="majorHAnsi" w:hAnsiTheme="majorHAnsi" w:cstheme="majorHAnsi"/>
          <w:sz w:val="20"/>
          <w:szCs w:val="20"/>
        </w:rPr>
      </w:pPr>
    </w:p>
    <w:p w:rsidR="00933038" w:rsidRPr="00E80636" w:rsidRDefault="00933038" w:rsidP="006C308E">
      <w:pPr>
        <w:numPr>
          <w:ilvl w:val="0"/>
          <w:numId w:val="42"/>
        </w:numPr>
        <w:jc w:val="both"/>
        <w:rPr>
          <w:rFonts w:asciiTheme="majorHAnsi" w:hAnsiTheme="majorHAnsi" w:cstheme="majorHAnsi"/>
          <w:sz w:val="20"/>
          <w:szCs w:val="20"/>
        </w:rPr>
      </w:pPr>
      <w:r w:rsidRPr="00E80636">
        <w:rPr>
          <w:rFonts w:asciiTheme="majorHAnsi" w:hAnsiTheme="majorHAnsi" w:cstheme="majorHAnsi"/>
          <w:sz w:val="20"/>
          <w:szCs w:val="20"/>
        </w:rPr>
        <w:t>Provide a sample of advising materials and resources, such as studen</w:t>
      </w:r>
      <w:r w:rsidR="00B8303A" w:rsidRPr="00E80636">
        <w:rPr>
          <w:rFonts w:asciiTheme="majorHAnsi" w:hAnsiTheme="majorHAnsi" w:cstheme="majorHAnsi"/>
          <w:sz w:val="20"/>
          <w:szCs w:val="20"/>
        </w:rPr>
        <w:t xml:space="preserve">t handbooks and plans of study, </w:t>
      </w:r>
      <w:r w:rsidRPr="00E80636">
        <w:rPr>
          <w:rFonts w:asciiTheme="majorHAnsi" w:hAnsiTheme="majorHAnsi" w:cstheme="majorHAnsi"/>
          <w:sz w:val="20"/>
          <w:szCs w:val="20"/>
        </w:rPr>
        <w:t>that provide additional guidance to students.</w:t>
      </w:r>
    </w:p>
    <w:p w:rsidR="00933038" w:rsidRPr="00E80636" w:rsidRDefault="00933038" w:rsidP="006C308E">
      <w:pPr>
        <w:ind w:left="720"/>
        <w:jc w:val="both"/>
        <w:rPr>
          <w:rFonts w:asciiTheme="majorHAnsi" w:hAnsiTheme="majorHAnsi" w:cstheme="majorHAnsi"/>
          <w:sz w:val="20"/>
          <w:szCs w:val="20"/>
        </w:rPr>
      </w:pPr>
    </w:p>
    <w:p w:rsidR="00933038" w:rsidRDefault="005B0929" w:rsidP="006C308E">
      <w:pPr>
        <w:ind w:left="720"/>
        <w:contextualSpacing/>
        <w:rPr>
          <w:rFonts w:asciiTheme="majorHAnsi" w:eastAsia="Arial Unicode MS" w:hAnsiTheme="majorHAnsi" w:cstheme="majorHAnsi"/>
          <w:sz w:val="20"/>
          <w:szCs w:val="20"/>
        </w:rPr>
      </w:pPr>
      <w:r w:rsidRPr="00E80636">
        <w:rPr>
          <w:rFonts w:asciiTheme="majorHAnsi" w:eastAsia="Arial Unicode MS" w:hAnsiTheme="majorHAnsi" w:cstheme="majorHAnsi"/>
          <w:sz w:val="20"/>
          <w:szCs w:val="20"/>
        </w:rPr>
        <w:t>Associated documents in the electronic resource file:</w:t>
      </w:r>
    </w:p>
    <w:p w:rsidR="001D5E69" w:rsidRDefault="001D5E69" w:rsidP="0081201A">
      <w:pPr>
        <w:pStyle w:val="ListParagraph"/>
        <w:numPr>
          <w:ilvl w:val="0"/>
          <w:numId w:val="141"/>
        </w:numPr>
        <w:jc w:val="both"/>
        <w:rPr>
          <w:rFonts w:asciiTheme="majorHAnsi" w:hAnsiTheme="majorHAnsi" w:cstheme="majorHAnsi"/>
          <w:i/>
          <w:szCs w:val="20"/>
        </w:rPr>
      </w:pPr>
      <w:r>
        <w:rPr>
          <w:rFonts w:asciiTheme="majorHAnsi" w:hAnsiTheme="majorHAnsi" w:cstheme="majorHAnsi"/>
          <w:i/>
          <w:szCs w:val="20"/>
        </w:rPr>
        <w:t>H1.3. Academic Advising Resources</w:t>
      </w:r>
    </w:p>
    <w:p w:rsidR="0081201A" w:rsidRPr="006A4782" w:rsidRDefault="0081201A" w:rsidP="001D5E69">
      <w:pPr>
        <w:pStyle w:val="ListParagraph"/>
        <w:numPr>
          <w:ilvl w:val="1"/>
          <w:numId w:val="141"/>
        </w:numPr>
        <w:jc w:val="both"/>
        <w:rPr>
          <w:rFonts w:asciiTheme="majorHAnsi" w:hAnsiTheme="majorHAnsi" w:cstheme="majorHAnsi"/>
          <w:i/>
          <w:szCs w:val="20"/>
        </w:rPr>
      </w:pPr>
      <w:r w:rsidRPr="006A4782">
        <w:rPr>
          <w:rFonts w:asciiTheme="majorHAnsi" w:hAnsiTheme="majorHAnsi" w:cstheme="majorHAnsi"/>
          <w:i/>
          <w:szCs w:val="20"/>
        </w:rPr>
        <w:t>Faculty Advising Guide 2019-2020</w:t>
      </w:r>
    </w:p>
    <w:p w:rsidR="0081201A" w:rsidRPr="006A4782" w:rsidRDefault="0081201A" w:rsidP="001D5E69">
      <w:pPr>
        <w:pStyle w:val="ListParagraph"/>
        <w:numPr>
          <w:ilvl w:val="1"/>
          <w:numId w:val="141"/>
        </w:numPr>
        <w:rPr>
          <w:rStyle w:val="Hyperlink"/>
          <w:rFonts w:asciiTheme="majorHAnsi" w:hAnsiTheme="majorHAnsi" w:cstheme="majorHAnsi"/>
          <w:i/>
          <w:color w:val="auto"/>
          <w:szCs w:val="20"/>
          <w:u w:val="none"/>
        </w:rPr>
      </w:pPr>
      <w:r w:rsidRPr="006A4782">
        <w:rPr>
          <w:rFonts w:asciiTheme="majorHAnsi" w:eastAsia="Arial" w:hAnsiTheme="majorHAnsi" w:cstheme="majorHAnsi"/>
          <w:i/>
          <w:szCs w:val="20"/>
        </w:rPr>
        <w:t>Student Evaluation Forms</w:t>
      </w:r>
    </w:p>
    <w:p w:rsidR="0081201A" w:rsidRPr="006A4782" w:rsidRDefault="0081201A" w:rsidP="001D5E69">
      <w:pPr>
        <w:numPr>
          <w:ilvl w:val="2"/>
          <w:numId w:val="141"/>
        </w:numPr>
        <w:jc w:val="both"/>
        <w:rPr>
          <w:rStyle w:val="Hyperlink"/>
          <w:rFonts w:asciiTheme="majorHAnsi" w:hAnsiTheme="majorHAnsi" w:cstheme="majorHAnsi"/>
          <w:i/>
          <w:color w:val="auto"/>
          <w:sz w:val="20"/>
          <w:szCs w:val="20"/>
          <w:u w:val="none"/>
        </w:rPr>
      </w:pPr>
      <w:r w:rsidRPr="006A4782">
        <w:rPr>
          <w:rFonts w:asciiTheme="majorHAnsi" w:eastAsia="Arial" w:hAnsiTheme="majorHAnsi" w:cstheme="majorHAnsi"/>
          <w:i/>
          <w:sz w:val="20"/>
          <w:szCs w:val="20"/>
        </w:rPr>
        <w:t>MPH Evaluation Report</w:t>
      </w:r>
    </w:p>
    <w:p w:rsidR="0081201A" w:rsidRPr="006A4782" w:rsidRDefault="0081201A" w:rsidP="001D5E69">
      <w:pPr>
        <w:numPr>
          <w:ilvl w:val="2"/>
          <w:numId w:val="141"/>
        </w:numPr>
        <w:jc w:val="both"/>
        <w:rPr>
          <w:rStyle w:val="Hyperlink"/>
          <w:rFonts w:asciiTheme="majorHAnsi" w:hAnsiTheme="majorHAnsi" w:cstheme="majorHAnsi"/>
          <w:i/>
          <w:color w:val="auto"/>
          <w:sz w:val="20"/>
          <w:szCs w:val="20"/>
          <w:u w:val="none"/>
        </w:rPr>
      </w:pPr>
      <w:r w:rsidRPr="006A4782">
        <w:rPr>
          <w:rFonts w:asciiTheme="majorHAnsi" w:eastAsia="Arial" w:hAnsiTheme="majorHAnsi" w:cstheme="majorHAnsi"/>
          <w:i/>
          <w:sz w:val="20"/>
          <w:szCs w:val="20"/>
        </w:rPr>
        <w:t>MS Evaluation Report</w:t>
      </w:r>
    </w:p>
    <w:p w:rsidR="0081201A" w:rsidRPr="006A4782" w:rsidRDefault="0081201A" w:rsidP="001D5E69">
      <w:pPr>
        <w:numPr>
          <w:ilvl w:val="2"/>
          <w:numId w:val="141"/>
        </w:numPr>
        <w:jc w:val="both"/>
        <w:rPr>
          <w:rFonts w:asciiTheme="majorHAnsi" w:hAnsiTheme="majorHAnsi" w:cstheme="majorHAnsi"/>
          <w:i/>
          <w:sz w:val="20"/>
          <w:szCs w:val="20"/>
        </w:rPr>
      </w:pPr>
      <w:r w:rsidRPr="006A4782">
        <w:rPr>
          <w:rFonts w:asciiTheme="majorHAnsi" w:eastAsia="Arial" w:hAnsiTheme="majorHAnsi" w:cstheme="majorHAnsi"/>
          <w:i/>
          <w:sz w:val="20"/>
          <w:szCs w:val="20"/>
        </w:rPr>
        <w:t xml:space="preserve">PhD and DrPH Evaluation </w:t>
      </w:r>
      <w:r w:rsidRPr="006A4782">
        <w:rPr>
          <w:rStyle w:val="Hyperlink"/>
          <w:rFonts w:asciiTheme="majorHAnsi" w:eastAsia="Arial" w:hAnsiTheme="majorHAnsi" w:cstheme="majorHAnsi"/>
          <w:i/>
          <w:sz w:val="20"/>
          <w:szCs w:val="20"/>
        </w:rPr>
        <w:t xml:space="preserve"> </w:t>
      </w:r>
    </w:p>
    <w:p w:rsidR="009A241F" w:rsidRPr="009A241F" w:rsidRDefault="009A241F" w:rsidP="009A241F">
      <w:pPr>
        <w:pStyle w:val="ListParagraph"/>
        <w:numPr>
          <w:ilvl w:val="0"/>
          <w:numId w:val="141"/>
        </w:numPr>
        <w:rPr>
          <w:rFonts w:asciiTheme="majorHAnsi" w:hAnsiTheme="majorHAnsi" w:cstheme="majorHAnsi"/>
          <w:i/>
          <w:szCs w:val="20"/>
        </w:rPr>
      </w:pPr>
      <w:r w:rsidRPr="009A241F">
        <w:rPr>
          <w:rFonts w:asciiTheme="majorHAnsi" w:eastAsia="Arial" w:hAnsiTheme="majorHAnsi" w:cstheme="majorHAnsi"/>
          <w:i/>
          <w:szCs w:val="20"/>
        </w:rPr>
        <w:t>A5. Degree Offerings in Schools of Public Health</w:t>
      </w:r>
    </w:p>
    <w:p w:rsidR="009A241F" w:rsidRPr="009A241F" w:rsidRDefault="0081201A" w:rsidP="009A241F">
      <w:pPr>
        <w:pStyle w:val="ListParagraph"/>
        <w:numPr>
          <w:ilvl w:val="1"/>
          <w:numId w:val="141"/>
        </w:numPr>
        <w:rPr>
          <w:rFonts w:asciiTheme="majorHAnsi" w:hAnsiTheme="majorHAnsi" w:cstheme="majorHAnsi"/>
          <w:i/>
          <w:szCs w:val="20"/>
        </w:rPr>
      </w:pPr>
      <w:r w:rsidRPr="006A4782">
        <w:rPr>
          <w:rFonts w:asciiTheme="majorHAnsi" w:eastAsia="Arial" w:hAnsiTheme="majorHAnsi" w:cstheme="majorHAnsi"/>
          <w:i/>
          <w:szCs w:val="20"/>
        </w:rPr>
        <w:t xml:space="preserve">School of Public Health </w:t>
      </w:r>
      <w:r w:rsidR="009F1596" w:rsidRPr="006A4782">
        <w:rPr>
          <w:rFonts w:asciiTheme="majorHAnsi" w:eastAsia="Arial" w:hAnsiTheme="majorHAnsi" w:cstheme="majorHAnsi"/>
          <w:i/>
          <w:szCs w:val="20"/>
        </w:rPr>
        <w:t xml:space="preserve">Academic Catalog </w:t>
      </w:r>
      <w:r w:rsidRPr="006A4782">
        <w:rPr>
          <w:rFonts w:asciiTheme="majorHAnsi" w:eastAsia="Arial" w:hAnsiTheme="majorHAnsi" w:cstheme="majorHAnsi"/>
          <w:i/>
          <w:szCs w:val="20"/>
        </w:rPr>
        <w:t xml:space="preserve">2018-2020 </w:t>
      </w:r>
    </w:p>
    <w:p w:rsidR="0081201A" w:rsidRPr="006A4782" w:rsidRDefault="009A241F" w:rsidP="009A241F">
      <w:pPr>
        <w:pStyle w:val="ListParagraph"/>
        <w:numPr>
          <w:ilvl w:val="1"/>
          <w:numId w:val="141"/>
        </w:numPr>
        <w:rPr>
          <w:rStyle w:val="Hyperlink"/>
          <w:rFonts w:asciiTheme="majorHAnsi" w:hAnsiTheme="majorHAnsi" w:cstheme="majorHAnsi"/>
          <w:i/>
          <w:color w:val="auto"/>
          <w:szCs w:val="20"/>
          <w:u w:val="none"/>
        </w:rPr>
      </w:pPr>
      <w:r>
        <w:rPr>
          <w:rFonts w:asciiTheme="majorHAnsi" w:eastAsia="Arial" w:hAnsiTheme="majorHAnsi" w:cstheme="majorHAnsi"/>
          <w:i/>
          <w:szCs w:val="20"/>
        </w:rPr>
        <w:t>School of Public Health</w:t>
      </w:r>
      <w:r w:rsidR="0081201A" w:rsidRPr="006A4782">
        <w:rPr>
          <w:rFonts w:asciiTheme="majorHAnsi" w:eastAsia="Arial" w:hAnsiTheme="majorHAnsi" w:cstheme="majorHAnsi"/>
          <w:i/>
          <w:szCs w:val="20"/>
        </w:rPr>
        <w:t xml:space="preserve"> Academic Catalog Addendum</w:t>
      </w:r>
      <w:r>
        <w:rPr>
          <w:rFonts w:asciiTheme="majorHAnsi" w:eastAsia="Arial" w:hAnsiTheme="majorHAnsi" w:cstheme="majorHAnsi"/>
          <w:i/>
          <w:szCs w:val="20"/>
        </w:rPr>
        <w:t xml:space="preserve"> 2019-202</w:t>
      </w:r>
      <w:r w:rsidR="004074C4">
        <w:rPr>
          <w:rFonts w:asciiTheme="majorHAnsi" w:eastAsia="Arial" w:hAnsiTheme="majorHAnsi" w:cstheme="majorHAnsi"/>
          <w:i/>
          <w:szCs w:val="20"/>
        </w:rPr>
        <w:t>0</w:t>
      </w:r>
    </w:p>
    <w:p w:rsidR="0081201A" w:rsidRPr="006A4782" w:rsidRDefault="0081201A" w:rsidP="0081201A">
      <w:pPr>
        <w:pStyle w:val="ListParagraph"/>
        <w:numPr>
          <w:ilvl w:val="0"/>
          <w:numId w:val="141"/>
        </w:numPr>
        <w:jc w:val="both"/>
        <w:rPr>
          <w:rFonts w:asciiTheme="majorHAnsi" w:hAnsiTheme="majorHAnsi" w:cstheme="majorHAnsi"/>
          <w:i/>
          <w:szCs w:val="20"/>
        </w:rPr>
      </w:pPr>
      <w:r w:rsidRPr="006A4782">
        <w:rPr>
          <w:rFonts w:asciiTheme="majorHAnsi" w:hAnsiTheme="majorHAnsi" w:cstheme="majorHAnsi"/>
          <w:i/>
          <w:szCs w:val="20"/>
        </w:rPr>
        <w:t>Criterion D2. MPH Foundational Competencies</w:t>
      </w:r>
    </w:p>
    <w:p w:rsidR="0081201A" w:rsidRPr="006A4782" w:rsidRDefault="0081201A" w:rsidP="0081201A">
      <w:pPr>
        <w:pStyle w:val="ListParagraph"/>
        <w:numPr>
          <w:ilvl w:val="1"/>
          <w:numId w:val="145"/>
        </w:numPr>
        <w:jc w:val="both"/>
        <w:rPr>
          <w:rFonts w:asciiTheme="majorHAnsi" w:hAnsiTheme="majorHAnsi" w:cstheme="majorHAnsi"/>
          <w:i/>
          <w:szCs w:val="20"/>
        </w:rPr>
      </w:pPr>
      <w:r w:rsidRPr="006A4782">
        <w:rPr>
          <w:rFonts w:asciiTheme="majorHAnsi" w:hAnsiTheme="majorHAnsi" w:cstheme="majorHAnsi"/>
          <w:i/>
          <w:szCs w:val="20"/>
        </w:rPr>
        <w:t>ERF D2. MPH Foundational Competencies</w:t>
      </w:r>
    </w:p>
    <w:p w:rsidR="0081201A" w:rsidRPr="006A4782" w:rsidRDefault="0081201A" w:rsidP="0081201A">
      <w:pPr>
        <w:pStyle w:val="ListParagraph"/>
        <w:numPr>
          <w:ilvl w:val="2"/>
          <w:numId w:val="141"/>
        </w:numPr>
        <w:jc w:val="both"/>
        <w:rPr>
          <w:rFonts w:asciiTheme="majorHAnsi" w:hAnsiTheme="majorHAnsi" w:cstheme="majorHAnsi"/>
          <w:i/>
          <w:szCs w:val="20"/>
        </w:rPr>
      </w:pPr>
      <w:r w:rsidRPr="006A4782">
        <w:rPr>
          <w:rFonts w:asciiTheme="majorHAnsi" w:hAnsiTheme="majorHAnsi" w:cstheme="majorHAnsi"/>
          <w:i/>
          <w:szCs w:val="20"/>
        </w:rPr>
        <w:t>D2.1. Requirements for MPH Degrees, Degree Planners</w:t>
      </w:r>
    </w:p>
    <w:p w:rsidR="0081201A" w:rsidRPr="006A4782" w:rsidRDefault="0081201A" w:rsidP="0081201A">
      <w:pPr>
        <w:pStyle w:val="ListParagraph"/>
        <w:numPr>
          <w:ilvl w:val="0"/>
          <w:numId w:val="141"/>
        </w:numPr>
        <w:jc w:val="both"/>
        <w:rPr>
          <w:rFonts w:asciiTheme="majorHAnsi" w:hAnsiTheme="majorHAnsi" w:cstheme="majorHAnsi"/>
          <w:i/>
          <w:szCs w:val="20"/>
        </w:rPr>
      </w:pPr>
      <w:r w:rsidRPr="006A4782">
        <w:rPr>
          <w:rFonts w:asciiTheme="majorHAnsi" w:hAnsiTheme="majorHAnsi" w:cstheme="majorHAnsi"/>
          <w:i/>
          <w:szCs w:val="20"/>
        </w:rPr>
        <w:t>Criterion D3. DrPH Foundational Competencies</w:t>
      </w:r>
    </w:p>
    <w:p w:rsidR="0081201A" w:rsidRPr="006A4782" w:rsidRDefault="0081201A" w:rsidP="0081201A">
      <w:pPr>
        <w:pStyle w:val="ListParagraph"/>
        <w:numPr>
          <w:ilvl w:val="1"/>
          <w:numId w:val="141"/>
        </w:numPr>
        <w:jc w:val="both"/>
        <w:rPr>
          <w:rFonts w:asciiTheme="majorHAnsi" w:hAnsiTheme="majorHAnsi" w:cstheme="majorHAnsi"/>
          <w:i/>
          <w:szCs w:val="20"/>
        </w:rPr>
      </w:pPr>
      <w:r w:rsidRPr="006A4782">
        <w:rPr>
          <w:rFonts w:asciiTheme="majorHAnsi" w:hAnsiTheme="majorHAnsi" w:cstheme="majorHAnsi"/>
          <w:i/>
          <w:szCs w:val="20"/>
        </w:rPr>
        <w:t>ERF D3. DrPH Foundational Competencies</w:t>
      </w:r>
    </w:p>
    <w:p w:rsidR="0081201A" w:rsidRPr="006A4782" w:rsidRDefault="0081201A" w:rsidP="0081201A">
      <w:pPr>
        <w:pStyle w:val="ListParagraph"/>
        <w:numPr>
          <w:ilvl w:val="2"/>
          <w:numId w:val="141"/>
        </w:numPr>
        <w:jc w:val="both"/>
        <w:rPr>
          <w:rFonts w:asciiTheme="majorHAnsi" w:hAnsiTheme="majorHAnsi" w:cstheme="majorHAnsi"/>
          <w:i/>
          <w:szCs w:val="20"/>
        </w:rPr>
      </w:pPr>
      <w:r w:rsidRPr="006A4782">
        <w:rPr>
          <w:rFonts w:asciiTheme="majorHAnsi" w:hAnsiTheme="majorHAnsi" w:cstheme="majorHAnsi"/>
          <w:i/>
          <w:szCs w:val="20"/>
        </w:rPr>
        <w:t>D3.1. Requirements for DrPH Degrees, Degree Planners</w:t>
      </w:r>
    </w:p>
    <w:p w:rsidR="0081201A" w:rsidRPr="006A4782" w:rsidRDefault="0081201A" w:rsidP="0081201A">
      <w:pPr>
        <w:pStyle w:val="ListParagraph"/>
        <w:numPr>
          <w:ilvl w:val="0"/>
          <w:numId w:val="141"/>
        </w:numPr>
        <w:jc w:val="both"/>
        <w:rPr>
          <w:rFonts w:asciiTheme="majorHAnsi" w:hAnsiTheme="majorHAnsi" w:cstheme="majorHAnsi"/>
          <w:i/>
          <w:szCs w:val="20"/>
        </w:rPr>
      </w:pPr>
      <w:r w:rsidRPr="006A4782">
        <w:rPr>
          <w:rFonts w:asciiTheme="majorHAnsi" w:hAnsiTheme="majorHAnsi" w:cstheme="majorHAnsi"/>
          <w:i/>
          <w:szCs w:val="20"/>
        </w:rPr>
        <w:t>Criterion D4. MPH &amp; DrPH Concentration Competencies</w:t>
      </w:r>
    </w:p>
    <w:p w:rsidR="0081201A" w:rsidRPr="006A4782" w:rsidRDefault="0081201A" w:rsidP="0081201A">
      <w:pPr>
        <w:pStyle w:val="ListParagraph"/>
        <w:numPr>
          <w:ilvl w:val="1"/>
          <w:numId w:val="141"/>
        </w:numPr>
        <w:jc w:val="both"/>
        <w:rPr>
          <w:rFonts w:asciiTheme="majorHAnsi" w:hAnsiTheme="majorHAnsi" w:cstheme="majorHAnsi"/>
          <w:i/>
          <w:szCs w:val="20"/>
        </w:rPr>
      </w:pPr>
      <w:r w:rsidRPr="006A4782">
        <w:rPr>
          <w:rFonts w:asciiTheme="majorHAnsi" w:hAnsiTheme="majorHAnsi" w:cstheme="majorHAnsi"/>
          <w:i/>
          <w:szCs w:val="20"/>
        </w:rPr>
        <w:t>ERF D4. MPH &amp; DrPH Concentration Competencies</w:t>
      </w:r>
    </w:p>
    <w:p w:rsidR="0081201A" w:rsidRPr="006A4782" w:rsidRDefault="0081201A" w:rsidP="0081201A">
      <w:pPr>
        <w:pStyle w:val="ListParagraph"/>
        <w:numPr>
          <w:ilvl w:val="0"/>
          <w:numId w:val="141"/>
        </w:numPr>
        <w:jc w:val="both"/>
        <w:rPr>
          <w:rFonts w:asciiTheme="majorHAnsi" w:hAnsiTheme="majorHAnsi" w:cstheme="majorHAnsi"/>
          <w:i/>
          <w:szCs w:val="20"/>
        </w:rPr>
      </w:pPr>
      <w:r w:rsidRPr="006A4782">
        <w:rPr>
          <w:rFonts w:asciiTheme="majorHAnsi" w:hAnsiTheme="majorHAnsi" w:cstheme="majorHAnsi"/>
          <w:i/>
          <w:szCs w:val="20"/>
        </w:rPr>
        <w:t>Criterion D17. Academic Public Health Master’s Degrees</w:t>
      </w:r>
    </w:p>
    <w:p w:rsidR="0081201A" w:rsidRPr="006A4782" w:rsidRDefault="0081201A" w:rsidP="0081201A">
      <w:pPr>
        <w:pStyle w:val="ListParagraph"/>
        <w:numPr>
          <w:ilvl w:val="1"/>
          <w:numId w:val="141"/>
        </w:numPr>
        <w:jc w:val="both"/>
        <w:rPr>
          <w:rFonts w:asciiTheme="majorHAnsi" w:hAnsiTheme="majorHAnsi" w:cstheme="majorHAnsi"/>
          <w:i/>
          <w:szCs w:val="20"/>
        </w:rPr>
      </w:pPr>
      <w:r w:rsidRPr="006A4782">
        <w:rPr>
          <w:rFonts w:asciiTheme="majorHAnsi" w:hAnsiTheme="majorHAnsi" w:cstheme="majorHAnsi"/>
          <w:i/>
          <w:szCs w:val="20"/>
        </w:rPr>
        <w:t>ERF D17. Academic Public Health Master’s Degrees</w:t>
      </w:r>
    </w:p>
    <w:p w:rsidR="0081201A" w:rsidRPr="006A4782" w:rsidRDefault="0081201A" w:rsidP="0081201A">
      <w:pPr>
        <w:pStyle w:val="ListParagraph"/>
        <w:numPr>
          <w:ilvl w:val="2"/>
          <w:numId w:val="141"/>
        </w:numPr>
        <w:jc w:val="both"/>
        <w:rPr>
          <w:rFonts w:asciiTheme="majorHAnsi" w:hAnsiTheme="majorHAnsi" w:cstheme="majorHAnsi"/>
          <w:i/>
          <w:szCs w:val="20"/>
        </w:rPr>
      </w:pPr>
      <w:r w:rsidRPr="006A4782">
        <w:rPr>
          <w:rFonts w:asciiTheme="majorHAnsi" w:hAnsiTheme="majorHAnsi" w:cstheme="majorHAnsi"/>
          <w:i/>
          <w:szCs w:val="20"/>
        </w:rPr>
        <w:t>ERF D17.4. MS Degree Planners</w:t>
      </w:r>
    </w:p>
    <w:p w:rsidR="0081201A" w:rsidRPr="006A4782" w:rsidRDefault="0081201A" w:rsidP="0081201A">
      <w:pPr>
        <w:pStyle w:val="ListParagraph"/>
        <w:numPr>
          <w:ilvl w:val="0"/>
          <w:numId w:val="141"/>
        </w:numPr>
        <w:jc w:val="both"/>
        <w:rPr>
          <w:rFonts w:asciiTheme="majorHAnsi" w:hAnsiTheme="majorHAnsi" w:cstheme="majorHAnsi"/>
          <w:i/>
          <w:szCs w:val="20"/>
        </w:rPr>
      </w:pPr>
      <w:r w:rsidRPr="006A4782">
        <w:rPr>
          <w:rFonts w:asciiTheme="majorHAnsi" w:hAnsiTheme="majorHAnsi" w:cstheme="majorHAnsi"/>
          <w:i/>
          <w:szCs w:val="20"/>
        </w:rPr>
        <w:t>Criterion D18. Academic Public Health Doctoral Degrees</w:t>
      </w:r>
    </w:p>
    <w:p w:rsidR="0081201A" w:rsidRPr="006A4782" w:rsidRDefault="0081201A" w:rsidP="0081201A">
      <w:pPr>
        <w:pStyle w:val="ListParagraph"/>
        <w:numPr>
          <w:ilvl w:val="1"/>
          <w:numId w:val="141"/>
        </w:numPr>
        <w:jc w:val="both"/>
        <w:rPr>
          <w:rFonts w:asciiTheme="majorHAnsi" w:hAnsiTheme="majorHAnsi" w:cstheme="majorHAnsi"/>
          <w:i/>
          <w:szCs w:val="20"/>
        </w:rPr>
      </w:pPr>
      <w:r w:rsidRPr="006A4782">
        <w:rPr>
          <w:rFonts w:asciiTheme="majorHAnsi" w:hAnsiTheme="majorHAnsi" w:cstheme="majorHAnsi"/>
          <w:i/>
          <w:szCs w:val="20"/>
        </w:rPr>
        <w:t>ERF D18. Academic Public Health Doctoral Degrees</w:t>
      </w:r>
    </w:p>
    <w:p w:rsidR="003756C1" w:rsidRPr="006A4782" w:rsidRDefault="0081201A" w:rsidP="0081201A">
      <w:pPr>
        <w:pStyle w:val="ListParagraph"/>
        <w:numPr>
          <w:ilvl w:val="2"/>
          <w:numId w:val="141"/>
        </w:numPr>
        <w:jc w:val="both"/>
        <w:rPr>
          <w:rFonts w:asciiTheme="majorHAnsi" w:hAnsiTheme="majorHAnsi" w:cstheme="majorHAnsi"/>
          <w:i/>
          <w:szCs w:val="20"/>
        </w:rPr>
      </w:pPr>
      <w:r w:rsidRPr="006A4782">
        <w:rPr>
          <w:rFonts w:asciiTheme="majorHAnsi" w:hAnsiTheme="majorHAnsi" w:cstheme="majorHAnsi"/>
          <w:i/>
          <w:szCs w:val="20"/>
        </w:rPr>
        <w:t>ERF D18.4. PhD Degree Planners</w:t>
      </w:r>
      <w:r w:rsidR="003756C1" w:rsidRPr="006A4782">
        <w:rPr>
          <w:rFonts w:asciiTheme="majorHAnsi" w:eastAsia="Arial" w:hAnsiTheme="majorHAnsi" w:cstheme="majorHAnsi"/>
          <w:i/>
          <w:szCs w:val="20"/>
        </w:rPr>
        <w:t xml:space="preserve"> </w:t>
      </w:r>
      <w:r w:rsidR="003756C1" w:rsidRPr="006A4782">
        <w:rPr>
          <w:rStyle w:val="Hyperlink"/>
          <w:rFonts w:asciiTheme="majorHAnsi" w:eastAsia="Arial" w:hAnsiTheme="majorHAnsi" w:cstheme="majorHAnsi"/>
          <w:i/>
          <w:szCs w:val="20"/>
        </w:rPr>
        <w:t xml:space="preserve"> </w:t>
      </w:r>
    </w:p>
    <w:p w:rsidR="00E666D8" w:rsidRPr="0081201A" w:rsidRDefault="00E666D8" w:rsidP="0081201A">
      <w:pPr>
        <w:jc w:val="both"/>
        <w:rPr>
          <w:rFonts w:asciiTheme="majorHAnsi" w:hAnsiTheme="majorHAnsi" w:cstheme="majorHAnsi"/>
          <w:szCs w:val="20"/>
        </w:rPr>
      </w:pPr>
    </w:p>
    <w:p w:rsidR="00933038" w:rsidRPr="00E80636" w:rsidRDefault="00933038" w:rsidP="006C308E">
      <w:pPr>
        <w:numPr>
          <w:ilvl w:val="0"/>
          <w:numId w:val="42"/>
        </w:numPr>
        <w:jc w:val="both"/>
        <w:rPr>
          <w:rFonts w:asciiTheme="majorHAnsi" w:hAnsiTheme="majorHAnsi" w:cstheme="majorHAnsi"/>
          <w:sz w:val="20"/>
          <w:szCs w:val="20"/>
        </w:rPr>
      </w:pPr>
      <w:r w:rsidRPr="00E80636">
        <w:rPr>
          <w:rFonts w:asciiTheme="majorHAnsi" w:hAnsiTheme="majorHAnsi" w:cstheme="majorHAnsi"/>
          <w:sz w:val="20"/>
          <w:szCs w:val="20"/>
        </w:rPr>
        <w:t xml:space="preserve">Provide data reflecting the level of student satisfaction with academic advising during each of the last three years. Include survey response rates, if applicable. </w:t>
      </w:r>
    </w:p>
    <w:p w:rsidR="00933038" w:rsidRPr="00E80636" w:rsidRDefault="00933038" w:rsidP="006C308E">
      <w:pPr>
        <w:jc w:val="both"/>
        <w:rPr>
          <w:rFonts w:asciiTheme="majorHAnsi" w:hAnsiTheme="majorHAnsi" w:cstheme="majorHAnsi"/>
          <w:sz w:val="20"/>
          <w:szCs w:val="20"/>
        </w:rPr>
      </w:pPr>
    </w:p>
    <w:p w:rsidR="00510864" w:rsidRPr="00E80636" w:rsidRDefault="00510864" w:rsidP="006C308E">
      <w:pPr>
        <w:ind w:left="720"/>
        <w:contextualSpacing/>
        <w:rPr>
          <w:rFonts w:asciiTheme="majorHAnsi" w:eastAsia="Calibri" w:hAnsiTheme="majorHAnsi" w:cstheme="majorHAnsi"/>
          <w:sz w:val="20"/>
          <w:szCs w:val="20"/>
        </w:rPr>
      </w:pPr>
      <w:r w:rsidRPr="00E80636">
        <w:rPr>
          <w:rFonts w:asciiTheme="majorHAnsi" w:eastAsia="Calibri" w:hAnsiTheme="majorHAnsi" w:cstheme="majorHAnsi"/>
          <w:sz w:val="20"/>
          <w:szCs w:val="20"/>
        </w:rPr>
        <w:t xml:space="preserve">Upon graduation, students complete a survey to assess their satisfaction with their faculty advisor. Students are asked about their perceptions of their faculty advisor on a 5-point Likert scale. </w:t>
      </w:r>
      <w:hyperlink w:anchor="tableh14" w:history="1">
        <w:r w:rsidRPr="00E80636">
          <w:rPr>
            <w:rStyle w:val="Hyperlink"/>
            <w:rFonts w:asciiTheme="majorHAnsi" w:eastAsia="Calibri" w:hAnsiTheme="majorHAnsi" w:cstheme="majorHAnsi"/>
            <w:sz w:val="20"/>
            <w:szCs w:val="20"/>
          </w:rPr>
          <w:t>Table H</w:t>
        </w:r>
        <w:r w:rsidR="000634AF" w:rsidRPr="00E80636">
          <w:rPr>
            <w:rStyle w:val="Hyperlink"/>
            <w:rFonts w:asciiTheme="majorHAnsi" w:eastAsia="Calibri" w:hAnsiTheme="majorHAnsi" w:cstheme="majorHAnsi"/>
            <w:sz w:val="20"/>
            <w:szCs w:val="20"/>
          </w:rPr>
          <w:t>.</w:t>
        </w:r>
        <w:r w:rsidRPr="00E80636">
          <w:rPr>
            <w:rStyle w:val="Hyperlink"/>
            <w:rFonts w:asciiTheme="majorHAnsi" w:eastAsia="Calibri" w:hAnsiTheme="majorHAnsi" w:cstheme="majorHAnsi"/>
            <w:sz w:val="20"/>
            <w:szCs w:val="20"/>
          </w:rPr>
          <w:t>1.4</w:t>
        </w:r>
        <w:r w:rsidR="000634AF" w:rsidRPr="00E80636">
          <w:rPr>
            <w:rStyle w:val="Hyperlink"/>
            <w:rFonts w:asciiTheme="majorHAnsi" w:eastAsia="Calibri" w:hAnsiTheme="majorHAnsi" w:cstheme="majorHAnsi"/>
            <w:sz w:val="20"/>
            <w:szCs w:val="20"/>
          </w:rPr>
          <w:t>.</w:t>
        </w:r>
      </w:hyperlink>
      <w:r w:rsidRPr="00E80636">
        <w:rPr>
          <w:rFonts w:asciiTheme="majorHAnsi" w:eastAsia="Calibri" w:hAnsiTheme="majorHAnsi" w:cstheme="majorHAnsi"/>
          <w:sz w:val="20"/>
          <w:szCs w:val="20"/>
        </w:rPr>
        <w:t xml:space="preserve"> shows the student satisfaction rating for the last three academic years. Students that responded “strongly agree” or “agree” to the statements about their faculty advisor were used to determine student satisfaction.</w:t>
      </w:r>
    </w:p>
    <w:p w:rsidR="00510864" w:rsidRPr="00E80636" w:rsidRDefault="00510864" w:rsidP="006C308E">
      <w:pPr>
        <w:ind w:left="720"/>
        <w:contextualSpacing/>
        <w:jc w:val="both"/>
        <w:rPr>
          <w:rFonts w:asciiTheme="majorHAnsi" w:hAnsiTheme="majorHAnsi" w:cstheme="majorHAnsi"/>
          <w:i/>
          <w:sz w:val="20"/>
          <w:szCs w:val="20"/>
        </w:rPr>
      </w:pPr>
    </w:p>
    <w:p w:rsidR="00510864" w:rsidRPr="00E80636" w:rsidRDefault="00510864" w:rsidP="006C308E">
      <w:pPr>
        <w:ind w:left="720"/>
        <w:contextualSpacing/>
        <w:jc w:val="both"/>
        <w:rPr>
          <w:rFonts w:asciiTheme="majorHAnsi" w:hAnsiTheme="majorHAnsi" w:cstheme="majorHAnsi"/>
          <w:sz w:val="20"/>
          <w:szCs w:val="20"/>
        </w:rPr>
      </w:pPr>
      <w:bookmarkStart w:id="155" w:name="tableh14"/>
      <w:r w:rsidRPr="00A14F4B">
        <w:rPr>
          <w:rFonts w:asciiTheme="majorHAnsi" w:hAnsiTheme="majorHAnsi" w:cstheme="majorHAnsi"/>
          <w:sz w:val="20"/>
          <w:szCs w:val="20"/>
        </w:rPr>
        <w:t>Table H</w:t>
      </w:r>
      <w:r w:rsidR="000634AF" w:rsidRPr="00A14F4B">
        <w:rPr>
          <w:rFonts w:asciiTheme="majorHAnsi" w:hAnsiTheme="majorHAnsi" w:cstheme="majorHAnsi"/>
          <w:sz w:val="20"/>
          <w:szCs w:val="20"/>
        </w:rPr>
        <w:t>.</w:t>
      </w:r>
      <w:r w:rsidRPr="00A14F4B">
        <w:rPr>
          <w:rFonts w:asciiTheme="majorHAnsi" w:hAnsiTheme="majorHAnsi" w:cstheme="majorHAnsi"/>
          <w:sz w:val="20"/>
          <w:szCs w:val="20"/>
        </w:rPr>
        <w:t>1.4.</w:t>
      </w:r>
      <w:bookmarkEnd w:id="155"/>
      <w:r w:rsidRPr="00A14F4B">
        <w:rPr>
          <w:rFonts w:asciiTheme="majorHAnsi" w:hAnsiTheme="majorHAnsi" w:cstheme="majorHAnsi"/>
          <w:sz w:val="20"/>
          <w:szCs w:val="20"/>
        </w:rPr>
        <w:t xml:space="preserve"> Student Satisfaction with Academic Advising</w:t>
      </w:r>
      <w:r w:rsidR="001E5554">
        <w:rPr>
          <w:rFonts w:asciiTheme="majorHAnsi" w:hAnsiTheme="majorHAnsi" w:cstheme="majorHAnsi"/>
          <w:sz w:val="20"/>
          <w:szCs w:val="20"/>
        </w:rPr>
        <w:t xml:space="preserve"> (</w:t>
      </w:r>
      <w:r w:rsidR="001E5554" w:rsidRPr="001E5554">
        <w:rPr>
          <w:rFonts w:asciiTheme="majorHAnsi" w:hAnsiTheme="majorHAnsi" w:cstheme="majorHAnsi"/>
          <w:i/>
          <w:sz w:val="20"/>
          <w:szCs w:val="20"/>
        </w:rPr>
        <w:t>ERF, H1. Academic Advising</w:t>
      </w:r>
      <w:r w:rsidR="001E5554">
        <w:rPr>
          <w:rFonts w:asciiTheme="majorHAnsi" w:hAnsiTheme="majorHAnsi" w:cstheme="majorHAnsi"/>
          <w:sz w:val="20"/>
          <w:szCs w:val="20"/>
        </w:rPr>
        <w:t>)</w:t>
      </w:r>
    </w:p>
    <w:tbl>
      <w:tblPr>
        <w:tblW w:w="84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20"/>
        <w:gridCol w:w="1080"/>
        <w:gridCol w:w="1080"/>
        <w:gridCol w:w="1080"/>
      </w:tblGrid>
      <w:tr w:rsidR="00510864" w:rsidRPr="00743A41" w:rsidTr="00406537">
        <w:tc>
          <w:tcPr>
            <w:tcW w:w="5220" w:type="dxa"/>
            <w:shd w:val="clear" w:color="auto" w:fill="BFBFBF" w:themeFill="background1" w:themeFillShade="BF"/>
            <w:tcMar>
              <w:top w:w="0" w:type="dxa"/>
              <w:left w:w="108" w:type="dxa"/>
              <w:bottom w:w="0" w:type="dxa"/>
              <w:right w:w="108" w:type="dxa"/>
            </w:tcMar>
            <w:vAlign w:val="center"/>
            <w:hideMark/>
          </w:tcPr>
          <w:p w:rsidR="00510864" w:rsidRPr="00E80636" w:rsidRDefault="00510864" w:rsidP="006C308E">
            <w:pPr>
              <w:ind w:right="65"/>
              <w:jc w:val="center"/>
              <w:rPr>
                <w:rFonts w:asciiTheme="majorHAnsi" w:eastAsia="Times New Roman" w:hAnsiTheme="majorHAnsi" w:cstheme="majorHAnsi"/>
                <w:b/>
                <w:sz w:val="20"/>
                <w:szCs w:val="20"/>
              </w:rPr>
            </w:pPr>
            <w:r w:rsidRPr="00E80636">
              <w:rPr>
                <w:rFonts w:asciiTheme="majorHAnsi" w:eastAsia="Times New Roman" w:hAnsiTheme="majorHAnsi" w:cstheme="majorHAnsi"/>
                <w:b/>
                <w:color w:val="000000"/>
                <w:sz w:val="20"/>
                <w:szCs w:val="20"/>
              </w:rPr>
              <w:t>Academic Advising</w:t>
            </w:r>
          </w:p>
        </w:tc>
        <w:tc>
          <w:tcPr>
            <w:tcW w:w="1080" w:type="dxa"/>
            <w:shd w:val="clear" w:color="auto" w:fill="BFBFBF" w:themeFill="background1" w:themeFillShade="BF"/>
            <w:tcMar>
              <w:top w:w="0" w:type="dxa"/>
              <w:left w:w="108" w:type="dxa"/>
              <w:bottom w:w="0" w:type="dxa"/>
              <w:right w:w="108" w:type="dxa"/>
            </w:tcMar>
            <w:vAlign w:val="center"/>
            <w:hideMark/>
          </w:tcPr>
          <w:p w:rsidR="00510864" w:rsidRPr="00E80636" w:rsidRDefault="00510864" w:rsidP="006C308E">
            <w:pPr>
              <w:ind w:right="65"/>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AY16–17</w:t>
            </w:r>
          </w:p>
        </w:tc>
        <w:tc>
          <w:tcPr>
            <w:tcW w:w="1080" w:type="dxa"/>
            <w:shd w:val="clear" w:color="auto" w:fill="BFBFBF" w:themeFill="background1" w:themeFillShade="BF"/>
            <w:tcMar>
              <w:top w:w="0" w:type="dxa"/>
              <w:left w:w="108" w:type="dxa"/>
              <w:bottom w:w="0" w:type="dxa"/>
              <w:right w:w="108" w:type="dxa"/>
            </w:tcMar>
            <w:vAlign w:val="center"/>
            <w:hideMark/>
          </w:tcPr>
          <w:p w:rsidR="00510864" w:rsidRPr="00E80636" w:rsidRDefault="00510864" w:rsidP="006C308E">
            <w:pPr>
              <w:ind w:right="65"/>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AY17–18</w:t>
            </w:r>
          </w:p>
        </w:tc>
        <w:tc>
          <w:tcPr>
            <w:tcW w:w="1080" w:type="dxa"/>
            <w:shd w:val="clear" w:color="auto" w:fill="BFBFBF" w:themeFill="background1" w:themeFillShade="BF"/>
            <w:tcMar>
              <w:top w:w="0" w:type="dxa"/>
              <w:left w:w="108" w:type="dxa"/>
              <w:bottom w:w="0" w:type="dxa"/>
              <w:right w:w="108" w:type="dxa"/>
            </w:tcMar>
            <w:vAlign w:val="center"/>
            <w:hideMark/>
          </w:tcPr>
          <w:p w:rsidR="00510864" w:rsidRPr="00E80636" w:rsidRDefault="00510864" w:rsidP="006C308E">
            <w:pPr>
              <w:ind w:right="65"/>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AY18–19</w:t>
            </w:r>
          </w:p>
        </w:tc>
      </w:tr>
      <w:tr w:rsidR="00510864" w:rsidRPr="00743A41" w:rsidTr="00406537">
        <w:tc>
          <w:tcPr>
            <w:tcW w:w="5220" w:type="dxa"/>
            <w:tcMar>
              <w:top w:w="0" w:type="dxa"/>
              <w:left w:w="108" w:type="dxa"/>
              <w:bottom w:w="0" w:type="dxa"/>
              <w:right w:w="108" w:type="dxa"/>
            </w:tcMar>
            <w:vAlign w:val="center"/>
          </w:tcPr>
          <w:p w:rsidR="00510864" w:rsidRPr="00E80636" w:rsidRDefault="00510864" w:rsidP="006C308E">
            <w:pPr>
              <w:rPr>
                <w:rFonts w:asciiTheme="majorHAnsi" w:eastAsia="Times New Roman" w:hAnsiTheme="majorHAnsi" w:cstheme="majorHAnsi"/>
                <w:color w:val="000000"/>
                <w:sz w:val="20"/>
                <w:szCs w:val="20"/>
              </w:rPr>
            </w:pPr>
          </w:p>
        </w:tc>
        <w:tc>
          <w:tcPr>
            <w:tcW w:w="1080" w:type="dxa"/>
            <w:tcMar>
              <w:top w:w="0" w:type="dxa"/>
              <w:left w:w="108" w:type="dxa"/>
              <w:bottom w:w="0" w:type="dxa"/>
              <w:right w:w="108" w:type="dxa"/>
            </w:tcMar>
            <w:vAlign w:val="center"/>
          </w:tcPr>
          <w:p w:rsidR="00510864" w:rsidRPr="00E80636" w:rsidRDefault="00510864" w:rsidP="006C308E">
            <w:pPr>
              <w:jc w:val="center"/>
              <w:rPr>
                <w:rFonts w:asciiTheme="majorHAnsi" w:eastAsia="Times New Roman" w:hAnsiTheme="majorHAnsi" w:cstheme="majorHAnsi"/>
                <w:b/>
                <w:sz w:val="20"/>
                <w:szCs w:val="20"/>
              </w:rPr>
            </w:pPr>
            <w:r w:rsidRPr="00E80636">
              <w:rPr>
                <w:rFonts w:asciiTheme="majorHAnsi" w:eastAsia="Times New Roman" w:hAnsiTheme="majorHAnsi" w:cstheme="majorHAnsi"/>
                <w:b/>
                <w:sz w:val="20"/>
                <w:szCs w:val="20"/>
              </w:rPr>
              <w:t>N=375</w:t>
            </w:r>
          </w:p>
        </w:tc>
        <w:tc>
          <w:tcPr>
            <w:tcW w:w="1080" w:type="dxa"/>
            <w:tcMar>
              <w:top w:w="0" w:type="dxa"/>
              <w:left w:w="108" w:type="dxa"/>
              <w:bottom w:w="0" w:type="dxa"/>
              <w:right w:w="108" w:type="dxa"/>
            </w:tcMar>
            <w:vAlign w:val="center"/>
          </w:tcPr>
          <w:p w:rsidR="00510864" w:rsidRPr="00E80636" w:rsidRDefault="00510864" w:rsidP="006C308E">
            <w:pPr>
              <w:jc w:val="center"/>
              <w:rPr>
                <w:rFonts w:asciiTheme="majorHAnsi" w:eastAsia="Times New Roman" w:hAnsiTheme="majorHAnsi" w:cstheme="majorHAnsi"/>
                <w:b/>
                <w:sz w:val="20"/>
                <w:szCs w:val="20"/>
              </w:rPr>
            </w:pPr>
            <w:r w:rsidRPr="00E80636">
              <w:rPr>
                <w:rFonts w:asciiTheme="majorHAnsi" w:eastAsia="Times New Roman" w:hAnsiTheme="majorHAnsi" w:cstheme="majorHAnsi"/>
                <w:b/>
                <w:sz w:val="20"/>
                <w:szCs w:val="20"/>
              </w:rPr>
              <w:t>N=286</w:t>
            </w:r>
          </w:p>
        </w:tc>
        <w:tc>
          <w:tcPr>
            <w:tcW w:w="1080" w:type="dxa"/>
            <w:tcMar>
              <w:top w:w="0" w:type="dxa"/>
              <w:left w:w="108" w:type="dxa"/>
              <w:bottom w:w="0" w:type="dxa"/>
              <w:right w:w="108" w:type="dxa"/>
            </w:tcMar>
            <w:vAlign w:val="center"/>
          </w:tcPr>
          <w:p w:rsidR="00510864" w:rsidRPr="00E80636" w:rsidRDefault="00510864" w:rsidP="006C308E">
            <w:pPr>
              <w:jc w:val="center"/>
              <w:rPr>
                <w:rFonts w:asciiTheme="majorHAnsi" w:eastAsia="Times New Roman" w:hAnsiTheme="majorHAnsi" w:cstheme="majorHAnsi"/>
                <w:b/>
                <w:sz w:val="20"/>
                <w:szCs w:val="20"/>
              </w:rPr>
            </w:pPr>
            <w:r w:rsidRPr="00E80636">
              <w:rPr>
                <w:rFonts w:asciiTheme="majorHAnsi" w:eastAsia="Times New Roman" w:hAnsiTheme="majorHAnsi" w:cstheme="majorHAnsi"/>
                <w:b/>
                <w:sz w:val="20"/>
                <w:szCs w:val="20"/>
              </w:rPr>
              <w:t>N=360</w:t>
            </w:r>
          </w:p>
        </w:tc>
      </w:tr>
      <w:tr w:rsidR="00510864" w:rsidRPr="00743A41" w:rsidTr="00406537">
        <w:tc>
          <w:tcPr>
            <w:tcW w:w="5220" w:type="dxa"/>
            <w:tcMar>
              <w:top w:w="0" w:type="dxa"/>
              <w:left w:w="108" w:type="dxa"/>
              <w:bottom w:w="0" w:type="dxa"/>
              <w:right w:w="108" w:type="dxa"/>
            </w:tcMar>
            <w:vAlign w:val="center"/>
            <w:hideMark/>
          </w:tcPr>
          <w:p w:rsidR="00510864" w:rsidRPr="00E80636" w:rsidRDefault="00510864" w:rsidP="006C308E">
            <w:pPr>
              <w:rPr>
                <w:rFonts w:asciiTheme="majorHAnsi" w:eastAsia="Times New Roman" w:hAnsiTheme="majorHAnsi" w:cstheme="majorHAnsi"/>
                <w:sz w:val="20"/>
                <w:szCs w:val="20"/>
              </w:rPr>
            </w:pPr>
            <w:r w:rsidRPr="00E80636">
              <w:rPr>
                <w:rFonts w:asciiTheme="majorHAnsi" w:eastAsia="Times New Roman" w:hAnsiTheme="majorHAnsi" w:cstheme="majorHAnsi"/>
                <w:color w:val="000000"/>
                <w:sz w:val="20"/>
                <w:szCs w:val="20"/>
              </w:rPr>
              <w:t>My faculty advisor was readily accessible to me.</w:t>
            </w:r>
          </w:p>
        </w:tc>
        <w:tc>
          <w:tcPr>
            <w:tcW w:w="1080" w:type="dxa"/>
            <w:tcMar>
              <w:top w:w="0" w:type="dxa"/>
              <w:left w:w="108" w:type="dxa"/>
              <w:bottom w:w="0" w:type="dxa"/>
              <w:right w:w="108" w:type="dxa"/>
            </w:tcMar>
            <w:vAlign w:val="bottom"/>
            <w:hideMark/>
          </w:tcPr>
          <w:p w:rsidR="00510864" w:rsidRPr="00E80636" w:rsidRDefault="00510864"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92%</w:t>
            </w:r>
          </w:p>
        </w:tc>
        <w:tc>
          <w:tcPr>
            <w:tcW w:w="1080" w:type="dxa"/>
            <w:tcMar>
              <w:top w:w="0" w:type="dxa"/>
              <w:left w:w="108" w:type="dxa"/>
              <w:bottom w:w="0" w:type="dxa"/>
              <w:right w:w="108" w:type="dxa"/>
            </w:tcMar>
            <w:vAlign w:val="bottom"/>
            <w:hideMark/>
          </w:tcPr>
          <w:p w:rsidR="00510864" w:rsidRPr="00E80636" w:rsidRDefault="00510864"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90%</w:t>
            </w:r>
          </w:p>
        </w:tc>
        <w:tc>
          <w:tcPr>
            <w:tcW w:w="1080" w:type="dxa"/>
            <w:tcMar>
              <w:top w:w="0" w:type="dxa"/>
              <w:left w:w="108" w:type="dxa"/>
              <w:bottom w:w="0" w:type="dxa"/>
              <w:right w:w="108" w:type="dxa"/>
            </w:tcMar>
            <w:vAlign w:val="bottom"/>
            <w:hideMark/>
          </w:tcPr>
          <w:p w:rsidR="00510864" w:rsidRPr="00E80636" w:rsidRDefault="00510864"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89%</w:t>
            </w:r>
          </w:p>
        </w:tc>
      </w:tr>
      <w:tr w:rsidR="00510864" w:rsidRPr="00743A41" w:rsidTr="00406537">
        <w:tc>
          <w:tcPr>
            <w:tcW w:w="5220" w:type="dxa"/>
            <w:tcMar>
              <w:top w:w="0" w:type="dxa"/>
              <w:left w:w="108" w:type="dxa"/>
              <w:bottom w:w="0" w:type="dxa"/>
              <w:right w:w="108" w:type="dxa"/>
            </w:tcMar>
            <w:vAlign w:val="center"/>
            <w:hideMark/>
          </w:tcPr>
          <w:p w:rsidR="00510864" w:rsidRPr="00E80636" w:rsidRDefault="00510864" w:rsidP="006C308E">
            <w:pPr>
              <w:rPr>
                <w:rFonts w:asciiTheme="majorHAnsi" w:eastAsia="Times New Roman" w:hAnsiTheme="majorHAnsi" w:cstheme="majorHAnsi"/>
                <w:sz w:val="20"/>
                <w:szCs w:val="20"/>
              </w:rPr>
            </w:pPr>
            <w:r w:rsidRPr="00E80636">
              <w:rPr>
                <w:rFonts w:asciiTheme="majorHAnsi" w:eastAsia="Times New Roman" w:hAnsiTheme="majorHAnsi" w:cstheme="majorHAnsi"/>
                <w:color w:val="000000"/>
                <w:sz w:val="20"/>
                <w:szCs w:val="20"/>
              </w:rPr>
              <w:t>My faculty advisor treated me with respect.</w:t>
            </w:r>
          </w:p>
        </w:tc>
        <w:tc>
          <w:tcPr>
            <w:tcW w:w="1080" w:type="dxa"/>
            <w:tcMar>
              <w:top w:w="0" w:type="dxa"/>
              <w:left w:w="108" w:type="dxa"/>
              <w:bottom w:w="0" w:type="dxa"/>
              <w:right w:w="108" w:type="dxa"/>
            </w:tcMar>
            <w:vAlign w:val="bottom"/>
            <w:hideMark/>
          </w:tcPr>
          <w:p w:rsidR="00510864" w:rsidRPr="00E80636" w:rsidRDefault="00510864"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95%</w:t>
            </w:r>
          </w:p>
        </w:tc>
        <w:tc>
          <w:tcPr>
            <w:tcW w:w="1080" w:type="dxa"/>
            <w:tcMar>
              <w:top w:w="0" w:type="dxa"/>
              <w:left w:w="108" w:type="dxa"/>
              <w:bottom w:w="0" w:type="dxa"/>
              <w:right w:w="108" w:type="dxa"/>
            </w:tcMar>
            <w:vAlign w:val="bottom"/>
            <w:hideMark/>
          </w:tcPr>
          <w:p w:rsidR="00510864" w:rsidRPr="00E80636" w:rsidRDefault="00510864"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94%</w:t>
            </w:r>
          </w:p>
        </w:tc>
        <w:tc>
          <w:tcPr>
            <w:tcW w:w="1080" w:type="dxa"/>
            <w:tcMar>
              <w:top w:w="0" w:type="dxa"/>
              <w:left w:w="108" w:type="dxa"/>
              <w:bottom w:w="0" w:type="dxa"/>
              <w:right w:w="108" w:type="dxa"/>
            </w:tcMar>
            <w:vAlign w:val="bottom"/>
            <w:hideMark/>
          </w:tcPr>
          <w:p w:rsidR="00510864" w:rsidRPr="00E80636" w:rsidRDefault="00510864"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95%</w:t>
            </w:r>
          </w:p>
        </w:tc>
      </w:tr>
      <w:tr w:rsidR="00510864" w:rsidRPr="00743A41" w:rsidTr="00406537">
        <w:tc>
          <w:tcPr>
            <w:tcW w:w="5220" w:type="dxa"/>
            <w:tcMar>
              <w:top w:w="0" w:type="dxa"/>
              <w:left w:w="108" w:type="dxa"/>
              <w:bottom w:w="0" w:type="dxa"/>
              <w:right w:w="108" w:type="dxa"/>
            </w:tcMar>
            <w:vAlign w:val="center"/>
            <w:hideMark/>
          </w:tcPr>
          <w:p w:rsidR="00510864" w:rsidRPr="00E80636" w:rsidRDefault="00510864" w:rsidP="006C308E">
            <w:pPr>
              <w:rPr>
                <w:rFonts w:asciiTheme="majorHAnsi" w:eastAsia="Times New Roman" w:hAnsiTheme="majorHAnsi" w:cstheme="majorHAnsi"/>
                <w:sz w:val="20"/>
                <w:szCs w:val="20"/>
              </w:rPr>
            </w:pPr>
            <w:r w:rsidRPr="00E80636">
              <w:rPr>
                <w:rFonts w:asciiTheme="majorHAnsi" w:eastAsia="Times New Roman" w:hAnsiTheme="majorHAnsi" w:cstheme="majorHAnsi"/>
                <w:color w:val="000000"/>
                <w:sz w:val="20"/>
                <w:szCs w:val="20"/>
              </w:rPr>
              <w:t>My faculty advisor was sufficiently familiar with the degree programs and curricula to guide me in course selection.</w:t>
            </w:r>
          </w:p>
        </w:tc>
        <w:tc>
          <w:tcPr>
            <w:tcW w:w="1080" w:type="dxa"/>
            <w:tcMar>
              <w:top w:w="0" w:type="dxa"/>
              <w:left w:w="108" w:type="dxa"/>
              <w:bottom w:w="0" w:type="dxa"/>
              <w:right w:w="108" w:type="dxa"/>
            </w:tcMar>
            <w:vAlign w:val="bottom"/>
            <w:hideMark/>
          </w:tcPr>
          <w:p w:rsidR="00510864" w:rsidRPr="00E80636" w:rsidRDefault="00510864"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85%</w:t>
            </w:r>
          </w:p>
        </w:tc>
        <w:tc>
          <w:tcPr>
            <w:tcW w:w="1080" w:type="dxa"/>
            <w:tcMar>
              <w:top w:w="0" w:type="dxa"/>
              <w:left w:w="108" w:type="dxa"/>
              <w:bottom w:w="0" w:type="dxa"/>
              <w:right w:w="108" w:type="dxa"/>
            </w:tcMar>
            <w:vAlign w:val="bottom"/>
            <w:hideMark/>
          </w:tcPr>
          <w:p w:rsidR="00510864" w:rsidRPr="00E80636" w:rsidRDefault="00510864"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86%</w:t>
            </w:r>
          </w:p>
        </w:tc>
        <w:tc>
          <w:tcPr>
            <w:tcW w:w="1080" w:type="dxa"/>
            <w:tcMar>
              <w:top w:w="0" w:type="dxa"/>
              <w:left w:w="108" w:type="dxa"/>
              <w:bottom w:w="0" w:type="dxa"/>
              <w:right w:w="108" w:type="dxa"/>
            </w:tcMar>
            <w:vAlign w:val="bottom"/>
            <w:hideMark/>
          </w:tcPr>
          <w:p w:rsidR="00510864" w:rsidRPr="00E80636" w:rsidRDefault="00510864"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88%</w:t>
            </w:r>
          </w:p>
        </w:tc>
      </w:tr>
      <w:tr w:rsidR="00510864" w:rsidRPr="00743A41" w:rsidTr="00406537">
        <w:tc>
          <w:tcPr>
            <w:tcW w:w="5220" w:type="dxa"/>
            <w:tcMar>
              <w:top w:w="0" w:type="dxa"/>
              <w:left w:w="108" w:type="dxa"/>
              <w:bottom w:w="0" w:type="dxa"/>
              <w:right w:w="108" w:type="dxa"/>
            </w:tcMar>
            <w:vAlign w:val="center"/>
            <w:hideMark/>
          </w:tcPr>
          <w:p w:rsidR="00510864" w:rsidRPr="00E80636" w:rsidRDefault="00510864" w:rsidP="006C308E">
            <w:pPr>
              <w:rPr>
                <w:rFonts w:asciiTheme="majorHAnsi" w:eastAsia="Times New Roman" w:hAnsiTheme="majorHAnsi" w:cstheme="majorHAnsi"/>
                <w:sz w:val="20"/>
                <w:szCs w:val="20"/>
              </w:rPr>
            </w:pPr>
            <w:r w:rsidRPr="00E80636">
              <w:rPr>
                <w:rFonts w:asciiTheme="majorHAnsi" w:eastAsia="Times New Roman" w:hAnsiTheme="majorHAnsi" w:cstheme="majorHAnsi"/>
                <w:color w:val="000000"/>
                <w:sz w:val="20"/>
                <w:szCs w:val="20"/>
              </w:rPr>
              <w:t>I was comfortable expressing my ideas to my faculty advisor.</w:t>
            </w:r>
          </w:p>
        </w:tc>
        <w:tc>
          <w:tcPr>
            <w:tcW w:w="1080" w:type="dxa"/>
            <w:tcMar>
              <w:top w:w="0" w:type="dxa"/>
              <w:left w:w="108" w:type="dxa"/>
              <w:bottom w:w="0" w:type="dxa"/>
              <w:right w:w="108" w:type="dxa"/>
            </w:tcMar>
            <w:vAlign w:val="bottom"/>
            <w:hideMark/>
          </w:tcPr>
          <w:p w:rsidR="00510864" w:rsidRPr="00E80636" w:rsidRDefault="00510864"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90%</w:t>
            </w:r>
          </w:p>
        </w:tc>
        <w:tc>
          <w:tcPr>
            <w:tcW w:w="1080" w:type="dxa"/>
            <w:tcMar>
              <w:top w:w="0" w:type="dxa"/>
              <w:left w:w="108" w:type="dxa"/>
              <w:bottom w:w="0" w:type="dxa"/>
              <w:right w:w="108" w:type="dxa"/>
            </w:tcMar>
            <w:vAlign w:val="bottom"/>
            <w:hideMark/>
          </w:tcPr>
          <w:p w:rsidR="00510864" w:rsidRPr="00E80636" w:rsidRDefault="00510864"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88%</w:t>
            </w:r>
          </w:p>
        </w:tc>
        <w:tc>
          <w:tcPr>
            <w:tcW w:w="1080" w:type="dxa"/>
            <w:tcMar>
              <w:top w:w="0" w:type="dxa"/>
              <w:left w:w="108" w:type="dxa"/>
              <w:bottom w:w="0" w:type="dxa"/>
              <w:right w:w="108" w:type="dxa"/>
            </w:tcMar>
            <w:vAlign w:val="bottom"/>
            <w:hideMark/>
          </w:tcPr>
          <w:p w:rsidR="00510864" w:rsidRPr="00E80636" w:rsidRDefault="00510864"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92%</w:t>
            </w:r>
          </w:p>
        </w:tc>
      </w:tr>
    </w:tbl>
    <w:p w:rsidR="00933038" w:rsidRPr="00E80636" w:rsidRDefault="00933038" w:rsidP="006C308E">
      <w:pPr>
        <w:ind w:left="720"/>
        <w:rPr>
          <w:rFonts w:asciiTheme="majorHAnsi" w:hAnsiTheme="majorHAnsi" w:cstheme="majorHAnsi"/>
          <w:sz w:val="20"/>
          <w:szCs w:val="20"/>
        </w:rPr>
      </w:pPr>
    </w:p>
    <w:p w:rsidR="000105C0" w:rsidRDefault="000105C0" w:rsidP="006C308E">
      <w:pPr>
        <w:ind w:left="720"/>
        <w:rPr>
          <w:rFonts w:asciiTheme="majorHAnsi" w:eastAsia="Arial" w:hAnsiTheme="majorHAnsi" w:cstheme="majorHAnsi"/>
          <w:sz w:val="20"/>
          <w:szCs w:val="20"/>
        </w:rPr>
      </w:pPr>
      <w:r w:rsidRPr="00E80636">
        <w:rPr>
          <w:rFonts w:asciiTheme="majorHAnsi" w:eastAsia="Arial" w:hAnsiTheme="majorHAnsi" w:cstheme="majorHAnsi"/>
          <w:sz w:val="20"/>
          <w:szCs w:val="20"/>
        </w:rPr>
        <w:t>Associated documents in the electronic resource file:</w:t>
      </w:r>
    </w:p>
    <w:p w:rsidR="00026306" w:rsidRPr="00E4342E" w:rsidRDefault="00026306" w:rsidP="00026306">
      <w:pPr>
        <w:pStyle w:val="ListParagraph"/>
        <w:numPr>
          <w:ilvl w:val="0"/>
          <w:numId w:val="109"/>
        </w:numPr>
        <w:rPr>
          <w:rFonts w:asciiTheme="majorHAnsi" w:eastAsia="Arial" w:hAnsiTheme="majorHAnsi" w:cstheme="majorHAnsi"/>
          <w:i/>
          <w:szCs w:val="20"/>
        </w:rPr>
      </w:pPr>
      <w:r w:rsidRPr="00E4342E">
        <w:rPr>
          <w:rFonts w:asciiTheme="majorHAnsi" w:eastAsia="Arial" w:hAnsiTheme="majorHAnsi" w:cstheme="majorHAnsi"/>
          <w:i/>
          <w:szCs w:val="20"/>
        </w:rPr>
        <w:t>H1. Academic Advising</w:t>
      </w:r>
    </w:p>
    <w:p w:rsidR="009F6A16" w:rsidRDefault="00FD662C" w:rsidP="009F6A16">
      <w:pPr>
        <w:pStyle w:val="ListParagraph"/>
        <w:numPr>
          <w:ilvl w:val="1"/>
          <w:numId w:val="109"/>
        </w:numPr>
        <w:rPr>
          <w:rFonts w:asciiTheme="majorHAnsi" w:eastAsia="Arial" w:hAnsiTheme="majorHAnsi" w:cstheme="majorHAnsi"/>
          <w:i/>
          <w:szCs w:val="20"/>
        </w:rPr>
      </w:pPr>
      <w:r>
        <w:rPr>
          <w:rFonts w:asciiTheme="majorHAnsi" w:eastAsia="Arial" w:hAnsiTheme="majorHAnsi" w:cstheme="majorHAnsi"/>
          <w:i/>
          <w:szCs w:val="20"/>
        </w:rPr>
        <w:t xml:space="preserve">Graduation </w:t>
      </w:r>
      <w:r w:rsidR="000105C0" w:rsidRPr="00E4342E">
        <w:rPr>
          <w:rFonts w:asciiTheme="majorHAnsi" w:eastAsia="Arial" w:hAnsiTheme="majorHAnsi" w:cstheme="majorHAnsi"/>
          <w:i/>
          <w:szCs w:val="20"/>
        </w:rPr>
        <w:t>Exit Survey</w:t>
      </w:r>
    </w:p>
    <w:p w:rsidR="00DF77FD" w:rsidRDefault="00DF77FD" w:rsidP="009F6A16">
      <w:pPr>
        <w:pStyle w:val="ListParagraph"/>
        <w:numPr>
          <w:ilvl w:val="1"/>
          <w:numId w:val="109"/>
        </w:numPr>
        <w:rPr>
          <w:rFonts w:asciiTheme="majorHAnsi" w:eastAsia="Arial" w:hAnsiTheme="majorHAnsi" w:cstheme="majorHAnsi"/>
          <w:i/>
          <w:szCs w:val="20"/>
        </w:rPr>
      </w:pPr>
      <w:r>
        <w:rPr>
          <w:rFonts w:asciiTheme="majorHAnsi" w:eastAsia="Arial" w:hAnsiTheme="majorHAnsi" w:cstheme="majorHAnsi"/>
          <w:i/>
          <w:szCs w:val="20"/>
        </w:rPr>
        <w:t>Data on Academic Advising Perceptions</w:t>
      </w:r>
    </w:p>
    <w:p w:rsidR="00FD662C" w:rsidRDefault="00FD662C" w:rsidP="009F6A16">
      <w:pPr>
        <w:pStyle w:val="ListParagraph"/>
        <w:numPr>
          <w:ilvl w:val="1"/>
          <w:numId w:val="109"/>
        </w:numPr>
        <w:rPr>
          <w:rFonts w:asciiTheme="majorHAnsi" w:eastAsia="Arial" w:hAnsiTheme="majorHAnsi" w:cstheme="majorHAnsi"/>
          <w:i/>
          <w:szCs w:val="20"/>
        </w:rPr>
      </w:pPr>
      <w:r>
        <w:rPr>
          <w:rFonts w:asciiTheme="majorHAnsi" w:eastAsia="Arial" w:hAnsiTheme="majorHAnsi" w:cstheme="majorHAnsi"/>
          <w:i/>
          <w:szCs w:val="20"/>
        </w:rPr>
        <w:t>Graduate Exit Survey, Raw Data</w:t>
      </w:r>
    </w:p>
    <w:p w:rsidR="00DF77FD" w:rsidRPr="00DF77FD" w:rsidRDefault="00DF77FD" w:rsidP="00DF77FD">
      <w:pPr>
        <w:rPr>
          <w:rFonts w:asciiTheme="majorHAnsi" w:eastAsia="Arial" w:hAnsiTheme="majorHAnsi" w:cstheme="majorHAnsi"/>
          <w:i/>
          <w:szCs w:val="20"/>
        </w:rPr>
      </w:pPr>
    </w:p>
    <w:p w:rsidR="00933038" w:rsidRPr="00E80636" w:rsidRDefault="00933038" w:rsidP="006C308E">
      <w:pPr>
        <w:numPr>
          <w:ilvl w:val="0"/>
          <w:numId w:val="42"/>
        </w:numPr>
        <w:jc w:val="both"/>
        <w:rPr>
          <w:rFonts w:asciiTheme="majorHAnsi" w:hAnsiTheme="majorHAnsi" w:cstheme="majorHAnsi"/>
          <w:sz w:val="20"/>
          <w:szCs w:val="20"/>
        </w:rPr>
      </w:pPr>
      <w:r w:rsidRPr="00E80636">
        <w:rPr>
          <w:rFonts w:asciiTheme="majorHAnsi" w:hAnsiTheme="majorHAnsi" w:cstheme="majorHAnsi"/>
          <w:sz w:val="20"/>
          <w:szCs w:val="20"/>
        </w:rPr>
        <w:t xml:space="preserve">Describe the orientation processes. If these differ by degree and/or concentration, provide a brief overview of each. </w:t>
      </w:r>
    </w:p>
    <w:p w:rsidR="00345B9F" w:rsidRPr="00E80636" w:rsidRDefault="00345B9F" w:rsidP="006C308E">
      <w:pPr>
        <w:ind w:left="720"/>
        <w:rPr>
          <w:rFonts w:asciiTheme="majorHAnsi" w:eastAsia="Times New Roman" w:hAnsiTheme="majorHAnsi" w:cstheme="majorHAnsi"/>
          <w:sz w:val="20"/>
          <w:szCs w:val="20"/>
        </w:rPr>
      </w:pPr>
    </w:p>
    <w:p w:rsidR="00510864" w:rsidRPr="00E80636" w:rsidRDefault="00510864" w:rsidP="006C308E">
      <w:pPr>
        <w:ind w:left="720" w:right="63"/>
        <w:rPr>
          <w:rFonts w:asciiTheme="majorHAnsi" w:eastAsia="Times New Roman" w:hAnsiTheme="majorHAnsi" w:cstheme="majorHAnsi"/>
          <w:sz w:val="20"/>
          <w:szCs w:val="20"/>
        </w:rPr>
      </w:pPr>
      <w:r w:rsidRPr="00E80636">
        <w:rPr>
          <w:rFonts w:asciiTheme="majorHAnsi" w:eastAsia="Times New Roman" w:hAnsiTheme="majorHAnsi" w:cstheme="majorHAnsi"/>
          <w:color w:val="000000"/>
          <w:sz w:val="20"/>
          <w:szCs w:val="20"/>
        </w:rPr>
        <w:t>The UTHealth School of Public Health offers multidimensional and dynamic orientation sessions in the fall and spring semesters for newly admitted students. The orientation process is completed in two complementary parts: online (Part I) and in-person (Part II).</w:t>
      </w:r>
      <w:r w:rsidR="00BC224C" w:rsidRPr="00E80636">
        <w:rPr>
          <w:rFonts w:asciiTheme="majorHAnsi" w:eastAsia="Times New Roman" w:hAnsiTheme="majorHAnsi" w:cstheme="majorHAnsi"/>
          <w:color w:val="000000"/>
          <w:sz w:val="20"/>
          <w:szCs w:val="20"/>
        </w:rPr>
        <w:t xml:space="preserve"> The online orientation modules and documentation is available in the electronic resource file (</w:t>
      </w:r>
      <w:r w:rsidR="00E4342E" w:rsidRPr="00E4342E">
        <w:rPr>
          <w:rFonts w:asciiTheme="majorHAnsi" w:eastAsia="Times New Roman" w:hAnsiTheme="majorHAnsi" w:cstheme="majorHAnsi"/>
          <w:i/>
          <w:color w:val="000000"/>
          <w:sz w:val="20"/>
          <w:szCs w:val="20"/>
        </w:rPr>
        <w:t xml:space="preserve">ERF, </w:t>
      </w:r>
      <w:r w:rsidR="00BC224C" w:rsidRPr="00E4342E">
        <w:rPr>
          <w:rFonts w:asciiTheme="majorHAnsi" w:eastAsia="Times New Roman" w:hAnsiTheme="majorHAnsi" w:cstheme="majorHAnsi"/>
          <w:i/>
          <w:sz w:val="20"/>
          <w:szCs w:val="20"/>
        </w:rPr>
        <w:t>H1.5. Orientation Documentation</w:t>
      </w:r>
      <w:r w:rsidR="00BC224C" w:rsidRPr="00E80636">
        <w:rPr>
          <w:rFonts w:asciiTheme="majorHAnsi" w:eastAsia="Times New Roman" w:hAnsiTheme="majorHAnsi" w:cstheme="majorHAnsi"/>
          <w:color w:val="000000"/>
          <w:sz w:val="20"/>
          <w:szCs w:val="20"/>
        </w:rPr>
        <w:t>)</w:t>
      </w:r>
      <w:r w:rsidR="00C27158" w:rsidRPr="00E80636">
        <w:rPr>
          <w:rFonts w:asciiTheme="majorHAnsi" w:eastAsia="Times New Roman" w:hAnsiTheme="majorHAnsi" w:cstheme="majorHAnsi"/>
          <w:color w:val="000000"/>
          <w:sz w:val="20"/>
          <w:szCs w:val="20"/>
        </w:rPr>
        <w:t>.</w:t>
      </w:r>
    </w:p>
    <w:p w:rsidR="00510864" w:rsidRPr="00E80636" w:rsidRDefault="00510864" w:rsidP="006C308E">
      <w:pPr>
        <w:ind w:left="720"/>
        <w:rPr>
          <w:rFonts w:asciiTheme="majorHAnsi" w:eastAsia="Times New Roman" w:hAnsiTheme="majorHAnsi" w:cstheme="majorHAnsi"/>
          <w:sz w:val="20"/>
          <w:szCs w:val="20"/>
        </w:rPr>
      </w:pPr>
    </w:p>
    <w:p w:rsidR="006776B3" w:rsidRPr="00E80636" w:rsidRDefault="00510864" w:rsidP="006776B3">
      <w:pPr>
        <w:ind w:left="720" w:right="63"/>
        <w:rPr>
          <w:rFonts w:asciiTheme="majorHAnsi" w:eastAsia="Times New Roman" w:hAnsiTheme="majorHAnsi" w:cstheme="majorHAnsi"/>
          <w:sz w:val="20"/>
          <w:szCs w:val="20"/>
        </w:rPr>
      </w:pPr>
      <w:r w:rsidRPr="00137207">
        <w:rPr>
          <w:rFonts w:asciiTheme="majorHAnsi" w:eastAsia="Times New Roman" w:hAnsiTheme="majorHAnsi" w:cstheme="majorHAnsi"/>
          <w:bCs/>
          <w:color w:val="000000"/>
          <w:sz w:val="20"/>
          <w:szCs w:val="20"/>
          <w:u w:val="single"/>
        </w:rPr>
        <w:t>Part I: Online Orientation</w:t>
      </w:r>
      <w:r w:rsidR="00137207" w:rsidRPr="00137207">
        <w:rPr>
          <w:rFonts w:asciiTheme="majorHAnsi" w:eastAsia="Times New Roman" w:hAnsiTheme="majorHAnsi" w:cstheme="majorHAnsi"/>
          <w:bCs/>
          <w:color w:val="000000"/>
          <w:sz w:val="20"/>
          <w:szCs w:val="20"/>
          <w:u w:val="single"/>
        </w:rPr>
        <w:t>:</w:t>
      </w:r>
      <w:r w:rsidR="00137207">
        <w:rPr>
          <w:rFonts w:asciiTheme="majorHAnsi" w:eastAsia="Times New Roman" w:hAnsiTheme="majorHAnsi" w:cstheme="majorHAnsi"/>
          <w:b/>
          <w:bCs/>
          <w:color w:val="000000"/>
          <w:sz w:val="20"/>
          <w:szCs w:val="20"/>
        </w:rPr>
        <w:t xml:space="preserve"> </w:t>
      </w:r>
      <w:r w:rsidR="00AF6E93" w:rsidRPr="00AF6E93">
        <w:rPr>
          <w:rFonts w:asciiTheme="majorHAnsi" w:eastAsia="Times New Roman" w:hAnsiTheme="majorHAnsi" w:cstheme="majorHAnsi"/>
          <w:color w:val="000000"/>
          <w:sz w:val="20"/>
          <w:szCs w:val="20"/>
        </w:rPr>
        <w:t xml:space="preserve">The online orientation modules are designed to introduce </w:t>
      </w:r>
      <w:r w:rsidR="00034447">
        <w:rPr>
          <w:rFonts w:asciiTheme="majorHAnsi" w:eastAsia="Times New Roman" w:hAnsiTheme="majorHAnsi" w:cstheme="majorHAnsi"/>
          <w:color w:val="000000"/>
          <w:sz w:val="20"/>
          <w:szCs w:val="20"/>
        </w:rPr>
        <w:t>students</w:t>
      </w:r>
      <w:r w:rsidR="00AF6E93" w:rsidRPr="00AF6E93">
        <w:rPr>
          <w:rFonts w:asciiTheme="majorHAnsi" w:eastAsia="Times New Roman" w:hAnsiTheme="majorHAnsi" w:cstheme="majorHAnsi"/>
          <w:color w:val="000000"/>
          <w:sz w:val="20"/>
          <w:szCs w:val="20"/>
        </w:rPr>
        <w:t xml:space="preserve"> to important information about </w:t>
      </w:r>
      <w:r w:rsidR="00442C38">
        <w:rPr>
          <w:rFonts w:asciiTheme="majorHAnsi" w:eastAsia="Times New Roman" w:hAnsiTheme="majorHAnsi" w:cstheme="majorHAnsi"/>
          <w:color w:val="000000"/>
          <w:sz w:val="20"/>
          <w:szCs w:val="20"/>
        </w:rPr>
        <w:t xml:space="preserve">the </w:t>
      </w:r>
      <w:r w:rsidR="00AF6E93" w:rsidRPr="00AF6E93">
        <w:rPr>
          <w:rFonts w:asciiTheme="majorHAnsi" w:eastAsia="Times New Roman" w:hAnsiTheme="majorHAnsi" w:cstheme="majorHAnsi"/>
          <w:color w:val="000000"/>
          <w:sz w:val="20"/>
          <w:szCs w:val="20"/>
        </w:rPr>
        <w:t xml:space="preserve">UTHealth School of Public Health campus resources, programs, services, and learning technologies. </w:t>
      </w:r>
      <w:r w:rsidR="006776B3" w:rsidRPr="00E80636">
        <w:rPr>
          <w:rFonts w:asciiTheme="majorHAnsi" w:eastAsia="Times New Roman" w:hAnsiTheme="majorHAnsi" w:cstheme="majorHAnsi"/>
          <w:color w:val="000000"/>
          <w:sz w:val="20"/>
          <w:szCs w:val="20"/>
        </w:rPr>
        <w:t>All newly admitted degree-seeking and non-degree seeking students are required to complete the online modules</w:t>
      </w:r>
      <w:r w:rsidR="006776B3">
        <w:rPr>
          <w:rFonts w:asciiTheme="majorHAnsi" w:eastAsia="Times New Roman" w:hAnsiTheme="majorHAnsi" w:cstheme="majorHAnsi"/>
          <w:color w:val="000000"/>
          <w:sz w:val="20"/>
          <w:szCs w:val="20"/>
        </w:rPr>
        <w:t>. S</w:t>
      </w:r>
      <w:r w:rsidR="008B5721">
        <w:rPr>
          <w:rFonts w:asciiTheme="majorHAnsi" w:eastAsia="Times New Roman" w:hAnsiTheme="majorHAnsi" w:cstheme="majorHAnsi"/>
          <w:color w:val="000000"/>
          <w:sz w:val="20"/>
          <w:szCs w:val="20"/>
        </w:rPr>
        <w:t>tudents must complete</w:t>
      </w:r>
      <w:r w:rsidR="006776B3">
        <w:rPr>
          <w:rFonts w:asciiTheme="majorHAnsi" w:eastAsia="Times New Roman" w:hAnsiTheme="majorHAnsi" w:cstheme="majorHAnsi"/>
          <w:color w:val="000000"/>
          <w:sz w:val="20"/>
          <w:szCs w:val="20"/>
        </w:rPr>
        <w:t xml:space="preserve"> </w:t>
      </w:r>
      <w:r w:rsidR="00AF6E93" w:rsidRPr="00AF6E93">
        <w:rPr>
          <w:rFonts w:asciiTheme="majorHAnsi" w:eastAsia="Times New Roman" w:hAnsiTheme="majorHAnsi" w:cstheme="majorHAnsi"/>
          <w:color w:val="000000"/>
          <w:sz w:val="20"/>
          <w:szCs w:val="20"/>
        </w:rPr>
        <w:t xml:space="preserve">the modules </w:t>
      </w:r>
      <w:r w:rsidR="008B5721">
        <w:rPr>
          <w:rFonts w:asciiTheme="majorHAnsi" w:eastAsia="Times New Roman" w:hAnsiTheme="majorHAnsi" w:cstheme="majorHAnsi"/>
          <w:color w:val="000000"/>
          <w:sz w:val="20"/>
          <w:szCs w:val="20"/>
        </w:rPr>
        <w:t xml:space="preserve">prior to </w:t>
      </w:r>
      <w:r w:rsidR="00AF6E93" w:rsidRPr="00AF6E93">
        <w:rPr>
          <w:rFonts w:asciiTheme="majorHAnsi" w:eastAsia="Times New Roman" w:hAnsiTheme="majorHAnsi" w:cstheme="majorHAnsi"/>
          <w:color w:val="000000"/>
          <w:sz w:val="20"/>
          <w:szCs w:val="20"/>
        </w:rPr>
        <w:t>register</w:t>
      </w:r>
      <w:r w:rsidR="008B5721">
        <w:rPr>
          <w:rFonts w:asciiTheme="majorHAnsi" w:eastAsia="Times New Roman" w:hAnsiTheme="majorHAnsi" w:cstheme="majorHAnsi"/>
          <w:color w:val="000000"/>
          <w:sz w:val="20"/>
          <w:szCs w:val="20"/>
        </w:rPr>
        <w:t>ing</w:t>
      </w:r>
      <w:r w:rsidR="006776B3">
        <w:rPr>
          <w:rFonts w:asciiTheme="majorHAnsi" w:eastAsia="Times New Roman" w:hAnsiTheme="majorHAnsi" w:cstheme="majorHAnsi"/>
          <w:color w:val="000000"/>
          <w:sz w:val="20"/>
          <w:szCs w:val="20"/>
        </w:rPr>
        <w:t xml:space="preserve"> for classes.</w:t>
      </w:r>
      <w:r w:rsidR="00D63A54">
        <w:rPr>
          <w:rFonts w:asciiTheme="majorHAnsi" w:eastAsia="Times New Roman" w:hAnsiTheme="majorHAnsi" w:cstheme="majorHAnsi"/>
          <w:color w:val="000000"/>
          <w:sz w:val="20"/>
          <w:szCs w:val="20"/>
        </w:rPr>
        <w:t xml:space="preserve"> All documentation and resources included in the online orientation is available in the electronic resource files (</w:t>
      </w:r>
      <w:r w:rsidR="00D63A54" w:rsidRPr="00D63A54">
        <w:rPr>
          <w:rFonts w:asciiTheme="majorHAnsi" w:eastAsia="Times New Roman" w:hAnsiTheme="majorHAnsi" w:cstheme="majorHAnsi"/>
          <w:i/>
          <w:color w:val="000000"/>
          <w:sz w:val="20"/>
          <w:szCs w:val="20"/>
        </w:rPr>
        <w:t>ERF, H1.5. Orientation Documentation</w:t>
      </w:r>
      <w:r w:rsidR="00D63A54">
        <w:rPr>
          <w:rFonts w:asciiTheme="majorHAnsi" w:eastAsia="Times New Roman" w:hAnsiTheme="majorHAnsi" w:cstheme="majorHAnsi"/>
          <w:color w:val="000000"/>
          <w:sz w:val="20"/>
          <w:szCs w:val="20"/>
        </w:rPr>
        <w:t>).</w:t>
      </w:r>
    </w:p>
    <w:p w:rsidR="00AF6E93" w:rsidRPr="00AF6E93" w:rsidRDefault="00AF6E93" w:rsidP="00AF6E93">
      <w:pPr>
        <w:ind w:left="720"/>
        <w:rPr>
          <w:rFonts w:asciiTheme="majorHAnsi" w:eastAsia="Times New Roman" w:hAnsiTheme="majorHAnsi" w:cstheme="majorHAnsi"/>
          <w:color w:val="000000"/>
          <w:sz w:val="20"/>
          <w:szCs w:val="20"/>
        </w:rPr>
      </w:pPr>
    </w:p>
    <w:p w:rsidR="006776B3" w:rsidRDefault="006776B3" w:rsidP="00AF6E93">
      <w:pPr>
        <w:ind w:left="72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Overview of Online Orientation:</w:t>
      </w:r>
    </w:p>
    <w:p w:rsidR="006776B3" w:rsidRPr="00336840" w:rsidRDefault="006776B3" w:rsidP="00336840">
      <w:pPr>
        <w:pStyle w:val="ListParagraph"/>
        <w:numPr>
          <w:ilvl w:val="0"/>
          <w:numId w:val="210"/>
        </w:numPr>
        <w:rPr>
          <w:rFonts w:asciiTheme="majorHAnsi" w:hAnsiTheme="majorHAnsi" w:cstheme="majorHAnsi"/>
          <w:color w:val="000000"/>
          <w:szCs w:val="20"/>
        </w:rPr>
      </w:pPr>
      <w:r w:rsidRPr="00336840">
        <w:rPr>
          <w:rFonts w:asciiTheme="majorHAnsi" w:hAnsiTheme="majorHAnsi" w:cstheme="majorHAnsi"/>
          <w:color w:val="000000"/>
          <w:szCs w:val="20"/>
        </w:rPr>
        <w:t>Electronic Resources</w:t>
      </w:r>
      <w:r w:rsidR="00336840">
        <w:rPr>
          <w:rFonts w:asciiTheme="majorHAnsi" w:hAnsiTheme="majorHAnsi" w:cstheme="majorHAnsi"/>
          <w:color w:val="000000"/>
          <w:szCs w:val="20"/>
        </w:rPr>
        <w:t xml:space="preserve"> (Canvas, IT Security Awareness)</w:t>
      </w:r>
    </w:p>
    <w:p w:rsidR="006776B3" w:rsidRPr="00336840" w:rsidRDefault="00AF6E93" w:rsidP="00336840">
      <w:pPr>
        <w:pStyle w:val="ListParagraph"/>
        <w:numPr>
          <w:ilvl w:val="0"/>
          <w:numId w:val="210"/>
        </w:numPr>
        <w:rPr>
          <w:rFonts w:asciiTheme="majorHAnsi" w:hAnsiTheme="majorHAnsi" w:cstheme="majorHAnsi"/>
          <w:color w:val="000000"/>
          <w:szCs w:val="20"/>
        </w:rPr>
      </w:pPr>
      <w:r w:rsidRPr="00336840">
        <w:rPr>
          <w:rFonts w:asciiTheme="majorHAnsi" w:hAnsiTheme="majorHAnsi" w:cstheme="majorHAnsi"/>
          <w:color w:val="000000"/>
          <w:szCs w:val="20"/>
        </w:rPr>
        <w:t>Module 1: Academ</w:t>
      </w:r>
      <w:r w:rsidR="006776B3" w:rsidRPr="00336840">
        <w:rPr>
          <w:rFonts w:asciiTheme="majorHAnsi" w:hAnsiTheme="majorHAnsi" w:cstheme="majorHAnsi"/>
          <w:color w:val="000000"/>
          <w:szCs w:val="20"/>
        </w:rPr>
        <w:t>ic Affairs and Student Services</w:t>
      </w:r>
    </w:p>
    <w:p w:rsidR="006776B3" w:rsidRPr="00336840" w:rsidRDefault="00AF6E93" w:rsidP="00336840">
      <w:pPr>
        <w:pStyle w:val="ListParagraph"/>
        <w:numPr>
          <w:ilvl w:val="0"/>
          <w:numId w:val="210"/>
        </w:numPr>
        <w:rPr>
          <w:rFonts w:asciiTheme="majorHAnsi" w:hAnsiTheme="majorHAnsi" w:cstheme="majorHAnsi"/>
          <w:color w:val="000000"/>
          <w:szCs w:val="20"/>
        </w:rPr>
      </w:pPr>
      <w:r w:rsidRPr="00336840">
        <w:rPr>
          <w:rFonts w:asciiTheme="majorHAnsi" w:hAnsiTheme="majorHAnsi" w:cstheme="majorHAnsi"/>
          <w:color w:val="000000"/>
          <w:szCs w:val="20"/>
        </w:rPr>
        <w:t>Module 2: Student Resources</w:t>
      </w:r>
    </w:p>
    <w:p w:rsidR="006776B3" w:rsidRPr="00336840" w:rsidRDefault="006776B3" w:rsidP="00336840">
      <w:pPr>
        <w:pStyle w:val="ListParagraph"/>
        <w:numPr>
          <w:ilvl w:val="0"/>
          <w:numId w:val="210"/>
        </w:numPr>
        <w:rPr>
          <w:rFonts w:asciiTheme="majorHAnsi" w:hAnsiTheme="majorHAnsi" w:cstheme="majorHAnsi"/>
          <w:color w:val="000000"/>
          <w:szCs w:val="20"/>
        </w:rPr>
      </w:pPr>
      <w:r w:rsidRPr="00336840">
        <w:rPr>
          <w:rFonts w:asciiTheme="majorHAnsi" w:hAnsiTheme="majorHAnsi" w:cstheme="majorHAnsi"/>
          <w:color w:val="000000"/>
          <w:szCs w:val="20"/>
        </w:rPr>
        <w:t>Module 3: Title IX</w:t>
      </w:r>
      <w:r w:rsidR="00BA1E3A">
        <w:rPr>
          <w:rFonts w:asciiTheme="majorHAnsi" w:hAnsiTheme="majorHAnsi" w:cstheme="majorHAnsi"/>
          <w:color w:val="000000"/>
          <w:szCs w:val="20"/>
        </w:rPr>
        <w:t>, Sexual Misconduct</w:t>
      </w:r>
    </w:p>
    <w:p w:rsidR="006776B3" w:rsidRPr="00336840" w:rsidRDefault="00AF6E93" w:rsidP="00336840">
      <w:pPr>
        <w:pStyle w:val="ListParagraph"/>
        <w:numPr>
          <w:ilvl w:val="0"/>
          <w:numId w:val="210"/>
        </w:numPr>
        <w:rPr>
          <w:rFonts w:asciiTheme="majorHAnsi" w:hAnsiTheme="majorHAnsi" w:cstheme="majorHAnsi"/>
          <w:color w:val="000000"/>
          <w:szCs w:val="20"/>
        </w:rPr>
      </w:pPr>
      <w:r w:rsidRPr="00336840">
        <w:rPr>
          <w:rFonts w:asciiTheme="majorHAnsi" w:hAnsiTheme="majorHAnsi" w:cstheme="majorHAnsi"/>
          <w:color w:val="000000"/>
          <w:szCs w:val="20"/>
        </w:rPr>
        <w:t>Module 4: Research Activ</w:t>
      </w:r>
      <w:r w:rsidR="006776B3" w:rsidRPr="00336840">
        <w:rPr>
          <w:rFonts w:asciiTheme="majorHAnsi" w:hAnsiTheme="majorHAnsi" w:cstheme="majorHAnsi"/>
          <w:color w:val="000000"/>
          <w:szCs w:val="20"/>
        </w:rPr>
        <w:t>ities (CITI Training and ORCID)</w:t>
      </w:r>
    </w:p>
    <w:p w:rsidR="00510864" w:rsidRPr="00336840" w:rsidRDefault="00AF6E93" w:rsidP="00336840">
      <w:pPr>
        <w:pStyle w:val="ListParagraph"/>
        <w:numPr>
          <w:ilvl w:val="0"/>
          <w:numId w:val="210"/>
        </w:numPr>
        <w:rPr>
          <w:rFonts w:asciiTheme="majorHAnsi" w:hAnsiTheme="majorHAnsi" w:cstheme="majorHAnsi"/>
          <w:color w:val="000000"/>
          <w:szCs w:val="20"/>
        </w:rPr>
      </w:pPr>
      <w:r w:rsidRPr="00336840">
        <w:rPr>
          <w:rFonts w:asciiTheme="majorHAnsi" w:hAnsiTheme="majorHAnsi" w:cstheme="majorHAnsi"/>
          <w:color w:val="000000"/>
          <w:szCs w:val="20"/>
        </w:rPr>
        <w:t>Module 5: Safety and Security</w:t>
      </w:r>
    </w:p>
    <w:p w:rsidR="00510864" w:rsidRPr="00E80636" w:rsidRDefault="00510864" w:rsidP="006C308E">
      <w:pPr>
        <w:ind w:left="720"/>
        <w:rPr>
          <w:rFonts w:asciiTheme="majorHAnsi" w:eastAsia="Times New Roman" w:hAnsiTheme="majorHAnsi" w:cstheme="majorHAnsi"/>
          <w:sz w:val="20"/>
          <w:szCs w:val="20"/>
        </w:rPr>
      </w:pPr>
    </w:p>
    <w:p w:rsidR="00510864" w:rsidRPr="00E80636" w:rsidRDefault="00510864" w:rsidP="00137207">
      <w:pPr>
        <w:ind w:left="720" w:right="63"/>
        <w:rPr>
          <w:rFonts w:asciiTheme="majorHAnsi" w:hAnsiTheme="majorHAnsi" w:cstheme="majorHAnsi"/>
          <w:sz w:val="20"/>
          <w:szCs w:val="20"/>
        </w:rPr>
      </w:pPr>
      <w:r w:rsidRPr="00137207">
        <w:rPr>
          <w:rFonts w:asciiTheme="majorHAnsi" w:eastAsia="Times New Roman" w:hAnsiTheme="majorHAnsi" w:cstheme="majorHAnsi"/>
          <w:bCs/>
          <w:color w:val="000000"/>
          <w:sz w:val="20"/>
          <w:szCs w:val="20"/>
          <w:u w:val="single"/>
        </w:rPr>
        <w:t>Part II: In-person Orientation</w:t>
      </w:r>
      <w:r w:rsidR="00137207">
        <w:rPr>
          <w:rFonts w:asciiTheme="majorHAnsi" w:eastAsia="Times New Roman" w:hAnsiTheme="majorHAnsi" w:cstheme="majorHAnsi"/>
          <w:b/>
          <w:bCs/>
          <w:color w:val="000000"/>
          <w:sz w:val="20"/>
          <w:szCs w:val="20"/>
        </w:rPr>
        <w:t xml:space="preserve">: </w:t>
      </w:r>
      <w:r w:rsidRPr="00E80636">
        <w:rPr>
          <w:rFonts w:asciiTheme="majorHAnsi" w:eastAsia="Times New Roman" w:hAnsiTheme="majorHAnsi" w:cstheme="majorHAnsi"/>
          <w:color w:val="000000"/>
          <w:sz w:val="20"/>
          <w:szCs w:val="20"/>
        </w:rPr>
        <w:t>All newly admitted degree-seeking students are required to attend the in-person orientation. The in-person orientation includes dynamic and engaging sessions geared towards introducing students to the school’s mission, goals, leadership, and traditions, as well as networking opportunities with future peers, staff, and faculty. In addition to being informational, the in-person orientation sessions allow faculty and representatives from the various school offices to answer specific student questions and concerns and to begin the advising process.</w:t>
      </w:r>
    </w:p>
    <w:p w:rsidR="000E0845" w:rsidRPr="00E80636" w:rsidRDefault="000E0845" w:rsidP="006C308E">
      <w:pPr>
        <w:ind w:left="720"/>
        <w:rPr>
          <w:rFonts w:asciiTheme="majorHAnsi" w:hAnsiTheme="majorHAnsi" w:cstheme="majorHAnsi"/>
          <w:sz w:val="20"/>
          <w:szCs w:val="20"/>
        </w:rPr>
      </w:pPr>
    </w:p>
    <w:p w:rsidR="00933038" w:rsidRPr="00E80636" w:rsidRDefault="00933038" w:rsidP="006C308E">
      <w:pPr>
        <w:numPr>
          <w:ilvl w:val="0"/>
          <w:numId w:val="42"/>
        </w:numPr>
        <w:jc w:val="both"/>
        <w:rPr>
          <w:rFonts w:asciiTheme="majorHAnsi" w:hAnsiTheme="majorHAnsi" w:cstheme="majorHAnsi"/>
          <w:sz w:val="20"/>
          <w:szCs w:val="20"/>
        </w:rPr>
      </w:pPr>
      <w:r w:rsidRPr="00E80636">
        <w:rPr>
          <w:rFonts w:asciiTheme="majorHAnsi" w:hAnsiTheme="majorHAnsi" w:cstheme="majorHAnsi"/>
          <w:sz w:val="20"/>
          <w:szCs w:val="20"/>
        </w:rPr>
        <w:t xml:space="preserve">If applicable, assess strengths and weaknesses related to this criterion and plans for improvement in this area. </w:t>
      </w:r>
    </w:p>
    <w:p w:rsidR="00933038" w:rsidRPr="00E80636" w:rsidRDefault="00933038" w:rsidP="006C308E">
      <w:pPr>
        <w:jc w:val="both"/>
        <w:rPr>
          <w:rFonts w:asciiTheme="majorHAnsi" w:hAnsiTheme="majorHAnsi" w:cstheme="majorHAnsi"/>
          <w:sz w:val="20"/>
          <w:szCs w:val="20"/>
        </w:rPr>
      </w:pPr>
    </w:p>
    <w:p w:rsidR="00D72639" w:rsidRPr="00E80636" w:rsidRDefault="00D72639" w:rsidP="006C308E">
      <w:pPr>
        <w:ind w:left="720"/>
        <w:rPr>
          <w:rFonts w:asciiTheme="majorHAnsi" w:hAnsiTheme="majorHAnsi" w:cstheme="majorHAnsi"/>
          <w:b/>
          <w:sz w:val="20"/>
          <w:szCs w:val="20"/>
        </w:rPr>
      </w:pPr>
      <w:r w:rsidRPr="00E80636">
        <w:rPr>
          <w:rFonts w:asciiTheme="majorHAnsi" w:hAnsiTheme="majorHAnsi" w:cstheme="majorHAnsi"/>
          <w:b/>
          <w:sz w:val="20"/>
          <w:szCs w:val="20"/>
        </w:rPr>
        <w:t xml:space="preserve">Strengths: </w:t>
      </w:r>
    </w:p>
    <w:p w:rsidR="00D72639" w:rsidRPr="00E80636" w:rsidRDefault="00D72639" w:rsidP="00864E8B">
      <w:pPr>
        <w:pStyle w:val="ListParagraph"/>
        <w:numPr>
          <w:ilvl w:val="0"/>
          <w:numId w:val="187"/>
        </w:numPr>
        <w:spacing w:after="160"/>
        <w:ind w:left="1440"/>
        <w:contextualSpacing/>
        <w:rPr>
          <w:rFonts w:asciiTheme="majorHAnsi" w:hAnsiTheme="majorHAnsi" w:cstheme="majorHAnsi"/>
          <w:b/>
          <w:szCs w:val="20"/>
        </w:rPr>
      </w:pPr>
      <w:r w:rsidRPr="00E80636">
        <w:rPr>
          <w:rFonts w:asciiTheme="majorHAnsi" w:hAnsiTheme="majorHAnsi" w:cstheme="majorHAnsi"/>
          <w:szCs w:val="20"/>
        </w:rPr>
        <w:t>All students have a faculty advisor and have access to staff advisors.</w:t>
      </w:r>
    </w:p>
    <w:p w:rsidR="00D72639" w:rsidRPr="00E80636" w:rsidRDefault="00D72639" w:rsidP="00864E8B">
      <w:pPr>
        <w:pStyle w:val="ListParagraph"/>
        <w:numPr>
          <w:ilvl w:val="0"/>
          <w:numId w:val="187"/>
        </w:numPr>
        <w:spacing w:after="160"/>
        <w:ind w:left="1440"/>
        <w:contextualSpacing/>
        <w:rPr>
          <w:rFonts w:asciiTheme="majorHAnsi" w:hAnsiTheme="majorHAnsi" w:cstheme="majorHAnsi"/>
          <w:b/>
          <w:szCs w:val="20"/>
        </w:rPr>
      </w:pPr>
      <w:r w:rsidRPr="00E80636">
        <w:rPr>
          <w:rFonts w:asciiTheme="majorHAnsi" w:hAnsiTheme="majorHAnsi" w:cstheme="majorHAnsi"/>
          <w:szCs w:val="20"/>
        </w:rPr>
        <w:t xml:space="preserve">Students and faculty are required to meet at least once every fall and spring semesters to review student career goals and progress in their degree program. </w:t>
      </w:r>
    </w:p>
    <w:p w:rsidR="00D72639" w:rsidRPr="00E80636" w:rsidRDefault="00D72639" w:rsidP="00864E8B">
      <w:pPr>
        <w:pStyle w:val="ListParagraph"/>
        <w:numPr>
          <w:ilvl w:val="0"/>
          <w:numId w:val="187"/>
        </w:numPr>
        <w:spacing w:after="160"/>
        <w:ind w:left="1440"/>
        <w:contextualSpacing/>
        <w:rPr>
          <w:rFonts w:asciiTheme="majorHAnsi" w:hAnsiTheme="majorHAnsi" w:cstheme="majorHAnsi"/>
          <w:b/>
          <w:szCs w:val="20"/>
        </w:rPr>
      </w:pPr>
      <w:r w:rsidRPr="00E80636">
        <w:rPr>
          <w:rFonts w:asciiTheme="majorHAnsi" w:hAnsiTheme="majorHAnsi" w:cstheme="majorHAnsi"/>
          <w:szCs w:val="20"/>
        </w:rPr>
        <w:t xml:space="preserve">The vast majority (&gt;89%) of students indicate that they are satisfied with their advising experience at the school.  </w:t>
      </w:r>
    </w:p>
    <w:p w:rsidR="00D72639" w:rsidRPr="00E80636" w:rsidRDefault="00D72639" w:rsidP="006C308E">
      <w:pPr>
        <w:ind w:left="720"/>
        <w:rPr>
          <w:rFonts w:asciiTheme="majorHAnsi" w:hAnsiTheme="majorHAnsi" w:cstheme="majorHAnsi"/>
          <w:b/>
          <w:sz w:val="20"/>
          <w:szCs w:val="20"/>
        </w:rPr>
      </w:pPr>
      <w:r w:rsidRPr="00E80636">
        <w:rPr>
          <w:rFonts w:asciiTheme="majorHAnsi" w:hAnsiTheme="majorHAnsi" w:cstheme="majorHAnsi"/>
          <w:b/>
          <w:sz w:val="20"/>
          <w:szCs w:val="20"/>
        </w:rPr>
        <w:t xml:space="preserve">Weaknesses: </w:t>
      </w:r>
    </w:p>
    <w:p w:rsidR="00D72639" w:rsidRPr="00E80636" w:rsidRDefault="00D72639" w:rsidP="00864E8B">
      <w:pPr>
        <w:pStyle w:val="ListParagraph"/>
        <w:numPr>
          <w:ilvl w:val="0"/>
          <w:numId w:val="194"/>
        </w:numPr>
        <w:spacing w:after="160"/>
        <w:ind w:left="1440"/>
        <w:contextualSpacing/>
        <w:rPr>
          <w:rFonts w:asciiTheme="majorHAnsi" w:hAnsiTheme="majorHAnsi" w:cstheme="majorHAnsi"/>
          <w:b/>
          <w:szCs w:val="20"/>
        </w:rPr>
      </w:pPr>
      <w:r w:rsidRPr="00E80636">
        <w:rPr>
          <w:rFonts w:asciiTheme="majorHAnsi" w:hAnsiTheme="majorHAnsi" w:cstheme="majorHAnsi"/>
          <w:szCs w:val="20"/>
        </w:rPr>
        <w:t xml:space="preserve">As a result of the self-study and changing academic requirements, it is challenging to disseminate and communicate new policies and practices to faculty. The UTHealth School of Public Health has invested in a customer relations management system that will house all policies, requirements, and forms in a single location so that faculty and students have ready access to these materials. </w:t>
      </w:r>
    </w:p>
    <w:p w:rsidR="00933038" w:rsidRPr="00E80636" w:rsidRDefault="00933038" w:rsidP="006C308E">
      <w:pPr>
        <w:ind w:left="720"/>
        <w:contextualSpacing/>
        <w:jc w:val="both"/>
        <w:rPr>
          <w:rFonts w:asciiTheme="majorHAnsi" w:hAnsiTheme="majorHAnsi" w:cstheme="majorHAnsi"/>
          <w:i/>
          <w:sz w:val="20"/>
          <w:szCs w:val="20"/>
        </w:rPr>
      </w:pPr>
    </w:p>
    <w:p w:rsidR="00933038" w:rsidRPr="00E80636" w:rsidRDefault="00933038" w:rsidP="006C308E">
      <w:pPr>
        <w:ind w:left="720"/>
        <w:jc w:val="both"/>
        <w:rPr>
          <w:rFonts w:asciiTheme="majorHAnsi" w:hAnsiTheme="majorHAnsi" w:cstheme="majorHAnsi"/>
          <w:sz w:val="20"/>
          <w:szCs w:val="20"/>
        </w:rPr>
      </w:pPr>
    </w:p>
    <w:p w:rsidR="00933038" w:rsidRPr="00E80636" w:rsidRDefault="00933038" w:rsidP="006C308E">
      <w:pPr>
        <w:rPr>
          <w:rStyle w:val="Heading1Char"/>
        </w:rPr>
      </w:pPr>
      <w:bookmarkStart w:id="156" w:name="_Toc464487898"/>
      <w:r w:rsidRPr="00E80636">
        <w:rPr>
          <w:rStyle w:val="Heading1Char"/>
        </w:rPr>
        <w:br w:type="page"/>
      </w:r>
    </w:p>
    <w:p w:rsidR="00933038" w:rsidRPr="00E80636" w:rsidRDefault="00933038" w:rsidP="007A68BE">
      <w:pPr>
        <w:pStyle w:val="Heading1"/>
      </w:pPr>
      <w:bookmarkStart w:id="157" w:name="_Toc7118231"/>
      <w:r w:rsidRPr="00E80636">
        <w:rPr>
          <w:rStyle w:val="Heading1Char"/>
          <w:b/>
        </w:rPr>
        <w:t>H2. Career Advising</w:t>
      </w:r>
      <w:bookmarkEnd w:id="156"/>
      <w:bookmarkEnd w:id="157"/>
      <w:r w:rsidRPr="00E80636">
        <w:t xml:space="preserve"> </w:t>
      </w:r>
    </w:p>
    <w:p w:rsidR="00933038" w:rsidRPr="00E80636" w:rsidRDefault="00933038" w:rsidP="006C308E">
      <w:pPr>
        <w:keepNext/>
        <w:jc w:val="both"/>
        <w:rPr>
          <w:rFonts w:asciiTheme="majorHAnsi" w:hAnsiTheme="majorHAnsi" w:cstheme="majorHAnsi"/>
          <w:b/>
          <w:sz w:val="20"/>
          <w:szCs w:val="20"/>
        </w:rPr>
      </w:pPr>
    </w:p>
    <w:p w:rsidR="00933038" w:rsidRPr="00E80636" w:rsidRDefault="00933038" w:rsidP="006C308E">
      <w:pPr>
        <w:jc w:val="both"/>
        <w:rPr>
          <w:rFonts w:asciiTheme="majorHAnsi" w:hAnsiTheme="majorHAnsi" w:cstheme="majorHAnsi"/>
          <w:b/>
          <w:sz w:val="20"/>
          <w:szCs w:val="20"/>
        </w:rPr>
      </w:pPr>
      <w:r w:rsidRPr="00E80636">
        <w:rPr>
          <w:rFonts w:asciiTheme="majorHAnsi" w:hAnsiTheme="majorHAnsi" w:cstheme="majorHAnsi"/>
          <w:b/>
          <w:sz w:val="20"/>
          <w:szCs w:val="20"/>
        </w:rPr>
        <w:t xml:space="preserve">The school provides accessible and supportive career advising services for students. Each student, including those who may be currently employed, has access to qualified faculty and/or staff who are actively engaged, knowledgeable about the workforce and sensitive to his or her professional development needs and can provide appropriate career placement advice. Career advising services may take a variety of forms, including but not limited to individualized consultations, resume workshops, mock interviews, career fairs, professional panels, networking events, employer presentations and online job databases. </w:t>
      </w:r>
    </w:p>
    <w:p w:rsidR="00933038" w:rsidRPr="00E80636" w:rsidRDefault="00933038" w:rsidP="006C308E">
      <w:pPr>
        <w:jc w:val="both"/>
        <w:rPr>
          <w:rFonts w:asciiTheme="majorHAnsi" w:hAnsiTheme="majorHAnsi" w:cstheme="majorHAnsi"/>
          <w:b/>
          <w:sz w:val="20"/>
          <w:szCs w:val="20"/>
        </w:rPr>
      </w:pPr>
    </w:p>
    <w:p w:rsidR="00933038" w:rsidRPr="00E80636" w:rsidRDefault="00933038" w:rsidP="006C308E">
      <w:pPr>
        <w:jc w:val="both"/>
        <w:rPr>
          <w:rFonts w:asciiTheme="majorHAnsi" w:hAnsiTheme="majorHAnsi" w:cstheme="majorHAnsi"/>
          <w:b/>
          <w:sz w:val="20"/>
          <w:szCs w:val="20"/>
        </w:rPr>
      </w:pPr>
      <w:r w:rsidRPr="00E80636">
        <w:rPr>
          <w:rFonts w:asciiTheme="majorHAnsi" w:hAnsiTheme="majorHAnsi" w:cstheme="majorHAnsi"/>
          <w:b/>
          <w:sz w:val="20"/>
          <w:szCs w:val="20"/>
        </w:rPr>
        <w:t>The school provides such resources for both currently enrolled students and alumni. The school may accomplish this through a variety of formal or informal mechanisms including connecting graduates with professional associations, making faculty and other alumni available for networking and advice, etc.</w:t>
      </w:r>
    </w:p>
    <w:p w:rsidR="00933038" w:rsidRPr="00E80636" w:rsidRDefault="00933038" w:rsidP="006C308E">
      <w:pPr>
        <w:jc w:val="both"/>
        <w:rPr>
          <w:rFonts w:asciiTheme="majorHAnsi" w:hAnsiTheme="majorHAnsi" w:cstheme="majorHAnsi"/>
          <w:sz w:val="20"/>
          <w:szCs w:val="20"/>
        </w:rPr>
      </w:pPr>
    </w:p>
    <w:p w:rsidR="00933038" w:rsidRPr="00E80636" w:rsidRDefault="00933038" w:rsidP="006C308E">
      <w:pPr>
        <w:keepNext/>
        <w:tabs>
          <w:tab w:val="num" w:pos="1080"/>
        </w:tabs>
        <w:ind w:left="360"/>
        <w:jc w:val="both"/>
        <w:rPr>
          <w:rFonts w:asciiTheme="majorHAnsi" w:hAnsiTheme="majorHAnsi" w:cstheme="majorHAnsi"/>
          <w:sz w:val="20"/>
          <w:szCs w:val="20"/>
        </w:rPr>
      </w:pPr>
    </w:p>
    <w:p w:rsidR="00933038" w:rsidRPr="00E80636" w:rsidRDefault="00933038" w:rsidP="006C308E">
      <w:pPr>
        <w:pStyle w:val="ListParagraph"/>
        <w:numPr>
          <w:ilvl w:val="0"/>
          <w:numId w:val="48"/>
        </w:numPr>
        <w:jc w:val="both"/>
        <w:rPr>
          <w:rFonts w:asciiTheme="majorHAnsi" w:hAnsiTheme="majorHAnsi" w:cstheme="majorHAnsi"/>
          <w:szCs w:val="20"/>
        </w:rPr>
      </w:pPr>
      <w:r w:rsidRPr="00E80636">
        <w:rPr>
          <w:rFonts w:asciiTheme="majorHAnsi" w:hAnsiTheme="majorHAnsi" w:cstheme="majorHAnsi"/>
          <w:szCs w:val="20"/>
        </w:rPr>
        <w:t xml:space="preserve">Describe the school’s career advising and services. If services differ by degree and/or concentration, a brief description should be provided for each. Include an explanation of efforts to tailor services to meet students’ specific needs. </w:t>
      </w:r>
    </w:p>
    <w:p w:rsidR="00933038" w:rsidRPr="00E80636" w:rsidRDefault="00933038" w:rsidP="006C308E">
      <w:pPr>
        <w:jc w:val="both"/>
        <w:rPr>
          <w:rFonts w:asciiTheme="majorHAnsi" w:hAnsiTheme="majorHAnsi" w:cstheme="majorHAnsi"/>
          <w:sz w:val="20"/>
          <w:szCs w:val="20"/>
        </w:rPr>
      </w:pPr>
    </w:p>
    <w:p w:rsidR="0067110E" w:rsidRPr="00E80636" w:rsidRDefault="0067110E" w:rsidP="006C308E">
      <w:pPr>
        <w:ind w:left="720"/>
        <w:contextualSpacing/>
        <w:rPr>
          <w:rFonts w:asciiTheme="majorHAnsi" w:eastAsia="Times New Roman" w:hAnsiTheme="majorHAnsi" w:cstheme="majorHAnsi"/>
          <w:iCs/>
          <w:sz w:val="20"/>
          <w:szCs w:val="20"/>
        </w:rPr>
      </w:pPr>
      <w:r w:rsidRPr="00E80636">
        <w:rPr>
          <w:rFonts w:asciiTheme="majorHAnsi" w:eastAsia="Times New Roman" w:hAnsiTheme="majorHAnsi" w:cstheme="majorHAnsi"/>
          <w:iCs/>
          <w:sz w:val="20"/>
          <w:szCs w:val="20"/>
        </w:rPr>
        <w:t>UTHealth School of Public Health students are a blend of public health and healthcare professionals who are already employed, who are seeking professional degrees in medicine or nursing, and who are entering from an undergraduate program to pursue a career in public health. The graduate exit survey indicates that 50% of our students are employed in full-time positions upon graduation, while 25% are entering fellowship positions, pursuing residency positions, or enrolling in another academic program. One in five of our graduates is actively seeking employment upon graduation.</w:t>
      </w:r>
    </w:p>
    <w:p w:rsidR="0067110E" w:rsidRPr="00E80636" w:rsidRDefault="0067110E" w:rsidP="006C308E">
      <w:pPr>
        <w:ind w:left="720"/>
        <w:contextualSpacing/>
        <w:rPr>
          <w:rFonts w:asciiTheme="majorHAnsi" w:eastAsia="Times New Roman" w:hAnsiTheme="majorHAnsi" w:cstheme="majorHAnsi"/>
          <w:iCs/>
          <w:sz w:val="20"/>
          <w:szCs w:val="20"/>
        </w:rPr>
      </w:pPr>
    </w:p>
    <w:p w:rsidR="0067110E" w:rsidRPr="00E80636" w:rsidRDefault="0067110E" w:rsidP="006C308E">
      <w:pPr>
        <w:ind w:left="720"/>
        <w:contextualSpacing/>
        <w:rPr>
          <w:rFonts w:asciiTheme="majorHAnsi" w:eastAsia="Times New Roman" w:hAnsiTheme="majorHAnsi" w:cstheme="majorHAnsi"/>
          <w:iCs/>
          <w:sz w:val="20"/>
          <w:szCs w:val="20"/>
        </w:rPr>
      </w:pPr>
      <w:r w:rsidRPr="00E80636">
        <w:rPr>
          <w:rFonts w:asciiTheme="majorHAnsi" w:eastAsia="Times New Roman" w:hAnsiTheme="majorHAnsi" w:cstheme="majorHAnsi"/>
          <w:iCs/>
          <w:sz w:val="20"/>
          <w:szCs w:val="20"/>
        </w:rPr>
        <w:t xml:space="preserve">The UTHealth School of Public Health has an advising model that consists of: (1) a faculty advisor who regularly meets with students to assess career goals and provide advice; (2) a full-time career services staff member who organizes skill-building workshops; (3) a writing center that provides training on cover letter writing and resume building; and (4) a job portal platform, Handshake, where employers can post job opportunities. </w:t>
      </w:r>
    </w:p>
    <w:p w:rsidR="0067110E" w:rsidRPr="00E80636" w:rsidRDefault="0067110E" w:rsidP="006C308E">
      <w:pPr>
        <w:ind w:left="720"/>
        <w:contextualSpacing/>
        <w:rPr>
          <w:rFonts w:asciiTheme="majorHAnsi" w:eastAsia="Times New Roman" w:hAnsiTheme="majorHAnsi" w:cstheme="majorHAnsi"/>
          <w:iCs/>
          <w:sz w:val="20"/>
          <w:szCs w:val="20"/>
        </w:rPr>
      </w:pPr>
      <w:r w:rsidRPr="00E80636">
        <w:rPr>
          <w:rFonts w:asciiTheme="majorHAnsi" w:eastAsia="Times New Roman" w:hAnsiTheme="majorHAnsi" w:cstheme="majorHAnsi"/>
          <w:iCs/>
          <w:sz w:val="20"/>
          <w:szCs w:val="20"/>
        </w:rPr>
        <w:t xml:space="preserve"> </w:t>
      </w:r>
    </w:p>
    <w:p w:rsidR="0067110E" w:rsidRPr="00E80636" w:rsidRDefault="0067110E" w:rsidP="006C308E">
      <w:pPr>
        <w:ind w:left="720"/>
        <w:contextualSpacing/>
        <w:rPr>
          <w:rFonts w:asciiTheme="majorHAnsi" w:eastAsia="Times New Roman" w:hAnsiTheme="majorHAnsi" w:cstheme="majorHAnsi"/>
          <w:iCs/>
          <w:sz w:val="20"/>
          <w:szCs w:val="20"/>
        </w:rPr>
      </w:pPr>
      <w:r w:rsidRPr="00E80636">
        <w:rPr>
          <w:rFonts w:asciiTheme="majorHAnsi" w:eastAsia="Times New Roman" w:hAnsiTheme="majorHAnsi" w:cstheme="majorHAnsi"/>
          <w:iCs/>
          <w:sz w:val="20"/>
          <w:szCs w:val="20"/>
        </w:rPr>
        <w:t xml:space="preserve">The UTHealth School of Public Health believes that the first line of career advising should come from students’ faculty advisors. The faculty advisor is best prepared to serve diverse student needs, career levels, and career trajectories, as well as to provide networking opportunities. Students and their faculty advisors are required to meet each spring and fall semester to complete an evaluation assessment and to discuss career opportunities. </w:t>
      </w:r>
    </w:p>
    <w:p w:rsidR="0067110E" w:rsidRPr="00E80636" w:rsidRDefault="0067110E" w:rsidP="006C308E">
      <w:pPr>
        <w:ind w:left="720"/>
        <w:contextualSpacing/>
        <w:rPr>
          <w:rFonts w:asciiTheme="majorHAnsi" w:eastAsia="Times New Roman" w:hAnsiTheme="majorHAnsi" w:cstheme="majorHAnsi"/>
          <w:iCs/>
          <w:sz w:val="20"/>
          <w:szCs w:val="20"/>
        </w:rPr>
      </w:pPr>
      <w:r w:rsidRPr="00E80636">
        <w:rPr>
          <w:rFonts w:asciiTheme="majorHAnsi" w:eastAsia="Times New Roman" w:hAnsiTheme="majorHAnsi" w:cstheme="majorHAnsi"/>
          <w:iCs/>
          <w:sz w:val="20"/>
          <w:szCs w:val="20"/>
        </w:rPr>
        <w:t xml:space="preserve"> </w:t>
      </w:r>
    </w:p>
    <w:p w:rsidR="0067110E" w:rsidRPr="00E80636" w:rsidRDefault="0067110E" w:rsidP="006C308E">
      <w:pPr>
        <w:ind w:left="720"/>
        <w:contextualSpacing/>
        <w:rPr>
          <w:rFonts w:asciiTheme="majorHAnsi" w:eastAsia="Times New Roman" w:hAnsiTheme="majorHAnsi" w:cstheme="majorHAnsi"/>
          <w:iCs/>
          <w:sz w:val="20"/>
          <w:szCs w:val="20"/>
        </w:rPr>
      </w:pPr>
      <w:r w:rsidRPr="00E80636">
        <w:rPr>
          <w:rFonts w:asciiTheme="majorHAnsi" w:eastAsia="Times New Roman" w:hAnsiTheme="majorHAnsi" w:cstheme="majorHAnsi"/>
          <w:iCs/>
          <w:sz w:val="20"/>
          <w:szCs w:val="20"/>
        </w:rPr>
        <w:t>The career services staff member organizes skill-building workshops, such as enhancing interview skills, salary negotiations, and networking, for students</w:t>
      </w:r>
      <w:r w:rsidR="00E11F77" w:rsidRPr="00E80636">
        <w:rPr>
          <w:rFonts w:asciiTheme="majorHAnsi" w:eastAsia="Times New Roman" w:hAnsiTheme="majorHAnsi" w:cstheme="majorHAnsi"/>
          <w:iCs/>
          <w:sz w:val="20"/>
          <w:szCs w:val="20"/>
        </w:rPr>
        <w:t xml:space="preserve"> (</w:t>
      </w:r>
      <w:r w:rsidR="00E11F77" w:rsidRPr="00AB09CF">
        <w:rPr>
          <w:rFonts w:asciiTheme="majorHAnsi" w:eastAsia="Times New Roman" w:hAnsiTheme="majorHAnsi" w:cstheme="majorHAnsi"/>
          <w:i/>
          <w:iCs/>
          <w:sz w:val="20"/>
          <w:szCs w:val="20"/>
        </w:rPr>
        <w:t>ERF, H2. Career Services Guide and Presentations</w:t>
      </w:r>
      <w:r w:rsidR="00E11F77" w:rsidRPr="00E80636">
        <w:rPr>
          <w:rFonts w:asciiTheme="majorHAnsi" w:eastAsia="Times New Roman" w:hAnsiTheme="majorHAnsi" w:cstheme="majorHAnsi"/>
          <w:iCs/>
          <w:sz w:val="20"/>
          <w:szCs w:val="20"/>
        </w:rPr>
        <w:t>)</w:t>
      </w:r>
      <w:r w:rsidRPr="00E80636">
        <w:rPr>
          <w:rFonts w:asciiTheme="majorHAnsi" w:eastAsia="Times New Roman" w:hAnsiTheme="majorHAnsi" w:cstheme="majorHAnsi"/>
          <w:iCs/>
          <w:sz w:val="20"/>
          <w:szCs w:val="20"/>
        </w:rPr>
        <w:t xml:space="preserve">. The staff member hosts career fairs and alumni panels to connect students to potential employers. The staff member also oversees the job placement portal, Handshake, and actively communicates with potential employers. </w:t>
      </w:r>
    </w:p>
    <w:p w:rsidR="0067110E" w:rsidRPr="00E80636" w:rsidRDefault="0067110E" w:rsidP="006C308E">
      <w:pPr>
        <w:ind w:left="720"/>
        <w:contextualSpacing/>
        <w:rPr>
          <w:rFonts w:asciiTheme="majorHAnsi" w:eastAsia="Times New Roman" w:hAnsiTheme="majorHAnsi" w:cstheme="majorHAnsi"/>
          <w:iCs/>
          <w:sz w:val="20"/>
          <w:szCs w:val="20"/>
        </w:rPr>
      </w:pPr>
    </w:p>
    <w:p w:rsidR="0067110E" w:rsidRPr="00E80636" w:rsidRDefault="0067110E" w:rsidP="006C308E">
      <w:pPr>
        <w:ind w:left="720"/>
        <w:contextualSpacing/>
        <w:rPr>
          <w:rFonts w:asciiTheme="majorHAnsi" w:eastAsia="Times New Roman" w:hAnsiTheme="majorHAnsi" w:cstheme="majorHAnsi"/>
          <w:iCs/>
          <w:sz w:val="20"/>
          <w:szCs w:val="20"/>
        </w:rPr>
      </w:pPr>
      <w:r w:rsidRPr="00E80636">
        <w:rPr>
          <w:rFonts w:asciiTheme="majorHAnsi" w:eastAsia="Times New Roman" w:hAnsiTheme="majorHAnsi" w:cstheme="majorHAnsi"/>
          <w:iCs/>
          <w:sz w:val="20"/>
          <w:szCs w:val="20"/>
        </w:rPr>
        <w:t xml:space="preserve">The majority of graduates rate the quality of the service, the friendliness of staff, the efficiency and timeliness of service, as favorable. The majority (88%) of graduates agreed that their advisor understood their career goals. </w:t>
      </w:r>
    </w:p>
    <w:p w:rsidR="0067110E" w:rsidRPr="00E80636" w:rsidRDefault="0067110E" w:rsidP="006C308E">
      <w:pPr>
        <w:spacing w:after="160"/>
        <w:rPr>
          <w:rFonts w:asciiTheme="majorHAnsi" w:eastAsia="Times New Roman" w:hAnsiTheme="majorHAnsi" w:cstheme="majorHAnsi"/>
          <w:iCs/>
          <w:sz w:val="20"/>
          <w:szCs w:val="20"/>
        </w:rPr>
      </w:pPr>
      <w:r w:rsidRPr="00E80636">
        <w:rPr>
          <w:rFonts w:asciiTheme="majorHAnsi" w:eastAsia="Times New Roman" w:hAnsiTheme="majorHAnsi" w:cstheme="majorHAnsi"/>
          <w:iCs/>
          <w:sz w:val="20"/>
          <w:szCs w:val="20"/>
        </w:rPr>
        <w:br w:type="page"/>
      </w:r>
    </w:p>
    <w:p w:rsidR="0067110E" w:rsidRPr="00E80636" w:rsidRDefault="0067110E" w:rsidP="006C308E">
      <w:pPr>
        <w:ind w:left="720"/>
        <w:contextualSpacing/>
        <w:rPr>
          <w:rFonts w:asciiTheme="majorHAnsi" w:eastAsia="Times New Roman" w:hAnsiTheme="majorHAnsi" w:cstheme="majorHAnsi"/>
          <w:iCs/>
          <w:sz w:val="20"/>
          <w:szCs w:val="20"/>
        </w:rPr>
      </w:pPr>
    </w:p>
    <w:p w:rsidR="0067110E" w:rsidRPr="00E80636" w:rsidRDefault="0067110E" w:rsidP="006C308E">
      <w:pPr>
        <w:ind w:left="720"/>
        <w:contextualSpacing/>
        <w:rPr>
          <w:rFonts w:asciiTheme="majorHAnsi" w:eastAsia="Times New Roman" w:hAnsiTheme="majorHAnsi" w:cstheme="majorHAnsi"/>
          <w:iCs/>
          <w:sz w:val="20"/>
          <w:szCs w:val="20"/>
        </w:rPr>
      </w:pPr>
      <w:bookmarkStart w:id="158" w:name="TableH21"/>
      <w:r w:rsidRPr="00E80636">
        <w:rPr>
          <w:rFonts w:asciiTheme="majorHAnsi" w:eastAsia="Times New Roman" w:hAnsiTheme="majorHAnsi" w:cstheme="majorHAnsi"/>
          <w:iCs/>
          <w:sz w:val="20"/>
          <w:szCs w:val="20"/>
        </w:rPr>
        <w:t>Table H</w:t>
      </w:r>
      <w:r w:rsidR="000634AF" w:rsidRPr="00E80636">
        <w:rPr>
          <w:rFonts w:asciiTheme="majorHAnsi" w:eastAsia="Times New Roman" w:hAnsiTheme="majorHAnsi" w:cstheme="majorHAnsi"/>
          <w:iCs/>
          <w:sz w:val="20"/>
          <w:szCs w:val="20"/>
        </w:rPr>
        <w:t>.</w:t>
      </w:r>
      <w:r w:rsidRPr="00E80636">
        <w:rPr>
          <w:rFonts w:asciiTheme="majorHAnsi" w:eastAsia="Times New Roman" w:hAnsiTheme="majorHAnsi" w:cstheme="majorHAnsi"/>
          <w:iCs/>
          <w:sz w:val="20"/>
          <w:szCs w:val="20"/>
        </w:rPr>
        <w:t xml:space="preserve">2.1. </w:t>
      </w:r>
      <w:bookmarkEnd w:id="158"/>
      <w:r w:rsidRPr="00E80636">
        <w:rPr>
          <w:rFonts w:asciiTheme="majorHAnsi" w:eastAsia="Times New Roman" w:hAnsiTheme="majorHAnsi" w:cstheme="majorHAnsi"/>
          <w:iCs/>
          <w:sz w:val="20"/>
          <w:szCs w:val="20"/>
        </w:rPr>
        <w:t xml:space="preserve">Graduate Perception of Career Advising: Percentage of Graduates Who Agree or Have No Opinion on Career Services </w:t>
      </w:r>
      <w:r w:rsidR="00C9321D">
        <w:rPr>
          <w:rFonts w:asciiTheme="majorHAnsi" w:eastAsia="Times New Roman" w:hAnsiTheme="majorHAnsi" w:cstheme="majorHAnsi"/>
          <w:iCs/>
          <w:sz w:val="20"/>
          <w:szCs w:val="20"/>
        </w:rPr>
        <w:t>(</w:t>
      </w:r>
      <w:r w:rsidR="00215F60" w:rsidRPr="00215F60">
        <w:rPr>
          <w:rFonts w:asciiTheme="majorHAnsi" w:eastAsia="Times New Roman" w:hAnsiTheme="majorHAnsi" w:cstheme="majorHAnsi"/>
          <w:i/>
          <w:iCs/>
          <w:sz w:val="20"/>
          <w:szCs w:val="20"/>
        </w:rPr>
        <w:t>ERF, H2. Career Advising</w:t>
      </w:r>
      <w:r w:rsidR="00215F60">
        <w:rPr>
          <w:rFonts w:asciiTheme="majorHAnsi" w:eastAsia="Times New Roman" w:hAnsiTheme="majorHAnsi" w:cstheme="majorHAnsi"/>
          <w:iCs/>
          <w:sz w:val="20"/>
          <w:szCs w:val="20"/>
        </w:rPr>
        <w:t>)</w:t>
      </w:r>
    </w:p>
    <w:tbl>
      <w:tblPr>
        <w:tblW w:w="78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40"/>
        <w:gridCol w:w="1125"/>
        <w:gridCol w:w="1125"/>
        <w:gridCol w:w="1440"/>
      </w:tblGrid>
      <w:tr w:rsidR="0067110E" w:rsidRPr="00743A41" w:rsidTr="00AB42BF">
        <w:tc>
          <w:tcPr>
            <w:tcW w:w="4140" w:type="dxa"/>
            <w:shd w:val="clear" w:color="auto" w:fill="BFBFBF" w:themeFill="background1" w:themeFillShade="BF"/>
            <w:tcMar>
              <w:top w:w="0" w:type="dxa"/>
              <w:left w:w="108" w:type="dxa"/>
              <w:bottom w:w="0" w:type="dxa"/>
              <w:right w:w="108" w:type="dxa"/>
            </w:tcMar>
            <w:vAlign w:val="center"/>
            <w:hideMark/>
          </w:tcPr>
          <w:p w:rsidR="0067110E" w:rsidRPr="00E80636" w:rsidRDefault="0067110E" w:rsidP="006C308E">
            <w:pPr>
              <w:ind w:right="65"/>
              <w:jc w:val="center"/>
              <w:rPr>
                <w:rFonts w:asciiTheme="majorHAnsi" w:eastAsia="Times New Roman" w:hAnsiTheme="majorHAnsi" w:cstheme="majorHAnsi"/>
                <w:b/>
                <w:sz w:val="20"/>
                <w:szCs w:val="20"/>
              </w:rPr>
            </w:pPr>
            <w:r w:rsidRPr="00E80636">
              <w:rPr>
                <w:rFonts w:asciiTheme="majorHAnsi" w:eastAsia="Times New Roman" w:hAnsiTheme="majorHAnsi" w:cstheme="majorHAnsi"/>
                <w:b/>
                <w:color w:val="000000"/>
                <w:sz w:val="20"/>
                <w:szCs w:val="20"/>
              </w:rPr>
              <w:t>Career Advising</w:t>
            </w:r>
          </w:p>
        </w:tc>
        <w:tc>
          <w:tcPr>
            <w:tcW w:w="1125" w:type="dxa"/>
            <w:shd w:val="clear" w:color="auto" w:fill="BFBFBF" w:themeFill="background1" w:themeFillShade="BF"/>
            <w:tcMar>
              <w:top w:w="0" w:type="dxa"/>
              <w:left w:w="108" w:type="dxa"/>
              <w:bottom w:w="0" w:type="dxa"/>
              <w:right w:w="108" w:type="dxa"/>
            </w:tcMar>
            <w:vAlign w:val="center"/>
            <w:hideMark/>
          </w:tcPr>
          <w:p w:rsidR="0067110E" w:rsidRPr="00E80636" w:rsidRDefault="0067110E" w:rsidP="006C308E">
            <w:pPr>
              <w:ind w:right="65"/>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AY16–17</w:t>
            </w:r>
          </w:p>
        </w:tc>
        <w:tc>
          <w:tcPr>
            <w:tcW w:w="1125" w:type="dxa"/>
            <w:shd w:val="clear" w:color="auto" w:fill="BFBFBF" w:themeFill="background1" w:themeFillShade="BF"/>
            <w:tcMar>
              <w:top w:w="0" w:type="dxa"/>
              <w:left w:w="108" w:type="dxa"/>
              <w:bottom w:w="0" w:type="dxa"/>
              <w:right w:w="108" w:type="dxa"/>
            </w:tcMar>
            <w:vAlign w:val="center"/>
            <w:hideMark/>
          </w:tcPr>
          <w:p w:rsidR="0067110E" w:rsidRPr="00E80636" w:rsidRDefault="0067110E" w:rsidP="006C308E">
            <w:pPr>
              <w:ind w:right="65"/>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AY17–18</w:t>
            </w:r>
          </w:p>
        </w:tc>
        <w:tc>
          <w:tcPr>
            <w:tcW w:w="1440" w:type="dxa"/>
            <w:shd w:val="clear" w:color="auto" w:fill="BFBFBF" w:themeFill="background1" w:themeFillShade="BF"/>
            <w:tcMar>
              <w:top w:w="0" w:type="dxa"/>
              <w:left w:w="108" w:type="dxa"/>
              <w:bottom w:w="0" w:type="dxa"/>
              <w:right w:w="108" w:type="dxa"/>
            </w:tcMar>
            <w:vAlign w:val="center"/>
            <w:hideMark/>
          </w:tcPr>
          <w:p w:rsidR="0067110E" w:rsidRPr="00E80636" w:rsidRDefault="0067110E" w:rsidP="006C308E">
            <w:pPr>
              <w:ind w:right="65"/>
              <w:jc w:val="center"/>
              <w:rPr>
                <w:rFonts w:asciiTheme="majorHAnsi" w:eastAsia="Times New Roman" w:hAnsiTheme="majorHAnsi" w:cstheme="majorHAnsi"/>
                <w:b/>
                <w:color w:val="000000"/>
                <w:sz w:val="20"/>
                <w:szCs w:val="20"/>
              </w:rPr>
            </w:pPr>
            <w:r w:rsidRPr="00E80636">
              <w:rPr>
                <w:rFonts w:asciiTheme="majorHAnsi" w:eastAsia="Times New Roman" w:hAnsiTheme="majorHAnsi" w:cstheme="majorHAnsi"/>
                <w:b/>
                <w:color w:val="000000"/>
                <w:sz w:val="20"/>
                <w:szCs w:val="20"/>
              </w:rPr>
              <w:t>AY18–19</w:t>
            </w:r>
          </w:p>
        </w:tc>
      </w:tr>
      <w:tr w:rsidR="0067110E" w:rsidRPr="00743A41" w:rsidTr="00AB42BF">
        <w:tc>
          <w:tcPr>
            <w:tcW w:w="4140" w:type="dxa"/>
            <w:tcMar>
              <w:top w:w="0" w:type="dxa"/>
              <w:left w:w="108" w:type="dxa"/>
              <w:bottom w:w="0" w:type="dxa"/>
              <w:right w:w="108" w:type="dxa"/>
            </w:tcMar>
            <w:vAlign w:val="center"/>
          </w:tcPr>
          <w:p w:rsidR="0067110E" w:rsidRPr="00E80636" w:rsidRDefault="0067110E" w:rsidP="006C308E">
            <w:pPr>
              <w:rPr>
                <w:rFonts w:asciiTheme="majorHAnsi" w:eastAsia="Times New Roman" w:hAnsiTheme="majorHAnsi" w:cstheme="majorHAnsi"/>
                <w:color w:val="000000"/>
                <w:sz w:val="20"/>
                <w:szCs w:val="20"/>
              </w:rPr>
            </w:pPr>
          </w:p>
        </w:tc>
        <w:tc>
          <w:tcPr>
            <w:tcW w:w="1125" w:type="dxa"/>
            <w:tcMar>
              <w:top w:w="0" w:type="dxa"/>
              <w:left w:w="108" w:type="dxa"/>
              <w:bottom w:w="0" w:type="dxa"/>
              <w:right w:w="108" w:type="dxa"/>
            </w:tcMar>
            <w:vAlign w:val="center"/>
          </w:tcPr>
          <w:p w:rsidR="0067110E" w:rsidRPr="00E80636" w:rsidRDefault="0067110E" w:rsidP="006C308E">
            <w:pPr>
              <w:jc w:val="center"/>
              <w:rPr>
                <w:rFonts w:asciiTheme="majorHAnsi" w:eastAsia="Times New Roman" w:hAnsiTheme="majorHAnsi" w:cstheme="majorHAnsi"/>
                <w:b/>
                <w:sz w:val="20"/>
                <w:szCs w:val="20"/>
              </w:rPr>
            </w:pPr>
            <w:r w:rsidRPr="00E80636">
              <w:rPr>
                <w:rFonts w:asciiTheme="majorHAnsi" w:eastAsia="Times New Roman" w:hAnsiTheme="majorHAnsi" w:cstheme="majorHAnsi"/>
                <w:b/>
                <w:sz w:val="20"/>
                <w:szCs w:val="20"/>
              </w:rPr>
              <w:t>N=375</w:t>
            </w:r>
          </w:p>
        </w:tc>
        <w:tc>
          <w:tcPr>
            <w:tcW w:w="1125" w:type="dxa"/>
            <w:tcMar>
              <w:top w:w="0" w:type="dxa"/>
              <w:left w:w="108" w:type="dxa"/>
              <w:bottom w:w="0" w:type="dxa"/>
              <w:right w:w="108" w:type="dxa"/>
            </w:tcMar>
            <w:vAlign w:val="center"/>
          </w:tcPr>
          <w:p w:rsidR="0067110E" w:rsidRPr="00E80636" w:rsidRDefault="0067110E" w:rsidP="006C308E">
            <w:pPr>
              <w:jc w:val="center"/>
              <w:rPr>
                <w:rFonts w:asciiTheme="majorHAnsi" w:eastAsia="Times New Roman" w:hAnsiTheme="majorHAnsi" w:cstheme="majorHAnsi"/>
                <w:b/>
                <w:sz w:val="20"/>
                <w:szCs w:val="20"/>
              </w:rPr>
            </w:pPr>
            <w:r w:rsidRPr="00E80636">
              <w:rPr>
                <w:rFonts w:asciiTheme="majorHAnsi" w:eastAsia="Times New Roman" w:hAnsiTheme="majorHAnsi" w:cstheme="majorHAnsi"/>
                <w:b/>
                <w:sz w:val="20"/>
                <w:szCs w:val="20"/>
              </w:rPr>
              <w:t>N=286</w:t>
            </w:r>
          </w:p>
        </w:tc>
        <w:tc>
          <w:tcPr>
            <w:tcW w:w="1440" w:type="dxa"/>
            <w:tcMar>
              <w:top w:w="0" w:type="dxa"/>
              <w:left w:w="108" w:type="dxa"/>
              <w:bottom w:w="0" w:type="dxa"/>
              <w:right w:w="108" w:type="dxa"/>
            </w:tcMar>
            <w:vAlign w:val="center"/>
          </w:tcPr>
          <w:p w:rsidR="0067110E" w:rsidRPr="00E80636" w:rsidRDefault="0067110E" w:rsidP="006C308E">
            <w:pPr>
              <w:jc w:val="center"/>
              <w:rPr>
                <w:rFonts w:asciiTheme="majorHAnsi" w:eastAsia="Times New Roman" w:hAnsiTheme="majorHAnsi" w:cstheme="majorHAnsi"/>
                <w:b/>
                <w:sz w:val="20"/>
                <w:szCs w:val="20"/>
              </w:rPr>
            </w:pPr>
            <w:r w:rsidRPr="00E80636">
              <w:rPr>
                <w:rFonts w:asciiTheme="majorHAnsi" w:eastAsia="Times New Roman" w:hAnsiTheme="majorHAnsi" w:cstheme="majorHAnsi"/>
                <w:b/>
                <w:sz w:val="20"/>
                <w:szCs w:val="20"/>
              </w:rPr>
              <w:t>N=360</w:t>
            </w:r>
          </w:p>
        </w:tc>
      </w:tr>
      <w:tr w:rsidR="0067110E" w:rsidRPr="00743A41" w:rsidTr="00AB42BF">
        <w:tc>
          <w:tcPr>
            <w:tcW w:w="4140" w:type="dxa"/>
            <w:tcMar>
              <w:top w:w="0" w:type="dxa"/>
              <w:left w:w="108" w:type="dxa"/>
              <w:bottom w:w="0" w:type="dxa"/>
              <w:right w:w="108" w:type="dxa"/>
            </w:tcMar>
            <w:vAlign w:val="center"/>
          </w:tcPr>
          <w:p w:rsidR="0067110E" w:rsidRPr="00E80636" w:rsidRDefault="0067110E" w:rsidP="006C308E">
            <w:pPr>
              <w:rPr>
                <w:rFonts w:asciiTheme="majorHAnsi" w:eastAsia="Times New Roman" w:hAnsiTheme="majorHAnsi" w:cstheme="majorHAnsi"/>
                <w:sz w:val="20"/>
                <w:szCs w:val="20"/>
              </w:rPr>
            </w:pPr>
            <w:r w:rsidRPr="00E80636">
              <w:rPr>
                <w:rFonts w:asciiTheme="majorHAnsi" w:eastAsia="Times New Roman" w:hAnsiTheme="majorHAnsi" w:cstheme="majorHAnsi"/>
                <w:color w:val="000000"/>
                <w:sz w:val="20"/>
                <w:szCs w:val="20"/>
              </w:rPr>
              <w:t>Quality of service</w:t>
            </w:r>
          </w:p>
        </w:tc>
        <w:tc>
          <w:tcPr>
            <w:tcW w:w="1125" w:type="dxa"/>
            <w:tcMar>
              <w:top w:w="0" w:type="dxa"/>
              <w:left w:w="108" w:type="dxa"/>
              <w:bottom w:w="0" w:type="dxa"/>
              <w:right w:w="108" w:type="dxa"/>
            </w:tcMar>
            <w:vAlign w:val="bottom"/>
          </w:tcPr>
          <w:p w:rsidR="0067110E" w:rsidRPr="00E80636" w:rsidRDefault="0067110E"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89%</w:t>
            </w:r>
          </w:p>
        </w:tc>
        <w:tc>
          <w:tcPr>
            <w:tcW w:w="1125" w:type="dxa"/>
            <w:tcMar>
              <w:top w:w="0" w:type="dxa"/>
              <w:left w:w="108" w:type="dxa"/>
              <w:bottom w:w="0" w:type="dxa"/>
              <w:right w:w="108" w:type="dxa"/>
            </w:tcMar>
            <w:vAlign w:val="bottom"/>
          </w:tcPr>
          <w:p w:rsidR="0067110E" w:rsidRPr="00E80636" w:rsidRDefault="0067110E"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93%</w:t>
            </w:r>
          </w:p>
        </w:tc>
        <w:tc>
          <w:tcPr>
            <w:tcW w:w="1440" w:type="dxa"/>
            <w:tcMar>
              <w:top w:w="0" w:type="dxa"/>
              <w:left w:w="108" w:type="dxa"/>
              <w:bottom w:w="0" w:type="dxa"/>
              <w:right w:w="108" w:type="dxa"/>
            </w:tcMar>
            <w:vAlign w:val="bottom"/>
          </w:tcPr>
          <w:p w:rsidR="0067110E" w:rsidRPr="00E80636" w:rsidRDefault="0067110E"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88%</w:t>
            </w:r>
          </w:p>
        </w:tc>
      </w:tr>
      <w:tr w:rsidR="0067110E" w:rsidRPr="00743A41" w:rsidTr="00AB42BF">
        <w:trPr>
          <w:trHeight w:val="233"/>
        </w:trPr>
        <w:tc>
          <w:tcPr>
            <w:tcW w:w="4140" w:type="dxa"/>
            <w:tcMar>
              <w:top w:w="0" w:type="dxa"/>
              <w:left w:w="108" w:type="dxa"/>
              <w:bottom w:w="0" w:type="dxa"/>
              <w:right w:w="108" w:type="dxa"/>
            </w:tcMar>
            <w:vAlign w:val="center"/>
          </w:tcPr>
          <w:p w:rsidR="0067110E" w:rsidRPr="00E80636" w:rsidRDefault="0067110E" w:rsidP="006C308E">
            <w:pPr>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Friendliness of staff</w:t>
            </w:r>
          </w:p>
        </w:tc>
        <w:tc>
          <w:tcPr>
            <w:tcW w:w="1125" w:type="dxa"/>
            <w:tcMar>
              <w:top w:w="0" w:type="dxa"/>
              <w:left w:w="108" w:type="dxa"/>
              <w:bottom w:w="0" w:type="dxa"/>
              <w:right w:w="108" w:type="dxa"/>
            </w:tcMar>
            <w:vAlign w:val="bottom"/>
          </w:tcPr>
          <w:p w:rsidR="0067110E" w:rsidRPr="00E80636" w:rsidRDefault="0067110E"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94%</w:t>
            </w:r>
          </w:p>
        </w:tc>
        <w:tc>
          <w:tcPr>
            <w:tcW w:w="1125" w:type="dxa"/>
            <w:tcMar>
              <w:top w:w="0" w:type="dxa"/>
              <w:left w:w="108" w:type="dxa"/>
              <w:bottom w:w="0" w:type="dxa"/>
              <w:right w:w="108" w:type="dxa"/>
            </w:tcMar>
            <w:vAlign w:val="bottom"/>
          </w:tcPr>
          <w:p w:rsidR="0067110E" w:rsidRPr="00E80636" w:rsidRDefault="0067110E"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94%</w:t>
            </w:r>
          </w:p>
        </w:tc>
        <w:tc>
          <w:tcPr>
            <w:tcW w:w="1440" w:type="dxa"/>
            <w:tcMar>
              <w:top w:w="0" w:type="dxa"/>
              <w:left w:w="108" w:type="dxa"/>
              <w:bottom w:w="0" w:type="dxa"/>
              <w:right w:w="108" w:type="dxa"/>
            </w:tcMar>
            <w:vAlign w:val="bottom"/>
          </w:tcPr>
          <w:p w:rsidR="0067110E" w:rsidRPr="00E80636" w:rsidRDefault="0067110E"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93%</w:t>
            </w:r>
          </w:p>
        </w:tc>
      </w:tr>
      <w:tr w:rsidR="0067110E" w:rsidRPr="00743A41" w:rsidTr="00AB42BF">
        <w:tc>
          <w:tcPr>
            <w:tcW w:w="4140" w:type="dxa"/>
            <w:tcMar>
              <w:top w:w="0" w:type="dxa"/>
              <w:left w:w="108" w:type="dxa"/>
              <w:bottom w:w="0" w:type="dxa"/>
              <w:right w:w="108" w:type="dxa"/>
            </w:tcMar>
            <w:vAlign w:val="center"/>
          </w:tcPr>
          <w:p w:rsidR="0067110E" w:rsidRPr="00E80636" w:rsidRDefault="0067110E" w:rsidP="006C308E">
            <w:pPr>
              <w:rPr>
                <w:rFonts w:asciiTheme="majorHAnsi" w:eastAsia="Times New Roman" w:hAnsiTheme="majorHAnsi" w:cstheme="majorHAnsi"/>
                <w:sz w:val="20"/>
                <w:szCs w:val="20"/>
              </w:rPr>
            </w:pPr>
            <w:r w:rsidRPr="00E80636">
              <w:rPr>
                <w:rFonts w:asciiTheme="majorHAnsi" w:eastAsia="Times New Roman" w:hAnsiTheme="majorHAnsi" w:cstheme="majorHAnsi"/>
                <w:color w:val="000000"/>
                <w:sz w:val="20"/>
                <w:szCs w:val="20"/>
              </w:rPr>
              <w:t>Efficiency/timeliness of service</w:t>
            </w:r>
          </w:p>
        </w:tc>
        <w:tc>
          <w:tcPr>
            <w:tcW w:w="1125" w:type="dxa"/>
            <w:tcMar>
              <w:top w:w="0" w:type="dxa"/>
              <w:left w:w="108" w:type="dxa"/>
              <w:bottom w:w="0" w:type="dxa"/>
              <w:right w:w="108" w:type="dxa"/>
            </w:tcMar>
            <w:vAlign w:val="bottom"/>
          </w:tcPr>
          <w:p w:rsidR="0067110E" w:rsidRPr="00E80636" w:rsidRDefault="0067110E"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92%</w:t>
            </w:r>
          </w:p>
        </w:tc>
        <w:tc>
          <w:tcPr>
            <w:tcW w:w="1125" w:type="dxa"/>
            <w:tcMar>
              <w:top w:w="0" w:type="dxa"/>
              <w:left w:w="108" w:type="dxa"/>
              <w:bottom w:w="0" w:type="dxa"/>
              <w:right w:w="108" w:type="dxa"/>
            </w:tcMar>
            <w:vAlign w:val="bottom"/>
          </w:tcPr>
          <w:p w:rsidR="0067110E" w:rsidRPr="00E80636" w:rsidRDefault="0067110E"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94%</w:t>
            </w:r>
          </w:p>
        </w:tc>
        <w:tc>
          <w:tcPr>
            <w:tcW w:w="1440" w:type="dxa"/>
            <w:tcMar>
              <w:top w:w="0" w:type="dxa"/>
              <w:left w:w="108" w:type="dxa"/>
              <w:bottom w:w="0" w:type="dxa"/>
              <w:right w:w="108" w:type="dxa"/>
            </w:tcMar>
            <w:vAlign w:val="bottom"/>
          </w:tcPr>
          <w:p w:rsidR="0067110E" w:rsidRPr="00E80636" w:rsidRDefault="0067110E"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90%</w:t>
            </w:r>
          </w:p>
        </w:tc>
      </w:tr>
      <w:tr w:rsidR="0067110E" w:rsidRPr="00743A41" w:rsidTr="00AB42BF">
        <w:tc>
          <w:tcPr>
            <w:tcW w:w="4140" w:type="dxa"/>
            <w:tcMar>
              <w:top w:w="0" w:type="dxa"/>
              <w:left w:w="108" w:type="dxa"/>
              <w:bottom w:w="0" w:type="dxa"/>
              <w:right w:w="108" w:type="dxa"/>
            </w:tcMar>
            <w:vAlign w:val="center"/>
          </w:tcPr>
          <w:p w:rsidR="0067110E" w:rsidRPr="00E80636" w:rsidRDefault="0067110E" w:rsidP="006C308E">
            <w:pPr>
              <w:rPr>
                <w:rFonts w:asciiTheme="majorHAnsi" w:eastAsia="Times New Roman" w:hAnsiTheme="majorHAnsi" w:cstheme="majorHAnsi"/>
                <w:sz w:val="20"/>
                <w:szCs w:val="20"/>
              </w:rPr>
            </w:pPr>
            <w:r w:rsidRPr="00E80636">
              <w:rPr>
                <w:rFonts w:asciiTheme="majorHAnsi" w:eastAsia="Times New Roman" w:hAnsiTheme="majorHAnsi" w:cstheme="majorHAnsi"/>
                <w:color w:val="000000"/>
                <w:sz w:val="20"/>
                <w:szCs w:val="20"/>
              </w:rPr>
              <w:t>Faculty advisor’s understanding of student’s career goals</w:t>
            </w:r>
          </w:p>
        </w:tc>
        <w:tc>
          <w:tcPr>
            <w:tcW w:w="1125" w:type="dxa"/>
            <w:tcMar>
              <w:top w:w="0" w:type="dxa"/>
              <w:left w:w="108" w:type="dxa"/>
              <w:bottom w:w="0" w:type="dxa"/>
              <w:right w:w="108" w:type="dxa"/>
            </w:tcMar>
            <w:vAlign w:val="bottom"/>
          </w:tcPr>
          <w:p w:rsidR="0067110E" w:rsidRPr="00E80636" w:rsidRDefault="0067110E"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85%</w:t>
            </w:r>
          </w:p>
        </w:tc>
        <w:tc>
          <w:tcPr>
            <w:tcW w:w="1125" w:type="dxa"/>
            <w:tcMar>
              <w:top w:w="0" w:type="dxa"/>
              <w:left w:w="108" w:type="dxa"/>
              <w:bottom w:w="0" w:type="dxa"/>
              <w:right w:w="108" w:type="dxa"/>
            </w:tcMar>
            <w:vAlign w:val="bottom"/>
          </w:tcPr>
          <w:p w:rsidR="0067110E" w:rsidRPr="00E80636" w:rsidRDefault="0067110E"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83%</w:t>
            </w:r>
          </w:p>
        </w:tc>
        <w:tc>
          <w:tcPr>
            <w:tcW w:w="1440" w:type="dxa"/>
            <w:tcMar>
              <w:top w:w="0" w:type="dxa"/>
              <w:left w:w="108" w:type="dxa"/>
              <w:bottom w:w="0" w:type="dxa"/>
              <w:right w:w="108" w:type="dxa"/>
            </w:tcMar>
            <w:vAlign w:val="bottom"/>
          </w:tcPr>
          <w:p w:rsidR="0067110E" w:rsidRPr="00E80636" w:rsidRDefault="0067110E"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88%</w:t>
            </w:r>
          </w:p>
        </w:tc>
      </w:tr>
    </w:tbl>
    <w:p w:rsidR="0067110E" w:rsidRPr="00E80636" w:rsidRDefault="0067110E" w:rsidP="006C308E">
      <w:pPr>
        <w:ind w:left="720"/>
        <w:contextualSpacing/>
        <w:rPr>
          <w:rFonts w:asciiTheme="majorHAnsi" w:eastAsia="Times New Roman" w:hAnsiTheme="majorHAnsi" w:cstheme="majorHAnsi"/>
          <w:iCs/>
          <w:sz w:val="20"/>
          <w:szCs w:val="20"/>
        </w:rPr>
      </w:pPr>
    </w:p>
    <w:p w:rsidR="00933038" w:rsidRPr="00E80636" w:rsidRDefault="00933038" w:rsidP="006C308E">
      <w:pPr>
        <w:pStyle w:val="ListParagraph"/>
        <w:numPr>
          <w:ilvl w:val="0"/>
          <w:numId w:val="48"/>
        </w:numPr>
        <w:contextualSpacing/>
        <w:jc w:val="both"/>
        <w:rPr>
          <w:rFonts w:asciiTheme="majorHAnsi" w:hAnsiTheme="majorHAnsi" w:cstheme="majorHAnsi"/>
          <w:i/>
          <w:szCs w:val="20"/>
        </w:rPr>
      </w:pPr>
      <w:r w:rsidRPr="00E80636">
        <w:rPr>
          <w:rFonts w:asciiTheme="majorHAnsi" w:hAnsiTheme="majorHAnsi" w:cstheme="majorHAnsi"/>
          <w:szCs w:val="20"/>
        </w:rPr>
        <w:t xml:space="preserve">Explain how individuals providing career advising are selected and oriented to their roles and responsibilities. </w:t>
      </w:r>
    </w:p>
    <w:p w:rsidR="00933038" w:rsidRPr="00E80636" w:rsidRDefault="00933038" w:rsidP="006C308E">
      <w:pPr>
        <w:jc w:val="both"/>
        <w:rPr>
          <w:rFonts w:asciiTheme="majorHAnsi" w:hAnsiTheme="majorHAnsi" w:cstheme="majorHAnsi"/>
          <w:sz w:val="20"/>
          <w:szCs w:val="20"/>
        </w:rPr>
      </w:pPr>
    </w:p>
    <w:p w:rsidR="0067110E" w:rsidRPr="00E80636" w:rsidRDefault="0067110E" w:rsidP="006C308E">
      <w:pPr>
        <w:ind w:left="720"/>
        <w:rPr>
          <w:rFonts w:asciiTheme="majorHAnsi" w:eastAsia="Times New Roman" w:hAnsiTheme="majorHAnsi" w:cstheme="majorHAnsi"/>
          <w:iCs/>
          <w:sz w:val="20"/>
          <w:szCs w:val="20"/>
        </w:rPr>
      </w:pPr>
      <w:r w:rsidRPr="00E80636">
        <w:rPr>
          <w:rFonts w:asciiTheme="majorHAnsi" w:eastAsia="Times New Roman" w:hAnsiTheme="majorHAnsi" w:cstheme="majorHAnsi"/>
          <w:iCs/>
          <w:sz w:val="20"/>
          <w:szCs w:val="20"/>
        </w:rPr>
        <w:t xml:space="preserve">Career services at the UTHealth School of Public Health are coordinated by a full-time staff member within the Office of Academic Affairs and Student Services at UTHealth School of Public Health. The staff coordinator of career advising was selected for her knowledge and training in public health, her ability to develop and coordinate workshops, and her ability to facilitate networking events. Other staff advisors were selected for their experience in academic advising, and faculty were selected for their research expertise and public health practice experience. </w:t>
      </w:r>
    </w:p>
    <w:p w:rsidR="00933038" w:rsidRPr="00E80636" w:rsidRDefault="00933038" w:rsidP="006C308E">
      <w:pPr>
        <w:ind w:left="720"/>
        <w:rPr>
          <w:rFonts w:asciiTheme="majorHAnsi" w:hAnsiTheme="majorHAnsi" w:cstheme="majorHAnsi"/>
          <w:sz w:val="20"/>
          <w:szCs w:val="20"/>
        </w:rPr>
      </w:pPr>
    </w:p>
    <w:p w:rsidR="00933038" w:rsidRPr="00E80636" w:rsidRDefault="00933038" w:rsidP="006C308E">
      <w:pPr>
        <w:pStyle w:val="ListParagraph"/>
        <w:numPr>
          <w:ilvl w:val="0"/>
          <w:numId w:val="48"/>
        </w:numPr>
        <w:jc w:val="both"/>
        <w:rPr>
          <w:rFonts w:asciiTheme="majorHAnsi" w:hAnsiTheme="majorHAnsi" w:cstheme="majorHAnsi"/>
          <w:szCs w:val="20"/>
        </w:rPr>
      </w:pPr>
      <w:r w:rsidRPr="00E80636">
        <w:rPr>
          <w:rFonts w:asciiTheme="majorHAnsi" w:hAnsiTheme="majorHAnsi" w:cstheme="majorHAnsi"/>
          <w:szCs w:val="20"/>
        </w:rPr>
        <w:t xml:space="preserve">Provide three examples from the last three years of career advising services provided to students and one example of career advising provided to an alumnus/a. For each category, indicate the number of individuals participating. </w:t>
      </w:r>
    </w:p>
    <w:p w:rsidR="00933038" w:rsidRPr="00E80636" w:rsidRDefault="00933038" w:rsidP="006C308E">
      <w:pPr>
        <w:jc w:val="both"/>
        <w:rPr>
          <w:rFonts w:asciiTheme="majorHAnsi" w:hAnsiTheme="majorHAnsi" w:cstheme="majorHAnsi"/>
          <w:sz w:val="20"/>
          <w:szCs w:val="20"/>
        </w:rPr>
      </w:pPr>
    </w:p>
    <w:p w:rsidR="005B1CB6" w:rsidRPr="00E80636" w:rsidRDefault="005B1CB6" w:rsidP="006C308E">
      <w:pPr>
        <w:ind w:left="720"/>
        <w:textAlignment w:val="baseline"/>
        <w:rPr>
          <w:rFonts w:asciiTheme="majorHAnsi" w:eastAsia="Times New Roman" w:hAnsiTheme="majorHAnsi" w:cstheme="majorHAnsi"/>
          <w:b/>
          <w:iCs/>
          <w:sz w:val="20"/>
          <w:szCs w:val="20"/>
        </w:rPr>
      </w:pPr>
      <w:r w:rsidRPr="00E80636">
        <w:rPr>
          <w:rFonts w:asciiTheme="majorHAnsi" w:eastAsia="Times New Roman" w:hAnsiTheme="majorHAnsi" w:cstheme="majorHAnsi"/>
          <w:b/>
          <w:iCs/>
          <w:sz w:val="20"/>
          <w:szCs w:val="20"/>
        </w:rPr>
        <w:t xml:space="preserve">Example 1 [student]: </w:t>
      </w:r>
    </w:p>
    <w:p w:rsidR="005B1CB6" w:rsidRPr="00E80636" w:rsidRDefault="005B1CB6" w:rsidP="006C308E">
      <w:pPr>
        <w:ind w:left="720"/>
        <w:textAlignment w:val="baseline"/>
        <w:rPr>
          <w:rFonts w:asciiTheme="majorHAnsi" w:eastAsia="Times New Roman" w:hAnsiTheme="majorHAnsi" w:cstheme="majorHAnsi"/>
          <w:iCs/>
          <w:sz w:val="20"/>
          <w:szCs w:val="20"/>
        </w:rPr>
      </w:pPr>
      <w:r w:rsidRPr="00E80636">
        <w:rPr>
          <w:rFonts w:asciiTheme="majorHAnsi" w:eastAsia="Times New Roman" w:hAnsiTheme="majorHAnsi" w:cstheme="majorHAnsi"/>
          <w:iCs/>
          <w:sz w:val="20"/>
          <w:szCs w:val="20"/>
        </w:rPr>
        <w:t>Career development workshops conducted during the 2018 National Public Health Week (NPHW).  The workshops were available to all students from all six campuses, and were publicized as part of the 2018 NPHW communication and on the career services website. On April 4, 2018, four workshops covering the basic components of career development were conducted within a two-hour timeframe:</w:t>
      </w:r>
    </w:p>
    <w:p w:rsidR="005B1CB6" w:rsidRPr="00E80636" w:rsidRDefault="005B1CB6" w:rsidP="006C308E">
      <w:pPr>
        <w:pStyle w:val="ListParagraph"/>
        <w:ind w:left="360"/>
        <w:textAlignment w:val="baseline"/>
        <w:rPr>
          <w:rFonts w:asciiTheme="majorHAnsi" w:hAnsiTheme="majorHAnsi" w:cstheme="majorHAnsi"/>
          <w:b/>
          <w:iCs/>
          <w:szCs w:val="20"/>
        </w:rPr>
      </w:pPr>
    </w:p>
    <w:p w:rsidR="005B1CB6" w:rsidRPr="00E80636" w:rsidRDefault="005B1CB6" w:rsidP="006C308E">
      <w:pPr>
        <w:pStyle w:val="ListParagraph"/>
        <w:numPr>
          <w:ilvl w:val="0"/>
          <w:numId w:val="111"/>
        </w:numPr>
        <w:ind w:left="1440"/>
        <w:contextualSpacing/>
        <w:textAlignment w:val="baseline"/>
        <w:rPr>
          <w:rFonts w:asciiTheme="majorHAnsi" w:hAnsiTheme="majorHAnsi" w:cstheme="majorHAnsi"/>
          <w:iCs/>
          <w:szCs w:val="20"/>
        </w:rPr>
      </w:pPr>
      <w:r w:rsidRPr="00E80636">
        <w:rPr>
          <w:rFonts w:asciiTheme="majorHAnsi" w:hAnsiTheme="majorHAnsi" w:cstheme="majorHAnsi"/>
          <w:iCs/>
          <w:szCs w:val="20"/>
          <w:u w:val="single"/>
        </w:rPr>
        <w:t>Exploration:</w:t>
      </w:r>
      <w:r w:rsidRPr="00E80636">
        <w:rPr>
          <w:rFonts w:asciiTheme="majorHAnsi" w:hAnsiTheme="majorHAnsi" w:cstheme="majorHAnsi"/>
          <w:iCs/>
          <w:szCs w:val="20"/>
        </w:rPr>
        <w:t xml:space="preserve"> This workshop covered self-assessment (identifying values, interests, skills, and achievements) and researching opportunities (by industry and/or employer)</w:t>
      </w:r>
    </w:p>
    <w:p w:rsidR="005B1CB6" w:rsidRPr="00E80636" w:rsidRDefault="005B1CB6" w:rsidP="006C308E">
      <w:pPr>
        <w:pStyle w:val="ListParagraph"/>
        <w:numPr>
          <w:ilvl w:val="0"/>
          <w:numId w:val="111"/>
        </w:numPr>
        <w:ind w:left="1440"/>
        <w:contextualSpacing/>
        <w:rPr>
          <w:rFonts w:asciiTheme="majorHAnsi" w:hAnsiTheme="majorHAnsi" w:cstheme="majorHAnsi"/>
          <w:szCs w:val="20"/>
        </w:rPr>
      </w:pPr>
      <w:r w:rsidRPr="00E80636">
        <w:rPr>
          <w:rFonts w:asciiTheme="majorHAnsi" w:hAnsiTheme="majorHAnsi" w:cstheme="majorHAnsi"/>
          <w:iCs/>
          <w:szCs w:val="20"/>
          <w:u w:val="single"/>
        </w:rPr>
        <w:t>Career Tools:</w:t>
      </w:r>
      <w:r w:rsidRPr="00E80636">
        <w:rPr>
          <w:rFonts w:asciiTheme="majorHAnsi" w:hAnsiTheme="majorHAnsi" w:cstheme="majorHAnsi"/>
          <w:iCs/>
          <w:szCs w:val="20"/>
        </w:rPr>
        <w:t xml:space="preserve"> This workshop described the components of pursuing a career and provided tips on resumes, cover letters, references, and networking cards</w:t>
      </w:r>
    </w:p>
    <w:p w:rsidR="005B1CB6" w:rsidRPr="00E80636" w:rsidRDefault="005B1CB6" w:rsidP="006C308E">
      <w:pPr>
        <w:pStyle w:val="ListParagraph"/>
        <w:numPr>
          <w:ilvl w:val="0"/>
          <w:numId w:val="111"/>
        </w:numPr>
        <w:ind w:left="1440"/>
        <w:contextualSpacing/>
        <w:rPr>
          <w:rFonts w:asciiTheme="majorHAnsi" w:hAnsiTheme="majorHAnsi" w:cstheme="majorHAnsi"/>
          <w:szCs w:val="20"/>
        </w:rPr>
      </w:pPr>
      <w:r w:rsidRPr="00E80636">
        <w:rPr>
          <w:rFonts w:asciiTheme="majorHAnsi" w:hAnsiTheme="majorHAnsi" w:cstheme="majorHAnsi"/>
          <w:iCs/>
          <w:szCs w:val="20"/>
          <w:u w:val="single"/>
        </w:rPr>
        <w:t>Networking</w:t>
      </w:r>
      <w:r w:rsidRPr="00E80636">
        <w:rPr>
          <w:rFonts w:asciiTheme="majorHAnsi" w:hAnsiTheme="majorHAnsi" w:cstheme="majorHAnsi"/>
          <w:szCs w:val="20"/>
          <w:u w:val="single"/>
        </w:rPr>
        <w:t>:</w:t>
      </w:r>
      <w:r w:rsidRPr="00E80636">
        <w:rPr>
          <w:rFonts w:asciiTheme="majorHAnsi" w:hAnsiTheme="majorHAnsi" w:cstheme="majorHAnsi"/>
          <w:szCs w:val="20"/>
        </w:rPr>
        <w:t xml:space="preserve"> This workshop introduced the importance of networking and techniques to build relationships. It also raised awareness about managing an online presence and best practices for using LinkedIn.  </w:t>
      </w:r>
    </w:p>
    <w:p w:rsidR="005B1CB6" w:rsidRPr="00E80636" w:rsidRDefault="005B1CB6" w:rsidP="006C308E">
      <w:pPr>
        <w:pStyle w:val="ListParagraph"/>
        <w:numPr>
          <w:ilvl w:val="0"/>
          <w:numId w:val="111"/>
        </w:numPr>
        <w:ind w:left="1440"/>
        <w:contextualSpacing/>
        <w:rPr>
          <w:rFonts w:asciiTheme="majorHAnsi" w:hAnsiTheme="majorHAnsi" w:cstheme="majorHAnsi"/>
          <w:szCs w:val="20"/>
        </w:rPr>
      </w:pPr>
      <w:r w:rsidRPr="00E80636">
        <w:rPr>
          <w:rFonts w:asciiTheme="majorHAnsi" w:hAnsiTheme="majorHAnsi" w:cstheme="majorHAnsi"/>
          <w:iCs/>
          <w:szCs w:val="20"/>
          <w:u w:val="single"/>
        </w:rPr>
        <w:t>Interviews and Job Offers</w:t>
      </w:r>
      <w:r w:rsidRPr="00E80636">
        <w:rPr>
          <w:rFonts w:asciiTheme="majorHAnsi" w:hAnsiTheme="majorHAnsi" w:cstheme="majorHAnsi"/>
          <w:szCs w:val="20"/>
          <w:u w:val="single"/>
        </w:rPr>
        <w:t>:</w:t>
      </w:r>
      <w:r w:rsidRPr="00E80636">
        <w:rPr>
          <w:rFonts w:asciiTheme="majorHAnsi" w:hAnsiTheme="majorHAnsi" w:cstheme="majorHAnsi"/>
          <w:szCs w:val="20"/>
        </w:rPr>
        <w:t xml:space="preserve"> This workshop was co-presented with a faculty member with many years of professional experience. The presenters covered key aspects of the interviews, including how to prepare beforehand, tips for conduct during and following-up afterwards, etc. The workshop also informed students about job offers, what they can expect, and how they might respond.  </w:t>
      </w:r>
    </w:p>
    <w:p w:rsidR="005B1CB6" w:rsidRPr="00E80636" w:rsidRDefault="005B1CB6" w:rsidP="006C308E">
      <w:pPr>
        <w:ind w:left="720"/>
        <w:rPr>
          <w:rFonts w:asciiTheme="majorHAnsi" w:hAnsiTheme="majorHAnsi" w:cstheme="majorHAnsi"/>
          <w:sz w:val="20"/>
          <w:szCs w:val="20"/>
        </w:rPr>
      </w:pPr>
    </w:p>
    <w:p w:rsidR="005B1CB6" w:rsidRPr="00E80636" w:rsidRDefault="005B1CB6" w:rsidP="006C308E">
      <w:pPr>
        <w:ind w:left="720"/>
        <w:rPr>
          <w:rFonts w:asciiTheme="majorHAnsi" w:hAnsiTheme="majorHAnsi" w:cstheme="majorHAnsi"/>
          <w:sz w:val="20"/>
          <w:szCs w:val="20"/>
        </w:rPr>
      </w:pPr>
      <w:r w:rsidRPr="00E80636">
        <w:rPr>
          <w:rFonts w:asciiTheme="majorHAnsi" w:hAnsiTheme="majorHAnsi" w:cstheme="majorHAnsi"/>
          <w:sz w:val="20"/>
          <w:szCs w:val="20"/>
        </w:rPr>
        <w:t xml:space="preserve">Workshops were well attended by our school’s standards, with an average of 25 students for all sessions. Subsequently, the presentations were recorded in order to allow more students to benefit by accessing the content online on their own time. </w:t>
      </w:r>
      <w:r w:rsidR="00215F60">
        <w:rPr>
          <w:rFonts w:asciiTheme="majorHAnsi" w:hAnsiTheme="majorHAnsi" w:cstheme="majorHAnsi"/>
          <w:sz w:val="20"/>
          <w:szCs w:val="20"/>
        </w:rPr>
        <w:t xml:space="preserve">Career services presentations and guides </w:t>
      </w:r>
      <w:r w:rsidR="00E11F77" w:rsidRPr="00E80636">
        <w:rPr>
          <w:rFonts w:asciiTheme="majorHAnsi" w:hAnsiTheme="majorHAnsi" w:cstheme="majorHAnsi"/>
          <w:sz w:val="20"/>
          <w:szCs w:val="20"/>
        </w:rPr>
        <w:t>are available i</w:t>
      </w:r>
      <w:r w:rsidR="00215F60">
        <w:rPr>
          <w:rFonts w:asciiTheme="majorHAnsi" w:hAnsiTheme="majorHAnsi" w:cstheme="majorHAnsi"/>
          <w:sz w:val="20"/>
          <w:szCs w:val="20"/>
        </w:rPr>
        <w:t>n the electronic resource file (</w:t>
      </w:r>
      <w:r w:rsidR="00215F60">
        <w:rPr>
          <w:rFonts w:asciiTheme="majorHAnsi" w:eastAsia="Times New Roman" w:hAnsiTheme="majorHAnsi" w:cstheme="majorHAnsi"/>
          <w:i/>
          <w:iCs/>
          <w:sz w:val="20"/>
          <w:szCs w:val="20"/>
        </w:rPr>
        <w:t>ERF, H2. Career Services Guides and Presentations</w:t>
      </w:r>
      <w:r w:rsidR="00215F60">
        <w:rPr>
          <w:rFonts w:asciiTheme="majorHAnsi" w:eastAsia="Times New Roman" w:hAnsiTheme="majorHAnsi" w:cstheme="majorHAnsi"/>
          <w:iCs/>
          <w:sz w:val="20"/>
          <w:szCs w:val="20"/>
        </w:rPr>
        <w:t>)</w:t>
      </w:r>
      <w:r w:rsidR="003F28DF">
        <w:rPr>
          <w:rFonts w:asciiTheme="majorHAnsi" w:eastAsia="Times New Roman" w:hAnsiTheme="majorHAnsi" w:cstheme="majorHAnsi"/>
          <w:iCs/>
          <w:sz w:val="20"/>
          <w:szCs w:val="20"/>
        </w:rPr>
        <w:t xml:space="preserve">. </w:t>
      </w:r>
    </w:p>
    <w:p w:rsidR="005B1CB6" w:rsidRPr="00E80636" w:rsidRDefault="005B1CB6" w:rsidP="006C308E">
      <w:pPr>
        <w:ind w:left="720"/>
        <w:textAlignment w:val="baseline"/>
        <w:rPr>
          <w:rFonts w:asciiTheme="majorHAnsi" w:eastAsia="Times New Roman" w:hAnsiTheme="majorHAnsi" w:cstheme="majorHAnsi"/>
          <w:iCs/>
          <w:sz w:val="20"/>
          <w:szCs w:val="20"/>
          <w:u w:val="single"/>
        </w:rPr>
      </w:pPr>
    </w:p>
    <w:p w:rsidR="005B1CB6" w:rsidRPr="00E80636" w:rsidRDefault="005B1CB6" w:rsidP="006C308E">
      <w:pPr>
        <w:ind w:left="720"/>
        <w:textAlignment w:val="baseline"/>
        <w:rPr>
          <w:rFonts w:asciiTheme="majorHAnsi" w:eastAsia="Times New Roman" w:hAnsiTheme="majorHAnsi" w:cstheme="majorHAnsi"/>
          <w:b/>
          <w:iCs/>
          <w:sz w:val="20"/>
          <w:szCs w:val="20"/>
        </w:rPr>
      </w:pPr>
      <w:r w:rsidRPr="00E80636">
        <w:rPr>
          <w:rFonts w:asciiTheme="majorHAnsi" w:eastAsia="Times New Roman" w:hAnsiTheme="majorHAnsi" w:cstheme="majorHAnsi"/>
          <w:b/>
          <w:iCs/>
          <w:sz w:val="20"/>
          <w:szCs w:val="20"/>
        </w:rPr>
        <w:t>Example 2 [student]:</w:t>
      </w:r>
    </w:p>
    <w:p w:rsidR="005B1CB6" w:rsidRPr="00E80636" w:rsidRDefault="005B1CB6" w:rsidP="006C308E">
      <w:pPr>
        <w:ind w:left="720"/>
        <w:textAlignment w:val="baseline"/>
        <w:rPr>
          <w:rFonts w:asciiTheme="majorHAnsi" w:eastAsia="Times New Roman" w:hAnsiTheme="majorHAnsi" w:cstheme="majorHAnsi"/>
          <w:iCs/>
          <w:sz w:val="20"/>
          <w:szCs w:val="20"/>
        </w:rPr>
      </w:pPr>
      <w:r w:rsidRPr="00E80636">
        <w:rPr>
          <w:rFonts w:asciiTheme="majorHAnsi" w:eastAsia="Times New Roman" w:hAnsiTheme="majorHAnsi" w:cstheme="majorHAnsi"/>
          <w:iCs/>
          <w:sz w:val="20"/>
          <w:szCs w:val="20"/>
        </w:rPr>
        <w:t>Resume critique is a primary activity of career services. Resumes are still one of the most important tools for job search success. Because resumes provide potential employers with first impressions of job candidates, a poor resume might result in failure to be selected for an interview and, ultimately, to get a job. Most resume critiques are done via email in order to make it accessible to all students, regardless of campus. Since October 2017, over 150 resumes and CVs have been reviewed.</w:t>
      </w:r>
    </w:p>
    <w:p w:rsidR="005B1CB6" w:rsidRPr="00E80636" w:rsidRDefault="005B1CB6" w:rsidP="006C308E">
      <w:pPr>
        <w:ind w:left="720"/>
        <w:textAlignment w:val="baseline"/>
        <w:rPr>
          <w:rFonts w:asciiTheme="majorHAnsi" w:eastAsia="Times New Roman" w:hAnsiTheme="majorHAnsi" w:cstheme="majorHAnsi"/>
          <w:iCs/>
          <w:sz w:val="20"/>
          <w:szCs w:val="20"/>
        </w:rPr>
      </w:pPr>
      <w:r w:rsidRPr="00E80636">
        <w:rPr>
          <w:rFonts w:asciiTheme="majorHAnsi" w:eastAsia="Times New Roman" w:hAnsiTheme="majorHAnsi" w:cstheme="majorHAnsi"/>
          <w:iCs/>
          <w:sz w:val="20"/>
          <w:szCs w:val="20"/>
        </w:rPr>
        <w:t xml:space="preserve">  </w:t>
      </w:r>
    </w:p>
    <w:p w:rsidR="005B1CB6" w:rsidRPr="00655FFF" w:rsidRDefault="005B1CB6" w:rsidP="006C308E">
      <w:pPr>
        <w:ind w:left="720"/>
        <w:textAlignment w:val="baseline"/>
        <w:rPr>
          <w:rFonts w:asciiTheme="majorHAnsi" w:eastAsia="Times New Roman" w:hAnsiTheme="majorHAnsi" w:cstheme="majorHAnsi"/>
          <w:b/>
          <w:iCs/>
          <w:sz w:val="20"/>
          <w:szCs w:val="20"/>
        </w:rPr>
      </w:pPr>
      <w:r w:rsidRPr="00E80636">
        <w:rPr>
          <w:rFonts w:asciiTheme="majorHAnsi" w:eastAsia="Times New Roman" w:hAnsiTheme="majorHAnsi" w:cstheme="majorHAnsi"/>
          <w:b/>
          <w:iCs/>
          <w:sz w:val="20"/>
          <w:szCs w:val="20"/>
        </w:rPr>
        <w:t xml:space="preserve">Example 3 </w:t>
      </w:r>
      <w:r w:rsidRPr="00655FFF">
        <w:rPr>
          <w:rFonts w:asciiTheme="majorHAnsi" w:eastAsia="Times New Roman" w:hAnsiTheme="majorHAnsi" w:cstheme="majorHAnsi"/>
          <w:b/>
          <w:iCs/>
          <w:sz w:val="20"/>
          <w:szCs w:val="20"/>
        </w:rPr>
        <w:t xml:space="preserve">[student]: </w:t>
      </w:r>
    </w:p>
    <w:p w:rsidR="005B1CB6" w:rsidRPr="00655FFF" w:rsidRDefault="005B1CB6" w:rsidP="006C308E">
      <w:pPr>
        <w:ind w:left="720"/>
        <w:textAlignment w:val="baseline"/>
        <w:rPr>
          <w:rFonts w:asciiTheme="majorHAnsi" w:hAnsiTheme="majorHAnsi" w:cstheme="majorHAnsi"/>
          <w:color w:val="333333"/>
          <w:sz w:val="20"/>
          <w:szCs w:val="20"/>
          <w:shd w:val="clear" w:color="auto" w:fill="FFFFFF"/>
        </w:rPr>
      </w:pPr>
      <w:r w:rsidRPr="00655FFF">
        <w:rPr>
          <w:rFonts w:asciiTheme="majorHAnsi" w:hAnsiTheme="majorHAnsi" w:cstheme="majorHAnsi"/>
          <w:color w:val="333333"/>
          <w:sz w:val="20"/>
          <w:szCs w:val="20"/>
          <w:shd w:val="clear" w:color="auto" w:fill="FFFFFF"/>
        </w:rPr>
        <w:t xml:space="preserve">In Fall 2018 and Spring 2019, Writing Support Services delivered a presentation titled, </w:t>
      </w:r>
      <w:r w:rsidR="00F62D70" w:rsidRPr="00655FFF">
        <w:rPr>
          <w:rFonts w:asciiTheme="majorHAnsi" w:hAnsiTheme="majorHAnsi" w:cstheme="majorHAnsi"/>
          <w:color w:val="333333"/>
          <w:sz w:val="20"/>
          <w:szCs w:val="20"/>
          <w:shd w:val="clear" w:color="auto" w:fill="FFFFFF"/>
        </w:rPr>
        <w:t>“</w:t>
      </w:r>
      <w:r w:rsidR="00F62D70" w:rsidRPr="00655FFF">
        <w:rPr>
          <w:rFonts w:asciiTheme="majorHAnsi" w:hAnsiTheme="majorHAnsi" w:cstheme="majorHAnsi"/>
          <w:sz w:val="20"/>
          <w:szCs w:val="20"/>
          <w:shd w:val="clear" w:color="auto" w:fill="FFFFFF"/>
        </w:rPr>
        <w:t>(De)constructing a CV</w:t>
      </w:r>
      <w:r w:rsidRPr="00655FFF">
        <w:rPr>
          <w:rFonts w:asciiTheme="majorHAnsi" w:hAnsiTheme="majorHAnsi" w:cstheme="majorHAnsi"/>
          <w:color w:val="333333"/>
          <w:sz w:val="20"/>
          <w:szCs w:val="20"/>
          <w:shd w:val="clear" w:color="auto" w:fill="FFFFFF"/>
        </w:rPr>
        <w:t xml:space="preserve">,” </w:t>
      </w:r>
      <w:r w:rsidR="00D75044" w:rsidRPr="00655FFF">
        <w:rPr>
          <w:rFonts w:asciiTheme="majorHAnsi" w:hAnsiTheme="majorHAnsi" w:cstheme="majorHAnsi"/>
          <w:color w:val="333333"/>
          <w:sz w:val="20"/>
          <w:szCs w:val="20"/>
          <w:shd w:val="clear" w:color="auto" w:fill="FFFFFF"/>
        </w:rPr>
        <w:t>(</w:t>
      </w:r>
      <w:r w:rsidR="003F28DF" w:rsidRPr="00655FFF">
        <w:rPr>
          <w:rFonts w:asciiTheme="majorHAnsi" w:hAnsiTheme="majorHAnsi" w:cstheme="majorHAnsi"/>
          <w:i/>
          <w:color w:val="333333"/>
          <w:sz w:val="20"/>
          <w:szCs w:val="20"/>
          <w:shd w:val="clear" w:color="auto" w:fill="FFFFFF"/>
        </w:rPr>
        <w:t xml:space="preserve">ERF, H2. Career Advising, </w:t>
      </w:r>
      <w:r w:rsidR="00D75044" w:rsidRPr="00655FFF">
        <w:rPr>
          <w:rFonts w:asciiTheme="majorHAnsi" w:hAnsiTheme="majorHAnsi" w:cstheme="majorHAnsi"/>
          <w:i/>
          <w:color w:val="333333"/>
          <w:sz w:val="20"/>
          <w:szCs w:val="20"/>
          <w:shd w:val="clear" w:color="auto" w:fill="FFFFFF"/>
        </w:rPr>
        <w:t>CV Presentation</w:t>
      </w:r>
      <w:r w:rsidR="00D75044" w:rsidRPr="00655FFF">
        <w:rPr>
          <w:rFonts w:asciiTheme="majorHAnsi" w:hAnsiTheme="majorHAnsi" w:cstheme="majorHAnsi"/>
          <w:color w:val="333333"/>
          <w:sz w:val="20"/>
          <w:szCs w:val="20"/>
          <w:shd w:val="clear" w:color="auto" w:fill="FFFFFF"/>
        </w:rPr>
        <w:t xml:space="preserve">) </w:t>
      </w:r>
      <w:r w:rsidRPr="00655FFF">
        <w:rPr>
          <w:rFonts w:asciiTheme="majorHAnsi" w:hAnsiTheme="majorHAnsi" w:cstheme="majorHAnsi"/>
          <w:color w:val="333333"/>
          <w:sz w:val="20"/>
          <w:szCs w:val="20"/>
          <w:shd w:val="clear" w:color="auto" w:fill="FFFFFF"/>
        </w:rPr>
        <w:t xml:space="preserve">with an attendance of 10–15 students per session. In addition, Writing Support Services has developed an online research guide with extensive career writing resources for alumni and students on topics including resumes, CVs, cover letters, and personal statements.  </w:t>
      </w:r>
    </w:p>
    <w:p w:rsidR="005B1CB6" w:rsidRPr="00655FFF" w:rsidRDefault="005B1CB6" w:rsidP="006C308E">
      <w:pPr>
        <w:textAlignment w:val="baseline"/>
        <w:rPr>
          <w:rFonts w:asciiTheme="majorHAnsi" w:eastAsia="Times New Roman" w:hAnsiTheme="majorHAnsi" w:cstheme="majorHAnsi"/>
          <w:iCs/>
          <w:sz w:val="20"/>
          <w:szCs w:val="20"/>
        </w:rPr>
      </w:pPr>
    </w:p>
    <w:p w:rsidR="005B1CB6" w:rsidRPr="00655FFF" w:rsidRDefault="005B1CB6" w:rsidP="006C308E">
      <w:pPr>
        <w:ind w:left="720"/>
        <w:textAlignment w:val="baseline"/>
        <w:rPr>
          <w:rFonts w:asciiTheme="majorHAnsi" w:eastAsia="Times New Roman" w:hAnsiTheme="majorHAnsi" w:cstheme="majorHAnsi"/>
          <w:b/>
          <w:iCs/>
          <w:sz w:val="20"/>
          <w:szCs w:val="20"/>
        </w:rPr>
      </w:pPr>
      <w:r w:rsidRPr="00655FFF">
        <w:rPr>
          <w:rFonts w:asciiTheme="majorHAnsi" w:eastAsia="Times New Roman" w:hAnsiTheme="majorHAnsi" w:cstheme="majorHAnsi"/>
          <w:b/>
          <w:iCs/>
          <w:sz w:val="20"/>
          <w:szCs w:val="20"/>
        </w:rPr>
        <w:t xml:space="preserve">Example 4 [alumni]: </w:t>
      </w:r>
    </w:p>
    <w:p w:rsidR="005B1CB6" w:rsidRPr="00655FFF" w:rsidRDefault="005B1CB6" w:rsidP="006C308E">
      <w:pPr>
        <w:ind w:left="720"/>
        <w:contextualSpacing/>
        <w:rPr>
          <w:rFonts w:asciiTheme="majorHAnsi" w:hAnsiTheme="majorHAnsi" w:cstheme="majorHAnsi"/>
          <w:sz w:val="20"/>
          <w:szCs w:val="20"/>
        </w:rPr>
      </w:pPr>
      <w:r w:rsidRPr="00655FFF">
        <w:rPr>
          <w:rFonts w:asciiTheme="majorHAnsi" w:eastAsia="Times New Roman" w:hAnsiTheme="majorHAnsi" w:cstheme="majorHAnsi"/>
          <w:iCs/>
          <w:sz w:val="20"/>
          <w:szCs w:val="20"/>
        </w:rPr>
        <w:t xml:space="preserve">In Fall 2018, the UTHealth School of Public Health implemented </w:t>
      </w:r>
      <w:hyperlink r:id="rId26" w:history="1">
        <w:r w:rsidRPr="00BD41BE">
          <w:rPr>
            <w:rStyle w:val="Hyperlink"/>
            <w:rFonts w:asciiTheme="majorHAnsi" w:eastAsia="Times New Roman" w:hAnsiTheme="majorHAnsi" w:cstheme="majorHAnsi"/>
            <w:iCs/>
            <w:sz w:val="20"/>
            <w:szCs w:val="20"/>
          </w:rPr>
          <w:t>Handshake</w:t>
        </w:r>
      </w:hyperlink>
      <w:r w:rsidRPr="00655FFF">
        <w:rPr>
          <w:rFonts w:asciiTheme="majorHAnsi" w:eastAsia="Times New Roman" w:hAnsiTheme="majorHAnsi" w:cstheme="majorHAnsi"/>
          <w:iCs/>
          <w:sz w:val="20"/>
          <w:szCs w:val="20"/>
        </w:rPr>
        <w:t xml:space="preserve">, a platform that </w:t>
      </w:r>
      <w:r w:rsidRPr="00655FFF">
        <w:rPr>
          <w:rStyle w:val="st"/>
          <w:rFonts w:asciiTheme="majorHAnsi" w:hAnsiTheme="majorHAnsi" w:cstheme="majorHAnsi"/>
          <w:sz w:val="20"/>
          <w:szCs w:val="20"/>
        </w:rPr>
        <w:t>connects students and alumni to employers for jobs, internships, and career events. Handshake is available to all alumni. We have sent emails to all alumni to inform them of this new resource and to explain steps on how to sign up. To date, approximately 50 alumni have joined the school’s Handshake platform; students who have graduated since the launch of Handshake in Fall 2018 maintain access (including approximately 30</w:t>
      </w:r>
      <w:r w:rsidR="00901E73">
        <w:rPr>
          <w:rStyle w:val="st"/>
          <w:rFonts w:asciiTheme="majorHAnsi" w:hAnsiTheme="majorHAnsi" w:cstheme="majorHAnsi"/>
          <w:sz w:val="20"/>
          <w:szCs w:val="20"/>
        </w:rPr>
        <w:t>0 graduating students in AY19)</w:t>
      </w:r>
      <w:r w:rsidR="00901E73" w:rsidRPr="00901E73">
        <w:rPr>
          <w:rFonts w:asciiTheme="majorHAnsi" w:hAnsiTheme="majorHAnsi" w:cstheme="majorHAnsi"/>
          <w:sz w:val="20"/>
          <w:szCs w:val="20"/>
        </w:rPr>
        <w:t xml:space="preserve"> </w:t>
      </w:r>
      <w:r w:rsidR="00901E73">
        <w:rPr>
          <w:rFonts w:asciiTheme="majorHAnsi" w:hAnsiTheme="majorHAnsi" w:cstheme="majorHAnsi"/>
          <w:sz w:val="20"/>
          <w:szCs w:val="20"/>
        </w:rPr>
        <w:t>(</w:t>
      </w:r>
      <w:r w:rsidR="00901E73">
        <w:rPr>
          <w:rFonts w:asciiTheme="majorHAnsi" w:eastAsia="Times New Roman" w:hAnsiTheme="majorHAnsi" w:cstheme="majorHAnsi"/>
          <w:i/>
          <w:iCs/>
          <w:sz w:val="20"/>
          <w:szCs w:val="20"/>
        </w:rPr>
        <w:t>ERF, H2. Career Services Guides and Presentations</w:t>
      </w:r>
      <w:r w:rsidR="00901E73">
        <w:rPr>
          <w:rFonts w:asciiTheme="majorHAnsi" w:eastAsia="Times New Roman" w:hAnsiTheme="majorHAnsi" w:cstheme="majorHAnsi"/>
          <w:iCs/>
          <w:sz w:val="20"/>
          <w:szCs w:val="20"/>
        </w:rPr>
        <w:t>).</w:t>
      </w:r>
    </w:p>
    <w:p w:rsidR="00933038" w:rsidRPr="00655FFF" w:rsidRDefault="00933038" w:rsidP="006C308E">
      <w:pPr>
        <w:ind w:left="720"/>
        <w:jc w:val="both"/>
        <w:rPr>
          <w:rFonts w:asciiTheme="majorHAnsi" w:hAnsiTheme="majorHAnsi" w:cstheme="majorHAnsi"/>
          <w:sz w:val="20"/>
          <w:szCs w:val="20"/>
        </w:rPr>
      </w:pPr>
    </w:p>
    <w:p w:rsidR="00933038" w:rsidRPr="00655FFF" w:rsidRDefault="00933038" w:rsidP="006C308E">
      <w:pPr>
        <w:numPr>
          <w:ilvl w:val="0"/>
          <w:numId w:val="48"/>
        </w:numPr>
        <w:jc w:val="both"/>
        <w:rPr>
          <w:rFonts w:asciiTheme="majorHAnsi" w:hAnsiTheme="majorHAnsi" w:cstheme="majorHAnsi"/>
          <w:sz w:val="20"/>
          <w:szCs w:val="20"/>
        </w:rPr>
      </w:pPr>
      <w:r w:rsidRPr="00655FFF">
        <w:rPr>
          <w:rFonts w:asciiTheme="majorHAnsi" w:hAnsiTheme="majorHAnsi" w:cstheme="majorHAnsi"/>
          <w:sz w:val="20"/>
          <w:szCs w:val="20"/>
        </w:rPr>
        <w:t xml:space="preserve">Provide data reflecting the level of student satisfaction with career advising during each of the last three years. Include survey response rates, if applicable. </w:t>
      </w:r>
    </w:p>
    <w:p w:rsidR="00933038" w:rsidRPr="00655FFF" w:rsidRDefault="00933038" w:rsidP="006C308E">
      <w:pPr>
        <w:jc w:val="both"/>
        <w:rPr>
          <w:rFonts w:asciiTheme="majorHAnsi" w:hAnsiTheme="majorHAnsi" w:cstheme="majorHAnsi"/>
          <w:sz w:val="20"/>
          <w:szCs w:val="20"/>
        </w:rPr>
      </w:pPr>
    </w:p>
    <w:p w:rsidR="005B1CB6" w:rsidRPr="00E80636" w:rsidRDefault="006E3D5E" w:rsidP="006C308E">
      <w:pPr>
        <w:ind w:left="720"/>
        <w:rPr>
          <w:rFonts w:asciiTheme="majorHAnsi" w:eastAsia="Arial" w:hAnsiTheme="majorHAnsi" w:cstheme="majorHAnsi"/>
          <w:sz w:val="20"/>
          <w:szCs w:val="20"/>
        </w:rPr>
      </w:pPr>
      <w:hyperlink w:anchor="TableH21" w:history="1">
        <w:r w:rsidR="005B1CB6" w:rsidRPr="00655FFF">
          <w:rPr>
            <w:rStyle w:val="Hyperlink"/>
            <w:rFonts w:asciiTheme="majorHAnsi" w:hAnsiTheme="majorHAnsi" w:cstheme="majorHAnsi"/>
            <w:sz w:val="20"/>
            <w:szCs w:val="20"/>
          </w:rPr>
          <w:t>Table H</w:t>
        </w:r>
        <w:r w:rsidR="000634AF" w:rsidRPr="00655FFF">
          <w:rPr>
            <w:rStyle w:val="Hyperlink"/>
            <w:rFonts w:asciiTheme="majorHAnsi" w:hAnsiTheme="majorHAnsi" w:cstheme="majorHAnsi"/>
            <w:sz w:val="20"/>
            <w:szCs w:val="20"/>
          </w:rPr>
          <w:t>.</w:t>
        </w:r>
        <w:r w:rsidR="005B1CB6" w:rsidRPr="00655FFF">
          <w:rPr>
            <w:rStyle w:val="Hyperlink"/>
            <w:rFonts w:asciiTheme="majorHAnsi" w:hAnsiTheme="majorHAnsi" w:cstheme="majorHAnsi"/>
            <w:sz w:val="20"/>
            <w:szCs w:val="20"/>
          </w:rPr>
          <w:t>2.1</w:t>
        </w:r>
      </w:hyperlink>
      <w:r w:rsidR="005B1CB6" w:rsidRPr="00655FFF">
        <w:rPr>
          <w:rFonts w:asciiTheme="majorHAnsi" w:eastAsia="Arial" w:hAnsiTheme="majorHAnsi" w:cstheme="majorHAnsi"/>
          <w:sz w:val="20"/>
          <w:szCs w:val="20"/>
        </w:rPr>
        <w:t xml:space="preserve"> shows response rates of student satisfaction with career advising during the last three years.  This survey is required of all students</w:t>
      </w:r>
      <w:r w:rsidR="005B1CB6" w:rsidRPr="00E80636">
        <w:rPr>
          <w:rFonts w:asciiTheme="majorHAnsi" w:eastAsia="Arial" w:hAnsiTheme="majorHAnsi" w:cstheme="majorHAnsi"/>
          <w:sz w:val="20"/>
          <w:szCs w:val="20"/>
        </w:rPr>
        <w:t xml:space="preserve">; therefore, response rates are 98% for all years. The survey and the raw survey data are available in </w:t>
      </w:r>
      <w:r w:rsidR="00612FD9">
        <w:rPr>
          <w:rFonts w:asciiTheme="majorHAnsi" w:eastAsia="Arial" w:hAnsiTheme="majorHAnsi" w:cstheme="majorHAnsi"/>
          <w:sz w:val="20"/>
          <w:szCs w:val="20"/>
        </w:rPr>
        <w:t>electronic resource file</w:t>
      </w:r>
      <w:r w:rsidR="000105C0" w:rsidRPr="00E80636">
        <w:rPr>
          <w:rFonts w:asciiTheme="majorHAnsi" w:eastAsia="Arial" w:hAnsiTheme="majorHAnsi" w:cstheme="majorHAnsi"/>
          <w:sz w:val="20"/>
          <w:szCs w:val="20"/>
        </w:rPr>
        <w:t xml:space="preserve"> (</w:t>
      </w:r>
      <w:r w:rsidR="00612FD9" w:rsidRPr="00612FD9">
        <w:rPr>
          <w:rFonts w:asciiTheme="majorHAnsi" w:eastAsia="Arial" w:hAnsiTheme="majorHAnsi" w:cstheme="majorHAnsi"/>
          <w:i/>
          <w:sz w:val="20"/>
          <w:szCs w:val="20"/>
        </w:rPr>
        <w:t xml:space="preserve">ERF, </w:t>
      </w:r>
      <w:r w:rsidR="000105C0" w:rsidRPr="00612FD9">
        <w:rPr>
          <w:rFonts w:asciiTheme="majorHAnsi" w:eastAsia="Arial" w:hAnsiTheme="majorHAnsi" w:cstheme="majorHAnsi"/>
          <w:i/>
          <w:sz w:val="20"/>
          <w:szCs w:val="20"/>
        </w:rPr>
        <w:t>H2. Career Advising</w:t>
      </w:r>
      <w:r w:rsidR="000105C0" w:rsidRPr="00E80636">
        <w:rPr>
          <w:rFonts w:asciiTheme="majorHAnsi" w:eastAsia="Arial" w:hAnsiTheme="majorHAnsi" w:cstheme="majorHAnsi"/>
          <w:sz w:val="20"/>
          <w:szCs w:val="20"/>
        </w:rPr>
        <w:t>)</w:t>
      </w:r>
      <w:r w:rsidR="005B1CB6" w:rsidRPr="00E80636">
        <w:rPr>
          <w:rFonts w:asciiTheme="majorHAnsi" w:eastAsia="Arial" w:hAnsiTheme="majorHAnsi" w:cstheme="majorHAnsi"/>
          <w:sz w:val="20"/>
          <w:szCs w:val="20"/>
        </w:rPr>
        <w:t xml:space="preserve">.  </w:t>
      </w:r>
    </w:p>
    <w:p w:rsidR="00287E54" w:rsidRPr="00E80636" w:rsidRDefault="00287E54" w:rsidP="006C308E">
      <w:pPr>
        <w:ind w:left="720"/>
        <w:rPr>
          <w:rFonts w:asciiTheme="majorHAnsi" w:eastAsia="Arial" w:hAnsiTheme="majorHAnsi" w:cstheme="majorHAnsi"/>
          <w:sz w:val="20"/>
          <w:szCs w:val="20"/>
        </w:rPr>
      </w:pPr>
    </w:p>
    <w:p w:rsidR="00287E54" w:rsidRPr="00E80636" w:rsidRDefault="00287E54" w:rsidP="006C308E">
      <w:pPr>
        <w:ind w:left="720"/>
        <w:rPr>
          <w:rFonts w:asciiTheme="majorHAnsi" w:eastAsia="Arial" w:hAnsiTheme="majorHAnsi" w:cstheme="majorHAnsi"/>
          <w:sz w:val="20"/>
          <w:szCs w:val="20"/>
        </w:rPr>
      </w:pPr>
      <w:r w:rsidRPr="00E80636">
        <w:rPr>
          <w:rFonts w:asciiTheme="majorHAnsi" w:eastAsia="Arial" w:hAnsiTheme="majorHAnsi" w:cstheme="majorHAnsi"/>
          <w:sz w:val="20"/>
          <w:szCs w:val="20"/>
        </w:rPr>
        <w:t>Associated documents in the electronic resource file:</w:t>
      </w:r>
    </w:p>
    <w:p w:rsidR="005D7599" w:rsidRPr="00C15EFC" w:rsidRDefault="005D7599" w:rsidP="005D7599">
      <w:pPr>
        <w:pStyle w:val="ListParagraph"/>
        <w:numPr>
          <w:ilvl w:val="0"/>
          <w:numId w:val="109"/>
        </w:numPr>
        <w:rPr>
          <w:rFonts w:asciiTheme="majorHAnsi" w:eastAsia="Arial" w:hAnsiTheme="majorHAnsi" w:cstheme="majorHAnsi"/>
          <w:i/>
          <w:szCs w:val="20"/>
        </w:rPr>
      </w:pPr>
      <w:r w:rsidRPr="00C15EFC">
        <w:rPr>
          <w:rFonts w:asciiTheme="majorHAnsi" w:eastAsia="Arial" w:hAnsiTheme="majorHAnsi" w:cstheme="majorHAnsi"/>
          <w:i/>
          <w:szCs w:val="20"/>
        </w:rPr>
        <w:t>H2. Career Advising</w:t>
      </w:r>
    </w:p>
    <w:p w:rsidR="00287E54" w:rsidRPr="00C15EFC" w:rsidRDefault="00C15EFC" w:rsidP="005D7599">
      <w:pPr>
        <w:pStyle w:val="ListParagraph"/>
        <w:numPr>
          <w:ilvl w:val="1"/>
          <w:numId w:val="109"/>
        </w:numPr>
        <w:rPr>
          <w:rFonts w:asciiTheme="majorHAnsi" w:eastAsia="Arial" w:hAnsiTheme="majorHAnsi" w:cstheme="majorHAnsi"/>
          <w:i/>
          <w:szCs w:val="20"/>
        </w:rPr>
      </w:pPr>
      <w:r>
        <w:rPr>
          <w:rFonts w:asciiTheme="majorHAnsi" w:eastAsia="Arial" w:hAnsiTheme="majorHAnsi" w:cstheme="majorHAnsi"/>
          <w:i/>
          <w:szCs w:val="20"/>
        </w:rPr>
        <w:t>Graduation</w:t>
      </w:r>
      <w:r w:rsidR="00287E54" w:rsidRPr="00C15EFC">
        <w:rPr>
          <w:rFonts w:asciiTheme="majorHAnsi" w:eastAsia="Arial" w:hAnsiTheme="majorHAnsi" w:cstheme="majorHAnsi"/>
          <w:i/>
          <w:szCs w:val="20"/>
        </w:rPr>
        <w:t xml:space="preserve"> Exit Survey</w:t>
      </w:r>
    </w:p>
    <w:p w:rsidR="00287E54" w:rsidRPr="00C15EFC" w:rsidRDefault="00C15EFC" w:rsidP="005D7599">
      <w:pPr>
        <w:pStyle w:val="ListParagraph"/>
        <w:numPr>
          <w:ilvl w:val="1"/>
          <w:numId w:val="109"/>
        </w:numPr>
        <w:rPr>
          <w:rFonts w:asciiTheme="majorHAnsi" w:eastAsia="Arial" w:hAnsiTheme="majorHAnsi" w:cstheme="majorHAnsi"/>
          <w:i/>
          <w:szCs w:val="20"/>
        </w:rPr>
      </w:pPr>
      <w:r>
        <w:rPr>
          <w:rFonts w:asciiTheme="majorHAnsi" w:eastAsia="Arial" w:hAnsiTheme="majorHAnsi" w:cstheme="majorHAnsi"/>
          <w:i/>
          <w:szCs w:val="20"/>
        </w:rPr>
        <w:t xml:space="preserve">Graduation </w:t>
      </w:r>
      <w:r w:rsidR="00287E54" w:rsidRPr="00C15EFC">
        <w:rPr>
          <w:rFonts w:asciiTheme="majorHAnsi" w:eastAsia="Arial" w:hAnsiTheme="majorHAnsi" w:cstheme="majorHAnsi"/>
          <w:i/>
          <w:szCs w:val="20"/>
        </w:rPr>
        <w:t>Exit Survey Raw Data, AY 16-17</w:t>
      </w:r>
    </w:p>
    <w:p w:rsidR="00287E54" w:rsidRPr="00C15EFC" w:rsidRDefault="00287E54" w:rsidP="005D7599">
      <w:pPr>
        <w:pStyle w:val="ListParagraph"/>
        <w:numPr>
          <w:ilvl w:val="1"/>
          <w:numId w:val="109"/>
        </w:numPr>
        <w:rPr>
          <w:rFonts w:asciiTheme="majorHAnsi" w:eastAsia="Arial" w:hAnsiTheme="majorHAnsi" w:cstheme="majorHAnsi"/>
          <w:i/>
          <w:szCs w:val="20"/>
        </w:rPr>
      </w:pPr>
      <w:r w:rsidRPr="00C15EFC">
        <w:rPr>
          <w:rFonts w:asciiTheme="majorHAnsi" w:eastAsia="Arial" w:hAnsiTheme="majorHAnsi" w:cstheme="majorHAnsi"/>
          <w:i/>
          <w:szCs w:val="20"/>
        </w:rPr>
        <w:t>Graduation</w:t>
      </w:r>
      <w:r w:rsidR="00C15EFC">
        <w:rPr>
          <w:rFonts w:asciiTheme="majorHAnsi" w:eastAsia="Arial" w:hAnsiTheme="majorHAnsi" w:cstheme="majorHAnsi"/>
          <w:i/>
          <w:szCs w:val="20"/>
        </w:rPr>
        <w:t xml:space="preserve"> </w:t>
      </w:r>
      <w:r w:rsidRPr="00C15EFC">
        <w:rPr>
          <w:rFonts w:asciiTheme="majorHAnsi" w:eastAsia="Arial" w:hAnsiTheme="majorHAnsi" w:cstheme="majorHAnsi"/>
          <w:i/>
          <w:szCs w:val="20"/>
        </w:rPr>
        <w:t>Exit Survey Raw Data, AY 17-18</w:t>
      </w:r>
    </w:p>
    <w:p w:rsidR="00287E54" w:rsidRPr="00C15EFC" w:rsidRDefault="00C15EFC" w:rsidP="005D7599">
      <w:pPr>
        <w:pStyle w:val="ListParagraph"/>
        <w:numPr>
          <w:ilvl w:val="1"/>
          <w:numId w:val="109"/>
        </w:numPr>
        <w:rPr>
          <w:rFonts w:asciiTheme="majorHAnsi" w:eastAsia="Arial" w:hAnsiTheme="majorHAnsi" w:cstheme="majorHAnsi"/>
          <w:i/>
          <w:szCs w:val="20"/>
        </w:rPr>
      </w:pPr>
      <w:r>
        <w:rPr>
          <w:rFonts w:asciiTheme="majorHAnsi" w:eastAsia="Arial" w:hAnsiTheme="majorHAnsi" w:cstheme="majorHAnsi"/>
          <w:i/>
          <w:szCs w:val="20"/>
        </w:rPr>
        <w:t xml:space="preserve">Graduation </w:t>
      </w:r>
      <w:r w:rsidR="00287E54" w:rsidRPr="00C15EFC">
        <w:rPr>
          <w:rFonts w:asciiTheme="majorHAnsi" w:eastAsia="Arial" w:hAnsiTheme="majorHAnsi" w:cstheme="majorHAnsi"/>
          <w:i/>
          <w:szCs w:val="20"/>
        </w:rPr>
        <w:t>Exit Survey Raw Data, AY 18-19</w:t>
      </w:r>
    </w:p>
    <w:p w:rsidR="00933038" w:rsidRPr="00E80636" w:rsidRDefault="00933038" w:rsidP="006C308E">
      <w:pPr>
        <w:jc w:val="both"/>
        <w:rPr>
          <w:rFonts w:asciiTheme="majorHAnsi" w:hAnsiTheme="majorHAnsi" w:cstheme="majorHAnsi"/>
          <w:sz w:val="20"/>
          <w:szCs w:val="20"/>
        </w:rPr>
      </w:pPr>
    </w:p>
    <w:p w:rsidR="00933038" w:rsidRPr="00E80636" w:rsidRDefault="00933038" w:rsidP="006C308E">
      <w:pPr>
        <w:numPr>
          <w:ilvl w:val="0"/>
          <w:numId w:val="48"/>
        </w:numPr>
        <w:jc w:val="both"/>
        <w:rPr>
          <w:rFonts w:asciiTheme="majorHAnsi" w:hAnsiTheme="majorHAnsi" w:cstheme="majorHAnsi"/>
          <w:sz w:val="20"/>
          <w:szCs w:val="20"/>
        </w:rPr>
      </w:pPr>
      <w:r w:rsidRPr="00E80636">
        <w:rPr>
          <w:rFonts w:asciiTheme="majorHAnsi" w:hAnsiTheme="majorHAnsi" w:cstheme="majorHAnsi"/>
          <w:sz w:val="20"/>
          <w:szCs w:val="20"/>
        </w:rPr>
        <w:t xml:space="preserve">If applicable, assess strengths and weaknesses related to this criterion and plans for improvement in this area. </w:t>
      </w:r>
    </w:p>
    <w:p w:rsidR="00933038" w:rsidRPr="00E80636" w:rsidRDefault="00933038" w:rsidP="006C308E">
      <w:pPr>
        <w:jc w:val="both"/>
        <w:rPr>
          <w:rFonts w:asciiTheme="majorHAnsi" w:hAnsiTheme="majorHAnsi" w:cstheme="majorHAnsi"/>
          <w:sz w:val="20"/>
          <w:szCs w:val="20"/>
        </w:rPr>
      </w:pPr>
    </w:p>
    <w:p w:rsidR="00E57DB5" w:rsidRPr="00E80636" w:rsidRDefault="00E57DB5" w:rsidP="006C308E">
      <w:pPr>
        <w:ind w:left="720"/>
        <w:rPr>
          <w:rFonts w:asciiTheme="majorHAnsi" w:hAnsiTheme="majorHAnsi" w:cstheme="majorHAnsi"/>
          <w:b/>
          <w:sz w:val="20"/>
          <w:szCs w:val="20"/>
        </w:rPr>
      </w:pPr>
      <w:r w:rsidRPr="00E80636">
        <w:rPr>
          <w:rFonts w:asciiTheme="majorHAnsi" w:hAnsiTheme="majorHAnsi" w:cstheme="majorHAnsi"/>
          <w:b/>
          <w:sz w:val="20"/>
          <w:szCs w:val="20"/>
        </w:rPr>
        <w:t>Weaknesses:</w:t>
      </w:r>
    </w:p>
    <w:p w:rsidR="00933038" w:rsidRPr="00E80636" w:rsidRDefault="00E57DB5" w:rsidP="00864E8B">
      <w:pPr>
        <w:pStyle w:val="ListParagraph"/>
        <w:numPr>
          <w:ilvl w:val="0"/>
          <w:numId w:val="194"/>
        </w:numPr>
        <w:spacing w:after="160"/>
        <w:ind w:left="1440"/>
        <w:contextualSpacing/>
        <w:rPr>
          <w:rStyle w:val="Heading1Char"/>
          <w:rFonts w:eastAsia="Times New Roman"/>
          <w:bCs w:val="0"/>
          <w:kern w:val="0"/>
          <w:lang w:eastAsia="en-US"/>
        </w:rPr>
      </w:pPr>
      <w:r w:rsidRPr="00E80636">
        <w:rPr>
          <w:rFonts w:asciiTheme="majorHAnsi" w:hAnsiTheme="majorHAnsi" w:cstheme="majorHAnsi"/>
          <w:szCs w:val="20"/>
        </w:rPr>
        <w:t xml:space="preserve">Over the past several years, the UTHealth Health School of Public Health has been challenged in determining the best model to provide career services for its students. Finding the right staff that can advise such a diverse set of students has proven to be difficult. To address this weakness, we have decided to hire staff who can coordinate workshops and activities delivered by outside experts and alumni to enhance students’ professionalism skills. We have also incorporated career counseling into the evaluation process provided by faculty advisors. </w:t>
      </w:r>
      <w:bookmarkStart w:id="159" w:name="_Toc464487899"/>
    </w:p>
    <w:p w:rsidR="00965C18" w:rsidRPr="00E80636" w:rsidRDefault="00965C18">
      <w:pPr>
        <w:rPr>
          <w:rStyle w:val="Heading1Char"/>
          <w:bCs w:val="0"/>
        </w:rPr>
      </w:pPr>
      <w:bookmarkStart w:id="160" w:name="_H3._Student_Complaint"/>
      <w:bookmarkStart w:id="161" w:name="_Toc7118232"/>
      <w:bookmarkEnd w:id="160"/>
      <w:r w:rsidRPr="00E80636">
        <w:rPr>
          <w:rStyle w:val="Heading1Char"/>
          <w:b w:val="0"/>
        </w:rPr>
        <w:br w:type="page"/>
      </w:r>
    </w:p>
    <w:p w:rsidR="00933038" w:rsidRPr="00E80636" w:rsidRDefault="00933038" w:rsidP="007A68BE">
      <w:pPr>
        <w:pStyle w:val="Heading1"/>
      </w:pPr>
      <w:r w:rsidRPr="00E80636">
        <w:rPr>
          <w:rStyle w:val="Heading1Char"/>
          <w:b/>
        </w:rPr>
        <w:t>H3. Student Complaint Procedures</w:t>
      </w:r>
      <w:bookmarkEnd w:id="159"/>
      <w:bookmarkEnd w:id="161"/>
      <w:r w:rsidRPr="00E80636">
        <w:t xml:space="preserve"> </w:t>
      </w:r>
    </w:p>
    <w:p w:rsidR="00933038" w:rsidRPr="00E80636" w:rsidRDefault="00933038" w:rsidP="006C308E">
      <w:pPr>
        <w:jc w:val="both"/>
        <w:rPr>
          <w:rFonts w:asciiTheme="majorHAnsi" w:hAnsiTheme="majorHAnsi" w:cstheme="majorHAnsi"/>
          <w:b/>
          <w:sz w:val="20"/>
          <w:szCs w:val="20"/>
        </w:rPr>
      </w:pPr>
    </w:p>
    <w:p w:rsidR="00933038" w:rsidRPr="00E80636" w:rsidRDefault="00933038" w:rsidP="006C308E">
      <w:pPr>
        <w:jc w:val="both"/>
        <w:rPr>
          <w:rFonts w:asciiTheme="majorHAnsi" w:hAnsiTheme="majorHAnsi" w:cstheme="majorHAnsi"/>
          <w:b/>
          <w:sz w:val="20"/>
          <w:szCs w:val="20"/>
        </w:rPr>
      </w:pPr>
      <w:r w:rsidRPr="00E80636">
        <w:rPr>
          <w:rFonts w:asciiTheme="majorHAnsi" w:hAnsiTheme="majorHAnsi" w:cstheme="majorHAnsi"/>
          <w:b/>
          <w:sz w:val="20"/>
          <w:szCs w:val="20"/>
        </w:rPr>
        <w:t>The school enforces a set of policies and procedures that govern formal student complaints/grievances. Such procedures are clearly articulated and communicated to students. Depending on the nature and level of each complaint, students are encouraged to voice their concerns to school officials or other appropriate personnel. Designated administrators are charged with reviewing and resolving formal complaints. All complaints are processed through appropriate channels.</w:t>
      </w:r>
    </w:p>
    <w:p w:rsidR="00933038" w:rsidRPr="00E80636" w:rsidRDefault="00933038" w:rsidP="006C308E">
      <w:pPr>
        <w:keepNext/>
        <w:jc w:val="both"/>
        <w:rPr>
          <w:rFonts w:asciiTheme="majorHAnsi" w:hAnsiTheme="majorHAnsi" w:cstheme="majorHAnsi"/>
          <w:sz w:val="20"/>
          <w:szCs w:val="20"/>
        </w:rPr>
      </w:pPr>
    </w:p>
    <w:p w:rsidR="00933038" w:rsidRPr="00E80636" w:rsidRDefault="00933038" w:rsidP="006C308E">
      <w:pPr>
        <w:pStyle w:val="ListParagraph"/>
        <w:numPr>
          <w:ilvl w:val="0"/>
          <w:numId w:val="49"/>
        </w:numPr>
        <w:jc w:val="both"/>
        <w:rPr>
          <w:rFonts w:asciiTheme="majorHAnsi" w:hAnsiTheme="majorHAnsi" w:cstheme="majorHAnsi"/>
          <w:szCs w:val="20"/>
        </w:rPr>
      </w:pPr>
      <w:r w:rsidRPr="00E80636">
        <w:rPr>
          <w:rFonts w:asciiTheme="majorHAnsi" w:hAnsiTheme="majorHAnsi" w:cstheme="majorHAnsi"/>
          <w:szCs w:val="20"/>
        </w:rPr>
        <w:t xml:space="preserve">Describe the procedures by which students may communicate any formal complaints and/or grievances to school officials, and about how these procedures are publicized. </w:t>
      </w:r>
    </w:p>
    <w:p w:rsidR="00933038" w:rsidRPr="00E80636" w:rsidRDefault="00933038" w:rsidP="00E152FF">
      <w:pPr>
        <w:ind w:left="360"/>
        <w:rPr>
          <w:rFonts w:asciiTheme="majorHAnsi" w:hAnsiTheme="majorHAnsi" w:cstheme="majorHAnsi"/>
          <w:sz w:val="20"/>
          <w:szCs w:val="20"/>
        </w:rPr>
      </w:pPr>
    </w:p>
    <w:p w:rsidR="004D69DE" w:rsidRPr="00E80636" w:rsidRDefault="004D69DE" w:rsidP="00E152FF">
      <w:pPr>
        <w:pBdr>
          <w:top w:val="nil"/>
          <w:left w:val="nil"/>
          <w:bottom w:val="nil"/>
          <w:right w:val="nil"/>
          <w:between w:val="nil"/>
        </w:pBdr>
        <w:ind w:left="720"/>
        <w:rPr>
          <w:rFonts w:asciiTheme="majorHAnsi" w:eastAsia="Arial" w:hAnsiTheme="majorHAnsi" w:cstheme="majorHAnsi"/>
          <w:color w:val="000000"/>
          <w:sz w:val="20"/>
          <w:szCs w:val="20"/>
        </w:rPr>
      </w:pPr>
      <w:r w:rsidRPr="00E80636">
        <w:rPr>
          <w:rFonts w:asciiTheme="majorHAnsi" w:eastAsia="Arial" w:hAnsiTheme="majorHAnsi" w:cstheme="majorHAnsi"/>
          <w:color w:val="000000"/>
          <w:sz w:val="20"/>
          <w:szCs w:val="20"/>
        </w:rPr>
        <w:t>Students are encouraged to formally submit grievances or complaints to the assistant dean of students or director of academic affairs. The process is introduced in the orientation modules for new students and is promoted at least once a term in the student newsletter. The grievance or complaint is handled by the Office of Academic Affairs and Student Services</w:t>
      </w:r>
      <w:r w:rsidR="00E13140" w:rsidRPr="00E80636">
        <w:rPr>
          <w:rFonts w:asciiTheme="majorHAnsi" w:eastAsia="Arial" w:hAnsiTheme="majorHAnsi" w:cstheme="majorHAnsi"/>
          <w:color w:val="000000"/>
          <w:sz w:val="20"/>
          <w:szCs w:val="20"/>
        </w:rPr>
        <w:t>,</w:t>
      </w:r>
      <w:r w:rsidRPr="00E80636">
        <w:rPr>
          <w:rFonts w:asciiTheme="majorHAnsi" w:eastAsia="Arial" w:hAnsiTheme="majorHAnsi" w:cstheme="majorHAnsi"/>
          <w:color w:val="000000"/>
          <w:sz w:val="20"/>
          <w:szCs w:val="20"/>
        </w:rPr>
        <w:t xml:space="preserve"> as appropriate. The </w:t>
      </w:r>
      <w:r w:rsidR="00D44E89" w:rsidRPr="00E80636">
        <w:rPr>
          <w:rFonts w:asciiTheme="majorHAnsi" w:eastAsia="Arial" w:hAnsiTheme="majorHAnsi" w:cstheme="majorHAnsi"/>
          <w:color w:val="000000"/>
          <w:sz w:val="20"/>
          <w:szCs w:val="20"/>
        </w:rPr>
        <w:t>Office</w:t>
      </w:r>
      <w:r w:rsidR="00B43C39" w:rsidRPr="00E80636">
        <w:rPr>
          <w:rFonts w:asciiTheme="majorHAnsi" w:eastAsia="Arial" w:hAnsiTheme="majorHAnsi" w:cstheme="majorHAnsi"/>
          <w:color w:val="000000"/>
          <w:sz w:val="20"/>
          <w:szCs w:val="20"/>
        </w:rPr>
        <w:t xml:space="preserve"> of Academic Affairs and Student Services</w:t>
      </w:r>
      <w:r w:rsidRPr="00E80636">
        <w:rPr>
          <w:rFonts w:asciiTheme="majorHAnsi" w:eastAsia="Arial" w:hAnsiTheme="majorHAnsi" w:cstheme="majorHAnsi"/>
          <w:color w:val="000000"/>
          <w:sz w:val="20"/>
          <w:szCs w:val="20"/>
        </w:rPr>
        <w:t xml:space="preserve"> works directly with UTHealth Title IX, </w:t>
      </w:r>
      <w:r w:rsidR="00A868F7" w:rsidRPr="00E80636">
        <w:rPr>
          <w:rFonts w:asciiTheme="majorHAnsi" w:eastAsia="Arial" w:hAnsiTheme="majorHAnsi" w:cstheme="majorHAnsi"/>
          <w:color w:val="000000"/>
          <w:sz w:val="20"/>
          <w:szCs w:val="20"/>
        </w:rPr>
        <w:t>UTHealth Office of Institutional Compliance</w:t>
      </w:r>
      <w:r w:rsidRPr="00E80636">
        <w:rPr>
          <w:rFonts w:asciiTheme="majorHAnsi" w:eastAsia="Arial" w:hAnsiTheme="majorHAnsi" w:cstheme="majorHAnsi"/>
          <w:color w:val="000000"/>
          <w:sz w:val="20"/>
          <w:szCs w:val="20"/>
        </w:rPr>
        <w:t xml:space="preserve">, and </w:t>
      </w:r>
      <w:r w:rsidR="00B43C39" w:rsidRPr="00E80636">
        <w:rPr>
          <w:rFonts w:asciiTheme="majorHAnsi" w:eastAsia="Arial" w:hAnsiTheme="majorHAnsi" w:cstheme="majorHAnsi"/>
          <w:color w:val="000000"/>
          <w:sz w:val="20"/>
          <w:szCs w:val="20"/>
        </w:rPr>
        <w:t xml:space="preserve">Diversity and Equal </w:t>
      </w:r>
      <w:r w:rsidR="005E2E24" w:rsidRPr="00E80636">
        <w:rPr>
          <w:rFonts w:asciiTheme="majorHAnsi" w:eastAsia="Arial" w:hAnsiTheme="majorHAnsi" w:cstheme="majorHAnsi"/>
          <w:color w:val="000000"/>
          <w:sz w:val="20"/>
          <w:szCs w:val="20"/>
        </w:rPr>
        <w:t>Opportunity</w:t>
      </w:r>
      <w:r w:rsidR="00E31503" w:rsidRPr="00E80636">
        <w:rPr>
          <w:rFonts w:asciiTheme="majorHAnsi" w:eastAsia="Arial" w:hAnsiTheme="majorHAnsi" w:cstheme="majorHAnsi"/>
          <w:color w:val="000000"/>
          <w:sz w:val="20"/>
          <w:szCs w:val="20"/>
        </w:rPr>
        <w:t xml:space="preserve">, as needed. </w:t>
      </w:r>
    </w:p>
    <w:p w:rsidR="004D69DE" w:rsidRPr="00E80636" w:rsidRDefault="004D69DE" w:rsidP="00E152FF">
      <w:pPr>
        <w:ind w:left="360"/>
        <w:rPr>
          <w:rFonts w:asciiTheme="majorHAnsi" w:hAnsiTheme="majorHAnsi" w:cstheme="majorHAnsi"/>
          <w:sz w:val="20"/>
          <w:szCs w:val="20"/>
        </w:rPr>
      </w:pPr>
    </w:p>
    <w:p w:rsidR="00AB42BF" w:rsidRPr="00E80636" w:rsidRDefault="00E31503" w:rsidP="00E152FF">
      <w:pPr>
        <w:pBdr>
          <w:top w:val="nil"/>
          <w:left w:val="nil"/>
          <w:bottom w:val="nil"/>
          <w:right w:val="nil"/>
          <w:between w:val="nil"/>
        </w:pBdr>
        <w:ind w:left="720"/>
        <w:rPr>
          <w:rFonts w:asciiTheme="majorHAnsi" w:eastAsia="Arial" w:hAnsiTheme="majorHAnsi" w:cstheme="majorHAnsi"/>
          <w:color w:val="000000"/>
          <w:sz w:val="20"/>
          <w:szCs w:val="20"/>
        </w:rPr>
      </w:pPr>
      <w:r w:rsidRPr="00E80636">
        <w:rPr>
          <w:rFonts w:asciiTheme="majorHAnsi" w:eastAsia="Arial" w:hAnsiTheme="majorHAnsi" w:cstheme="majorHAnsi"/>
          <w:color w:val="000000"/>
          <w:sz w:val="20"/>
          <w:szCs w:val="20"/>
        </w:rPr>
        <w:t xml:space="preserve">The UTHealth School of Public Health student complaint policy is documented in </w:t>
      </w:r>
      <w:r w:rsidRPr="00663572">
        <w:rPr>
          <w:rFonts w:asciiTheme="majorHAnsi" w:eastAsia="Arial" w:hAnsiTheme="majorHAnsi" w:cstheme="majorHAnsi"/>
          <w:sz w:val="20"/>
          <w:szCs w:val="20"/>
        </w:rPr>
        <w:t>Policy 100 Student Academic Grievance Policy</w:t>
      </w:r>
      <w:r w:rsidR="00663572">
        <w:rPr>
          <w:rFonts w:asciiTheme="majorHAnsi" w:eastAsia="Arial" w:hAnsiTheme="majorHAnsi" w:cstheme="majorHAnsi"/>
          <w:sz w:val="20"/>
          <w:szCs w:val="20"/>
        </w:rPr>
        <w:t xml:space="preserve"> (</w:t>
      </w:r>
      <w:r w:rsidR="00663572" w:rsidRPr="00663572">
        <w:rPr>
          <w:rFonts w:asciiTheme="majorHAnsi" w:eastAsia="Arial" w:hAnsiTheme="majorHAnsi" w:cstheme="majorHAnsi"/>
          <w:i/>
          <w:sz w:val="20"/>
          <w:szCs w:val="20"/>
        </w:rPr>
        <w:t>ERF, H3. Student Complaint Process, Policy 100 Student Academic Grievance Process and Flowchart</w:t>
      </w:r>
      <w:r w:rsidR="00663572">
        <w:rPr>
          <w:rFonts w:asciiTheme="majorHAnsi" w:eastAsia="Arial" w:hAnsiTheme="majorHAnsi" w:cstheme="majorHAnsi"/>
          <w:sz w:val="20"/>
          <w:szCs w:val="20"/>
        </w:rPr>
        <w:t>)</w:t>
      </w:r>
      <w:r w:rsidRPr="00E80636">
        <w:rPr>
          <w:rFonts w:asciiTheme="majorHAnsi" w:eastAsia="Arial" w:hAnsiTheme="majorHAnsi" w:cstheme="majorHAnsi"/>
          <w:color w:val="000000"/>
          <w:sz w:val="20"/>
          <w:szCs w:val="20"/>
        </w:rPr>
        <w:t xml:space="preserve">. </w:t>
      </w:r>
      <w:r w:rsidR="00AB42BF" w:rsidRPr="00E80636">
        <w:rPr>
          <w:rFonts w:asciiTheme="majorHAnsi" w:eastAsia="Arial" w:hAnsiTheme="majorHAnsi" w:cstheme="majorHAnsi"/>
          <w:color w:val="000000"/>
          <w:sz w:val="20"/>
          <w:szCs w:val="20"/>
        </w:rPr>
        <w:t>The updated procedures by which students may communicate any formal grievances are outlined below.</w:t>
      </w:r>
    </w:p>
    <w:p w:rsidR="00AB42BF" w:rsidRPr="00E80636" w:rsidRDefault="00AB42BF" w:rsidP="00E152FF">
      <w:pPr>
        <w:ind w:left="720"/>
        <w:rPr>
          <w:rFonts w:asciiTheme="majorHAnsi" w:eastAsia="Arial" w:hAnsiTheme="majorHAnsi" w:cstheme="majorHAnsi"/>
          <w:color w:val="000000"/>
          <w:sz w:val="20"/>
          <w:szCs w:val="20"/>
        </w:rPr>
      </w:pPr>
      <w:r w:rsidRPr="00E80636">
        <w:rPr>
          <w:rFonts w:asciiTheme="majorHAnsi" w:eastAsia="Arial" w:hAnsiTheme="majorHAnsi" w:cstheme="majorHAnsi"/>
          <w:sz w:val="20"/>
          <w:szCs w:val="20"/>
        </w:rPr>
        <w:br/>
        <w:t xml:space="preserve">The UTHealth School of Public Health expects its students to put forth their best effort and assume the primary responsibility for meeting their academic and professional goals. </w:t>
      </w:r>
      <w:r w:rsidRPr="00E80636">
        <w:rPr>
          <w:rFonts w:asciiTheme="majorHAnsi" w:eastAsia="Arial" w:hAnsiTheme="majorHAnsi" w:cstheme="majorHAnsi"/>
          <w:color w:val="000000"/>
          <w:sz w:val="20"/>
          <w:szCs w:val="20"/>
        </w:rPr>
        <w:t>Together with their faculty advisor and the Academic Council, students are expected to participate actively in the planning and completion of their academic program.</w:t>
      </w:r>
    </w:p>
    <w:p w:rsidR="00AB42BF" w:rsidRPr="00E80636" w:rsidRDefault="00AB42BF" w:rsidP="006C308E">
      <w:pPr>
        <w:ind w:left="720"/>
        <w:rPr>
          <w:rFonts w:asciiTheme="majorHAnsi" w:eastAsia="Arial" w:hAnsiTheme="majorHAnsi" w:cstheme="majorHAnsi"/>
          <w:color w:val="000000"/>
          <w:sz w:val="20"/>
          <w:szCs w:val="20"/>
        </w:rPr>
      </w:pPr>
    </w:p>
    <w:p w:rsidR="00AB42BF" w:rsidRPr="00E80636" w:rsidRDefault="00AB42BF" w:rsidP="006C308E">
      <w:pPr>
        <w:pBdr>
          <w:top w:val="nil"/>
          <w:left w:val="nil"/>
          <w:bottom w:val="nil"/>
          <w:right w:val="nil"/>
          <w:between w:val="nil"/>
        </w:pBdr>
        <w:ind w:left="720" w:right="75"/>
        <w:rPr>
          <w:rFonts w:asciiTheme="majorHAnsi" w:eastAsia="Arial" w:hAnsiTheme="majorHAnsi" w:cstheme="majorHAnsi"/>
          <w:color w:val="000000"/>
          <w:sz w:val="20"/>
          <w:szCs w:val="20"/>
        </w:rPr>
      </w:pPr>
      <w:r w:rsidRPr="00E80636">
        <w:rPr>
          <w:rFonts w:asciiTheme="majorHAnsi" w:eastAsia="Arial" w:hAnsiTheme="majorHAnsi" w:cstheme="majorHAnsi"/>
          <w:color w:val="000000"/>
          <w:sz w:val="20"/>
          <w:szCs w:val="20"/>
        </w:rPr>
        <w:t xml:space="preserve">The UTHealth School of Public Health recognizes that there may be instances when students raise academic concerns, e.g., concerns about a grade, concerns about the reliability of a faculty advisor, or concerns about the procedures related to the thesis or preliminary examination. </w:t>
      </w:r>
    </w:p>
    <w:p w:rsidR="00AB42BF" w:rsidRPr="00E80636" w:rsidRDefault="00AB42BF" w:rsidP="006C308E">
      <w:pPr>
        <w:pBdr>
          <w:top w:val="nil"/>
          <w:left w:val="nil"/>
          <w:bottom w:val="nil"/>
          <w:right w:val="nil"/>
          <w:between w:val="nil"/>
        </w:pBdr>
        <w:ind w:left="720" w:right="75"/>
        <w:rPr>
          <w:rFonts w:asciiTheme="majorHAnsi" w:eastAsia="Arial" w:hAnsiTheme="majorHAnsi" w:cstheme="majorHAnsi"/>
          <w:color w:val="000000"/>
          <w:sz w:val="20"/>
          <w:szCs w:val="20"/>
        </w:rPr>
      </w:pPr>
    </w:p>
    <w:p w:rsidR="00AB42BF" w:rsidRPr="00E80636" w:rsidRDefault="00AB42BF" w:rsidP="006C308E">
      <w:pPr>
        <w:pBdr>
          <w:top w:val="nil"/>
          <w:left w:val="nil"/>
          <w:bottom w:val="nil"/>
          <w:right w:val="nil"/>
          <w:between w:val="nil"/>
        </w:pBdr>
        <w:ind w:left="720" w:right="75"/>
        <w:rPr>
          <w:rFonts w:asciiTheme="majorHAnsi" w:eastAsia="Arial" w:hAnsiTheme="majorHAnsi" w:cstheme="majorHAnsi"/>
          <w:color w:val="000000"/>
          <w:sz w:val="20"/>
          <w:szCs w:val="20"/>
        </w:rPr>
      </w:pPr>
      <w:r w:rsidRPr="00E80636">
        <w:rPr>
          <w:rFonts w:asciiTheme="majorHAnsi" w:eastAsia="Arial" w:hAnsiTheme="majorHAnsi" w:cstheme="majorHAnsi"/>
          <w:color w:val="000000"/>
          <w:sz w:val="20"/>
          <w:szCs w:val="20"/>
        </w:rPr>
        <w:t xml:space="preserve">Students should </w:t>
      </w:r>
      <w:r w:rsidRPr="00E80636">
        <w:rPr>
          <w:rFonts w:asciiTheme="majorHAnsi" w:eastAsia="Arial" w:hAnsiTheme="majorHAnsi" w:cstheme="majorHAnsi"/>
          <w:i/>
          <w:color w:val="000000"/>
          <w:sz w:val="20"/>
          <w:szCs w:val="20"/>
        </w:rPr>
        <w:t>first</w:t>
      </w:r>
      <w:r w:rsidRPr="00E80636">
        <w:rPr>
          <w:rFonts w:asciiTheme="majorHAnsi" w:eastAsia="Arial" w:hAnsiTheme="majorHAnsi" w:cstheme="majorHAnsi"/>
          <w:color w:val="000000"/>
          <w:sz w:val="20"/>
          <w:szCs w:val="20"/>
        </w:rPr>
        <w:t xml:space="preserve"> attempt to resolve their academic concerns using common-sense, day-to-day problem-solving methods such as meeting with the faculty member, their faculty advisor, other members of their advisory committee, and/or the department chair. At any time, students may discuss their academic concerns with the assistant dean of students. Academic concerns are ordinarily resolved using these informal methods.</w:t>
      </w:r>
    </w:p>
    <w:p w:rsidR="00AB42BF" w:rsidRPr="00E80636" w:rsidRDefault="00AB42BF" w:rsidP="006C308E">
      <w:pPr>
        <w:pBdr>
          <w:top w:val="nil"/>
          <w:left w:val="nil"/>
          <w:bottom w:val="nil"/>
          <w:right w:val="nil"/>
          <w:between w:val="nil"/>
        </w:pBdr>
        <w:ind w:left="720"/>
        <w:rPr>
          <w:rFonts w:asciiTheme="majorHAnsi" w:eastAsia="Arial" w:hAnsiTheme="majorHAnsi" w:cstheme="majorHAnsi"/>
          <w:color w:val="000000"/>
          <w:sz w:val="20"/>
          <w:szCs w:val="20"/>
        </w:rPr>
      </w:pPr>
    </w:p>
    <w:p w:rsidR="00AB42BF" w:rsidRPr="00E80636" w:rsidRDefault="00AB42BF" w:rsidP="006C308E">
      <w:pPr>
        <w:pBdr>
          <w:top w:val="nil"/>
          <w:left w:val="nil"/>
          <w:bottom w:val="nil"/>
          <w:right w:val="nil"/>
          <w:between w:val="nil"/>
        </w:pBdr>
        <w:ind w:left="720"/>
        <w:rPr>
          <w:rFonts w:asciiTheme="majorHAnsi" w:eastAsia="Arial" w:hAnsiTheme="majorHAnsi" w:cstheme="majorHAnsi"/>
          <w:color w:val="000000"/>
          <w:sz w:val="20"/>
          <w:szCs w:val="20"/>
        </w:rPr>
      </w:pPr>
      <w:r w:rsidRPr="00E80636">
        <w:rPr>
          <w:rFonts w:asciiTheme="majorHAnsi" w:eastAsia="Arial" w:hAnsiTheme="majorHAnsi" w:cstheme="majorHAnsi"/>
          <w:color w:val="000000"/>
          <w:sz w:val="20"/>
          <w:szCs w:val="20"/>
        </w:rPr>
        <w:t>The UTHealth School of Public Health also recognizes that there may be instances when students believe that their academic concerns have not been addressed satisfactorily using these informal methods. For such instances, the school has developed a formal process to help students resolve academic concerns. If students choose to do so, they may use this formal process to request a review and recommendation from the Academic Grievance Committee, a subcommittee of the Academic Council, through its Academic Grievance Resolution Process. There will be no recriminations against students for using the Academic Grievance Resolution Process.</w:t>
      </w:r>
    </w:p>
    <w:p w:rsidR="00263731" w:rsidRPr="00E80636" w:rsidRDefault="00263731" w:rsidP="006C308E">
      <w:pPr>
        <w:pBdr>
          <w:top w:val="nil"/>
          <w:left w:val="nil"/>
          <w:bottom w:val="nil"/>
          <w:right w:val="nil"/>
          <w:between w:val="nil"/>
        </w:pBdr>
        <w:ind w:left="720"/>
        <w:rPr>
          <w:rFonts w:asciiTheme="majorHAnsi" w:eastAsia="Arial" w:hAnsiTheme="majorHAnsi" w:cstheme="majorHAnsi"/>
          <w:color w:val="000000"/>
          <w:sz w:val="20"/>
          <w:szCs w:val="20"/>
        </w:rPr>
      </w:pPr>
    </w:p>
    <w:p w:rsidR="00263731" w:rsidRPr="00E80636" w:rsidRDefault="00263731" w:rsidP="006C308E">
      <w:pPr>
        <w:pBdr>
          <w:top w:val="nil"/>
          <w:left w:val="nil"/>
          <w:bottom w:val="nil"/>
          <w:right w:val="nil"/>
          <w:between w:val="nil"/>
        </w:pBdr>
        <w:ind w:left="720"/>
        <w:rPr>
          <w:rFonts w:asciiTheme="majorHAnsi" w:eastAsia="Arial" w:hAnsiTheme="majorHAnsi" w:cstheme="majorHAnsi"/>
          <w:color w:val="000000"/>
          <w:sz w:val="20"/>
          <w:szCs w:val="20"/>
        </w:rPr>
      </w:pPr>
      <w:r w:rsidRPr="00E80636">
        <w:rPr>
          <w:rFonts w:asciiTheme="majorHAnsi" w:eastAsia="Arial" w:hAnsiTheme="majorHAnsi" w:cstheme="majorHAnsi"/>
          <w:color w:val="000000"/>
          <w:sz w:val="20"/>
          <w:szCs w:val="20"/>
        </w:rPr>
        <w:t xml:space="preserve">During the past year, faculty, department chairs, deans, and senior leadership across UTHealth identified ombudsman services as a critical need for the success of the university’s academic environment. The university opened the </w:t>
      </w:r>
      <w:hyperlink r:id="rId27" w:history="1">
        <w:r w:rsidRPr="00E80636">
          <w:rPr>
            <w:rStyle w:val="Hyperlink"/>
            <w:rFonts w:asciiTheme="majorHAnsi" w:eastAsia="Arial" w:hAnsiTheme="majorHAnsi" w:cstheme="majorHAnsi"/>
            <w:sz w:val="20"/>
            <w:szCs w:val="20"/>
          </w:rPr>
          <w:t>UTHealth Office of Academic Ombuds</w:t>
        </w:r>
      </w:hyperlink>
      <w:r w:rsidRPr="00E80636">
        <w:rPr>
          <w:rFonts w:asciiTheme="majorHAnsi" w:eastAsia="Arial" w:hAnsiTheme="majorHAnsi" w:cstheme="majorHAnsi"/>
          <w:color w:val="000000"/>
          <w:sz w:val="20"/>
          <w:szCs w:val="20"/>
        </w:rPr>
        <w:t>, on Tuesday, September 3, 2019, to serve as a confidential, informal, independent, and neutral place for members of the academic community to discuss concerns, resolve disputes, manage conflicts, and increase skills regarding communication, negotiation, and problem-solving. The Office of Academic Ombuds will also serve as a point of contact for directing students, residents, fellows, postdoctoral fellows, and faculty to appropriate campus information, resources, and offices.</w:t>
      </w:r>
    </w:p>
    <w:p w:rsidR="00933038" w:rsidRPr="00E80636" w:rsidRDefault="00933038" w:rsidP="006C308E">
      <w:pPr>
        <w:jc w:val="both"/>
        <w:rPr>
          <w:rFonts w:asciiTheme="majorHAnsi" w:hAnsiTheme="majorHAnsi" w:cstheme="majorHAnsi"/>
          <w:sz w:val="20"/>
          <w:szCs w:val="20"/>
        </w:rPr>
      </w:pPr>
    </w:p>
    <w:p w:rsidR="00933038" w:rsidRPr="00E80636" w:rsidRDefault="00933038" w:rsidP="006C308E">
      <w:pPr>
        <w:pStyle w:val="ListParagraph"/>
        <w:numPr>
          <w:ilvl w:val="0"/>
          <w:numId w:val="49"/>
        </w:numPr>
        <w:jc w:val="both"/>
        <w:rPr>
          <w:rFonts w:asciiTheme="majorHAnsi" w:hAnsiTheme="majorHAnsi" w:cstheme="majorHAnsi"/>
          <w:szCs w:val="20"/>
        </w:rPr>
      </w:pPr>
      <w:r w:rsidRPr="00E80636">
        <w:rPr>
          <w:rFonts w:asciiTheme="majorHAnsi" w:hAnsiTheme="majorHAnsi" w:cstheme="majorHAnsi"/>
          <w:szCs w:val="20"/>
        </w:rPr>
        <w:t xml:space="preserve">Briefly summarize the steps for how a complaint or grievance filed through official university processes progresses. Include information on all levels of review/appeal. </w:t>
      </w:r>
    </w:p>
    <w:p w:rsidR="00933038" w:rsidRPr="00E80636" w:rsidRDefault="00933038" w:rsidP="006C308E">
      <w:pPr>
        <w:jc w:val="both"/>
        <w:rPr>
          <w:rFonts w:asciiTheme="majorHAnsi" w:hAnsiTheme="majorHAnsi" w:cstheme="majorHAnsi"/>
          <w:sz w:val="20"/>
          <w:szCs w:val="20"/>
        </w:rPr>
      </w:pPr>
    </w:p>
    <w:p w:rsidR="00AB42BF" w:rsidRPr="00E80636" w:rsidRDefault="00AB42BF" w:rsidP="006C308E">
      <w:pPr>
        <w:pBdr>
          <w:top w:val="nil"/>
          <w:left w:val="nil"/>
          <w:bottom w:val="nil"/>
          <w:right w:val="nil"/>
          <w:between w:val="nil"/>
        </w:pBdr>
        <w:ind w:left="720"/>
        <w:rPr>
          <w:rFonts w:asciiTheme="majorHAnsi" w:eastAsia="Arial" w:hAnsiTheme="majorHAnsi" w:cstheme="majorHAnsi"/>
          <w:color w:val="000000"/>
          <w:sz w:val="20"/>
          <w:szCs w:val="20"/>
        </w:rPr>
      </w:pPr>
      <w:r w:rsidRPr="00E80636">
        <w:rPr>
          <w:rFonts w:asciiTheme="majorHAnsi" w:eastAsia="Arial" w:hAnsiTheme="majorHAnsi" w:cstheme="majorHAnsi"/>
          <w:color w:val="000000"/>
          <w:sz w:val="20"/>
          <w:szCs w:val="20"/>
        </w:rPr>
        <w:t>The following steps constitute a formal Student Grievance Resolution Process</w:t>
      </w:r>
      <w:r w:rsidR="00001F02" w:rsidRPr="00E80636">
        <w:rPr>
          <w:rFonts w:asciiTheme="majorHAnsi" w:eastAsia="Arial" w:hAnsiTheme="majorHAnsi" w:cstheme="majorHAnsi"/>
          <w:color w:val="000000"/>
          <w:sz w:val="20"/>
          <w:szCs w:val="20"/>
        </w:rPr>
        <w:t xml:space="preserve"> at the U</w:t>
      </w:r>
      <w:r w:rsidR="00E152FF">
        <w:rPr>
          <w:rFonts w:asciiTheme="majorHAnsi" w:eastAsia="Arial" w:hAnsiTheme="majorHAnsi" w:cstheme="majorHAnsi"/>
          <w:color w:val="000000"/>
          <w:sz w:val="20"/>
          <w:szCs w:val="20"/>
        </w:rPr>
        <w:t xml:space="preserve">THealth School of Public Health </w:t>
      </w:r>
      <w:r w:rsidR="00E152FF">
        <w:rPr>
          <w:rFonts w:asciiTheme="majorHAnsi" w:eastAsia="Arial" w:hAnsiTheme="majorHAnsi" w:cstheme="majorHAnsi"/>
          <w:sz w:val="20"/>
          <w:szCs w:val="20"/>
        </w:rPr>
        <w:t>(</w:t>
      </w:r>
      <w:r w:rsidR="00E152FF" w:rsidRPr="00663572">
        <w:rPr>
          <w:rFonts w:asciiTheme="majorHAnsi" w:eastAsia="Arial" w:hAnsiTheme="majorHAnsi" w:cstheme="majorHAnsi"/>
          <w:i/>
          <w:sz w:val="20"/>
          <w:szCs w:val="20"/>
        </w:rPr>
        <w:t>ERF, H3. Student Complaint Process, Policy 100 Student Academic Grievance Process and Flowchart</w:t>
      </w:r>
      <w:r w:rsidR="00E152FF">
        <w:rPr>
          <w:rFonts w:asciiTheme="majorHAnsi" w:eastAsia="Arial" w:hAnsiTheme="majorHAnsi" w:cstheme="majorHAnsi"/>
          <w:sz w:val="20"/>
          <w:szCs w:val="20"/>
        </w:rPr>
        <w:t>)</w:t>
      </w:r>
    </w:p>
    <w:p w:rsidR="00AB42BF" w:rsidRPr="00E80636" w:rsidRDefault="00AB42BF" w:rsidP="006C308E">
      <w:pPr>
        <w:pBdr>
          <w:top w:val="nil"/>
          <w:left w:val="nil"/>
          <w:bottom w:val="nil"/>
          <w:right w:val="nil"/>
          <w:between w:val="nil"/>
        </w:pBdr>
        <w:ind w:left="720"/>
        <w:rPr>
          <w:rFonts w:asciiTheme="majorHAnsi" w:eastAsia="Arial" w:hAnsiTheme="majorHAnsi" w:cstheme="majorHAnsi"/>
          <w:color w:val="000000"/>
          <w:sz w:val="20"/>
          <w:szCs w:val="20"/>
        </w:rPr>
      </w:pPr>
    </w:p>
    <w:p w:rsidR="00AB42BF" w:rsidRPr="00E80636" w:rsidRDefault="00AB42BF" w:rsidP="006C308E">
      <w:pPr>
        <w:pBdr>
          <w:top w:val="nil"/>
          <w:left w:val="nil"/>
          <w:bottom w:val="nil"/>
          <w:right w:val="nil"/>
          <w:between w:val="nil"/>
        </w:pBdr>
        <w:ind w:left="1080"/>
        <w:rPr>
          <w:rFonts w:asciiTheme="majorHAnsi" w:eastAsia="Arial" w:hAnsiTheme="majorHAnsi" w:cstheme="majorHAnsi"/>
          <w:color w:val="000000"/>
          <w:sz w:val="20"/>
          <w:szCs w:val="20"/>
          <w:u w:val="single"/>
        </w:rPr>
      </w:pPr>
      <w:r w:rsidRPr="00E80636">
        <w:rPr>
          <w:rFonts w:asciiTheme="majorHAnsi" w:eastAsia="Arial" w:hAnsiTheme="majorHAnsi" w:cstheme="majorHAnsi"/>
          <w:color w:val="000000"/>
          <w:sz w:val="20"/>
          <w:szCs w:val="20"/>
          <w:u w:val="single"/>
        </w:rPr>
        <w:t>Step 1. Request for Intervention by the Academic Grievance Committee and Initial Assessment</w:t>
      </w:r>
    </w:p>
    <w:p w:rsidR="00AB42BF" w:rsidRPr="00E80636" w:rsidRDefault="00AB42BF" w:rsidP="006C308E">
      <w:pPr>
        <w:widowControl w:val="0"/>
        <w:numPr>
          <w:ilvl w:val="0"/>
          <w:numId w:val="112"/>
        </w:numPr>
        <w:pBdr>
          <w:top w:val="nil"/>
          <w:left w:val="nil"/>
          <w:bottom w:val="nil"/>
          <w:right w:val="nil"/>
          <w:between w:val="nil"/>
        </w:pBdr>
        <w:ind w:left="1800"/>
        <w:contextualSpacing/>
        <w:rPr>
          <w:rFonts w:asciiTheme="majorHAnsi" w:eastAsia="Arial" w:hAnsiTheme="majorHAnsi" w:cstheme="majorHAnsi"/>
          <w:color w:val="000000"/>
          <w:sz w:val="20"/>
          <w:szCs w:val="20"/>
        </w:rPr>
      </w:pPr>
      <w:r w:rsidRPr="00E80636">
        <w:rPr>
          <w:rFonts w:asciiTheme="majorHAnsi" w:eastAsia="Arial" w:hAnsiTheme="majorHAnsi" w:cstheme="majorHAnsi"/>
          <w:color w:val="000000"/>
          <w:sz w:val="20"/>
          <w:szCs w:val="20"/>
        </w:rPr>
        <w:t xml:space="preserve">The assistant dean for students will make an initial assessment to determine if the student has tried to resolve concern on their own. </w:t>
      </w:r>
    </w:p>
    <w:p w:rsidR="00AB42BF" w:rsidRPr="00E80636" w:rsidRDefault="00AB42BF" w:rsidP="006C308E">
      <w:pPr>
        <w:widowControl w:val="0"/>
        <w:numPr>
          <w:ilvl w:val="0"/>
          <w:numId w:val="112"/>
        </w:numPr>
        <w:pBdr>
          <w:top w:val="nil"/>
          <w:left w:val="nil"/>
          <w:bottom w:val="nil"/>
          <w:right w:val="nil"/>
          <w:between w:val="nil"/>
        </w:pBdr>
        <w:ind w:left="1800"/>
        <w:contextualSpacing/>
        <w:rPr>
          <w:rFonts w:asciiTheme="majorHAnsi" w:eastAsia="Arial" w:hAnsiTheme="majorHAnsi" w:cstheme="majorHAnsi"/>
          <w:color w:val="000000"/>
          <w:sz w:val="20"/>
          <w:szCs w:val="20"/>
        </w:rPr>
      </w:pPr>
      <w:r w:rsidRPr="00E80636">
        <w:rPr>
          <w:rFonts w:asciiTheme="majorHAnsi" w:eastAsia="Arial" w:hAnsiTheme="majorHAnsi" w:cstheme="majorHAnsi"/>
          <w:color w:val="000000"/>
          <w:sz w:val="20"/>
          <w:szCs w:val="20"/>
        </w:rPr>
        <w:t xml:space="preserve">If the concern remains unresolved, the assistant dean for students will advise the student to complete a Grievance Resolution Form (GRF), which is available through the Office of Academic Affairs and Student Services. The signed and dated GRF must be submitted to the Academic Grievance Committee via the assistant dean for students within </w:t>
      </w:r>
      <w:r w:rsidRPr="00E80636">
        <w:rPr>
          <w:rFonts w:asciiTheme="majorHAnsi" w:eastAsia="Arial" w:hAnsiTheme="majorHAnsi" w:cstheme="majorHAnsi"/>
          <w:color w:val="000000"/>
          <w:sz w:val="20"/>
          <w:szCs w:val="20"/>
          <w:u w:val="single"/>
        </w:rPr>
        <w:t>60</w:t>
      </w:r>
      <w:r w:rsidRPr="00E80636">
        <w:rPr>
          <w:rFonts w:asciiTheme="majorHAnsi" w:eastAsia="Arial" w:hAnsiTheme="majorHAnsi" w:cstheme="majorHAnsi"/>
          <w:color w:val="000000"/>
          <w:sz w:val="20"/>
          <w:szCs w:val="20"/>
        </w:rPr>
        <w:t xml:space="preserve"> days of the grievance or concer</w:t>
      </w:r>
      <w:r w:rsidR="0062288D" w:rsidRPr="00E80636">
        <w:rPr>
          <w:rFonts w:asciiTheme="majorHAnsi" w:eastAsia="Arial" w:hAnsiTheme="majorHAnsi" w:cstheme="majorHAnsi"/>
          <w:color w:val="000000"/>
          <w:sz w:val="20"/>
          <w:szCs w:val="20"/>
        </w:rPr>
        <w:t>n</w:t>
      </w:r>
      <w:r w:rsidRPr="00E80636">
        <w:rPr>
          <w:rFonts w:asciiTheme="majorHAnsi" w:eastAsia="Arial" w:hAnsiTheme="majorHAnsi" w:cstheme="majorHAnsi"/>
          <w:color w:val="000000"/>
          <w:sz w:val="20"/>
          <w:szCs w:val="20"/>
        </w:rPr>
        <w:t>. When completing the GRF, the student should be aware that a copy of it will be forwarded to the Academic Grievance Committee and any faculty members who are involved, the department chair, and campus dean (if applicable).</w:t>
      </w:r>
      <w:r w:rsidRPr="00E80636">
        <w:rPr>
          <w:rFonts w:asciiTheme="majorHAnsi" w:eastAsia="Arial" w:hAnsiTheme="majorHAnsi" w:cstheme="majorHAnsi"/>
          <w:color w:val="000000"/>
          <w:sz w:val="20"/>
          <w:szCs w:val="20"/>
        </w:rPr>
        <w:br/>
        <w:t xml:space="preserve"> </w:t>
      </w:r>
    </w:p>
    <w:p w:rsidR="00AB42BF" w:rsidRPr="00E80636" w:rsidRDefault="00AB42BF" w:rsidP="006C308E">
      <w:pPr>
        <w:pBdr>
          <w:top w:val="nil"/>
          <w:left w:val="nil"/>
          <w:bottom w:val="nil"/>
          <w:right w:val="nil"/>
          <w:between w:val="nil"/>
        </w:pBdr>
        <w:ind w:left="1800"/>
        <w:rPr>
          <w:rFonts w:asciiTheme="majorHAnsi" w:eastAsia="Arial" w:hAnsiTheme="majorHAnsi" w:cstheme="majorHAnsi"/>
          <w:color w:val="000000"/>
          <w:sz w:val="20"/>
          <w:szCs w:val="20"/>
        </w:rPr>
      </w:pPr>
      <w:r w:rsidRPr="00E80636">
        <w:rPr>
          <w:rFonts w:asciiTheme="majorHAnsi" w:eastAsia="Arial" w:hAnsiTheme="majorHAnsi" w:cstheme="majorHAnsi"/>
          <w:color w:val="000000"/>
          <w:sz w:val="20"/>
          <w:szCs w:val="20"/>
        </w:rPr>
        <w:t>The GRF includes:</w:t>
      </w:r>
    </w:p>
    <w:p w:rsidR="00AB42BF" w:rsidRPr="00E80636" w:rsidRDefault="00AB42BF" w:rsidP="006C308E">
      <w:pPr>
        <w:pStyle w:val="ListParagraph"/>
        <w:numPr>
          <w:ilvl w:val="0"/>
          <w:numId w:val="115"/>
        </w:numPr>
        <w:pBdr>
          <w:top w:val="nil"/>
          <w:left w:val="nil"/>
          <w:bottom w:val="nil"/>
          <w:right w:val="nil"/>
          <w:between w:val="nil"/>
        </w:pBdr>
        <w:ind w:left="2520"/>
        <w:contextualSpacing/>
        <w:rPr>
          <w:rFonts w:asciiTheme="majorHAnsi" w:hAnsiTheme="majorHAnsi" w:cstheme="majorHAnsi"/>
          <w:color w:val="000000"/>
          <w:szCs w:val="20"/>
        </w:rPr>
      </w:pPr>
      <w:r w:rsidRPr="00E80636">
        <w:rPr>
          <w:rFonts w:asciiTheme="majorHAnsi" w:eastAsia="Arial" w:hAnsiTheme="majorHAnsi" w:cstheme="majorHAnsi"/>
          <w:color w:val="000000"/>
          <w:szCs w:val="20"/>
        </w:rPr>
        <w:t xml:space="preserve">a concise statement of the fact(s) and/or incident(s) that form the basis of the concern, including date(s); </w:t>
      </w:r>
    </w:p>
    <w:p w:rsidR="00AB42BF" w:rsidRPr="00E80636" w:rsidRDefault="00AB42BF" w:rsidP="006C308E">
      <w:pPr>
        <w:pStyle w:val="ListParagraph"/>
        <w:numPr>
          <w:ilvl w:val="0"/>
          <w:numId w:val="115"/>
        </w:numPr>
        <w:pBdr>
          <w:top w:val="nil"/>
          <w:left w:val="nil"/>
          <w:bottom w:val="nil"/>
          <w:right w:val="nil"/>
          <w:between w:val="nil"/>
        </w:pBdr>
        <w:ind w:left="2520"/>
        <w:contextualSpacing/>
        <w:rPr>
          <w:rFonts w:asciiTheme="majorHAnsi" w:hAnsiTheme="majorHAnsi" w:cstheme="majorHAnsi"/>
          <w:color w:val="000000"/>
          <w:szCs w:val="20"/>
        </w:rPr>
      </w:pPr>
      <w:r w:rsidRPr="00E80636">
        <w:rPr>
          <w:rFonts w:asciiTheme="majorHAnsi" w:eastAsia="Arial" w:hAnsiTheme="majorHAnsi" w:cstheme="majorHAnsi"/>
          <w:color w:val="000000"/>
          <w:szCs w:val="20"/>
        </w:rPr>
        <w:t xml:space="preserve">a description of the steps that have been taken by the student before initiating the Grievance Resolution Process; </w:t>
      </w:r>
    </w:p>
    <w:p w:rsidR="00AB42BF" w:rsidRPr="00E80636" w:rsidRDefault="00AB42BF" w:rsidP="006C308E">
      <w:pPr>
        <w:pStyle w:val="ListParagraph"/>
        <w:numPr>
          <w:ilvl w:val="0"/>
          <w:numId w:val="115"/>
        </w:numPr>
        <w:pBdr>
          <w:top w:val="nil"/>
          <w:left w:val="nil"/>
          <w:bottom w:val="nil"/>
          <w:right w:val="nil"/>
          <w:between w:val="nil"/>
        </w:pBdr>
        <w:ind w:left="2520"/>
        <w:contextualSpacing/>
        <w:rPr>
          <w:rFonts w:asciiTheme="majorHAnsi" w:hAnsiTheme="majorHAnsi" w:cstheme="majorHAnsi"/>
          <w:color w:val="000000"/>
          <w:szCs w:val="20"/>
        </w:rPr>
      </w:pPr>
      <w:r w:rsidRPr="00E80636">
        <w:rPr>
          <w:rFonts w:asciiTheme="majorHAnsi" w:eastAsia="Arial" w:hAnsiTheme="majorHAnsi" w:cstheme="majorHAnsi"/>
          <w:color w:val="000000"/>
          <w:szCs w:val="20"/>
        </w:rPr>
        <w:t xml:space="preserve">a description of the student's issues of concern; and </w:t>
      </w:r>
    </w:p>
    <w:p w:rsidR="00AB42BF" w:rsidRPr="00E80636" w:rsidRDefault="00AB42BF" w:rsidP="006C308E">
      <w:pPr>
        <w:pStyle w:val="ListParagraph"/>
        <w:numPr>
          <w:ilvl w:val="0"/>
          <w:numId w:val="115"/>
        </w:numPr>
        <w:pBdr>
          <w:top w:val="nil"/>
          <w:left w:val="nil"/>
          <w:bottom w:val="nil"/>
          <w:right w:val="nil"/>
          <w:between w:val="nil"/>
        </w:pBdr>
        <w:ind w:left="2520"/>
        <w:contextualSpacing/>
        <w:rPr>
          <w:rFonts w:asciiTheme="majorHAnsi" w:hAnsiTheme="majorHAnsi" w:cstheme="majorHAnsi"/>
          <w:color w:val="000000"/>
          <w:szCs w:val="20"/>
        </w:rPr>
      </w:pPr>
      <w:r w:rsidRPr="00E80636">
        <w:rPr>
          <w:rFonts w:asciiTheme="majorHAnsi" w:eastAsia="Arial" w:hAnsiTheme="majorHAnsi" w:cstheme="majorHAnsi"/>
          <w:color w:val="000000"/>
          <w:szCs w:val="20"/>
        </w:rPr>
        <w:t xml:space="preserve">a clear statement of the result(s) desired by the student. </w:t>
      </w:r>
      <w:r w:rsidRPr="00E80636">
        <w:rPr>
          <w:rFonts w:asciiTheme="majorHAnsi" w:eastAsia="Arial" w:hAnsiTheme="majorHAnsi" w:cstheme="majorHAnsi"/>
          <w:color w:val="000000"/>
          <w:szCs w:val="20"/>
        </w:rPr>
        <w:br/>
      </w:r>
    </w:p>
    <w:p w:rsidR="00AB42BF" w:rsidRPr="00E80636" w:rsidRDefault="00AB42BF" w:rsidP="006C308E">
      <w:pPr>
        <w:pBdr>
          <w:top w:val="nil"/>
          <w:left w:val="nil"/>
          <w:bottom w:val="nil"/>
          <w:right w:val="nil"/>
          <w:between w:val="nil"/>
        </w:pBdr>
        <w:ind w:left="1080"/>
        <w:rPr>
          <w:rFonts w:asciiTheme="majorHAnsi" w:eastAsia="Arial" w:hAnsiTheme="majorHAnsi" w:cstheme="majorHAnsi"/>
          <w:color w:val="000000"/>
          <w:sz w:val="20"/>
          <w:szCs w:val="20"/>
          <w:u w:val="single"/>
        </w:rPr>
      </w:pPr>
      <w:r w:rsidRPr="00E80636">
        <w:rPr>
          <w:rFonts w:asciiTheme="majorHAnsi" w:eastAsia="Arial" w:hAnsiTheme="majorHAnsi" w:cstheme="majorHAnsi"/>
          <w:color w:val="000000"/>
          <w:sz w:val="20"/>
          <w:szCs w:val="20"/>
          <w:u w:val="single"/>
        </w:rPr>
        <w:t>Step 2. Preliminary Recipient Response(s)</w:t>
      </w:r>
    </w:p>
    <w:p w:rsidR="00AB42BF" w:rsidRPr="00E80636" w:rsidRDefault="00AB42BF" w:rsidP="006C308E">
      <w:pPr>
        <w:numPr>
          <w:ilvl w:val="0"/>
          <w:numId w:val="114"/>
        </w:numPr>
        <w:pBdr>
          <w:top w:val="nil"/>
          <w:left w:val="nil"/>
          <w:bottom w:val="nil"/>
          <w:right w:val="nil"/>
          <w:between w:val="nil"/>
        </w:pBdr>
        <w:ind w:left="1800"/>
        <w:rPr>
          <w:rFonts w:asciiTheme="majorHAnsi" w:eastAsia="Arial" w:hAnsiTheme="majorHAnsi" w:cstheme="majorHAnsi"/>
          <w:color w:val="000000"/>
          <w:sz w:val="20"/>
          <w:szCs w:val="20"/>
        </w:rPr>
      </w:pPr>
      <w:r w:rsidRPr="00E80636">
        <w:rPr>
          <w:rFonts w:asciiTheme="majorHAnsi" w:eastAsia="Arial" w:hAnsiTheme="majorHAnsi" w:cstheme="majorHAnsi"/>
          <w:color w:val="000000"/>
          <w:sz w:val="20"/>
          <w:szCs w:val="20"/>
        </w:rPr>
        <w:t xml:space="preserve">The </w:t>
      </w:r>
      <w:r w:rsidR="00FD0018" w:rsidRPr="00E80636">
        <w:rPr>
          <w:rFonts w:asciiTheme="majorHAnsi" w:eastAsia="Arial" w:hAnsiTheme="majorHAnsi" w:cstheme="majorHAnsi"/>
          <w:color w:val="000000"/>
          <w:sz w:val="20"/>
          <w:szCs w:val="20"/>
        </w:rPr>
        <w:t>director of academic affairs</w:t>
      </w:r>
      <w:r w:rsidRPr="00E80636">
        <w:rPr>
          <w:rFonts w:asciiTheme="majorHAnsi" w:eastAsia="Arial" w:hAnsiTheme="majorHAnsi" w:cstheme="majorHAnsi"/>
          <w:color w:val="000000"/>
          <w:sz w:val="20"/>
          <w:szCs w:val="20"/>
        </w:rPr>
        <w:t xml:space="preserve"> will notify the chair of the Academic Grievance Committee.</w:t>
      </w:r>
    </w:p>
    <w:p w:rsidR="00AB42BF" w:rsidRPr="00E80636" w:rsidRDefault="00AB42BF" w:rsidP="006C308E">
      <w:pPr>
        <w:numPr>
          <w:ilvl w:val="0"/>
          <w:numId w:val="114"/>
        </w:numPr>
        <w:pBdr>
          <w:top w:val="nil"/>
          <w:left w:val="nil"/>
          <w:bottom w:val="nil"/>
          <w:right w:val="nil"/>
          <w:between w:val="nil"/>
        </w:pBdr>
        <w:ind w:left="1800"/>
        <w:rPr>
          <w:rFonts w:asciiTheme="majorHAnsi" w:eastAsia="Arial" w:hAnsiTheme="majorHAnsi" w:cstheme="majorHAnsi"/>
          <w:color w:val="000000"/>
          <w:sz w:val="20"/>
          <w:szCs w:val="20"/>
        </w:rPr>
      </w:pPr>
      <w:r w:rsidRPr="00E80636">
        <w:rPr>
          <w:rFonts w:asciiTheme="majorHAnsi" w:eastAsia="Arial" w:hAnsiTheme="majorHAnsi" w:cstheme="majorHAnsi"/>
          <w:color w:val="000000"/>
          <w:sz w:val="20"/>
          <w:szCs w:val="20"/>
        </w:rPr>
        <w:t>The chair of the Academic Grievance Committee will share the GRF with the committee.</w:t>
      </w:r>
    </w:p>
    <w:p w:rsidR="00AB42BF" w:rsidRPr="00E80636" w:rsidRDefault="00AB42BF" w:rsidP="006C308E">
      <w:pPr>
        <w:numPr>
          <w:ilvl w:val="0"/>
          <w:numId w:val="114"/>
        </w:numPr>
        <w:pBdr>
          <w:top w:val="nil"/>
          <w:left w:val="nil"/>
          <w:bottom w:val="nil"/>
          <w:right w:val="nil"/>
          <w:between w:val="nil"/>
        </w:pBdr>
        <w:ind w:left="1800"/>
        <w:rPr>
          <w:rFonts w:asciiTheme="majorHAnsi" w:eastAsia="Arial" w:hAnsiTheme="majorHAnsi" w:cstheme="majorHAnsi"/>
          <w:color w:val="000000"/>
          <w:sz w:val="20"/>
          <w:szCs w:val="20"/>
        </w:rPr>
      </w:pPr>
      <w:r w:rsidRPr="00E80636">
        <w:rPr>
          <w:rFonts w:asciiTheme="majorHAnsi" w:eastAsia="Arial" w:hAnsiTheme="majorHAnsi" w:cstheme="majorHAnsi"/>
          <w:color w:val="000000"/>
          <w:sz w:val="20"/>
          <w:szCs w:val="20"/>
        </w:rPr>
        <w:t xml:space="preserve">The chair of the Academic Grievance Committee will forward the GRF to, and request a response from, the appropriate faculty member(s), department chair, campus dean (if applicable), and any other relevant individuals, within </w:t>
      </w:r>
      <w:r w:rsidRPr="00E80636">
        <w:rPr>
          <w:rFonts w:asciiTheme="majorHAnsi" w:eastAsia="Arial" w:hAnsiTheme="majorHAnsi" w:cstheme="majorHAnsi"/>
          <w:color w:val="000000"/>
          <w:sz w:val="20"/>
          <w:szCs w:val="20"/>
          <w:u w:val="single"/>
        </w:rPr>
        <w:t>5</w:t>
      </w:r>
      <w:r w:rsidRPr="00E80636">
        <w:rPr>
          <w:rFonts w:asciiTheme="majorHAnsi" w:eastAsia="Arial" w:hAnsiTheme="majorHAnsi" w:cstheme="majorHAnsi"/>
          <w:color w:val="000000"/>
          <w:sz w:val="20"/>
          <w:szCs w:val="20"/>
        </w:rPr>
        <w:t xml:space="preserve"> working days from receipt of the GRF from </w:t>
      </w:r>
      <w:r w:rsidR="000B1396" w:rsidRPr="00E80636">
        <w:rPr>
          <w:rFonts w:asciiTheme="majorHAnsi" w:eastAsia="Arial" w:hAnsiTheme="majorHAnsi" w:cstheme="majorHAnsi"/>
          <w:color w:val="000000"/>
          <w:sz w:val="20"/>
          <w:szCs w:val="20"/>
        </w:rPr>
        <w:t xml:space="preserve">director of academic affairs </w:t>
      </w:r>
      <w:r w:rsidRPr="00E80636">
        <w:rPr>
          <w:rFonts w:asciiTheme="majorHAnsi" w:eastAsia="Arial" w:hAnsiTheme="majorHAnsi" w:cstheme="majorHAnsi"/>
          <w:color w:val="000000"/>
          <w:sz w:val="20"/>
          <w:szCs w:val="20"/>
        </w:rPr>
        <w:t>.</w:t>
      </w:r>
    </w:p>
    <w:p w:rsidR="00AB42BF" w:rsidRPr="00E80636" w:rsidRDefault="00AB42BF" w:rsidP="006C308E">
      <w:pPr>
        <w:numPr>
          <w:ilvl w:val="0"/>
          <w:numId w:val="114"/>
        </w:numPr>
        <w:pBdr>
          <w:top w:val="nil"/>
          <w:left w:val="nil"/>
          <w:bottom w:val="nil"/>
          <w:right w:val="nil"/>
          <w:between w:val="nil"/>
        </w:pBdr>
        <w:ind w:left="1800"/>
        <w:rPr>
          <w:rFonts w:asciiTheme="majorHAnsi" w:eastAsia="Arial" w:hAnsiTheme="majorHAnsi" w:cstheme="majorHAnsi"/>
          <w:color w:val="000000"/>
          <w:sz w:val="20"/>
          <w:szCs w:val="20"/>
        </w:rPr>
      </w:pPr>
      <w:r w:rsidRPr="00E80636">
        <w:rPr>
          <w:rFonts w:asciiTheme="majorHAnsi" w:eastAsia="Arial" w:hAnsiTheme="majorHAnsi" w:cstheme="majorHAnsi"/>
          <w:color w:val="000000"/>
          <w:sz w:val="20"/>
          <w:szCs w:val="20"/>
        </w:rPr>
        <w:t xml:space="preserve">The faculty member(s) will provide a written response to the Academic Grievance Committee within </w:t>
      </w:r>
      <w:r w:rsidRPr="00E80636">
        <w:rPr>
          <w:rFonts w:asciiTheme="majorHAnsi" w:eastAsia="Arial" w:hAnsiTheme="majorHAnsi" w:cstheme="majorHAnsi"/>
          <w:color w:val="000000"/>
          <w:sz w:val="20"/>
          <w:szCs w:val="20"/>
          <w:u w:val="single"/>
        </w:rPr>
        <w:t>10</w:t>
      </w:r>
      <w:r w:rsidRPr="00E80636">
        <w:rPr>
          <w:rFonts w:asciiTheme="majorHAnsi" w:eastAsia="Arial" w:hAnsiTheme="majorHAnsi" w:cstheme="majorHAnsi"/>
          <w:color w:val="000000"/>
          <w:sz w:val="20"/>
          <w:szCs w:val="20"/>
        </w:rPr>
        <w:t xml:space="preserve"> working days of receipt of the GRF.</w:t>
      </w:r>
    </w:p>
    <w:p w:rsidR="00AB42BF" w:rsidRPr="00E80636" w:rsidRDefault="00AB42BF" w:rsidP="006C308E">
      <w:pPr>
        <w:numPr>
          <w:ilvl w:val="0"/>
          <w:numId w:val="114"/>
        </w:numPr>
        <w:pBdr>
          <w:top w:val="nil"/>
          <w:left w:val="nil"/>
          <w:bottom w:val="nil"/>
          <w:right w:val="nil"/>
          <w:between w:val="nil"/>
        </w:pBdr>
        <w:ind w:left="1800"/>
        <w:rPr>
          <w:rFonts w:asciiTheme="majorHAnsi" w:eastAsia="Arial" w:hAnsiTheme="majorHAnsi" w:cstheme="majorHAnsi"/>
          <w:color w:val="000000"/>
          <w:sz w:val="20"/>
          <w:szCs w:val="20"/>
        </w:rPr>
      </w:pPr>
      <w:r w:rsidRPr="00E80636">
        <w:rPr>
          <w:rFonts w:asciiTheme="majorHAnsi" w:eastAsia="Arial" w:hAnsiTheme="majorHAnsi" w:cstheme="majorHAnsi"/>
          <w:color w:val="000000"/>
          <w:sz w:val="20"/>
          <w:szCs w:val="20"/>
        </w:rPr>
        <w:t>The chair of the Academic Grievance Committee will forward the response to the student, department chair, and campus dean (if applicable) upon its immediate receipt.</w:t>
      </w:r>
    </w:p>
    <w:p w:rsidR="00AB42BF" w:rsidRPr="00E80636" w:rsidRDefault="00AB42BF" w:rsidP="006C308E">
      <w:pPr>
        <w:numPr>
          <w:ilvl w:val="0"/>
          <w:numId w:val="114"/>
        </w:numPr>
        <w:pBdr>
          <w:top w:val="nil"/>
          <w:left w:val="nil"/>
          <w:bottom w:val="nil"/>
          <w:right w:val="nil"/>
          <w:between w:val="nil"/>
        </w:pBdr>
        <w:ind w:left="1800"/>
        <w:rPr>
          <w:rFonts w:asciiTheme="majorHAnsi" w:eastAsia="Arial" w:hAnsiTheme="majorHAnsi" w:cstheme="majorHAnsi"/>
          <w:color w:val="000000"/>
          <w:sz w:val="20"/>
          <w:szCs w:val="20"/>
        </w:rPr>
      </w:pPr>
      <w:r w:rsidRPr="00E80636">
        <w:rPr>
          <w:rFonts w:asciiTheme="majorHAnsi" w:eastAsia="Arial" w:hAnsiTheme="majorHAnsi" w:cstheme="majorHAnsi"/>
          <w:color w:val="000000"/>
          <w:sz w:val="20"/>
          <w:szCs w:val="20"/>
        </w:rPr>
        <w:t xml:space="preserve">Within </w:t>
      </w:r>
      <w:r w:rsidRPr="00E80636">
        <w:rPr>
          <w:rFonts w:asciiTheme="majorHAnsi" w:eastAsia="Arial" w:hAnsiTheme="majorHAnsi" w:cstheme="majorHAnsi"/>
          <w:color w:val="000000"/>
          <w:sz w:val="20"/>
          <w:szCs w:val="20"/>
          <w:u w:val="single"/>
        </w:rPr>
        <w:t>14</w:t>
      </w:r>
      <w:r w:rsidRPr="00E80636">
        <w:rPr>
          <w:rFonts w:asciiTheme="majorHAnsi" w:eastAsia="Arial" w:hAnsiTheme="majorHAnsi" w:cstheme="majorHAnsi"/>
          <w:color w:val="000000"/>
          <w:sz w:val="20"/>
          <w:szCs w:val="20"/>
        </w:rPr>
        <w:t xml:space="preserve"> working days, the student must reply to the chair of the Academic Grievance Committee to indicate whether he/she is satisfied with the response. If the student is satisfied, the Academic Grievance Committee will consider the concern resolved. If the student does not accept the response, he/she should provide a written explanation of the unresolved concern(s). If the student accepts, the faculty member, department chair, and campus dean (if applicable) will be notified. If the student does not respond within </w:t>
      </w:r>
      <w:r w:rsidRPr="00E80636">
        <w:rPr>
          <w:rFonts w:asciiTheme="majorHAnsi" w:eastAsia="Arial" w:hAnsiTheme="majorHAnsi" w:cstheme="majorHAnsi"/>
          <w:color w:val="000000"/>
          <w:sz w:val="20"/>
          <w:szCs w:val="20"/>
          <w:u w:val="single"/>
        </w:rPr>
        <w:t>14</w:t>
      </w:r>
      <w:r w:rsidRPr="00E80636">
        <w:rPr>
          <w:rFonts w:asciiTheme="majorHAnsi" w:eastAsia="Arial" w:hAnsiTheme="majorHAnsi" w:cstheme="majorHAnsi"/>
          <w:color w:val="000000"/>
          <w:sz w:val="20"/>
          <w:szCs w:val="20"/>
        </w:rPr>
        <w:t xml:space="preserve"> working days, the concern will be considered resolved. </w:t>
      </w:r>
    </w:p>
    <w:p w:rsidR="00AB42BF" w:rsidRPr="00E80636" w:rsidRDefault="00AB42BF" w:rsidP="006C308E">
      <w:pPr>
        <w:numPr>
          <w:ilvl w:val="0"/>
          <w:numId w:val="114"/>
        </w:numPr>
        <w:pBdr>
          <w:top w:val="nil"/>
          <w:left w:val="nil"/>
          <w:bottom w:val="nil"/>
          <w:right w:val="nil"/>
          <w:between w:val="nil"/>
        </w:pBdr>
        <w:ind w:left="1800"/>
        <w:rPr>
          <w:rFonts w:asciiTheme="majorHAnsi" w:eastAsia="Arial" w:hAnsiTheme="majorHAnsi" w:cstheme="majorHAnsi"/>
          <w:color w:val="000000"/>
          <w:sz w:val="20"/>
          <w:szCs w:val="20"/>
        </w:rPr>
      </w:pPr>
      <w:r w:rsidRPr="00E80636">
        <w:rPr>
          <w:rFonts w:asciiTheme="majorHAnsi" w:eastAsia="Arial" w:hAnsiTheme="majorHAnsi" w:cstheme="majorHAnsi"/>
          <w:color w:val="000000"/>
          <w:sz w:val="20"/>
          <w:szCs w:val="20"/>
        </w:rPr>
        <w:t xml:space="preserve">Records pertaining to the process and outcome of the resolution of student academic concerns will be placed in the student’s academic file. </w:t>
      </w:r>
    </w:p>
    <w:p w:rsidR="00AB42BF" w:rsidRPr="00E80636" w:rsidRDefault="00AB42BF" w:rsidP="006C308E">
      <w:pPr>
        <w:pBdr>
          <w:top w:val="nil"/>
          <w:left w:val="nil"/>
          <w:bottom w:val="nil"/>
          <w:right w:val="nil"/>
          <w:between w:val="nil"/>
        </w:pBdr>
        <w:ind w:left="1080"/>
        <w:rPr>
          <w:rFonts w:asciiTheme="majorHAnsi" w:eastAsia="Arial" w:hAnsiTheme="majorHAnsi" w:cstheme="majorHAnsi"/>
          <w:color w:val="000000"/>
          <w:sz w:val="20"/>
          <w:szCs w:val="20"/>
        </w:rPr>
      </w:pPr>
    </w:p>
    <w:p w:rsidR="00AB42BF" w:rsidRPr="00E80636" w:rsidRDefault="00AB42BF" w:rsidP="006C308E">
      <w:pPr>
        <w:pBdr>
          <w:top w:val="nil"/>
          <w:left w:val="nil"/>
          <w:bottom w:val="nil"/>
          <w:right w:val="nil"/>
          <w:between w:val="nil"/>
        </w:pBdr>
        <w:ind w:left="1080"/>
        <w:rPr>
          <w:rFonts w:asciiTheme="majorHAnsi" w:eastAsia="Arial" w:hAnsiTheme="majorHAnsi" w:cstheme="majorHAnsi"/>
          <w:color w:val="000000"/>
          <w:sz w:val="20"/>
          <w:szCs w:val="20"/>
          <w:u w:val="single"/>
        </w:rPr>
      </w:pPr>
      <w:r w:rsidRPr="00E80636">
        <w:rPr>
          <w:rFonts w:asciiTheme="majorHAnsi" w:eastAsia="Arial" w:hAnsiTheme="majorHAnsi" w:cstheme="majorHAnsi"/>
          <w:color w:val="000000"/>
          <w:sz w:val="20"/>
          <w:szCs w:val="20"/>
          <w:u w:val="single"/>
        </w:rPr>
        <w:t>Step 3. Conflict Resolution Intervention by the Academic Grievance Committee</w:t>
      </w:r>
    </w:p>
    <w:p w:rsidR="00AB42BF" w:rsidRPr="00E80636" w:rsidRDefault="00AB42BF" w:rsidP="006C308E">
      <w:pPr>
        <w:widowControl w:val="0"/>
        <w:numPr>
          <w:ilvl w:val="0"/>
          <w:numId w:val="113"/>
        </w:numPr>
        <w:pBdr>
          <w:top w:val="nil"/>
          <w:left w:val="nil"/>
          <w:bottom w:val="nil"/>
          <w:right w:val="nil"/>
          <w:between w:val="nil"/>
        </w:pBdr>
        <w:ind w:left="1800"/>
        <w:contextualSpacing/>
        <w:rPr>
          <w:rFonts w:asciiTheme="majorHAnsi" w:eastAsia="Arial" w:hAnsiTheme="majorHAnsi" w:cstheme="majorHAnsi"/>
          <w:color w:val="000000"/>
          <w:sz w:val="20"/>
          <w:szCs w:val="20"/>
        </w:rPr>
      </w:pPr>
      <w:r w:rsidRPr="00E80636">
        <w:rPr>
          <w:rFonts w:asciiTheme="majorHAnsi" w:eastAsia="Arial" w:hAnsiTheme="majorHAnsi" w:cstheme="majorHAnsi"/>
          <w:color w:val="000000"/>
          <w:sz w:val="20"/>
          <w:szCs w:val="20"/>
        </w:rPr>
        <w:t>For unresolved concerns, the Academic Grievance Committee will convene and consider all information. The chair of the Academic Grievance Committee will communicate with the student, named faculty, and any other necessary parties</w:t>
      </w:r>
      <w:r w:rsidRPr="00E80636">
        <w:rPr>
          <w:rFonts w:asciiTheme="majorHAnsi" w:eastAsia="Arial" w:hAnsiTheme="majorHAnsi" w:cstheme="majorHAnsi"/>
          <w:b/>
          <w:color w:val="000000"/>
          <w:sz w:val="20"/>
          <w:szCs w:val="20"/>
        </w:rPr>
        <w:t xml:space="preserve"> </w:t>
      </w:r>
      <w:r w:rsidRPr="00E80636">
        <w:rPr>
          <w:rFonts w:asciiTheme="majorHAnsi" w:eastAsia="Arial" w:hAnsiTheme="majorHAnsi" w:cstheme="majorHAnsi"/>
          <w:color w:val="000000"/>
          <w:sz w:val="20"/>
          <w:szCs w:val="20"/>
        </w:rPr>
        <w:t>for additional information or clarification that may be needed.</w:t>
      </w:r>
    </w:p>
    <w:p w:rsidR="00AB42BF" w:rsidRPr="00E80636" w:rsidRDefault="00AB42BF" w:rsidP="006C308E">
      <w:pPr>
        <w:numPr>
          <w:ilvl w:val="0"/>
          <w:numId w:val="113"/>
        </w:numPr>
        <w:pBdr>
          <w:top w:val="nil"/>
          <w:left w:val="nil"/>
          <w:bottom w:val="nil"/>
          <w:right w:val="nil"/>
          <w:between w:val="nil"/>
        </w:pBdr>
        <w:ind w:left="1800"/>
        <w:contextualSpacing/>
        <w:rPr>
          <w:rFonts w:asciiTheme="majorHAnsi" w:eastAsia="Arial" w:hAnsiTheme="majorHAnsi" w:cstheme="majorHAnsi"/>
          <w:color w:val="000000"/>
          <w:sz w:val="20"/>
          <w:szCs w:val="20"/>
        </w:rPr>
      </w:pPr>
      <w:r w:rsidRPr="00E80636">
        <w:rPr>
          <w:rFonts w:asciiTheme="majorHAnsi" w:eastAsia="Arial" w:hAnsiTheme="majorHAnsi" w:cstheme="majorHAnsi"/>
          <w:color w:val="000000"/>
          <w:sz w:val="20"/>
          <w:szCs w:val="20"/>
        </w:rPr>
        <w:t xml:space="preserve">Within </w:t>
      </w:r>
      <w:r w:rsidRPr="00E80636">
        <w:rPr>
          <w:rFonts w:asciiTheme="majorHAnsi" w:eastAsia="Arial" w:hAnsiTheme="majorHAnsi" w:cstheme="majorHAnsi"/>
          <w:color w:val="000000"/>
          <w:sz w:val="20"/>
          <w:szCs w:val="20"/>
          <w:u w:val="single"/>
        </w:rPr>
        <w:t>30</w:t>
      </w:r>
      <w:r w:rsidRPr="00E80636">
        <w:rPr>
          <w:rFonts w:asciiTheme="majorHAnsi" w:eastAsia="Arial" w:hAnsiTheme="majorHAnsi" w:cstheme="majorHAnsi"/>
          <w:color w:val="000000"/>
          <w:sz w:val="20"/>
          <w:szCs w:val="20"/>
        </w:rPr>
        <w:t xml:space="preserve"> working days of the student response in Step 2(f), the Academic Grievance Committee will submit its recommendation(s) in writing to the senior associate dean of academic and research affairs. </w:t>
      </w:r>
    </w:p>
    <w:p w:rsidR="00AB42BF" w:rsidRPr="00E80636" w:rsidRDefault="00AB42BF" w:rsidP="006C308E">
      <w:pPr>
        <w:widowControl w:val="0"/>
        <w:numPr>
          <w:ilvl w:val="0"/>
          <w:numId w:val="113"/>
        </w:numPr>
        <w:pBdr>
          <w:top w:val="nil"/>
          <w:left w:val="nil"/>
          <w:bottom w:val="nil"/>
          <w:right w:val="nil"/>
          <w:between w:val="nil"/>
        </w:pBdr>
        <w:ind w:left="1800"/>
        <w:rPr>
          <w:rFonts w:asciiTheme="majorHAnsi" w:eastAsia="Arial" w:hAnsiTheme="majorHAnsi" w:cstheme="majorHAnsi"/>
          <w:color w:val="000000"/>
          <w:sz w:val="20"/>
          <w:szCs w:val="20"/>
        </w:rPr>
      </w:pPr>
      <w:r w:rsidRPr="00E80636">
        <w:rPr>
          <w:rFonts w:asciiTheme="majorHAnsi" w:eastAsia="Arial" w:hAnsiTheme="majorHAnsi" w:cstheme="majorHAnsi"/>
          <w:color w:val="000000"/>
          <w:sz w:val="20"/>
          <w:szCs w:val="20"/>
        </w:rPr>
        <w:t xml:space="preserve">Within </w:t>
      </w:r>
      <w:r w:rsidRPr="00E80636">
        <w:rPr>
          <w:rFonts w:asciiTheme="majorHAnsi" w:eastAsia="Arial" w:hAnsiTheme="majorHAnsi" w:cstheme="majorHAnsi"/>
          <w:color w:val="000000"/>
          <w:sz w:val="20"/>
          <w:szCs w:val="20"/>
          <w:u w:val="single"/>
        </w:rPr>
        <w:t>10</w:t>
      </w:r>
      <w:r w:rsidRPr="00E80636">
        <w:rPr>
          <w:rFonts w:asciiTheme="majorHAnsi" w:eastAsia="Arial" w:hAnsiTheme="majorHAnsi" w:cstheme="majorHAnsi"/>
          <w:color w:val="000000"/>
          <w:sz w:val="20"/>
          <w:szCs w:val="20"/>
        </w:rPr>
        <w:t xml:space="preserve"> working days of receipt of recommendation in Step 3(b), the senior associate dean of academic and research affairs will review the decision of the committee in accordance with policies and procedures and will determine the final recommendation and send it to the student, the faculty member, department chair, and campus dean (if applicable). During this time period, the senior associate dean of academic and research affairs will review all records and communications of the student and the Academic Grievance Committee and other relevant information. Any concerns with the recommendation will be discussed with the Academic Grievance Committee, faculty member, department chair, and campus dean (if applicable). The dean may arbitrate discussion if there is disagreement. </w:t>
      </w:r>
    </w:p>
    <w:p w:rsidR="00AB42BF" w:rsidRPr="00E80636" w:rsidRDefault="00AB42BF" w:rsidP="006C308E">
      <w:pPr>
        <w:widowControl w:val="0"/>
        <w:pBdr>
          <w:top w:val="nil"/>
          <w:left w:val="nil"/>
          <w:bottom w:val="nil"/>
          <w:right w:val="nil"/>
          <w:between w:val="nil"/>
        </w:pBdr>
        <w:ind w:left="1080"/>
        <w:rPr>
          <w:rFonts w:asciiTheme="majorHAnsi" w:eastAsia="Arial" w:hAnsiTheme="majorHAnsi" w:cstheme="majorHAnsi"/>
          <w:color w:val="000000"/>
          <w:sz w:val="20"/>
          <w:szCs w:val="20"/>
        </w:rPr>
      </w:pPr>
    </w:p>
    <w:p w:rsidR="00AB42BF" w:rsidRPr="00E80636" w:rsidRDefault="00AB42BF" w:rsidP="006C308E">
      <w:pPr>
        <w:pBdr>
          <w:top w:val="nil"/>
          <w:left w:val="nil"/>
          <w:bottom w:val="nil"/>
          <w:right w:val="nil"/>
          <w:between w:val="nil"/>
        </w:pBdr>
        <w:ind w:left="1080"/>
        <w:rPr>
          <w:rFonts w:asciiTheme="majorHAnsi" w:eastAsia="Arial" w:hAnsiTheme="majorHAnsi" w:cstheme="majorHAnsi"/>
          <w:color w:val="000000"/>
          <w:sz w:val="20"/>
          <w:szCs w:val="20"/>
        </w:rPr>
      </w:pPr>
      <w:r w:rsidRPr="00E80636">
        <w:rPr>
          <w:rFonts w:asciiTheme="majorHAnsi" w:eastAsia="Arial" w:hAnsiTheme="majorHAnsi" w:cstheme="majorHAnsi"/>
          <w:color w:val="000000"/>
          <w:sz w:val="20"/>
          <w:szCs w:val="20"/>
          <w:u w:val="single"/>
        </w:rPr>
        <w:t>Step 4. Final Appeal to the Dean</w:t>
      </w:r>
      <w:r w:rsidR="007F4964" w:rsidRPr="00E80636">
        <w:rPr>
          <w:rFonts w:asciiTheme="majorHAnsi" w:eastAsia="Arial" w:hAnsiTheme="majorHAnsi" w:cstheme="majorHAnsi"/>
          <w:color w:val="000000"/>
          <w:sz w:val="20"/>
          <w:szCs w:val="20"/>
        </w:rPr>
        <w:t xml:space="preserve">: </w:t>
      </w:r>
      <w:r w:rsidRPr="00E80636">
        <w:rPr>
          <w:rFonts w:asciiTheme="majorHAnsi" w:eastAsia="Arial" w:hAnsiTheme="majorHAnsi" w:cstheme="majorHAnsi"/>
          <w:color w:val="000000"/>
          <w:sz w:val="20"/>
          <w:szCs w:val="20"/>
        </w:rPr>
        <w:t xml:space="preserve">A party who wishes to appeal the decision of the senior associate dean of academic and research affairs may file an appeal to the dean. The appeal must be made in writing and submitted within </w:t>
      </w:r>
      <w:r w:rsidRPr="00E80636">
        <w:rPr>
          <w:rFonts w:asciiTheme="majorHAnsi" w:eastAsia="Arial" w:hAnsiTheme="majorHAnsi" w:cstheme="majorHAnsi"/>
          <w:color w:val="000000"/>
          <w:sz w:val="20"/>
          <w:szCs w:val="20"/>
          <w:u w:val="single"/>
        </w:rPr>
        <w:t>30</w:t>
      </w:r>
      <w:r w:rsidRPr="00E80636">
        <w:rPr>
          <w:rFonts w:asciiTheme="majorHAnsi" w:eastAsia="Arial" w:hAnsiTheme="majorHAnsi" w:cstheme="majorHAnsi"/>
          <w:color w:val="000000"/>
          <w:sz w:val="20"/>
          <w:szCs w:val="20"/>
        </w:rPr>
        <w:t xml:space="preserve"> working days of the date of the decision by the senior associate dean of academic and research affairs. The dean may request and review all records and communications of the student and the Academic Grievance Committee and other relevant information. The decision of the dean will be communicated to all parties involved, including the department chair and campus dean (if applicable), within </w:t>
      </w:r>
      <w:r w:rsidRPr="00E80636">
        <w:rPr>
          <w:rFonts w:asciiTheme="majorHAnsi" w:eastAsia="Arial" w:hAnsiTheme="majorHAnsi" w:cstheme="majorHAnsi"/>
          <w:color w:val="000000"/>
          <w:sz w:val="20"/>
          <w:szCs w:val="20"/>
          <w:u w:val="single"/>
        </w:rPr>
        <w:t>10</w:t>
      </w:r>
      <w:r w:rsidRPr="00E80636">
        <w:rPr>
          <w:rFonts w:asciiTheme="majorHAnsi" w:eastAsia="Arial" w:hAnsiTheme="majorHAnsi" w:cstheme="majorHAnsi"/>
          <w:color w:val="000000"/>
          <w:sz w:val="20"/>
          <w:szCs w:val="20"/>
        </w:rPr>
        <w:t xml:space="preserve"> working days of receipt of the appeal statement.</w:t>
      </w:r>
      <w:r w:rsidR="007F4964" w:rsidRPr="00E80636">
        <w:rPr>
          <w:rFonts w:asciiTheme="majorHAnsi" w:eastAsia="Arial" w:hAnsiTheme="majorHAnsi" w:cstheme="majorHAnsi"/>
          <w:color w:val="000000"/>
          <w:sz w:val="20"/>
          <w:szCs w:val="20"/>
        </w:rPr>
        <w:t xml:space="preserve"> </w:t>
      </w:r>
      <w:r w:rsidRPr="00E80636">
        <w:rPr>
          <w:rFonts w:asciiTheme="majorHAnsi" w:eastAsia="Arial" w:hAnsiTheme="majorHAnsi" w:cstheme="majorHAnsi"/>
          <w:color w:val="000000"/>
          <w:sz w:val="20"/>
          <w:szCs w:val="20"/>
        </w:rPr>
        <w:t>The decision of the dean is final.</w:t>
      </w:r>
    </w:p>
    <w:p w:rsidR="00AB42BF" w:rsidRPr="00E80636" w:rsidRDefault="00AB42BF" w:rsidP="006C308E">
      <w:pPr>
        <w:pBdr>
          <w:top w:val="nil"/>
          <w:left w:val="nil"/>
          <w:bottom w:val="nil"/>
          <w:right w:val="nil"/>
          <w:between w:val="nil"/>
        </w:pBdr>
        <w:ind w:left="1080"/>
        <w:rPr>
          <w:rFonts w:asciiTheme="majorHAnsi" w:eastAsia="Arial" w:hAnsiTheme="majorHAnsi" w:cstheme="majorHAnsi"/>
          <w:color w:val="000000"/>
          <w:sz w:val="20"/>
          <w:szCs w:val="20"/>
        </w:rPr>
      </w:pPr>
    </w:p>
    <w:p w:rsidR="00AB42BF" w:rsidRPr="00E80636" w:rsidRDefault="00AB42BF" w:rsidP="006C308E">
      <w:pPr>
        <w:ind w:left="1080"/>
        <w:jc w:val="both"/>
        <w:rPr>
          <w:rFonts w:asciiTheme="majorHAnsi" w:hAnsiTheme="majorHAnsi" w:cstheme="majorHAnsi"/>
          <w:sz w:val="20"/>
          <w:szCs w:val="20"/>
        </w:rPr>
      </w:pPr>
      <w:r w:rsidRPr="00E80636">
        <w:rPr>
          <w:rFonts w:asciiTheme="majorHAnsi" w:eastAsia="Arial" w:hAnsiTheme="majorHAnsi" w:cstheme="majorHAnsi"/>
          <w:color w:val="000000"/>
          <w:sz w:val="20"/>
          <w:szCs w:val="20"/>
        </w:rPr>
        <w:t xml:space="preserve">The policy and procedures, as well as a flowchart of the process, are publicly posted on the school’s policy tab on the </w:t>
      </w:r>
      <w:hyperlink r:id="rId28">
        <w:r w:rsidRPr="00E80636">
          <w:rPr>
            <w:rFonts w:asciiTheme="majorHAnsi" w:eastAsia="Arial" w:hAnsiTheme="majorHAnsi" w:cstheme="majorHAnsi"/>
            <w:color w:val="0563C1"/>
            <w:sz w:val="20"/>
            <w:szCs w:val="20"/>
            <w:u w:val="single"/>
          </w:rPr>
          <w:t>Academic Affairs</w:t>
        </w:r>
      </w:hyperlink>
      <w:r w:rsidRPr="00E80636">
        <w:rPr>
          <w:rFonts w:asciiTheme="majorHAnsi" w:eastAsia="Arial" w:hAnsiTheme="majorHAnsi" w:cstheme="majorHAnsi"/>
          <w:color w:val="000000"/>
          <w:sz w:val="20"/>
          <w:szCs w:val="20"/>
        </w:rPr>
        <w:t xml:space="preserve"> webpage. When the changes described above were made to this policy, the final policy and flowchart were also publicized through the school’s student and faculty newsletters, respectively.</w:t>
      </w:r>
    </w:p>
    <w:p w:rsidR="00AB42BF" w:rsidRPr="00E80636" w:rsidRDefault="00AB42BF" w:rsidP="006C308E">
      <w:pPr>
        <w:jc w:val="both"/>
        <w:rPr>
          <w:rFonts w:asciiTheme="majorHAnsi" w:hAnsiTheme="majorHAnsi" w:cstheme="majorHAnsi"/>
          <w:sz w:val="20"/>
          <w:szCs w:val="20"/>
        </w:rPr>
      </w:pPr>
    </w:p>
    <w:p w:rsidR="00AB42BF" w:rsidRPr="00E80636" w:rsidRDefault="00AB42BF" w:rsidP="006C308E">
      <w:pPr>
        <w:ind w:left="720" w:right="63"/>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A complaint or grievance filed through official university processes is outlined in the </w:t>
      </w:r>
      <w:hyperlink r:id="rId29">
        <w:r w:rsidRPr="00E80636">
          <w:rPr>
            <w:rFonts w:asciiTheme="majorHAnsi" w:eastAsia="Arial" w:hAnsiTheme="majorHAnsi" w:cstheme="majorHAnsi"/>
            <w:color w:val="0563C1"/>
            <w:sz w:val="20"/>
            <w:szCs w:val="20"/>
            <w:u w:val="single"/>
          </w:rPr>
          <w:t>UTHealth HOOP Policy 220 Student Complaints</w:t>
        </w:r>
      </w:hyperlink>
      <w:r w:rsidRPr="00E80636">
        <w:rPr>
          <w:rFonts w:asciiTheme="majorHAnsi" w:eastAsia="Arial" w:hAnsiTheme="majorHAnsi" w:cstheme="majorHAnsi"/>
          <w:sz w:val="20"/>
          <w:szCs w:val="20"/>
        </w:rPr>
        <w:t xml:space="preserve"> and below.</w:t>
      </w:r>
    </w:p>
    <w:p w:rsidR="00AB42BF" w:rsidRPr="00E80636" w:rsidRDefault="00AB42BF" w:rsidP="006C308E">
      <w:pPr>
        <w:ind w:left="720" w:right="63"/>
        <w:jc w:val="both"/>
        <w:rPr>
          <w:rFonts w:asciiTheme="majorHAnsi" w:eastAsia="Arial" w:hAnsiTheme="majorHAnsi" w:cstheme="majorHAnsi"/>
          <w:sz w:val="20"/>
          <w:szCs w:val="20"/>
        </w:rPr>
      </w:pPr>
    </w:p>
    <w:p w:rsidR="00AB42BF" w:rsidRPr="00E80636" w:rsidRDefault="00AB42BF" w:rsidP="006C308E">
      <w:pPr>
        <w:ind w:left="1080" w:right="63"/>
        <w:jc w:val="both"/>
        <w:rPr>
          <w:rFonts w:asciiTheme="majorHAnsi" w:eastAsia="Arial" w:hAnsiTheme="majorHAnsi" w:cstheme="majorHAnsi"/>
          <w:sz w:val="20"/>
          <w:szCs w:val="20"/>
        </w:rPr>
      </w:pPr>
      <w:r w:rsidRPr="00E80636">
        <w:rPr>
          <w:rFonts w:asciiTheme="majorHAnsi" w:eastAsia="Arial" w:hAnsiTheme="majorHAnsi" w:cstheme="majorHAnsi"/>
          <w:sz w:val="20"/>
          <w:szCs w:val="20"/>
        </w:rPr>
        <w:t>This policy applies to formal academic and non-academic student complaints of the types listed below. This policy and all related policies and procedures are applicable to all students, including those enrolled in online and/or distance education courses or programs.</w:t>
      </w:r>
    </w:p>
    <w:p w:rsidR="00AB42BF" w:rsidRPr="00E80636" w:rsidRDefault="00AB42BF" w:rsidP="006C308E">
      <w:pPr>
        <w:ind w:left="1080" w:right="63"/>
        <w:jc w:val="both"/>
        <w:rPr>
          <w:rFonts w:asciiTheme="majorHAnsi" w:eastAsia="Arial" w:hAnsiTheme="majorHAnsi" w:cstheme="majorHAnsi"/>
          <w:sz w:val="20"/>
          <w:szCs w:val="20"/>
        </w:rPr>
      </w:pPr>
    </w:p>
    <w:p w:rsidR="00AB42BF" w:rsidRPr="00E80636" w:rsidRDefault="00AB42BF" w:rsidP="006C308E">
      <w:pPr>
        <w:widowControl w:val="0"/>
        <w:numPr>
          <w:ilvl w:val="0"/>
          <w:numId w:val="116"/>
        </w:numPr>
        <w:pBdr>
          <w:top w:val="nil"/>
          <w:left w:val="nil"/>
          <w:bottom w:val="nil"/>
          <w:right w:val="nil"/>
          <w:between w:val="nil"/>
        </w:pBdr>
        <w:ind w:left="1800" w:right="63"/>
        <w:contextualSpacing/>
        <w:jc w:val="both"/>
        <w:rPr>
          <w:rFonts w:asciiTheme="majorHAnsi" w:hAnsiTheme="majorHAnsi" w:cstheme="majorHAnsi"/>
          <w:color w:val="000000"/>
          <w:sz w:val="20"/>
          <w:szCs w:val="20"/>
        </w:rPr>
      </w:pPr>
      <w:r w:rsidRPr="00E80636">
        <w:rPr>
          <w:rFonts w:asciiTheme="majorHAnsi" w:eastAsia="Arial" w:hAnsiTheme="majorHAnsi" w:cstheme="majorHAnsi"/>
          <w:color w:val="000000"/>
          <w:sz w:val="20"/>
          <w:szCs w:val="20"/>
        </w:rPr>
        <w:t>Complaints regarding the general or academic misconduct of another student;</w:t>
      </w:r>
    </w:p>
    <w:p w:rsidR="00AB42BF" w:rsidRPr="00E80636" w:rsidRDefault="00AB42BF" w:rsidP="006C308E">
      <w:pPr>
        <w:widowControl w:val="0"/>
        <w:numPr>
          <w:ilvl w:val="0"/>
          <w:numId w:val="116"/>
        </w:numPr>
        <w:pBdr>
          <w:top w:val="nil"/>
          <w:left w:val="nil"/>
          <w:bottom w:val="nil"/>
          <w:right w:val="nil"/>
          <w:between w:val="nil"/>
        </w:pBdr>
        <w:ind w:left="1800" w:right="63"/>
        <w:contextualSpacing/>
        <w:jc w:val="both"/>
        <w:rPr>
          <w:rFonts w:asciiTheme="majorHAnsi" w:hAnsiTheme="majorHAnsi" w:cstheme="majorHAnsi"/>
          <w:color w:val="000000"/>
          <w:sz w:val="20"/>
          <w:szCs w:val="20"/>
        </w:rPr>
      </w:pPr>
      <w:r w:rsidRPr="00E80636">
        <w:rPr>
          <w:rFonts w:asciiTheme="majorHAnsi" w:eastAsia="Arial" w:hAnsiTheme="majorHAnsi" w:cstheme="majorHAnsi"/>
          <w:color w:val="000000"/>
          <w:sz w:val="20"/>
          <w:szCs w:val="20"/>
        </w:rPr>
        <w:t>Complaints regarding discrimination and/or harassment, including sexual misconduct;</w:t>
      </w:r>
    </w:p>
    <w:p w:rsidR="00AB42BF" w:rsidRPr="00E80636" w:rsidRDefault="00AB42BF" w:rsidP="006C308E">
      <w:pPr>
        <w:widowControl w:val="0"/>
        <w:numPr>
          <w:ilvl w:val="0"/>
          <w:numId w:val="116"/>
        </w:numPr>
        <w:pBdr>
          <w:top w:val="nil"/>
          <w:left w:val="nil"/>
          <w:bottom w:val="nil"/>
          <w:right w:val="nil"/>
          <w:between w:val="nil"/>
        </w:pBdr>
        <w:ind w:left="1800" w:right="63"/>
        <w:contextualSpacing/>
        <w:jc w:val="both"/>
        <w:rPr>
          <w:rFonts w:asciiTheme="majorHAnsi" w:hAnsiTheme="majorHAnsi" w:cstheme="majorHAnsi"/>
          <w:color w:val="000000"/>
          <w:sz w:val="20"/>
          <w:szCs w:val="20"/>
        </w:rPr>
      </w:pPr>
      <w:r w:rsidRPr="00E80636">
        <w:rPr>
          <w:rFonts w:asciiTheme="majorHAnsi" w:eastAsia="Arial" w:hAnsiTheme="majorHAnsi" w:cstheme="majorHAnsi"/>
          <w:color w:val="000000"/>
          <w:sz w:val="20"/>
          <w:szCs w:val="20"/>
        </w:rPr>
        <w:t>Complaints regarding disability accommodations;</w:t>
      </w:r>
    </w:p>
    <w:p w:rsidR="00AB42BF" w:rsidRPr="00E80636" w:rsidRDefault="00AB42BF" w:rsidP="006C308E">
      <w:pPr>
        <w:widowControl w:val="0"/>
        <w:numPr>
          <w:ilvl w:val="0"/>
          <w:numId w:val="116"/>
        </w:numPr>
        <w:pBdr>
          <w:top w:val="nil"/>
          <w:left w:val="nil"/>
          <w:bottom w:val="nil"/>
          <w:right w:val="nil"/>
          <w:between w:val="nil"/>
        </w:pBdr>
        <w:ind w:left="1800" w:right="63"/>
        <w:contextualSpacing/>
        <w:jc w:val="both"/>
        <w:rPr>
          <w:rFonts w:asciiTheme="majorHAnsi" w:hAnsiTheme="majorHAnsi" w:cstheme="majorHAnsi"/>
          <w:color w:val="000000"/>
          <w:sz w:val="20"/>
          <w:szCs w:val="20"/>
        </w:rPr>
      </w:pPr>
      <w:r w:rsidRPr="00E80636">
        <w:rPr>
          <w:rFonts w:asciiTheme="majorHAnsi" w:eastAsia="Arial" w:hAnsiTheme="majorHAnsi" w:cstheme="majorHAnsi"/>
          <w:color w:val="000000"/>
          <w:sz w:val="20"/>
          <w:szCs w:val="20"/>
        </w:rPr>
        <w:t>Complaints regarding student educational records;</w:t>
      </w:r>
    </w:p>
    <w:p w:rsidR="00AB42BF" w:rsidRPr="00E80636" w:rsidRDefault="00AB42BF" w:rsidP="006C308E">
      <w:pPr>
        <w:widowControl w:val="0"/>
        <w:numPr>
          <w:ilvl w:val="0"/>
          <w:numId w:val="116"/>
        </w:numPr>
        <w:pBdr>
          <w:top w:val="nil"/>
          <w:left w:val="nil"/>
          <w:bottom w:val="nil"/>
          <w:right w:val="nil"/>
          <w:between w:val="nil"/>
        </w:pBdr>
        <w:ind w:left="1800" w:right="63"/>
        <w:contextualSpacing/>
        <w:jc w:val="both"/>
        <w:rPr>
          <w:rFonts w:asciiTheme="majorHAnsi" w:hAnsiTheme="majorHAnsi" w:cstheme="majorHAnsi"/>
          <w:color w:val="000000"/>
          <w:sz w:val="20"/>
          <w:szCs w:val="20"/>
        </w:rPr>
      </w:pPr>
      <w:r w:rsidRPr="00E80636">
        <w:rPr>
          <w:rFonts w:asciiTheme="majorHAnsi" w:eastAsia="Arial" w:hAnsiTheme="majorHAnsi" w:cstheme="majorHAnsi"/>
          <w:color w:val="000000"/>
          <w:sz w:val="20"/>
          <w:szCs w:val="20"/>
        </w:rPr>
        <w:t>Complaints regarding grades or grading;</w:t>
      </w:r>
    </w:p>
    <w:p w:rsidR="00AB42BF" w:rsidRPr="00E80636" w:rsidRDefault="00AB42BF" w:rsidP="006C308E">
      <w:pPr>
        <w:widowControl w:val="0"/>
        <w:numPr>
          <w:ilvl w:val="0"/>
          <w:numId w:val="116"/>
        </w:numPr>
        <w:pBdr>
          <w:top w:val="nil"/>
          <w:left w:val="nil"/>
          <w:bottom w:val="nil"/>
          <w:right w:val="nil"/>
          <w:between w:val="nil"/>
        </w:pBdr>
        <w:ind w:left="1800" w:right="63"/>
        <w:contextualSpacing/>
        <w:jc w:val="both"/>
        <w:rPr>
          <w:rFonts w:asciiTheme="majorHAnsi" w:hAnsiTheme="majorHAnsi" w:cstheme="majorHAnsi"/>
          <w:color w:val="000000"/>
          <w:sz w:val="20"/>
          <w:szCs w:val="20"/>
        </w:rPr>
      </w:pPr>
      <w:r w:rsidRPr="00E80636">
        <w:rPr>
          <w:rFonts w:asciiTheme="majorHAnsi" w:eastAsia="Arial" w:hAnsiTheme="majorHAnsi" w:cstheme="majorHAnsi"/>
          <w:color w:val="000000"/>
          <w:sz w:val="20"/>
          <w:szCs w:val="20"/>
        </w:rPr>
        <w:t>Complaints regarding other issues related to central student services; and</w:t>
      </w:r>
    </w:p>
    <w:p w:rsidR="00AB42BF" w:rsidRPr="00E80636" w:rsidRDefault="00AB42BF" w:rsidP="006C308E">
      <w:pPr>
        <w:widowControl w:val="0"/>
        <w:numPr>
          <w:ilvl w:val="0"/>
          <w:numId w:val="116"/>
        </w:numPr>
        <w:pBdr>
          <w:top w:val="nil"/>
          <w:left w:val="nil"/>
          <w:bottom w:val="nil"/>
          <w:right w:val="nil"/>
          <w:between w:val="nil"/>
        </w:pBdr>
        <w:ind w:left="1800" w:right="63"/>
        <w:contextualSpacing/>
        <w:jc w:val="both"/>
        <w:rPr>
          <w:rFonts w:asciiTheme="majorHAnsi" w:hAnsiTheme="majorHAnsi" w:cstheme="majorHAnsi"/>
          <w:color w:val="000000"/>
          <w:sz w:val="20"/>
          <w:szCs w:val="20"/>
        </w:rPr>
      </w:pPr>
      <w:r w:rsidRPr="00E80636">
        <w:rPr>
          <w:rFonts w:asciiTheme="majorHAnsi" w:eastAsia="Arial" w:hAnsiTheme="majorHAnsi" w:cstheme="majorHAnsi"/>
          <w:color w:val="000000"/>
          <w:sz w:val="20"/>
          <w:szCs w:val="20"/>
        </w:rPr>
        <w:t>Complaints regarding other issues related to individual schools.</w:t>
      </w:r>
    </w:p>
    <w:p w:rsidR="00AB42BF" w:rsidRPr="00E80636" w:rsidRDefault="00AB42BF" w:rsidP="006C308E">
      <w:pPr>
        <w:ind w:left="1080" w:right="63"/>
        <w:jc w:val="both"/>
        <w:rPr>
          <w:rFonts w:asciiTheme="majorHAnsi" w:eastAsia="Arial" w:hAnsiTheme="majorHAnsi" w:cstheme="majorHAnsi"/>
          <w:sz w:val="20"/>
          <w:szCs w:val="20"/>
        </w:rPr>
      </w:pPr>
    </w:p>
    <w:p w:rsidR="00AB42BF" w:rsidRPr="00E80636" w:rsidRDefault="00AB42BF" w:rsidP="006C308E">
      <w:pPr>
        <w:ind w:left="1080" w:right="63"/>
        <w:jc w:val="both"/>
        <w:rPr>
          <w:rFonts w:asciiTheme="majorHAnsi" w:eastAsia="Arial" w:hAnsiTheme="majorHAnsi" w:cstheme="majorHAnsi"/>
          <w:sz w:val="20"/>
          <w:szCs w:val="20"/>
          <w:u w:val="single"/>
        </w:rPr>
      </w:pPr>
      <w:r w:rsidRPr="00E80636">
        <w:rPr>
          <w:rFonts w:asciiTheme="majorHAnsi" w:eastAsia="Arial" w:hAnsiTheme="majorHAnsi" w:cstheme="majorHAnsi"/>
          <w:sz w:val="20"/>
          <w:szCs w:val="20"/>
          <w:u w:val="single"/>
        </w:rPr>
        <w:t>Procedures:</w:t>
      </w:r>
    </w:p>
    <w:p w:rsidR="00AB42BF" w:rsidRPr="00E80636" w:rsidRDefault="00AB42BF" w:rsidP="006C308E">
      <w:pPr>
        <w:pStyle w:val="ListParagraph"/>
        <w:numPr>
          <w:ilvl w:val="0"/>
          <w:numId w:val="117"/>
        </w:numPr>
        <w:ind w:left="1800" w:right="63"/>
        <w:jc w:val="both"/>
        <w:rPr>
          <w:rFonts w:asciiTheme="majorHAnsi" w:eastAsia="Arial" w:hAnsiTheme="majorHAnsi" w:cstheme="majorHAnsi"/>
          <w:i/>
          <w:szCs w:val="20"/>
        </w:rPr>
      </w:pPr>
      <w:r w:rsidRPr="00E80636">
        <w:rPr>
          <w:rFonts w:asciiTheme="majorHAnsi" w:eastAsia="Arial" w:hAnsiTheme="majorHAnsi" w:cstheme="majorHAnsi"/>
          <w:i/>
          <w:szCs w:val="20"/>
        </w:rPr>
        <w:t>Complaints regarding the general or academic misconduct of another student</w:t>
      </w:r>
    </w:p>
    <w:p w:rsidR="00AB42BF" w:rsidRPr="00E80636" w:rsidRDefault="00AB42BF" w:rsidP="006C308E">
      <w:pPr>
        <w:ind w:left="1800" w:right="63"/>
        <w:rPr>
          <w:rFonts w:asciiTheme="majorHAnsi" w:eastAsia="Arial" w:hAnsiTheme="majorHAnsi" w:cstheme="majorHAnsi"/>
          <w:color w:val="222222"/>
          <w:sz w:val="20"/>
          <w:szCs w:val="20"/>
        </w:rPr>
      </w:pPr>
      <w:r w:rsidRPr="00E80636">
        <w:rPr>
          <w:rFonts w:asciiTheme="majorHAnsi" w:eastAsia="Arial" w:hAnsiTheme="majorHAnsi" w:cstheme="majorHAnsi"/>
          <w:sz w:val="20"/>
          <w:szCs w:val="20"/>
        </w:rPr>
        <w:t>Policies and</w:t>
      </w:r>
      <w:r w:rsidRPr="00E80636">
        <w:rPr>
          <w:rFonts w:asciiTheme="majorHAnsi" w:eastAsia="Arial" w:hAnsiTheme="majorHAnsi" w:cstheme="majorHAnsi"/>
          <w:color w:val="222222"/>
          <w:sz w:val="20"/>
          <w:szCs w:val="20"/>
        </w:rPr>
        <w:t xml:space="preserve"> procedures governing complaints regarding the general or academic misconduct of students are defined in </w:t>
      </w:r>
      <w:hyperlink r:id="rId30">
        <w:r w:rsidRPr="00E80636">
          <w:rPr>
            <w:rFonts w:asciiTheme="majorHAnsi" w:eastAsia="Arial" w:hAnsiTheme="majorHAnsi" w:cstheme="majorHAnsi"/>
            <w:color w:val="0563C1"/>
            <w:sz w:val="20"/>
            <w:szCs w:val="20"/>
            <w:u w:val="single"/>
          </w:rPr>
          <w:t>HOOP Policy 186 Student Conduct and Discipline</w:t>
        </w:r>
      </w:hyperlink>
      <w:r w:rsidRPr="00E80636">
        <w:rPr>
          <w:rFonts w:asciiTheme="majorHAnsi" w:eastAsia="Arial" w:hAnsiTheme="majorHAnsi" w:cstheme="majorHAnsi"/>
          <w:color w:val="222222"/>
          <w:sz w:val="20"/>
          <w:szCs w:val="20"/>
        </w:rPr>
        <w:t>.</w:t>
      </w:r>
    </w:p>
    <w:p w:rsidR="00AB42BF" w:rsidRPr="00E80636" w:rsidRDefault="00AB42BF" w:rsidP="006C308E">
      <w:pPr>
        <w:ind w:left="1080" w:right="63"/>
        <w:jc w:val="both"/>
        <w:rPr>
          <w:rFonts w:asciiTheme="majorHAnsi" w:eastAsia="Arial" w:hAnsiTheme="majorHAnsi" w:cstheme="majorHAnsi"/>
          <w:b/>
          <w:sz w:val="20"/>
          <w:szCs w:val="20"/>
        </w:rPr>
      </w:pPr>
    </w:p>
    <w:p w:rsidR="00AB42BF" w:rsidRPr="00E80636" w:rsidRDefault="00AB42BF" w:rsidP="006C308E">
      <w:pPr>
        <w:pStyle w:val="ListParagraph"/>
        <w:numPr>
          <w:ilvl w:val="0"/>
          <w:numId w:val="117"/>
        </w:numPr>
        <w:ind w:left="1800" w:right="63"/>
        <w:jc w:val="both"/>
        <w:rPr>
          <w:rFonts w:asciiTheme="majorHAnsi" w:eastAsia="Arial" w:hAnsiTheme="majorHAnsi" w:cstheme="majorHAnsi"/>
          <w:i/>
          <w:szCs w:val="20"/>
        </w:rPr>
      </w:pPr>
      <w:r w:rsidRPr="00E80636">
        <w:rPr>
          <w:rFonts w:asciiTheme="majorHAnsi" w:eastAsia="Arial" w:hAnsiTheme="majorHAnsi" w:cstheme="majorHAnsi"/>
          <w:i/>
          <w:szCs w:val="20"/>
        </w:rPr>
        <w:t>Complaints regarding discrimination and/or harassment, including sexual misconduct</w:t>
      </w:r>
    </w:p>
    <w:p w:rsidR="00AB42BF" w:rsidRPr="00E80636" w:rsidRDefault="00AB42BF" w:rsidP="006C308E">
      <w:pPr>
        <w:ind w:left="1800" w:right="63"/>
        <w:rPr>
          <w:rFonts w:asciiTheme="majorHAnsi" w:eastAsia="Arial" w:hAnsiTheme="majorHAnsi" w:cstheme="majorHAnsi"/>
          <w:sz w:val="20"/>
          <w:szCs w:val="20"/>
        </w:rPr>
      </w:pPr>
      <w:r w:rsidRPr="00E80636">
        <w:rPr>
          <w:rFonts w:asciiTheme="majorHAnsi" w:eastAsia="Arial" w:hAnsiTheme="majorHAnsi" w:cstheme="majorHAnsi"/>
          <w:sz w:val="20"/>
          <w:szCs w:val="20"/>
        </w:rPr>
        <w:t>The General Information Section of the UTHealth Catalog identifies several policies intended to ensure the fair and equitable treatment of all members of the university community. The procedures for filing a formal written complaint regarding discrimination and/or harassment, including sexual misconduct, are contained in the following HOOP policies:</w:t>
      </w:r>
    </w:p>
    <w:p w:rsidR="00AB42BF" w:rsidRPr="00E80636" w:rsidRDefault="006E3D5E" w:rsidP="006C308E">
      <w:pPr>
        <w:pStyle w:val="ListParagraph"/>
        <w:widowControl w:val="0"/>
        <w:numPr>
          <w:ilvl w:val="1"/>
          <w:numId w:val="117"/>
        </w:numPr>
        <w:pBdr>
          <w:top w:val="nil"/>
          <w:left w:val="nil"/>
          <w:bottom w:val="nil"/>
          <w:right w:val="nil"/>
          <w:between w:val="nil"/>
        </w:pBdr>
        <w:ind w:left="2520" w:right="63"/>
        <w:contextualSpacing/>
        <w:jc w:val="both"/>
        <w:rPr>
          <w:rFonts w:asciiTheme="majorHAnsi" w:hAnsiTheme="majorHAnsi" w:cstheme="majorHAnsi"/>
          <w:color w:val="000000"/>
          <w:szCs w:val="20"/>
        </w:rPr>
      </w:pPr>
      <w:hyperlink r:id="rId31">
        <w:r w:rsidR="00AB42BF" w:rsidRPr="00E80636">
          <w:rPr>
            <w:rFonts w:asciiTheme="majorHAnsi" w:eastAsia="Arial" w:hAnsiTheme="majorHAnsi" w:cstheme="majorHAnsi"/>
            <w:color w:val="0563C1"/>
            <w:szCs w:val="20"/>
            <w:u w:val="single"/>
          </w:rPr>
          <w:t>HOOP 183, Nondiscrimination, Anti-Harassment and Equal Opportunity</w:t>
        </w:r>
      </w:hyperlink>
    </w:p>
    <w:p w:rsidR="00AB42BF" w:rsidRPr="00E80636" w:rsidRDefault="006E3D5E" w:rsidP="006C308E">
      <w:pPr>
        <w:pStyle w:val="ListParagraph"/>
        <w:widowControl w:val="0"/>
        <w:numPr>
          <w:ilvl w:val="1"/>
          <w:numId w:val="117"/>
        </w:numPr>
        <w:pBdr>
          <w:top w:val="nil"/>
          <w:left w:val="nil"/>
          <w:bottom w:val="nil"/>
          <w:right w:val="nil"/>
          <w:between w:val="nil"/>
        </w:pBdr>
        <w:ind w:left="2520" w:right="63"/>
        <w:contextualSpacing/>
        <w:jc w:val="both"/>
        <w:rPr>
          <w:rFonts w:asciiTheme="majorHAnsi" w:hAnsiTheme="majorHAnsi" w:cstheme="majorHAnsi"/>
          <w:color w:val="000000"/>
          <w:szCs w:val="20"/>
        </w:rPr>
      </w:pPr>
      <w:hyperlink r:id="rId32">
        <w:r w:rsidR="00AB42BF" w:rsidRPr="00E80636">
          <w:rPr>
            <w:rFonts w:asciiTheme="majorHAnsi" w:eastAsia="Arial" w:hAnsiTheme="majorHAnsi" w:cstheme="majorHAnsi"/>
            <w:color w:val="0563C1"/>
            <w:szCs w:val="20"/>
            <w:u w:val="single"/>
          </w:rPr>
          <w:t>HOOP 59, Sexual Misconduct</w:t>
        </w:r>
      </w:hyperlink>
    </w:p>
    <w:p w:rsidR="00AB42BF" w:rsidRPr="00E80636" w:rsidRDefault="00AB42BF" w:rsidP="006C308E">
      <w:pPr>
        <w:ind w:left="1080" w:right="63"/>
        <w:jc w:val="both"/>
        <w:rPr>
          <w:rFonts w:asciiTheme="majorHAnsi" w:eastAsia="Arial" w:hAnsiTheme="majorHAnsi" w:cstheme="majorHAnsi"/>
          <w:sz w:val="20"/>
          <w:szCs w:val="20"/>
        </w:rPr>
      </w:pPr>
    </w:p>
    <w:p w:rsidR="00AB42BF" w:rsidRPr="00E80636" w:rsidRDefault="00AB42BF" w:rsidP="006C308E">
      <w:pPr>
        <w:pStyle w:val="ListParagraph"/>
        <w:numPr>
          <w:ilvl w:val="0"/>
          <w:numId w:val="117"/>
        </w:numPr>
        <w:ind w:left="1800" w:right="63"/>
        <w:jc w:val="both"/>
        <w:rPr>
          <w:rFonts w:asciiTheme="majorHAnsi" w:eastAsia="Arial" w:hAnsiTheme="majorHAnsi" w:cstheme="majorHAnsi"/>
          <w:i/>
          <w:szCs w:val="20"/>
        </w:rPr>
      </w:pPr>
      <w:r w:rsidRPr="00E80636">
        <w:rPr>
          <w:rFonts w:asciiTheme="majorHAnsi" w:eastAsia="Arial" w:hAnsiTheme="majorHAnsi" w:cstheme="majorHAnsi"/>
          <w:i/>
          <w:szCs w:val="20"/>
        </w:rPr>
        <w:t>Appeals regarding disability accommodations</w:t>
      </w:r>
    </w:p>
    <w:p w:rsidR="00AB42BF" w:rsidRPr="00E80636" w:rsidRDefault="00AB42BF" w:rsidP="006C308E">
      <w:pPr>
        <w:ind w:left="1800" w:right="63"/>
        <w:rPr>
          <w:rFonts w:asciiTheme="majorHAnsi" w:eastAsia="Arial" w:hAnsiTheme="majorHAnsi" w:cstheme="majorHAnsi"/>
          <w:sz w:val="20"/>
          <w:szCs w:val="20"/>
        </w:rPr>
      </w:pPr>
      <w:r w:rsidRPr="00E80636">
        <w:rPr>
          <w:rFonts w:asciiTheme="majorHAnsi" w:eastAsia="Arial" w:hAnsiTheme="majorHAnsi" w:cstheme="majorHAnsi"/>
          <w:sz w:val="20"/>
          <w:szCs w:val="20"/>
        </w:rPr>
        <w:t>The procedures for filing an appeal related to disability accommodations are contained in the following HOOP policies:</w:t>
      </w:r>
    </w:p>
    <w:p w:rsidR="00AB42BF" w:rsidRPr="00E80636" w:rsidRDefault="006E3D5E" w:rsidP="006C308E">
      <w:pPr>
        <w:pStyle w:val="ListParagraph"/>
        <w:widowControl w:val="0"/>
        <w:numPr>
          <w:ilvl w:val="1"/>
          <w:numId w:val="117"/>
        </w:numPr>
        <w:pBdr>
          <w:top w:val="nil"/>
          <w:left w:val="nil"/>
          <w:bottom w:val="nil"/>
          <w:right w:val="nil"/>
          <w:between w:val="nil"/>
        </w:pBdr>
        <w:ind w:left="2520" w:right="63"/>
        <w:contextualSpacing/>
        <w:jc w:val="both"/>
        <w:rPr>
          <w:rFonts w:asciiTheme="majorHAnsi" w:hAnsiTheme="majorHAnsi" w:cstheme="majorHAnsi"/>
          <w:color w:val="000000"/>
          <w:szCs w:val="20"/>
        </w:rPr>
      </w:pPr>
      <w:hyperlink r:id="rId33">
        <w:r w:rsidR="00AB42BF" w:rsidRPr="00E80636">
          <w:rPr>
            <w:rFonts w:asciiTheme="majorHAnsi" w:eastAsia="Arial" w:hAnsiTheme="majorHAnsi" w:cstheme="majorHAnsi"/>
            <w:color w:val="0563C1"/>
            <w:szCs w:val="20"/>
            <w:u w:val="single"/>
          </w:rPr>
          <w:t>HOOP 53, Disability Accommodation – Students</w:t>
        </w:r>
      </w:hyperlink>
    </w:p>
    <w:p w:rsidR="00AB42BF" w:rsidRPr="00E80636" w:rsidRDefault="006E3D5E" w:rsidP="006C308E">
      <w:pPr>
        <w:pStyle w:val="ListParagraph"/>
        <w:widowControl w:val="0"/>
        <w:numPr>
          <w:ilvl w:val="1"/>
          <w:numId w:val="117"/>
        </w:numPr>
        <w:pBdr>
          <w:top w:val="nil"/>
          <w:left w:val="nil"/>
          <w:bottom w:val="nil"/>
          <w:right w:val="nil"/>
          <w:between w:val="nil"/>
        </w:pBdr>
        <w:ind w:left="2520" w:right="63"/>
        <w:contextualSpacing/>
        <w:jc w:val="both"/>
        <w:rPr>
          <w:rFonts w:asciiTheme="majorHAnsi" w:hAnsiTheme="majorHAnsi" w:cstheme="majorHAnsi"/>
          <w:color w:val="000000"/>
          <w:szCs w:val="20"/>
        </w:rPr>
      </w:pPr>
      <w:hyperlink r:id="rId34">
        <w:r w:rsidR="00AB42BF" w:rsidRPr="00E80636">
          <w:rPr>
            <w:rFonts w:asciiTheme="majorHAnsi" w:eastAsia="Arial" w:hAnsiTheme="majorHAnsi" w:cstheme="majorHAnsi"/>
            <w:color w:val="0563C1"/>
            <w:szCs w:val="20"/>
            <w:u w:val="single"/>
          </w:rPr>
          <w:t>HOOP 101, Disability Accommodation</w:t>
        </w:r>
      </w:hyperlink>
    </w:p>
    <w:p w:rsidR="00AB42BF" w:rsidRPr="00E80636" w:rsidRDefault="00AB42BF" w:rsidP="006C308E">
      <w:pPr>
        <w:pBdr>
          <w:top w:val="nil"/>
          <w:left w:val="nil"/>
          <w:bottom w:val="nil"/>
          <w:right w:val="nil"/>
          <w:between w:val="nil"/>
        </w:pBdr>
        <w:ind w:left="1080" w:right="63" w:hanging="720"/>
        <w:jc w:val="both"/>
        <w:rPr>
          <w:rFonts w:asciiTheme="majorHAnsi" w:eastAsia="Arial" w:hAnsiTheme="majorHAnsi" w:cstheme="majorHAnsi"/>
          <w:b/>
          <w:color w:val="333333"/>
          <w:sz w:val="20"/>
          <w:szCs w:val="20"/>
        </w:rPr>
      </w:pPr>
    </w:p>
    <w:p w:rsidR="00AB42BF" w:rsidRPr="00E80636" w:rsidRDefault="00AB42BF" w:rsidP="006C308E">
      <w:pPr>
        <w:pStyle w:val="ListParagraph"/>
        <w:numPr>
          <w:ilvl w:val="0"/>
          <w:numId w:val="118"/>
        </w:numPr>
        <w:ind w:left="1800" w:right="63"/>
        <w:jc w:val="both"/>
        <w:rPr>
          <w:rFonts w:asciiTheme="majorHAnsi" w:eastAsia="Arial" w:hAnsiTheme="majorHAnsi" w:cstheme="majorHAnsi"/>
          <w:szCs w:val="20"/>
        </w:rPr>
      </w:pPr>
      <w:r w:rsidRPr="00E80636">
        <w:rPr>
          <w:rFonts w:asciiTheme="majorHAnsi" w:eastAsia="Arial" w:hAnsiTheme="majorHAnsi" w:cstheme="majorHAnsi"/>
          <w:i/>
          <w:szCs w:val="20"/>
        </w:rPr>
        <w:t>Complaints regarding student educational records</w:t>
      </w:r>
    </w:p>
    <w:p w:rsidR="00AB42BF" w:rsidRPr="00E80636" w:rsidRDefault="006E3D5E" w:rsidP="006C308E">
      <w:pPr>
        <w:ind w:left="1800" w:right="63"/>
        <w:rPr>
          <w:rFonts w:asciiTheme="majorHAnsi" w:eastAsia="Arial" w:hAnsiTheme="majorHAnsi" w:cstheme="majorHAnsi"/>
          <w:sz w:val="20"/>
          <w:szCs w:val="20"/>
        </w:rPr>
      </w:pPr>
      <w:hyperlink r:id="rId35">
        <w:r w:rsidR="00AB42BF" w:rsidRPr="00E80636">
          <w:rPr>
            <w:rFonts w:asciiTheme="majorHAnsi" w:eastAsia="Arial" w:hAnsiTheme="majorHAnsi" w:cstheme="majorHAnsi"/>
            <w:color w:val="0563C1"/>
            <w:sz w:val="20"/>
            <w:szCs w:val="20"/>
            <w:u w:val="single"/>
          </w:rPr>
          <w:t>HOOP 129, Educational Records</w:t>
        </w:r>
      </w:hyperlink>
      <w:r w:rsidR="00AB42BF" w:rsidRPr="00E80636">
        <w:rPr>
          <w:rFonts w:asciiTheme="majorHAnsi" w:eastAsia="Arial" w:hAnsiTheme="majorHAnsi" w:cstheme="majorHAnsi"/>
          <w:sz w:val="20"/>
          <w:szCs w:val="20"/>
        </w:rPr>
        <w:t> provides information on filing complaints related to student educational records.</w:t>
      </w:r>
    </w:p>
    <w:p w:rsidR="00AB42BF" w:rsidRPr="00E80636" w:rsidRDefault="00AB42BF" w:rsidP="006C308E">
      <w:pPr>
        <w:ind w:left="1080" w:right="63"/>
        <w:jc w:val="both"/>
        <w:rPr>
          <w:rFonts w:asciiTheme="majorHAnsi" w:eastAsia="Arial" w:hAnsiTheme="majorHAnsi" w:cstheme="majorHAnsi"/>
          <w:sz w:val="20"/>
          <w:szCs w:val="20"/>
        </w:rPr>
      </w:pPr>
    </w:p>
    <w:p w:rsidR="00AB42BF" w:rsidRPr="00E80636" w:rsidRDefault="00AB42BF" w:rsidP="00815E0B">
      <w:pPr>
        <w:pStyle w:val="ListParagraph"/>
        <w:numPr>
          <w:ilvl w:val="0"/>
          <w:numId w:val="118"/>
        </w:numPr>
        <w:ind w:left="1800" w:right="63"/>
        <w:rPr>
          <w:rFonts w:asciiTheme="majorHAnsi" w:eastAsia="Arial" w:hAnsiTheme="majorHAnsi" w:cstheme="majorHAnsi"/>
          <w:szCs w:val="20"/>
        </w:rPr>
      </w:pPr>
      <w:r w:rsidRPr="00E80636">
        <w:rPr>
          <w:rFonts w:asciiTheme="majorHAnsi" w:eastAsia="Arial" w:hAnsiTheme="majorHAnsi" w:cstheme="majorHAnsi"/>
          <w:i/>
          <w:szCs w:val="20"/>
        </w:rPr>
        <w:t>Complaints regarding grades or grading</w:t>
      </w:r>
      <w:r w:rsidRPr="00E80636">
        <w:rPr>
          <w:rFonts w:asciiTheme="majorHAnsi" w:eastAsia="Arial" w:hAnsiTheme="majorHAnsi" w:cstheme="majorHAnsi"/>
          <w:szCs w:val="20"/>
        </w:rPr>
        <w:br/>
        <w:t xml:space="preserve">The processing of formal grade appeals is the responsibility of the school that administers the course. The </w:t>
      </w:r>
      <w:r w:rsidR="00EC62E7" w:rsidRPr="00E80636">
        <w:rPr>
          <w:rFonts w:asciiTheme="majorHAnsi" w:eastAsia="Arial" w:hAnsiTheme="majorHAnsi" w:cstheme="majorHAnsi"/>
          <w:szCs w:val="20"/>
        </w:rPr>
        <w:t xml:space="preserve">academic </w:t>
      </w:r>
      <w:r w:rsidRPr="00E80636">
        <w:rPr>
          <w:rFonts w:asciiTheme="majorHAnsi" w:eastAsia="Arial" w:hAnsiTheme="majorHAnsi" w:cstheme="majorHAnsi"/>
          <w:szCs w:val="20"/>
        </w:rPr>
        <w:t>grievance process outlined above allows students to submit complaints regarding grades or grading.</w:t>
      </w:r>
    </w:p>
    <w:p w:rsidR="00AB42BF" w:rsidRPr="00E80636" w:rsidRDefault="00AB42BF" w:rsidP="00815E0B">
      <w:pPr>
        <w:ind w:left="1080" w:right="63"/>
        <w:rPr>
          <w:rFonts w:asciiTheme="majorHAnsi" w:eastAsia="Arial" w:hAnsiTheme="majorHAnsi" w:cstheme="majorHAnsi"/>
          <w:sz w:val="20"/>
          <w:szCs w:val="20"/>
        </w:rPr>
      </w:pPr>
    </w:p>
    <w:p w:rsidR="00AB42BF" w:rsidRPr="00E80636" w:rsidRDefault="00AB42BF" w:rsidP="00815E0B">
      <w:pPr>
        <w:pStyle w:val="ListParagraph"/>
        <w:numPr>
          <w:ilvl w:val="0"/>
          <w:numId w:val="118"/>
        </w:numPr>
        <w:ind w:left="1800" w:right="63"/>
        <w:rPr>
          <w:rFonts w:asciiTheme="majorHAnsi" w:eastAsia="Arial" w:hAnsiTheme="majorHAnsi" w:cstheme="majorHAnsi"/>
          <w:i/>
          <w:szCs w:val="20"/>
        </w:rPr>
      </w:pPr>
      <w:r w:rsidRPr="00E80636">
        <w:rPr>
          <w:rFonts w:asciiTheme="majorHAnsi" w:eastAsia="Arial" w:hAnsiTheme="majorHAnsi" w:cstheme="majorHAnsi"/>
          <w:i/>
          <w:szCs w:val="20"/>
        </w:rPr>
        <w:t>Complaints regarding other issues related to central student services</w:t>
      </w:r>
    </w:p>
    <w:p w:rsidR="00AB42BF" w:rsidRPr="00E80636" w:rsidRDefault="00AB42BF" w:rsidP="00815E0B">
      <w:pPr>
        <w:ind w:left="1800" w:right="63"/>
        <w:rPr>
          <w:rFonts w:asciiTheme="majorHAnsi" w:eastAsia="Arial" w:hAnsiTheme="majorHAnsi" w:cstheme="majorHAnsi"/>
          <w:sz w:val="20"/>
          <w:szCs w:val="20"/>
        </w:rPr>
      </w:pPr>
      <w:r w:rsidRPr="00E80636">
        <w:rPr>
          <w:rFonts w:asciiTheme="majorHAnsi" w:eastAsia="Arial" w:hAnsiTheme="majorHAnsi" w:cstheme="majorHAnsi"/>
          <w:sz w:val="20"/>
          <w:szCs w:val="20"/>
        </w:rPr>
        <w:t>Students who have complaints regarding any of the central student service offices listed below should follow the procedures governing complaints within that office.</w:t>
      </w:r>
    </w:p>
    <w:p w:rsidR="00AB42BF" w:rsidRPr="00E80636" w:rsidRDefault="006E3D5E" w:rsidP="00815E0B">
      <w:pPr>
        <w:pStyle w:val="ListParagraph"/>
        <w:widowControl w:val="0"/>
        <w:numPr>
          <w:ilvl w:val="1"/>
          <w:numId w:val="118"/>
        </w:numPr>
        <w:pBdr>
          <w:top w:val="nil"/>
          <w:left w:val="nil"/>
          <w:bottom w:val="nil"/>
          <w:right w:val="nil"/>
          <w:between w:val="nil"/>
        </w:pBdr>
        <w:ind w:left="2520" w:right="63"/>
        <w:contextualSpacing/>
        <w:rPr>
          <w:rFonts w:asciiTheme="majorHAnsi" w:hAnsiTheme="majorHAnsi" w:cstheme="majorHAnsi"/>
          <w:szCs w:val="20"/>
          <w:u w:val="single"/>
        </w:rPr>
      </w:pPr>
      <w:hyperlink r:id="rId36">
        <w:r w:rsidR="00AB42BF" w:rsidRPr="00E80636">
          <w:rPr>
            <w:rFonts w:asciiTheme="majorHAnsi" w:eastAsia="Arial" w:hAnsiTheme="majorHAnsi" w:cstheme="majorHAnsi"/>
            <w:color w:val="0563C1"/>
            <w:szCs w:val="20"/>
            <w:u w:val="single"/>
          </w:rPr>
          <w:t>Registrar</w:t>
        </w:r>
      </w:hyperlink>
    </w:p>
    <w:p w:rsidR="00AB42BF" w:rsidRPr="00E80636" w:rsidRDefault="006E3D5E" w:rsidP="00815E0B">
      <w:pPr>
        <w:pStyle w:val="ListParagraph"/>
        <w:widowControl w:val="0"/>
        <w:numPr>
          <w:ilvl w:val="1"/>
          <w:numId w:val="118"/>
        </w:numPr>
        <w:pBdr>
          <w:top w:val="nil"/>
          <w:left w:val="nil"/>
          <w:bottom w:val="nil"/>
          <w:right w:val="nil"/>
          <w:between w:val="nil"/>
        </w:pBdr>
        <w:ind w:left="2520" w:right="63"/>
        <w:contextualSpacing/>
        <w:rPr>
          <w:rFonts w:asciiTheme="majorHAnsi" w:hAnsiTheme="majorHAnsi" w:cstheme="majorHAnsi"/>
          <w:szCs w:val="20"/>
          <w:u w:val="single"/>
        </w:rPr>
      </w:pPr>
      <w:hyperlink r:id="rId37">
        <w:r w:rsidR="00AB42BF" w:rsidRPr="00E80636">
          <w:rPr>
            <w:rFonts w:asciiTheme="majorHAnsi" w:eastAsia="Arial" w:hAnsiTheme="majorHAnsi" w:cstheme="majorHAnsi"/>
            <w:color w:val="0563C1"/>
            <w:szCs w:val="20"/>
            <w:u w:val="single"/>
          </w:rPr>
          <w:t>Bursar</w:t>
        </w:r>
      </w:hyperlink>
    </w:p>
    <w:p w:rsidR="00AB42BF" w:rsidRPr="00E80636" w:rsidRDefault="006E3D5E" w:rsidP="00815E0B">
      <w:pPr>
        <w:pStyle w:val="ListParagraph"/>
        <w:widowControl w:val="0"/>
        <w:numPr>
          <w:ilvl w:val="1"/>
          <w:numId w:val="118"/>
        </w:numPr>
        <w:pBdr>
          <w:top w:val="nil"/>
          <w:left w:val="nil"/>
          <w:bottom w:val="nil"/>
          <w:right w:val="nil"/>
          <w:between w:val="nil"/>
        </w:pBdr>
        <w:ind w:left="2520" w:right="63"/>
        <w:contextualSpacing/>
        <w:rPr>
          <w:rFonts w:asciiTheme="majorHAnsi" w:hAnsiTheme="majorHAnsi" w:cstheme="majorHAnsi"/>
          <w:szCs w:val="20"/>
          <w:u w:val="single"/>
        </w:rPr>
      </w:pPr>
      <w:hyperlink r:id="rId38">
        <w:r w:rsidR="00AB42BF" w:rsidRPr="00E80636">
          <w:rPr>
            <w:rFonts w:asciiTheme="majorHAnsi" w:eastAsia="Arial" w:hAnsiTheme="majorHAnsi" w:cstheme="majorHAnsi"/>
            <w:color w:val="0563C1"/>
            <w:szCs w:val="20"/>
            <w:u w:val="single"/>
          </w:rPr>
          <w:t>Student Financial Services</w:t>
        </w:r>
      </w:hyperlink>
    </w:p>
    <w:p w:rsidR="00AB42BF" w:rsidRPr="00E80636" w:rsidRDefault="006E3D5E" w:rsidP="00815E0B">
      <w:pPr>
        <w:pStyle w:val="ListParagraph"/>
        <w:widowControl w:val="0"/>
        <w:numPr>
          <w:ilvl w:val="1"/>
          <w:numId w:val="118"/>
        </w:numPr>
        <w:pBdr>
          <w:top w:val="nil"/>
          <w:left w:val="nil"/>
          <w:bottom w:val="nil"/>
          <w:right w:val="nil"/>
          <w:between w:val="nil"/>
        </w:pBdr>
        <w:ind w:left="2520" w:right="63"/>
        <w:contextualSpacing/>
        <w:rPr>
          <w:rFonts w:asciiTheme="majorHAnsi" w:hAnsiTheme="majorHAnsi" w:cstheme="majorHAnsi"/>
          <w:szCs w:val="20"/>
        </w:rPr>
      </w:pPr>
      <w:hyperlink r:id="rId39">
        <w:r w:rsidR="00AB42BF" w:rsidRPr="00E80636">
          <w:rPr>
            <w:rFonts w:asciiTheme="majorHAnsi" w:eastAsia="Arial" w:hAnsiTheme="majorHAnsi" w:cstheme="majorHAnsi"/>
            <w:color w:val="0563C1"/>
            <w:szCs w:val="20"/>
            <w:u w:val="single"/>
          </w:rPr>
          <w:t>Auxiliary Enterprises</w:t>
        </w:r>
      </w:hyperlink>
      <w:r w:rsidR="00AB42BF" w:rsidRPr="00E80636">
        <w:rPr>
          <w:rFonts w:asciiTheme="majorHAnsi" w:eastAsia="Arial" w:hAnsiTheme="majorHAnsi" w:cstheme="majorHAnsi"/>
          <w:color w:val="0563C1"/>
          <w:szCs w:val="20"/>
          <w:u w:val="single"/>
        </w:rPr>
        <w:t> </w:t>
      </w:r>
      <w:r w:rsidR="00AB42BF" w:rsidRPr="00E80636">
        <w:rPr>
          <w:rFonts w:asciiTheme="majorHAnsi" w:eastAsia="Arial" w:hAnsiTheme="majorHAnsi" w:cstheme="majorHAnsi"/>
          <w:color w:val="000000"/>
          <w:szCs w:val="20"/>
        </w:rPr>
        <w:t>(Housing, Food Service, Shuttle, Recreation Center, Parking, Student Health and Counseling Services)</w:t>
      </w:r>
    </w:p>
    <w:p w:rsidR="00AB42BF" w:rsidRPr="00E80636" w:rsidRDefault="00AB42BF" w:rsidP="006C308E">
      <w:pPr>
        <w:pBdr>
          <w:top w:val="nil"/>
          <w:left w:val="nil"/>
          <w:bottom w:val="nil"/>
          <w:right w:val="nil"/>
          <w:between w:val="nil"/>
        </w:pBdr>
        <w:ind w:left="1080" w:right="63" w:hanging="720"/>
        <w:jc w:val="both"/>
        <w:rPr>
          <w:rFonts w:asciiTheme="majorHAnsi" w:eastAsia="Arial" w:hAnsiTheme="majorHAnsi" w:cstheme="majorHAnsi"/>
          <w:color w:val="000000"/>
          <w:sz w:val="20"/>
          <w:szCs w:val="20"/>
        </w:rPr>
      </w:pPr>
    </w:p>
    <w:p w:rsidR="00AB42BF" w:rsidRPr="00E80636" w:rsidRDefault="00AB42BF" w:rsidP="006C308E">
      <w:pPr>
        <w:pStyle w:val="ListParagraph"/>
        <w:numPr>
          <w:ilvl w:val="0"/>
          <w:numId w:val="119"/>
        </w:numPr>
        <w:ind w:left="1800" w:right="63"/>
        <w:jc w:val="both"/>
        <w:rPr>
          <w:rFonts w:asciiTheme="majorHAnsi" w:eastAsia="Arial" w:hAnsiTheme="majorHAnsi" w:cstheme="majorHAnsi"/>
          <w:i/>
          <w:szCs w:val="20"/>
        </w:rPr>
      </w:pPr>
      <w:r w:rsidRPr="00E80636">
        <w:rPr>
          <w:rFonts w:asciiTheme="majorHAnsi" w:eastAsia="Arial" w:hAnsiTheme="majorHAnsi" w:cstheme="majorHAnsi"/>
          <w:i/>
          <w:szCs w:val="20"/>
        </w:rPr>
        <w:t>Complaints regarding other issues related to individual schools</w:t>
      </w:r>
    </w:p>
    <w:p w:rsidR="00AB42BF" w:rsidRPr="00E80636" w:rsidRDefault="00AB42BF" w:rsidP="006C308E">
      <w:pPr>
        <w:pStyle w:val="ListParagraph"/>
        <w:ind w:left="1800" w:right="63"/>
        <w:rPr>
          <w:rFonts w:asciiTheme="majorHAnsi" w:eastAsia="Arial" w:hAnsiTheme="majorHAnsi" w:cstheme="majorHAnsi"/>
          <w:szCs w:val="20"/>
        </w:rPr>
      </w:pPr>
      <w:r w:rsidRPr="00E80636">
        <w:rPr>
          <w:rFonts w:asciiTheme="majorHAnsi" w:eastAsia="Arial" w:hAnsiTheme="majorHAnsi" w:cstheme="majorHAnsi"/>
          <w:szCs w:val="20"/>
        </w:rPr>
        <w:t>Students who have complaints related to individual schools that are not covered by the policies and procedures listed above should follow the policies and procedures governing student complaints, grievance, and appeals within their school. Students should contact the student affairs office in each school for additional information. The grievance process outlined above allows students to submit complaints regarding other issues related to the UTHealth School of Public Health.</w:t>
      </w:r>
    </w:p>
    <w:p w:rsidR="00AB42BF" w:rsidRPr="00E80636" w:rsidRDefault="00AB42BF" w:rsidP="006C308E">
      <w:pPr>
        <w:pStyle w:val="ListParagraph"/>
        <w:ind w:left="1800" w:right="63"/>
        <w:jc w:val="both"/>
        <w:rPr>
          <w:rFonts w:asciiTheme="majorHAnsi" w:eastAsia="Arial" w:hAnsiTheme="majorHAnsi" w:cstheme="majorHAnsi"/>
          <w:szCs w:val="20"/>
        </w:rPr>
      </w:pPr>
    </w:p>
    <w:p w:rsidR="00AB42BF" w:rsidRPr="00E80636" w:rsidRDefault="00AB42BF" w:rsidP="006C308E">
      <w:pPr>
        <w:pStyle w:val="ListParagraph"/>
        <w:numPr>
          <w:ilvl w:val="0"/>
          <w:numId w:val="119"/>
        </w:numPr>
        <w:ind w:left="1800" w:right="63"/>
        <w:jc w:val="both"/>
        <w:rPr>
          <w:rFonts w:asciiTheme="majorHAnsi" w:eastAsia="Arial" w:hAnsiTheme="majorHAnsi" w:cstheme="majorHAnsi"/>
          <w:szCs w:val="20"/>
        </w:rPr>
      </w:pPr>
      <w:r w:rsidRPr="00E80636">
        <w:rPr>
          <w:rFonts w:asciiTheme="majorHAnsi" w:eastAsia="Arial" w:hAnsiTheme="majorHAnsi" w:cstheme="majorHAnsi"/>
          <w:i/>
          <w:szCs w:val="20"/>
        </w:rPr>
        <w:t>Complaints to the Texas Higher Education Coordinating Board</w:t>
      </w:r>
    </w:p>
    <w:p w:rsidR="00AB42BF" w:rsidRPr="00E80636" w:rsidRDefault="00AB42BF" w:rsidP="006C308E">
      <w:pPr>
        <w:pStyle w:val="ListParagraph"/>
        <w:ind w:left="1800" w:right="63"/>
        <w:rPr>
          <w:rFonts w:asciiTheme="majorHAnsi" w:eastAsia="Arial" w:hAnsiTheme="majorHAnsi" w:cstheme="majorHAnsi"/>
          <w:color w:val="222222"/>
          <w:szCs w:val="20"/>
        </w:rPr>
      </w:pPr>
      <w:r w:rsidRPr="00E80636">
        <w:rPr>
          <w:rFonts w:asciiTheme="majorHAnsi" w:eastAsia="Arial" w:hAnsiTheme="majorHAnsi" w:cstheme="majorHAnsi"/>
          <w:szCs w:val="20"/>
        </w:rPr>
        <w:t>If a student exhausts the university complaint process, he or she may also be able to submit a complaint to the Texas Higher Education Coordinating Board (THECB).  Information on the types of complaints the THECB investigates and the appropriate complaint forms can be found on the THECB’s Student Complaints </w:t>
      </w:r>
      <w:hyperlink r:id="rId40">
        <w:r w:rsidRPr="00E80636">
          <w:rPr>
            <w:rFonts w:asciiTheme="majorHAnsi" w:eastAsia="Arial" w:hAnsiTheme="majorHAnsi" w:cstheme="majorHAnsi"/>
            <w:color w:val="0563C1"/>
            <w:szCs w:val="20"/>
            <w:u w:val="single"/>
          </w:rPr>
          <w:t>website</w:t>
        </w:r>
      </w:hyperlink>
      <w:r w:rsidRPr="00E80636">
        <w:rPr>
          <w:rFonts w:asciiTheme="majorHAnsi" w:eastAsia="Arial" w:hAnsiTheme="majorHAnsi" w:cstheme="majorHAnsi"/>
          <w:color w:val="222222"/>
          <w:szCs w:val="20"/>
        </w:rPr>
        <w:t>.</w:t>
      </w:r>
    </w:p>
    <w:p w:rsidR="00AB42BF" w:rsidRPr="00E80636" w:rsidRDefault="00AB42BF" w:rsidP="006C308E">
      <w:pPr>
        <w:pStyle w:val="ListParagraph"/>
        <w:ind w:left="1800" w:right="63"/>
        <w:jc w:val="both"/>
        <w:rPr>
          <w:rFonts w:asciiTheme="majorHAnsi" w:eastAsia="Arial" w:hAnsiTheme="majorHAnsi" w:cstheme="majorHAnsi"/>
          <w:color w:val="222222"/>
          <w:szCs w:val="20"/>
        </w:rPr>
      </w:pPr>
    </w:p>
    <w:p w:rsidR="00AB42BF" w:rsidRPr="00E80636" w:rsidRDefault="00AB42BF" w:rsidP="006C308E">
      <w:pPr>
        <w:pStyle w:val="ListParagraph"/>
        <w:numPr>
          <w:ilvl w:val="0"/>
          <w:numId w:val="119"/>
        </w:numPr>
        <w:ind w:left="1800" w:right="63"/>
        <w:jc w:val="both"/>
        <w:rPr>
          <w:rFonts w:asciiTheme="majorHAnsi" w:eastAsia="Arial" w:hAnsiTheme="majorHAnsi" w:cstheme="majorHAnsi"/>
          <w:i/>
          <w:szCs w:val="20"/>
        </w:rPr>
      </w:pPr>
      <w:r w:rsidRPr="00E80636">
        <w:rPr>
          <w:rFonts w:asciiTheme="majorHAnsi" w:eastAsia="Arial" w:hAnsiTheme="majorHAnsi" w:cstheme="majorHAnsi"/>
          <w:i/>
          <w:szCs w:val="20"/>
        </w:rPr>
        <w:t>Complaints to the Southern Association of Colleges and Schools Commission on Colleges and Schools (SACSCOC) Against SACSCOC or its Accredited Institutions</w:t>
      </w:r>
    </w:p>
    <w:p w:rsidR="00281C97" w:rsidRPr="00E80636" w:rsidRDefault="00AB42BF" w:rsidP="006C308E">
      <w:pPr>
        <w:pStyle w:val="ListParagraph"/>
        <w:ind w:left="1800"/>
        <w:rPr>
          <w:rFonts w:asciiTheme="majorHAnsi" w:eastAsia="Arial" w:hAnsiTheme="majorHAnsi" w:cstheme="majorHAnsi"/>
          <w:color w:val="000000"/>
          <w:szCs w:val="20"/>
        </w:rPr>
      </w:pPr>
      <w:r w:rsidRPr="00E80636">
        <w:rPr>
          <w:rFonts w:asciiTheme="majorHAnsi" w:eastAsia="Arial" w:hAnsiTheme="majorHAnsi" w:cstheme="majorHAnsi"/>
          <w:color w:val="000000"/>
          <w:szCs w:val="20"/>
        </w:rPr>
        <w:t>If a student exhausts the university complaint process, he/she may also be able to submit a complaint to SACSCOC. Information on the types of complaints SACSCOC investigates and the appropriate complaint forms are available on the SACSCOC </w:t>
      </w:r>
      <w:hyperlink r:id="rId41">
        <w:r w:rsidRPr="00E80636">
          <w:rPr>
            <w:rFonts w:asciiTheme="majorHAnsi" w:eastAsia="Arial" w:hAnsiTheme="majorHAnsi" w:cstheme="majorHAnsi"/>
            <w:color w:val="0563C1"/>
            <w:szCs w:val="20"/>
            <w:u w:val="single"/>
          </w:rPr>
          <w:t>website</w:t>
        </w:r>
      </w:hyperlink>
      <w:hyperlink r:id="rId42">
        <w:r w:rsidRPr="00E80636">
          <w:rPr>
            <w:rFonts w:asciiTheme="majorHAnsi" w:eastAsia="Arial" w:hAnsiTheme="majorHAnsi" w:cstheme="majorHAnsi"/>
            <w:color w:val="000000"/>
            <w:szCs w:val="20"/>
          </w:rPr>
          <w:t>.</w:t>
        </w:r>
      </w:hyperlink>
    </w:p>
    <w:p w:rsidR="00281C97" w:rsidRPr="00E80636" w:rsidRDefault="00281C97" w:rsidP="006C308E">
      <w:pPr>
        <w:pStyle w:val="ListParagraph"/>
        <w:ind w:left="1800"/>
        <w:rPr>
          <w:rFonts w:asciiTheme="majorHAnsi" w:eastAsia="Arial" w:hAnsiTheme="majorHAnsi" w:cstheme="majorHAnsi"/>
          <w:color w:val="000000"/>
          <w:szCs w:val="20"/>
        </w:rPr>
      </w:pPr>
    </w:p>
    <w:p w:rsidR="00933038" w:rsidRPr="00E80636" w:rsidRDefault="00933038" w:rsidP="006C308E">
      <w:pPr>
        <w:numPr>
          <w:ilvl w:val="0"/>
          <w:numId w:val="49"/>
        </w:numPr>
        <w:jc w:val="both"/>
        <w:rPr>
          <w:rFonts w:asciiTheme="majorHAnsi" w:hAnsiTheme="majorHAnsi" w:cstheme="majorHAnsi"/>
          <w:sz w:val="20"/>
          <w:szCs w:val="20"/>
        </w:rPr>
      </w:pPr>
      <w:r w:rsidRPr="00E80636">
        <w:rPr>
          <w:rFonts w:asciiTheme="majorHAnsi" w:hAnsiTheme="majorHAnsi" w:cstheme="majorHAnsi"/>
          <w:sz w:val="20"/>
          <w:szCs w:val="20"/>
        </w:rPr>
        <w:t xml:space="preserve">List any formal complaints and/or student grievances submitted in the last three years. Briefly describe the general nature or content of each complaint and the current status or progress toward resolution. </w:t>
      </w:r>
    </w:p>
    <w:p w:rsidR="003B789D" w:rsidRPr="00E80636" w:rsidRDefault="003B789D" w:rsidP="006C308E">
      <w:pPr>
        <w:ind w:left="720"/>
        <w:jc w:val="both"/>
        <w:rPr>
          <w:rFonts w:asciiTheme="majorHAnsi" w:hAnsiTheme="majorHAnsi" w:cstheme="majorHAnsi"/>
          <w:i/>
          <w:sz w:val="20"/>
          <w:szCs w:val="20"/>
        </w:rPr>
      </w:pPr>
    </w:p>
    <w:p w:rsidR="00AB42BF" w:rsidRPr="00E80636" w:rsidRDefault="00AB42BF" w:rsidP="006C308E">
      <w:pPr>
        <w:ind w:left="720"/>
        <w:jc w:val="both"/>
        <w:rPr>
          <w:rFonts w:asciiTheme="majorHAnsi" w:hAnsiTheme="majorHAnsi" w:cstheme="majorHAnsi"/>
          <w:sz w:val="20"/>
          <w:szCs w:val="20"/>
        </w:rPr>
      </w:pPr>
      <w:r w:rsidRPr="00E80636">
        <w:rPr>
          <w:rFonts w:asciiTheme="majorHAnsi" w:hAnsiTheme="majorHAnsi" w:cstheme="majorHAnsi"/>
          <w:sz w:val="20"/>
          <w:szCs w:val="20"/>
        </w:rPr>
        <w:t>Table H</w:t>
      </w:r>
      <w:r w:rsidR="000634AF" w:rsidRPr="00E80636">
        <w:rPr>
          <w:rFonts w:asciiTheme="majorHAnsi" w:hAnsiTheme="majorHAnsi" w:cstheme="majorHAnsi"/>
          <w:sz w:val="20"/>
          <w:szCs w:val="20"/>
        </w:rPr>
        <w:t>.</w:t>
      </w:r>
      <w:r w:rsidRPr="00E80636">
        <w:rPr>
          <w:rFonts w:asciiTheme="majorHAnsi" w:hAnsiTheme="majorHAnsi" w:cstheme="majorHAnsi"/>
          <w:sz w:val="20"/>
          <w:szCs w:val="20"/>
        </w:rPr>
        <w:t>3.1. Formal Complaints Submitted, 2017–2019</w:t>
      </w:r>
    </w:p>
    <w:tbl>
      <w:tblPr>
        <w:tblStyle w:val="2"/>
        <w:tblW w:w="863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50"/>
        <w:gridCol w:w="3510"/>
        <w:gridCol w:w="3775"/>
      </w:tblGrid>
      <w:tr w:rsidR="00AB42BF" w:rsidRPr="00743A41" w:rsidTr="00AB42BF">
        <w:trPr>
          <w:cantSplit/>
          <w:tblHeader/>
        </w:trPr>
        <w:tc>
          <w:tcPr>
            <w:tcW w:w="1350" w:type="dxa"/>
            <w:shd w:val="clear" w:color="auto" w:fill="BFBFBF" w:themeFill="background1" w:themeFillShade="BF"/>
          </w:tcPr>
          <w:p w:rsidR="00AB42BF" w:rsidRPr="00E80636" w:rsidRDefault="00AB42BF" w:rsidP="006C308E">
            <w:pPr>
              <w:ind w:right="63"/>
              <w:jc w:val="both"/>
              <w:rPr>
                <w:rFonts w:asciiTheme="majorHAnsi" w:eastAsia="Arial" w:hAnsiTheme="majorHAnsi" w:cstheme="majorHAnsi"/>
                <w:b/>
                <w:sz w:val="20"/>
                <w:szCs w:val="20"/>
              </w:rPr>
            </w:pPr>
            <w:r w:rsidRPr="00E80636">
              <w:rPr>
                <w:rFonts w:asciiTheme="majorHAnsi" w:eastAsia="Arial" w:hAnsiTheme="majorHAnsi" w:cstheme="majorHAnsi"/>
                <w:b/>
                <w:sz w:val="20"/>
                <w:szCs w:val="20"/>
              </w:rPr>
              <w:t>Year</w:t>
            </w:r>
          </w:p>
        </w:tc>
        <w:tc>
          <w:tcPr>
            <w:tcW w:w="3510" w:type="dxa"/>
            <w:shd w:val="clear" w:color="auto" w:fill="BFBFBF" w:themeFill="background1" w:themeFillShade="BF"/>
          </w:tcPr>
          <w:p w:rsidR="00AB42BF" w:rsidRPr="00E80636" w:rsidRDefault="00AB42BF" w:rsidP="006C308E">
            <w:pPr>
              <w:ind w:right="63"/>
              <w:jc w:val="both"/>
              <w:rPr>
                <w:rFonts w:asciiTheme="majorHAnsi" w:eastAsia="Arial" w:hAnsiTheme="majorHAnsi" w:cstheme="majorHAnsi"/>
                <w:b/>
                <w:sz w:val="20"/>
                <w:szCs w:val="20"/>
              </w:rPr>
            </w:pPr>
            <w:r w:rsidRPr="00E80636">
              <w:rPr>
                <w:rFonts w:asciiTheme="majorHAnsi" w:eastAsia="Arial" w:hAnsiTheme="majorHAnsi" w:cstheme="majorHAnsi"/>
                <w:b/>
                <w:sz w:val="20"/>
                <w:szCs w:val="20"/>
              </w:rPr>
              <w:t>Complaint</w:t>
            </w:r>
          </w:p>
        </w:tc>
        <w:tc>
          <w:tcPr>
            <w:tcW w:w="3775" w:type="dxa"/>
            <w:shd w:val="clear" w:color="auto" w:fill="BFBFBF" w:themeFill="background1" w:themeFillShade="BF"/>
          </w:tcPr>
          <w:p w:rsidR="00AB42BF" w:rsidRPr="00E80636" w:rsidRDefault="00AB42BF" w:rsidP="006C308E">
            <w:pPr>
              <w:ind w:right="63"/>
              <w:jc w:val="both"/>
              <w:rPr>
                <w:rFonts w:asciiTheme="majorHAnsi" w:eastAsia="Arial" w:hAnsiTheme="majorHAnsi" w:cstheme="majorHAnsi"/>
                <w:b/>
                <w:sz w:val="20"/>
                <w:szCs w:val="20"/>
              </w:rPr>
            </w:pPr>
            <w:r w:rsidRPr="00E80636">
              <w:rPr>
                <w:rFonts w:asciiTheme="majorHAnsi" w:eastAsia="Arial" w:hAnsiTheme="majorHAnsi" w:cstheme="majorHAnsi"/>
                <w:b/>
                <w:sz w:val="20"/>
                <w:szCs w:val="20"/>
              </w:rPr>
              <w:t>Status</w:t>
            </w:r>
          </w:p>
        </w:tc>
      </w:tr>
      <w:tr w:rsidR="00AB42BF" w:rsidRPr="00743A41" w:rsidTr="00AB42BF">
        <w:trPr>
          <w:cantSplit/>
        </w:trPr>
        <w:tc>
          <w:tcPr>
            <w:tcW w:w="1350" w:type="dxa"/>
          </w:tcPr>
          <w:p w:rsidR="00AB42BF" w:rsidRPr="00E80636" w:rsidRDefault="00AB42BF" w:rsidP="006C308E">
            <w:pPr>
              <w:ind w:right="63"/>
              <w:jc w:val="both"/>
              <w:rPr>
                <w:rFonts w:asciiTheme="majorHAnsi" w:eastAsia="Arial" w:hAnsiTheme="majorHAnsi" w:cstheme="majorHAnsi"/>
                <w:sz w:val="20"/>
                <w:szCs w:val="20"/>
              </w:rPr>
            </w:pPr>
            <w:r w:rsidRPr="00E80636">
              <w:rPr>
                <w:rFonts w:asciiTheme="majorHAnsi" w:eastAsia="Arial" w:hAnsiTheme="majorHAnsi" w:cstheme="majorHAnsi"/>
                <w:sz w:val="20"/>
                <w:szCs w:val="20"/>
              </w:rPr>
              <w:t>2017</w:t>
            </w:r>
          </w:p>
        </w:tc>
        <w:tc>
          <w:tcPr>
            <w:tcW w:w="3510" w:type="dxa"/>
          </w:tcPr>
          <w:p w:rsidR="00AB42BF" w:rsidRPr="00E80636" w:rsidRDefault="00AB42BF" w:rsidP="006C308E">
            <w:pPr>
              <w:ind w:right="63"/>
              <w:rPr>
                <w:rFonts w:asciiTheme="majorHAnsi" w:eastAsia="Arial" w:hAnsiTheme="majorHAnsi" w:cstheme="majorHAnsi"/>
                <w:sz w:val="20"/>
                <w:szCs w:val="20"/>
              </w:rPr>
            </w:pPr>
            <w:r w:rsidRPr="00E80636">
              <w:rPr>
                <w:rFonts w:asciiTheme="majorHAnsi" w:eastAsia="Arial" w:hAnsiTheme="majorHAnsi" w:cstheme="majorHAnsi"/>
                <w:sz w:val="20"/>
                <w:szCs w:val="20"/>
              </w:rPr>
              <w:t>The student contested the final grade of a “C” received in a course in which the faculty member has left the school. The student claims there were grading errors on the midterm and final project, and that they should have received more points on the final exam because they had to leave to take another exam. The student claims that since they had to leave early, that the professor had promised to give the student extra points on the final exam.</w:t>
            </w:r>
          </w:p>
        </w:tc>
        <w:tc>
          <w:tcPr>
            <w:tcW w:w="3775" w:type="dxa"/>
          </w:tcPr>
          <w:p w:rsidR="00AB42BF" w:rsidRPr="00E80636" w:rsidRDefault="00AB42BF" w:rsidP="006C308E">
            <w:pPr>
              <w:ind w:right="63"/>
              <w:rPr>
                <w:rFonts w:asciiTheme="majorHAnsi" w:eastAsia="Arial" w:hAnsiTheme="majorHAnsi" w:cstheme="majorHAnsi"/>
                <w:b/>
                <w:sz w:val="20"/>
                <w:szCs w:val="20"/>
              </w:rPr>
            </w:pPr>
            <w:r w:rsidRPr="00E80636">
              <w:rPr>
                <w:rFonts w:asciiTheme="majorHAnsi" w:eastAsia="Arial" w:hAnsiTheme="majorHAnsi" w:cstheme="majorHAnsi"/>
                <w:b/>
                <w:sz w:val="20"/>
                <w:szCs w:val="20"/>
              </w:rPr>
              <w:t>Complete.</w:t>
            </w:r>
          </w:p>
          <w:p w:rsidR="00AB42BF" w:rsidRPr="00E80636" w:rsidRDefault="00AB42BF" w:rsidP="006C308E">
            <w:pPr>
              <w:ind w:right="63"/>
              <w:rPr>
                <w:rFonts w:asciiTheme="majorHAnsi" w:eastAsia="Arial" w:hAnsiTheme="majorHAnsi" w:cstheme="majorHAnsi"/>
                <w:sz w:val="20"/>
                <w:szCs w:val="20"/>
              </w:rPr>
            </w:pPr>
            <w:r w:rsidRPr="00E80636">
              <w:rPr>
                <w:rFonts w:asciiTheme="majorHAnsi" w:eastAsia="Arial" w:hAnsiTheme="majorHAnsi" w:cstheme="majorHAnsi"/>
                <w:sz w:val="20"/>
                <w:szCs w:val="20"/>
              </w:rPr>
              <w:t xml:space="preserve">The curriculum coordinator of the department reviewed the grading errors and the student was given a few points, but it did not raise the letter grade to a “B.” The department also agreed not to give “extra points” on the merits that the student had to leave to take another exam. </w:t>
            </w:r>
          </w:p>
          <w:p w:rsidR="00AB42BF" w:rsidRPr="00E80636" w:rsidRDefault="00AB42BF" w:rsidP="006C308E">
            <w:pPr>
              <w:ind w:right="63"/>
              <w:rPr>
                <w:rFonts w:asciiTheme="majorHAnsi" w:eastAsia="Arial" w:hAnsiTheme="majorHAnsi" w:cstheme="majorHAnsi"/>
                <w:sz w:val="20"/>
                <w:szCs w:val="20"/>
              </w:rPr>
            </w:pPr>
          </w:p>
          <w:p w:rsidR="00AB42BF" w:rsidRPr="00E80636" w:rsidRDefault="00AB42BF" w:rsidP="006C308E">
            <w:pPr>
              <w:ind w:right="63"/>
              <w:rPr>
                <w:rFonts w:asciiTheme="majorHAnsi" w:eastAsia="Arial" w:hAnsiTheme="majorHAnsi" w:cstheme="majorHAnsi"/>
                <w:sz w:val="20"/>
                <w:szCs w:val="20"/>
              </w:rPr>
            </w:pPr>
            <w:r w:rsidRPr="00E80636">
              <w:rPr>
                <w:rFonts w:asciiTheme="majorHAnsi" w:eastAsia="Arial" w:hAnsiTheme="majorHAnsi" w:cstheme="majorHAnsi"/>
                <w:sz w:val="20"/>
                <w:szCs w:val="20"/>
              </w:rPr>
              <w:t>This student appealed the decision to the dean, in which after his own investigation, the dean upheld the original grade of the course.</w:t>
            </w:r>
          </w:p>
        </w:tc>
      </w:tr>
      <w:tr w:rsidR="00AB42BF" w:rsidRPr="00743A41" w:rsidTr="00AB42BF">
        <w:trPr>
          <w:cantSplit/>
        </w:trPr>
        <w:tc>
          <w:tcPr>
            <w:tcW w:w="1350" w:type="dxa"/>
          </w:tcPr>
          <w:p w:rsidR="00AB42BF" w:rsidRPr="00E80636" w:rsidRDefault="00AB42BF" w:rsidP="006C308E">
            <w:pPr>
              <w:ind w:right="63"/>
              <w:jc w:val="both"/>
              <w:rPr>
                <w:rFonts w:asciiTheme="majorHAnsi" w:eastAsia="Arial" w:hAnsiTheme="majorHAnsi" w:cstheme="majorHAnsi"/>
                <w:sz w:val="20"/>
                <w:szCs w:val="20"/>
              </w:rPr>
            </w:pPr>
            <w:r w:rsidRPr="00E80636">
              <w:rPr>
                <w:rFonts w:asciiTheme="majorHAnsi" w:eastAsia="Arial" w:hAnsiTheme="majorHAnsi" w:cstheme="majorHAnsi"/>
                <w:sz w:val="20"/>
                <w:szCs w:val="20"/>
              </w:rPr>
              <w:t>2017</w:t>
            </w:r>
          </w:p>
        </w:tc>
        <w:tc>
          <w:tcPr>
            <w:tcW w:w="3510" w:type="dxa"/>
          </w:tcPr>
          <w:p w:rsidR="00AB42BF" w:rsidRPr="00E80636" w:rsidRDefault="00AB42BF" w:rsidP="006C308E">
            <w:pPr>
              <w:ind w:right="63"/>
              <w:rPr>
                <w:rFonts w:asciiTheme="majorHAnsi" w:eastAsia="Arial" w:hAnsiTheme="majorHAnsi" w:cstheme="majorHAnsi"/>
                <w:sz w:val="20"/>
                <w:szCs w:val="20"/>
              </w:rPr>
            </w:pPr>
            <w:r w:rsidRPr="00E80636">
              <w:rPr>
                <w:rFonts w:asciiTheme="majorHAnsi" w:eastAsia="Arial" w:hAnsiTheme="majorHAnsi" w:cstheme="majorHAnsi"/>
                <w:sz w:val="20"/>
                <w:szCs w:val="20"/>
              </w:rPr>
              <w:t>The student failed both attempts at the preliminary exam. They wanted to retake the exam a third time after taking Epidemiology II and III. The student claimed to overlook the EPI II requirement (and had it waived just before the exam) and EPI III was officially waived, as the student took it at another institution and filed for it to be waived, which was approved.</w:t>
            </w:r>
          </w:p>
        </w:tc>
        <w:tc>
          <w:tcPr>
            <w:tcW w:w="3775" w:type="dxa"/>
          </w:tcPr>
          <w:p w:rsidR="00AB42BF" w:rsidRPr="00E80636" w:rsidRDefault="00AB42BF" w:rsidP="006C308E">
            <w:pPr>
              <w:ind w:right="63"/>
              <w:rPr>
                <w:rFonts w:asciiTheme="majorHAnsi" w:eastAsia="Arial" w:hAnsiTheme="majorHAnsi" w:cstheme="majorHAnsi"/>
                <w:b/>
                <w:sz w:val="20"/>
                <w:szCs w:val="20"/>
              </w:rPr>
            </w:pPr>
            <w:r w:rsidRPr="00E80636">
              <w:rPr>
                <w:rFonts w:asciiTheme="majorHAnsi" w:eastAsia="Arial" w:hAnsiTheme="majorHAnsi" w:cstheme="majorHAnsi"/>
                <w:b/>
                <w:sz w:val="20"/>
                <w:szCs w:val="20"/>
              </w:rPr>
              <w:t>Complete.</w:t>
            </w:r>
          </w:p>
          <w:p w:rsidR="00AB42BF" w:rsidRPr="00E80636" w:rsidRDefault="00AB42BF" w:rsidP="006C308E">
            <w:pPr>
              <w:ind w:right="63"/>
              <w:rPr>
                <w:rFonts w:asciiTheme="majorHAnsi" w:eastAsia="Arial" w:hAnsiTheme="majorHAnsi" w:cstheme="majorHAnsi"/>
                <w:sz w:val="20"/>
                <w:szCs w:val="20"/>
              </w:rPr>
            </w:pPr>
            <w:r w:rsidRPr="00E80636">
              <w:rPr>
                <w:rFonts w:asciiTheme="majorHAnsi" w:eastAsia="Arial" w:hAnsiTheme="majorHAnsi" w:cstheme="majorHAnsi"/>
                <w:sz w:val="20"/>
                <w:szCs w:val="20"/>
              </w:rPr>
              <w:t>The department denied the student a third attempt of the preliminary exam, and the student decided not to pursue the matter further.</w:t>
            </w:r>
          </w:p>
        </w:tc>
      </w:tr>
      <w:tr w:rsidR="00AB42BF" w:rsidRPr="00743A41" w:rsidTr="00AB42BF">
        <w:trPr>
          <w:cantSplit/>
        </w:trPr>
        <w:tc>
          <w:tcPr>
            <w:tcW w:w="1350" w:type="dxa"/>
          </w:tcPr>
          <w:p w:rsidR="00AB42BF" w:rsidRPr="00E80636" w:rsidRDefault="00AB42BF" w:rsidP="006C308E">
            <w:pPr>
              <w:ind w:right="63"/>
              <w:jc w:val="both"/>
              <w:rPr>
                <w:rFonts w:asciiTheme="majorHAnsi" w:eastAsia="Arial" w:hAnsiTheme="majorHAnsi" w:cstheme="majorHAnsi"/>
                <w:sz w:val="20"/>
                <w:szCs w:val="20"/>
              </w:rPr>
            </w:pPr>
            <w:r w:rsidRPr="00E80636">
              <w:rPr>
                <w:rFonts w:asciiTheme="majorHAnsi" w:eastAsia="Arial" w:hAnsiTheme="majorHAnsi" w:cstheme="majorHAnsi"/>
                <w:sz w:val="20"/>
                <w:szCs w:val="20"/>
              </w:rPr>
              <w:t>2018</w:t>
            </w:r>
          </w:p>
        </w:tc>
        <w:tc>
          <w:tcPr>
            <w:tcW w:w="3510" w:type="dxa"/>
          </w:tcPr>
          <w:p w:rsidR="00AB42BF" w:rsidRPr="00E80636" w:rsidRDefault="00AB42BF" w:rsidP="006C308E">
            <w:pPr>
              <w:ind w:right="63"/>
              <w:rPr>
                <w:rFonts w:asciiTheme="majorHAnsi" w:eastAsia="Arial" w:hAnsiTheme="majorHAnsi" w:cstheme="majorHAnsi"/>
                <w:sz w:val="20"/>
                <w:szCs w:val="20"/>
              </w:rPr>
            </w:pPr>
            <w:r w:rsidRPr="00E80636">
              <w:rPr>
                <w:rFonts w:asciiTheme="majorHAnsi" w:eastAsia="Arial" w:hAnsiTheme="majorHAnsi" w:cstheme="majorHAnsi"/>
                <w:sz w:val="20"/>
                <w:szCs w:val="20"/>
              </w:rPr>
              <w:t>The student did not attend the course lectures and through the resolution process with the student, course instructor, and advisor, additional accusations surfaced. The student claims she suffered emotional distress and could not attend the remainder of the course and questioned the objectivity of the course grading by the instructor.</w:t>
            </w:r>
          </w:p>
        </w:tc>
        <w:tc>
          <w:tcPr>
            <w:tcW w:w="3775" w:type="dxa"/>
          </w:tcPr>
          <w:p w:rsidR="00AB42BF" w:rsidRPr="00E80636" w:rsidRDefault="00AB42BF" w:rsidP="006C308E">
            <w:pPr>
              <w:ind w:right="63"/>
              <w:rPr>
                <w:rFonts w:asciiTheme="majorHAnsi" w:eastAsia="Arial" w:hAnsiTheme="majorHAnsi" w:cstheme="majorHAnsi"/>
                <w:b/>
                <w:sz w:val="20"/>
                <w:szCs w:val="20"/>
              </w:rPr>
            </w:pPr>
            <w:r w:rsidRPr="00E80636">
              <w:rPr>
                <w:rFonts w:asciiTheme="majorHAnsi" w:eastAsia="Arial" w:hAnsiTheme="majorHAnsi" w:cstheme="majorHAnsi"/>
                <w:b/>
                <w:sz w:val="20"/>
                <w:szCs w:val="20"/>
              </w:rPr>
              <w:t>Complete.</w:t>
            </w:r>
          </w:p>
          <w:p w:rsidR="00AB42BF" w:rsidRPr="00E80636" w:rsidRDefault="00AB42BF" w:rsidP="006C308E">
            <w:pPr>
              <w:ind w:right="63"/>
              <w:rPr>
                <w:rFonts w:asciiTheme="majorHAnsi" w:eastAsia="Arial" w:hAnsiTheme="majorHAnsi" w:cstheme="majorHAnsi"/>
                <w:b/>
                <w:sz w:val="20"/>
                <w:szCs w:val="20"/>
              </w:rPr>
            </w:pPr>
            <w:r w:rsidRPr="00E80636">
              <w:rPr>
                <w:rFonts w:asciiTheme="majorHAnsi" w:eastAsia="Arial" w:hAnsiTheme="majorHAnsi" w:cstheme="majorHAnsi"/>
                <w:sz w:val="20"/>
                <w:szCs w:val="20"/>
              </w:rPr>
              <w:t>After a full investigation of the syllabus, as well as interviews with the student, course instructor, and the student’s advisor, the grievance subcommittee recommended that the student receive an “incomplete” grade for the course and  complete the remaining requirements through an Independent Study course during the summer semester with her advisor.</w:t>
            </w:r>
          </w:p>
        </w:tc>
      </w:tr>
      <w:tr w:rsidR="00AB42BF" w:rsidRPr="00743A41" w:rsidTr="00AB42BF">
        <w:trPr>
          <w:cantSplit/>
        </w:trPr>
        <w:tc>
          <w:tcPr>
            <w:tcW w:w="1350" w:type="dxa"/>
          </w:tcPr>
          <w:p w:rsidR="00AB42BF" w:rsidRPr="00E80636" w:rsidRDefault="00AB42BF" w:rsidP="006C308E">
            <w:pPr>
              <w:ind w:right="63"/>
              <w:jc w:val="both"/>
              <w:rPr>
                <w:rFonts w:asciiTheme="majorHAnsi" w:eastAsia="Arial" w:hAnsiTheme="majorHAnsi" w:cstheme="majorHAnsi"/>
                <w:sz w:val="20"/>
                <w:szCs w:val="20"/>
              </w:rPr>
            </w:pPr>
            <w:r w:rsidRPr="00E80636">
              <w:rPr>
                <w:rFonts w:asciiTheme="majorHAnsi" w:eastAsia="Arial" w:hAnsiTheme="majorHAnsi" w:cstheme="majorHAnsi"/>
                <w:sz w:val="20"/>
                <w:szCs w:val="20"/>
              </w:rPr>
              <w:t>2018</w:t>
            </w:r>
          </w:p>
        </w:tc>
        <w:tc>
          <w:tcPr>
            <w:tcW w:w="3510" w:type="dxa"/>
          </w:tcPr>
          <w:p w:rsidR="00AB42BF" w:rsidRPr="00E80636" w:rsidRDefault="00AB42BF" w:rsidP="006C308E">
            <w:pPr>
              <w:ind w:right="63"/>
              <w:rPr>
                <w:rFonts w:asciiTheme="majorHAnsi" w:eastAsia="Arial" w:hAnsiTheme="majorHAnsi" w:cstheme="majorHAnsi"/>
                <w:sz w:val="20"/>
                <w:szCs w:val="20"/>
              </w:rPr>
            </w:pPr>
            <w:r w:rsidRPr="00E80636">
              <w:rPr>
                <w:rFonts w:asciiTheme="majorHAnsi" w:eastAsia="Arial" w:hAnsiTheme="majorHAnsi" w:cstheme="majorHAnsi"/>
                <w:sz w:val="20"/>
                <w:szCs w:val="20"/>
              </w:rPr>
              <w:t>The student contested the final grade of a “B” received in a course.  By the student’s own calculations, they should have received an “A” grade.  The student has met with the course instructor with no resolution.</w:t>
            </w:r>
          </w:p>
        </w:tc>
        <w:tc>
          <w:tcPr>
            <w:tcW w:w="3775" w:type="dxa"/>
          </w:tcPr>
          <w:p w:rsidR="00AB42BF" w:rsidRPr="00E80636" w:rsidRDefault="00AB42BF" w:rsidP="006C308E">
            <w:pPr>
              <w:ind w:right="63"/>
              <w:rPr>
                <w:rFonts w:asciiTheme="majorHAnsi" w:eastAsia="Arial" w:hAnsiTheme="majorHAnsi" w:cstheme="majorHAnsi"/>
                <w:b/>
                <w:sz w:val="20"/>
                <w:szCs w:val="20"/>
              </w:rPr>
            </w:pPr>
            <w:r w:rsidRPr="00E80636">
              <w:rPr>
                <w:rFonts w:asciiTheme="majorHAnsi" w:eastAsia="Arial" w:hAnsiTheme="majorHAnsi" w:cstheme="majorHAnsi"/>
                <w:b/>
                <w:sz w:val="20"/>
                <w:szCs w:val="20"/>
              </w:rPr>
              <w:t>Complete.</w:t>
            </w:r>
          </w:p>
          <w:p w:rsidR="00AB42BF" w:rsidRPr="00E80636" w:rsidRDefault="00AB42BF" w:rsidP="006C308E">
            <w:pPr>
              <w:ind w:right="63"/>
              <w:rPr>
                <w:rFonts w:asciiTheme="majorHAnsi" w:eastAsia="Arial" w:hAnsiTheme="majorHAnsi" w:cstheme="majorHAnsi"/>
                <w:sz w:val="20"/>
                <w:szCs w:val="20"/>
              </w:rPr>
            </w:pPr>
            <w:r w:rsidRPr="00E80636">
              <w:rPr>
                <w:rFonts w:asciiTheme="majorHAnsi" w:eastAsia="Arial" w:hAnsiTheme="majorHAnsi" w:cstheme="majorHAnsi"/>
                <w:sz w:val="20"/>
                <w:szCs w:val="20"/>
              </w:rPr>
              <w:t>After a full investigation of the syllabus, as well as interviews with the student and course instructor, the grievance committee recommended that the student receive an “A” grade for the course due to the ambiguity in the calculations. The recommendation from the committee was rejected by the senior associate dean of academic and research affairs and the dean.</w:t>
            </w:r>
          </w:p>
        </w:tc>
      </w:tr>
      <w:tr w:rsidR="00AB42BF" w:rsidRPr="00743A41" w:rsidTr="00AB42BF">
        <w:trPr>
          <w:cantSplit/>
        </w:trPr>
        <w:tc>
          <w:tcPr>
            <w:tcW w:w="1350" w:type="dxa"/>
          </w:tcPr>
          <w:p w:rsidR="00AB42BF" w:rsidRPr="00E80636" w:rsidRDefault="00AB42BF" w:rsidP="006C308E">
            <w:pPr>
              <w:ind w:right="63"/>
              <w:jc w:val="both"/>
              <w:rPr>
                <w:rFonts w:asciiTheme="majorHAnsi" w:eastAsia="Arial" w:hAnsiTheme="majorHAnsi" w:cstheme="majorHAnsi"/>
                <w:sz w:val="20"/>
                <w:szCs w:val="20"/>
              </w:rPr>
            </w:pPr>
            <w:r w:rsidRPr="00E80636">
              <w:rPr>
                <w:rFonts w:asciiTheme="majorHAnsi" w:eastAsia="Arial" w:hAnsiTheme="majorHAnsi" w:cstheme="majorHAnsi"/>
                <w:sz w:val="20"/>
                <w:szCs w:val="20"/>
              </w:rPr>
              <w:t>2019</w:t>
            </w:r>
          </w:p>
        </w:tc>
        <w:tc>
          <w:tcPr>
            <w:tcW w:w="3510" w:type="dxa"/>
          </w:tcPr>
          <w:p w:rsidR="00AB42BF" w:rsidRPr="00E80636" w:rsidRDefault="00AB42BF" w:rsidP="006C308E">
            <w:pPr>
              <w:ind w:right="63"/>
              <w:rPr>
                <w:rFonts w:asciiTheme="majorHAnsi" w:eastAsia="Arial" w:hAnsiTheme="majorHAnsi" w:cstheme="majorHAnsi"/>
                <w:sz w:val="20"/>
                <w:szCs w:val="20"/>
              </w:rPr>
            </w:pPr>
            <w:r w:rsidRPr="00E80636">
              <w:rPr>
                <w:rFonts w:asciiTheme="majorHAnsi" w:eastAsia="Arial" w:hAnsiTheme="majorHAnsi" w:cstheme="majorHAnsi"/>
                <w:sz w:val="20"/>
                <w:szCs w:val="20"/>
              </w:rPr>
              <w:t>The student contested a “Failure” grade for their doctoral preliminary exam and subsequent dismissal from the school. The student requested a “conditional pass” for an attempt to redo the failed portion of the exam.</w:t>
            </w:r>
          </w:p>
        </w:tc>
        <w:tc>
          <w:tcPr>
            <w:tcW w:w="3775" w:type="dxa"/>
          </w:tcPr>
          <w:p w:rsidR="00AB42BF" w:rsidRPr="00E80636" w:rsidRDefault="00AB42BF" w:rsidP="006C308E">
            <w:pPr>
              <w:ind w:right="63"/>
              <w:rPr>
                <w:rFonts w:asciiTheme="majorHAnsi" w:eastAsia="Arial" w:hAnsiTheme="majorHAnsi" w:cstheme="majorHAnsi"/>
                <w:b/>
                <w:sz w:val="20"/>
                <w:szCs w:val="20"/>
              </w:rPr>
            </w:pPr>
            <w:r w:rsidRPr="00E80636">
              <w:rPr>
                <w:rFonts w:asciiTheme="majorHAnsi" w:eastAsia="Arial" w:hAnsiTheme="majorHAnsi" w:cstheme="majorHAnsi"/>
                <w:b/>
                <w:sz w:val="20"/>
                <w:szCs w:val="20"/>
              </w:rPr>
              <w:t>Complete.</w:t>
            </w:r>
          </w:p>
          <w:p w:rsidR="00AB42BF" w:rsidRPr="00E80636" w:rsidRDefault="00AB42BF" w:rsidP="006C308E">
            <w:pPr>
              <w:ind w:right="63"/>
              <w:rPr>
                <w:rFonts w:asciiTheme="majorHAnsi" w:eastAsia="Arial" w:hAnsiTheme="majorHAnsi" w:cstheme="majorHAnsi"/>
                <w:sz w:val="20"/>
                <w:szCs w:val="20"/>
              </w:rPr>
            </w:pPr>
            <w:r w:rsidRPr="00E80636">
              <w:rPr>
                <w:rFonts w:asciiTheme="majorHAnsi" w:eastAsia="Arial" w:hAnsiTheme="majorHAnsi" w:cstheme="majorHAnsi"/>
                <w:sz w:val="20"/>
                <w:szCs w:val="20"/>
              </w:rPr>
              <w:t>The committee reviewed the guidelines and rules set forth by the department for the preliminary exam and found that the department had followed the procedure. The student’s request to receive a  “conditional pass”’ was denied.</w:t>
            </w:r>
          </w:p>
        </w:tc>
      </w:tr>
    </w:tbl>
    <w:p w:rsidR="00AB42BF" w:rsidRPr="00E80636" w:rsidRDefault="00AB42BF" w:rsidP="006C308E">
      <w:pPr>
        <w:ind w:left="720"/>
        <w:jc w:val="both"/>
        <w:rPr>
          <w:rFonts w:asciiTheme="majorHAnsi" w:hAnsiTheme="majorHAnsi" w:cstheme="majorHAnsi"/>
          <w:sz w:val="20"/>
          <w:szCs w:val="20"/>
        </w:rPr>
      </w:pPr>
    </w:p>
    <w:p w:rsidR="00933038" w:rsidRPr="00E80636" w:rsidRDefault="00933038" w:rsidP="006C308E">
      <w:pPr>
        <w:rPr>
          <w:rFonts w:asciiTheme="majorHAnsi" w:hAnsiTheme="majorHAnsi" w:cstheme="majorHAnsi"/>
          <w:sz w:val="20"/>
          <w:szCs w:val="20"/>
        </w:rPr>
      </w:pPr>
    </w:p>
    <w:p w:rsidR="00933038" w:rsidRPr="00E80636" w:rsidRDefault="00933038" w:rsidP="006C308E">
      <w:pPr>
        <w:numPr>
          <w:ilvl w:val="0"/>
          <w:numId w:val="49"/>
        </w:numPr>
        <w:jc w:val="both"/>
        <w:rPr>
          <w:rFonts w:asciiTheme="majorHAnsi" w:hAnsiTheme="majorHAnsi" w:cstheme="majorHAnsi"/>
          <w:sz w:val="20"/>
          <w:szCs w:val="20"/>
        </w:rPr>
      </w:pPr>
      <w:r w:rsidRPr="00E80636">
        <w:rPr>
          <w:rFonts w:asciiTheme="majorHAnsi" w:hAnsiTheme="majorHAnsi" w:cstheme="majorHAnsi"/>
          <w:sz w:val="20"/>
          <w:szCs w:val="20"/>
        </w:rPr>
        <w:t xml:space="preserve">If applicable, assess strengths and weaknesses related to this criterion and plans for improvement in this area. </w:t>
      </w:r>
    </w:p>
    <w:p w:rsidR="00933038" w:rsidRPr="00E80636" w:rsidRDefault="00933038" w:rsidP="006C308E">
      <w:pPr>
        <w:ind w:left="720"/>
        <w:jc w:val="both"/>
        <w:rPr>
          <w:rFonts w:asciiTheme="majorHAnsi" w:hAnsiTheme="majorHAnsi" w:cstheme="majorHAnsi"/>
          <w:sz w:val="20"/>
          <w:szCs w:val="20"/>
        </w:rPr>
      </w:pPr>
    </w:p>
    <w:p w:rsidR="008C321E" w:rsidRPr="00E80636" w:rsidRDefault="00263731" w:rsidP="006C308E">
      <w:pPr>
        <w:keepNext/>
        <w:ind w:left="720"/>
        <w:jc w:val="both"/>
        <w:rPr>
          <w:rFonts w:asciiTheme="majorHAnsi" w:eastAsia="Calibri" w:hAnsiTheme="majorHAnsi" w:cstheme="majorHAnsi"/>
          <w:i/>
          <w:sz w:val="20"/>
          <w:szCs w:val="20"/>
        </w:rPr>
      </w:pPr>
      <w:r w:rsidRPr="00E80636">
        <w:rPr>
          <w:rFonts w:asciiTheme="majorHAnsi" w:hAnsiTheme="majorHAnsi" w:cstheme="majorHAnsi"/>
          <w:i/>
          <w:sz w:val="20"/>
          <w:szCs w:val="20"/>
        </w:rPr>
        <w:t xml:space="preserve">Not applicable. </w:t>
      </w:r>
    </w:p>
    <w:p w:rsidR="00933038" w:rsidRPr="00E80636" w:rsidRDefault="00933038" w:rsidP="006C308E">
      <w:pPr>
        <w:ind w:left="720"/>
        <w:jc w:val="both"/>
        <w:rPr>
          <w:rFonts w:asciiTheme="majorHAnsi" w:hAnsiTheme="majorHAnsi" w:cstheme="majorHAnsi"/>
          <w:i/>
          <w:sz w:val="20"/>
          <w:szCs w:val="20"/>
        </w:rPr>
      </w:pPr>
    </w:p>
    <w:p w:rsidR="00933038" w:rsidRPr="00E80636" w:rsidRDefault="00933038" w:rsidP="006C308E">
      <w:pPr>
        <w:jc w:val="both"/>
        <w:rPr>
          <w:rFonts w:asciiTheme="majorHAnsi" w:hAnsiTheme="majorHAnsi" w:cstheme="majorHAnsi"/>
          <w:i/>
          <w:sz w:val="20"/>
          <w:szCs w:val="20"/>
        </w:rPr>
      </w:pPr>
    </w:p>
    <w:p w:rsidR="00933038" w:rsidRPr="00E80636" w:rsidRDefault="00933038" w:rsidP="006C308E">
      <w:pPr>
        <w:rPr>
          <w:rStyle w:val="Heading1Char"/>
        </w:rPr>
      </w:pPr>
      <w:bookmarkStart w:id="162" w:name="_Toc464487900"/>
      <w:r w:rsidRPr="00E80636">
        <w:rPr>
          <w:rStyle w:val="Heading1Char"/>
        </w:rPr>
        <w:br w:type="page"/>
      </w:r>
    </w:p>
    <w:p w:rsidR="00933038" w:rsidRPr="00E80636" w:rsidRDefault="00933038" w:rsidP="007A68BE">
      <w:pPr>
        <w:pStyle w:val="Heading1"/>
      </w:pPr>
      <w:bookmarkStart w:id="163" w:name="_H4._Student_Recruitment"/>
      <w:bookmarkStart w:id="164" w:name="_Toc7118233"/>
      <w:bookmarkEnd w:id="163"/>
      <w:r w:rsidRPr="00D32117">
        <w:rPr>
          <w:rStyle w:val="Heading1Char"/>
          <w:b/>
        </w:rPr>
        <w:t>H4. Student Recruitment and Admissions</w:t>
      </w:r>
      <w:bookmarkEnd w:id="162"/>
      <w:bookmarkEnd w:id="164"/>
      <w:r w:rsidRPr="00E80636">
        <w:t xml:space="preserve"> </w:t>
      </w:r>
    </w:p>
    <w:p w:rsidR="00933038" w:rsidRPr="00E80636" w:rsidRDefault="00933038" w:rsidP="006C308E">
      <w:pPr>
        <w:keepNext/>
        <w:ind w:left="720"/>
        <w:jc w:val="both"/>
        <w:rPr>
          <w:rFonts w:asciiTheme="majorHAnsi" w:hAnsiTheme="majorHAnsi" w:cstheme="majorHAnsi"/>
          <w:sz w:val="20"/>
          <w:szCs w:val="20"/>
        </w:rPr>
      </w:pPr>
    </w:p>
    <w:p w:rsidR="00933038" w:rsidRPr="00E80636" w:rsidRDefault="00933038" w:rsidP="006C308E">
      <w:pPr>
        <w:jc w:val="both"/>
        <w:rPr>
          <w:rFonts w:asciiTheme="majorHAnsi" w:hAnsiTheme="majorHAnsi" w:cstheme="majorHAnsi"/>
          <w:b/>
          <w:sz w:val="20"/>
          <w:szCs w:val="20"/>
        </w:rPr>
      </w:pPr>
      <w:r w:rsidRPr="00E80636">
        <w:rPr>
          <w:rFonts w:asciiTheme="majorHAnsi" w:hAnsiTheme="majorHAnsi" w:cstheme="majorHAnsi"/>
          <w:b/>
          <w:sz w:val="20"/>
          <w:szCs w:val="20"/>
        </w:rPr>
        <w:t>The school implements student recruitment and admissions policies and procedures designed to locate and select qualified individuals capable of taking advantage of the school’s various learning activities, which will enable each of them to develop competence for a career in public health.</w:t>
      </w:r>
    </w:p>
    <w:p w:rsidR="00933038" w:rsidRPr="00E80636" w:rsidRDefault="00933038" w:rsidP="006C308E">
      <w:pPr>
        <w:tabs>
          <w:tab w:val="num" w:pos="1101"/>
        </w:tabs>
        <w:jc w:val="both"/>
        <w:rPr>
          <w:rFonts w:asciiTheme="majorHAnsi" w:hAnsiTheme="majorHAnsi" w:cstheme="majorHAnsi"/>
          <w:sz w:val="20"/>
          <w:szCs w:val="20"/>
        </w:rPr>
      </w:pPr>
    </w:p>
    <w:p w:rsidR="00933038" w:rsidRPr="00E80636" w:rsidRDefault="00933038" w:rsidP="006C308E">
      <w:pPr>
        <w:pStyle w:val="ListParagraph"/>
        <w:numPr>
          <w:ilvl w:val="0"/>
          <w:numId w:val="50"/>
        </w:numPr>
        <w:jc w:val="both"/>
        <w:rPr>
          <w:rFonts w:asciiTheme="majorHAnsi" w:hAnsiTheme="majorHAnsi" w:cstheme="majorHAnsi"/>
          <w:szCs w:val="20"/>
        </w:rPr>
      </w:pPr>
      <w:r w:rsidRPr="00E80636">
        <w:rPr>
          <w:rFonts w:asciiTheme="majorHAnsi" w:hAnsiTheme="majorHAnsi" w:cstheme="majorHAnsi"/>
          <w:szCs w:val="20"/>
        </w:rPr>
        <w:t xml:space="preserve">Describe the school’s recruitment activities. If these differ by degree (eg, bachelor’s vs. graduate degrees), a description should be provided for each. </w:t>
      </w:r>
    </w:p>
    <w:p w:rsidR="00933038" w:rsidRPr="00E80636" w:rsidRDefault="00933038" w:rsidP="006C308E">
      <w:pPr>
        <w:rPr>
          <w:rFonts w:asciiTheme="majorHAnsi" w:hAnsiTheme="majorHAnsi" w:cstheme="majorHAnsi"/>
          <w:sz w:val="20"/>
          <w:szCs w:val="20"/>
        </w:rPr>
      </w:pPr>
    </w:p>
    <w:p w:rsidR="00D32117" w:rsidRDefault="00D32117" w:rsidP="00D32117">
      <w:pPr>
        <w:ind w:left="720"/>
        <w:rPr>
          <w:rFonts w:asciiTheme="majorHAnsi" w:eastAsia="Arial" w:hAnsiTheme="majorHAnsi" w:cstheme="majorHAnsi"/>
          <w:sz w:val="20"/>
          <w:szCs w:val="20"/>
        </w:rPr>
      </w:pPr>
      <w:r>
        <w:rPr>
          <w:rFonts w:asciiTheme="majorHAnsi" w:eastAsia="Arial" w:hAnsiTheme="majorHAnsi" w:cstheme="majorHAnsi"/>
          <w:sz w:val="20"/>
          <w:szCs w:val="20"/>
        </w:rPr>
        <w:t xml:space="preserve">The UTHealth School of Public Health conducts recruitment through a variety of mechanisms to identify candidates who are highly qualified, capable individuals who will contribute to public health practice and population health. The OAASS is responsible for hosting school-wide recruitment events such as career and virtual fairs and social marketing campaigns, and departments and campuses reach out to specific audiences that align with their campus and department priorities. Mechanism for recruitment include career fairs, visiting undergraduate campuses, conference participation and social media marketing. </w:t>
      </w:r>
    </w:p>
    <w:p w:rsidR="00933038" w:rsidRPr="00E80636" w:rsidRDefault="00933038" w:rsidP="006C308E">
      <w:pPr>
        <w:ind w:left="720"/>
        <w:jc w:val="both"/>
        <w:rPr>
          <w:rFonts w:asciiTheme="majorHAnsi" w:hAnsiTheme="majorHAnsi" w:cstheme="majorHAnsi"/>
          <w:sz w:val="20"/>
          <w:szCs w:val="20"/>
        </w:rPr>
      </w:pPr>
    </w:p>
    <w:p w:rsidR="00933038" w:rsidRPr="00E80636" w:rsidRDefault="00933038" w:rsidP="006C308E">
      <w:pPr>
        <w:pStyle w:val="ListParagraph"/>
        <w:numPr>
          <w:ilvl w:val="0"/>
          <w:numId w:val="50"/>
        </w:numPr>
        <w:jc w:val="both"/>
        <w:rPr>
          <w:rFonts w:asciiTheme="majorHAnsi" w:hAnsiTheme="majorHAnsi" w:cstheme="majorHAnsi"/>
          <w:szCs w:val="20"/>
        </w:rPr>
      </w:pPr>
      <w:r w:rsidRPr="00E80636">
        <w:rPr>
          <w:rFonts w:asciiTheme="majorHAnsi" w:hAnsiTheme="majorHAnsi" w:cstheme="majorHAnsi"/>
          <w:szCs w:val="20"/>
        </w:rPr>
        <w:t xml:space="preserve">Provide a statement of admissions policies and procedures. If these differ by degree (eg, bachelor’s vs. graduate degrees), a description should be provided for each. </w:t>
      </w:r>
    </w:p>
    <w:p w:rsidR="00933038" w:rsidRPr="00E80636" w:rsidRDefault="00933038" w:rsidP="006C308E">
      <w:pPr>
        <w:jc w:val="both"/>
        <w:rPr>
          <w:rFonts w:asciiTheme="majorHAnsi" w:hAnsiTheme="majorHAnsi" w:cstheme="majorHAnsi"/>
          <w:sz w:val="20"/>
          <w:szCs w:val="20"/>
        </w:rPr>
      </w:pPr>
    </w:p>
    <w:p w:rsidR="00D32117" w:rsidRDefault="00D32117" w:rsidP="00D32117">
      <w:pPr>
        <w:ind w:left="720"/>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Admissions policies and procedures are decided by the School-wide Admissions Committee and communicated to departments and campuses through admission representatives. Admissions decisions on applications to specific degree programs are made by departments and campus committees and processed through the OOASS to ensure policies and procedures are being applied correctly. </w:t>
      </w:r>
    </w:p>
    <w:p w:rsidR="00D32117" w:rsidRDefault="00D32117" w:rsidP="00D32117">
      <w:pPr>
        <w:ind w:left="720"/>
        <w:rPr>
          <w:rFonts w:asciiTheme="majorHAnsi" w:eastAsia="Times New Roman" w:hAnsiTheme="majorHAnsi" w:cstheme="majorHAnsi"/>
          <w:sz w:val="20"/>
          <w:szCs w:val="20"/>
        </w:rPr>
      </w:pPr>
    </w:p>
    <w:p w:rsidR="00D32117" w:rsidRDefault="00D32117" w:rsidP="00D32117">
      <w:pPr>
        <w:ind w:left="720"/>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The UTHealth School of Public Health uses the </w:t>
      </w:r>
      <w:r w:rsidRPr="00E80636">
        <w:rPr>
          <w:rFonts w:asciiTheme="majorHAnsi" w:eastAsia="Times New Roman" w:hAnsiTheme="majorHAnsi" w:cstheme="majorHAnsi"/>
          <w:sz w:val="20"/>
          <w:szCs w:val="20"/>
        </w:rPr>
        <w:t>Schools of Public Health Application Service application (SOPHAS)</w:t>
      </w:r>
      <w:r>
        <w:rPr>
          <w:rFonts w:asciiTheme="majorHAnsi" w:eastAsia="Times New Roman" w:hAnsiTheme="majorHAnsi" w:cstheme="majorHAnsi"/>
          <w:sz w:val="20"/>
          <w:szCs w:val="20"/>
        </w:rPr>
        <w:t xml:space="preserve"> as its application and reporting portal. </w:t>
      </w:r>
      <w:r w:rsidRPr="00E80636">
        <w:rPr>
          <w:rFonts w:asciiTheme="majorHAnsi" w:eastAsia="Times New Roman" w:hAnsiTheme="majorHAnsi" w:cstheme="majorHAnsi"/>
          <w:color w:val="000000"/>
          <w:sz w:val="20"/>
          <w:szCs w:val="20"/>
        </w:rPr>
        <w:t xml:space="preserve">The </w:t>
      </w:r>
      <w:r>
        <w:rPr>
          <w:rFonts w:asciiTheme="majorHAnsi" w:eastAsia="Times New Roman" w:hAnsiTheme="majorHAnsi" w:cstheme="majorHAnsi"/>
          <w:color w:val="000000"/>
          <w:sz w:val="20"/>
          <w:szCs w:val="20"/>
        </w:rPr>
        <w:t xml:space="preserve">OAASS </w:t>
      </w:r>
      <w:r w:rsidRPr="00E80636">
        <w:rPr>
          <w:rFonts w:asciiTheme="majorHAnsi" w:eastAsia="Times New Roman" w:hAnsiTheme="majorHAnsi" w:cstheme="majorHAnsi"/>
          <w:color w:val="000000"/>
          <w:sz w:val="20"/>
          <w:szCs w:val="20"/>
        </w:rPr>
        <w:t xml:space="preserve">receives and processes all applications, ensuring that applicants submit all required documentation and meet minimum criteria and requirements. Only complete applications, including official test score reports, letters of </w:t>
      </w:r>
      <w:r w:rsidRPr="00E80636">
        <w:rPr>
          <w:rFonts w:asciiTheme="majorHAnsi" w:eastAsia="Times New Roman" w:hAnsiTheme="majorHAnsi" w:cstheme="majorHAnsi"/>
          <w:sz w:val="20"/>
          <w:szCs w:val="20"/>
        </w:rPr>
        <w:t>recommendation, statement of purpose and objectives and official transcripts, receive further consideration by the departments and campuses for admission. Complete applications are then forwarded to the appropriate academic programs and campuses for review by designated program/campus faculty.</w:t>
      </w:r>
      <w:r>
        <w:rPr>
          <w:rFonts w:asciiTheme="majorHAnsi" w:eastAsia="Times New Roman" w:hAnsiTheme="majorHAnsi" w:cstheme="majorHAnsi"/>
          <w:sz w:val="20"/>
          <w:szCs w:val="20"/>
        </w:rPr>
        <w:t xml:space="preserve"> At the department and campus level, a committee of three–five faculty members are responsible for reviewing and wetting candidate. </w:t>
      </w:r>
    </w:p>
    <w:p w:rsidR="00D32117" w:rsidRDefault="00D32117" w:rsidP="00D32117">
      <w:pPr>
        <w:ind w:left="720"/>
        <w:rPr>
          <w:rFonts w:asciiTheme="majorHAnsi" w:eastAsia="Times New Roman" w:hAnsiTheme="majorHAnsi" w:cstheme="majorHAnsi"/>
          <w:sz w:val="20"/>
          <w:szCs w:val="20"/>
        </w:rPr>
      </w:pPr>
    </w:p>
    <w:p w:rsidR="00D32117" w:rsidRPr="00E80636" w:rsidRDefault="00D32117" w:rsidP="00D32117">
      <w:pPr>
        <w:ind w:left="720"/>
        <w:rPr>
          <w:rFonts w:asciiTheme="majorHAnsi" w:eastAsia="Times New Roman" w:hAnsiTheme="majorHAnsi" w:cstheme="majorHAnsi"/>
          <w:sz w:val="20"/>
          <w:szCs w:val="20"/>
        </w:rPr>
      </w:pPr>
      <w:r w:rsidRPr="00E80636">
        <w:rPr>
          <w:rFonts w:asciiTheme="majorHAnsi" w:eastAsia="Times New Roman" w:hAnsiTheme="majorHAnsi" w:cstheme="majorHAnsi"/>
          <w:color w:val="000000"/>
          <w:sz w:val="20"/>
          <w:szCs w:val="20"/>
        </w:rPr>
        <w:t>Applicants to the master’s (MPH</w:t>
      </w:r>
      <w:r>
        <w:rPr>
          <w:rFonts w:asciiTheme="majorHAnsi" w:eastAsia="Times New Roman" w:hAnsiTheme="majorHAnsi" w:cstheme="majorHAnsi"/>
          <w:color w:val="000000"/>
          <w:sz w:val="20"/>
          <w:szCs w:val="20"/>
        </w:rPr>
        <w:t xml:space="preserve"> or MS</w:t>
      </w:r>
      <w:r w:rsidRPr="00E80636">
        <w:rPr>
          <w:rFonts w:asciiTheme="majorHAnsi" w:eastAsia="Times New Roman" w:hAnsiTheme="majorHAnsi" w:cstheme="majorHAnsi"/>
          <w:color w:val="000000"/>
          <w:sz w:val="20"/>
          <w:szCs w:val="20"/>
        </w:rPr>
        <w:t xml:space="preserve">) or doctoral (DrPH or PhD) degree programs at the </w:t>
      </w:r>
      <w:r>
        <w:rPr>
          <w:rFonts w:asciiTheme="majorHAnsi" w:eastAsia="Times New Roman" w:hAnsiTheme="majorHAnsi" w:cstheme="majorHAnsi"/>
          <w:color w:val="000000"/>
          <w:sz w:val="20"/>
          <w:szCs w:val="20"/>
        </w:rPr>
        <w:t>all campuse</w:t>
      </w:r>
      <w:r w:rsidRPr="00E80636">
        <w:rPr>
          <w:rFonts w:asciiTheme="majorHAnsi" w:eastAsia="Times New Roman" w:hAnsiTheme="majorHAnsi" w:cstheme="majorHAnsi"/>
          <w:color w:val="000000"/>
          <w:sz w:val="20"/>
          <w:szCs w:val="20"/>
        </w:rPr>
        <w:t xml:space="preserve">s may apply to a specialization offered within one of the school’s four academic departments. The application processes are the same for both part-time and full-time applicants. </w:t>
      </w:r>
    </w:p>
    <w:p w:rsidR="00D32117" w:rsidRPr="00E80636" w:rsidRDefault="00D32117" w:rsidP="00D32117">
      <w:pPr>
        <w:ind w:left="720"/>
        <w:rPr>
          <w:rFonts w:asciiTheme="majorHAnsi" w:eastAsia="Times New Roman" w:hAnsiTheme="majorHAnsi" w:cstheme="majorHAnsi"/>
          <w:sz w:val="20"/>
          <w:szCs w:val="20"/>
        </w:rPr>
      </w:pPr>
    </w:p>
    <w:p w:rsidR="00D32117" w:rsidRPr="00E80636" w:rsidRDefault="00D32117" w:rsidP="00D32117">
      <w:pPr>
        <w:ind w:left="720"/>
        <w:rPr>
          <w:rFonts w:asciiTheme="majorHAnsi" w:eastAsia="Times New Roman" w:hAnsiTheme="majorHAnsi" w:cstheme="majorHAnsi"/>
          <w:color w:val="FF0000"/>
          <w:sz w:val="20"/>
          <w:szCs w:val="20"/>
        </w:rPr>
      </w:pPr>
      <w:r w:rsidRPr="00E80636">
        <w:rPr>
          <w:rFonts w:asciiTheme="majorHAnsi" w:eastAsia="Times New Roman" w:hAnsiTheme="majorHAnsi" w:cstheme="majorHAnsi"/>
          <w:color w:val="000000"/>
          <w:sz w:val="20"/>
          <w:szCs w:val="20"/>
        </w:rPr>
        <w:t xml:space="preserve">Students seeking admission to the dual-degree programs must meet the application requirements of both partnership schools. Admission to one program does not guarantee </w:t>
      </w:r>
      <w:r w:rsidRPr="00E80636">
        <w:rPr>
          <w:rFonts w:asciiTheme="majorHAnsi" w:eastAsia="Times New Roman" w:hAnsiTheme="majorHAnsi" w:cstheme="majorHAnsi"/>
          <w:sz w:val="20"/>
          <w:szCs w:val="20"/>
        </w:rPr>
        <w:t>admission to the other school or program. After students are admitted to both schools and programs, they are then identified and coded as a dual-degree student to properly track share credit hours.</w:t>
      </w:r>
    </w:p>
    <w:p w:rsidR="00D32117" w:rsidRPr="00E80636" w:rsidRDefault="00D32117" w:rsidP="00D32117">
      <w:pPr>
        <w:rPr>
          <w:rFonts w:asciiTheme="majorHAnsi" w:eastAsia="Times New Roman" w:hAnsiTheme="majorHAnsi" w:cstheme="majorHAnsi"/>
          <w:sz w:val="20"/>
          <w:szCs w:val="20"/>
        </w:rPr>
      </w:pPr>
    </w:p>
    <w:p w:rsidR="00D32117" w:rsidRDefault="00D32117" w:rsidP="00D32117">
      <w:pPr>
        <w:ind w:left="720"/>
        <w:rPr>
          <w:rFonts w:asciiTheme="majorHAnsi" w:eastAsia="Times New Roman" w:hAnsiTheme="majorHAnsi" w:cstheme="majorHAnsi"/>
          <w:color w:val="000000"/>
          <w:sz w:val="20"/>
          <w:szCs w:val="20"/>
        </w:rPr>
      </w:pPr>
      <w:r w:rsidRPr="00E80636">
        <w:rPr>
          <w:rFonts w:asciiTheme="majorHAnsi" w:eastAsia="Times New Roman" w:hAnsiTheme="majorHAnsi" w:cstheme="majorHAnsi"/>
          <w:color w:val="000000"/>
          <w:sz w:val="20"/>
          <w:szCs w:val="20"/>
        </w:rPr>
        <w:t>Admissions criteria for the UTHealth School of Public Health g</w:t>
      </w:r>
      <w:r>
        <w:rPr>
          <w:rFonts w:asciiTheme="majorHAnsi" w:eastAsia="Times New Roman" w:hAnsiTheme="majorHAnsi" w:cstheme="majorHAnsi"/>
          <w:color w:val="000000"/>
          <w:sz w:val="20"/>
          <w:szCs w:val="20"/>
        </w:rPr>
        <w:t>raduate programs.</w:t>
      </w:r>
    </w:p>
    <w:p w:rsidR="00D32117" w:rsidRPr="008B4B70" w:rsidRDefault="00D32117" w:rsidP="00D32117">
      <w:pPr>
        <w:pStyle w:val="ListParagraph"/>
        <w:numPr>
          <w:ilvl w:val="0"/>
          <w:numId w:val="211"/>
        </w:numPr>
        <w:rPr>
          <w:rFonts w:asciiTheme="majorHAnsi" w:hAnsiTheme="majorHAnsi" w:cstheme="majorHAnsi"/>
          <w:szCs w:val="20"/>
        </w:rPr>
      </w:pPr>
      <w:r w:rsidRPr="008B4B70">
        <w:rPr>
          <w:rFonts w:asciiTheme="majorHAnsi" w:hAnsiTheme="majorHAnsi" w:cstheme="majorHAnsi"/>
          <w:color w:val="000000"/>
          <w:szCs w:val="20"/>
        </w:rPr>
        <w:t>Requirements include</w:t>
      </w:r>
      <w:r>
        <w:rPr>
          <w:rFonts w:asciiTheme="majorHAnsi" w:hAnsiTheme="majorHAnsi" w:cstheme="majorHAnsi"/>
          <w:color w:val="000000"/>
          <w:szCs w:val="20"/>
        </w:rPr>
        <w:t>:</w:t>
      </w:r>
    </w:p>
    <w:p w:rsidR="00D32117" w:rsidRDefault="00D32117" w:rsidP="00D32117">
      <w:pPr>
        <w:pStyle w:val="ListParagraph"/>
        <w:numPr>
          <w:ilvl w:val="0"/>
          <w:numId w:val="212"/>
        </w:numPr>
        <w:textAlignment w:val="baseline"/>
        <w:rPr>
          <w:rFonts w:asciiTheme="majorHAnsi" w:hAnsiTheme="majorHAnsi" w:cstheme="majorHAnsi"/>
          <w:color w:val="000000"/>
          <w:szCs w:val="20"/>
        </w:rPr>
      </w:pPr>
      <w:r w:rsidRPr="008B4B70">
        <w:rPr>
          <w:rFonts w:asciiTheme="majorHAnsi" w:hAnsiTheme="majorHAnsi" w:cstheme="majorHAnsi"/>
          <w:color w:val="000000"/>
          <w:szCs w:val="20"/>
        </w:rPr>
        <w:t xml:space="preserve">A baccalaureate or advanced degree in an appropriate field (e.g., MD, DDS, DO, PharmD, DVM) from an accredited university or school is required. </w:t>
      </w:r>
    </w:p>
    <w:p w:rsidR="00D32117" w:rsidRDefault="00D32117" w:rsidP="00D32117">
      <w:pPr>
        <w:pStyle w:val="ListParagraph"/>
        <w:numPr>
          <w:ilvl w:val="0"/>
          <w:numId w:val="212"/>
        </w:numPr>
        <w:textAlignment w:val="baseline"/>
        <w:rPr>
          <w:rFonts w:asciiTheme="majorHAnsi" w:hAnsiTheme="majorHAnsi" w:cstheme="majorHAnsi"/>
          <w:color w:val="000000"/>
          <w:szCs w:val="20"/>
        </w:rPr>
      </w:pPr>
      <w:r w:rsidRPr="00E80636">
        <w:rPr>
          <w:rFonts w:asciiTheme="majorHAnsi" w:hAnsiTheme="majorHAnsi" w:cstheme="majorHAnsi"/>
          <w:color w:val="000000"/>
          <w:szCs w:val="20"/>
        </w:rPr>
        <w:t>C</w:t>
      </w:r>
      <w:r w:rsidRPr="008B4B70">
        <w:rPr>
          <w:rFonts w:asciiTheme="majorHAnsi" w:hAnsiTheme="majorHAnsi" w:cstheme="majorHAnsi"/>
          <w:color w:val="000000"/>
          <w:szCs w:val="20"/>
        </w:rPr>
        <w:t>ompletion of the SOPHAS application proces</w:t>
      </w:r>
      <w:r>
        <w:rPr>
          <w:rFonts w:asciiTheme="majorHAnsi" w:hAnsiTheme="majorHAnsi" w:cstheme="majorHAnsi"/>
          <w:color w:val="000000"/>
          <w:szCs w:val="20"/>
        </w:rPr>
        <w:t>s (including corresponding fee).</w:t>
      </w:r>
    </w:p>
    <w:p w:rsidR="00D32117" w:rsidRPr="00E80636" w:rsidRDefault="00D32117" w:rsidP="00D32117">
      <w:pPr>
        <w:pStyle w:val="ListParagraph"/>
        <w:numPr>
          <w:ilvl w:val="0"/>
          <w:numId w:val="212"/>
        </w:numPr>
        <w:textAlignment w:val="baseline"/>
        <w:rPr>
          <w:rFonts w:asciiTheme="majorHAnsi" w:hAnsiTheme="majorHAnsi" w:cstheme="majorHAnsi"/>
          <w:color w:val="000000"/>
          <w:szCs w:val="20"/>
        </w:rPr>
      </w:pPr>
      <w:r w:rsidRPr="00E80636">
        <w:rPr>
          <w:rFonts w:asciiTheme="majorHAnsi" w:hAnsiTheme="majorHAnsi" w:cstheme="majorHAnsi"/>
          <w:color w:val="000000"/>
          <w:szCs w:val="20"/>
        </w:rPr>
        <w:t>A personal statement (statement of purpose and objectives) that describes the applicant’s educational and career goals, health-related, research, community service and leadership experiences and interest in public health</w:t>
      </w:r>
      <w:r>
        <w:rPr>
          <w:rFonts w:asciiTheme="majorHAnsi" w:hAnsiTheme="majorHAnsi" w:cstheme="majorHAnsi"/>
          <w:color w:val="000000"/>
          <w:szCs w:val="20"/>
        </w:rPr>
        <w:t xml:space="preserve"> is required.</w:t>
      </w:r>
    </w:p>
    <w:p w:rsidR="00D32117" w:rsidRPr="003710C3" w:rsidRDefault="00D32117" w:rsidP="00D32117">
      <w:pPr>
        <w:pStyle w:val="ListParagraph"/>
        <w:numPr>
          <w:ilvl w:val="0"/>
          <w:numId w:val="212"/>
        </w:numPr>
        <w:textAlignment w:val="baseline"/>
        <w:rPr>
          <w:rFonts w:asciiTheme="majorHAnsi" w:hAnsiTheme="majorHAnsi" w:cstheme="majorHAnsi"/>
          <w:color w:val="000000"/>
          <w:szCs w:val="20"/>
        </w:rPr>
      </w:pPr>
      <w:r w:rsidRPr="008B4B70">
        <w:rPr>
          <w:rFonts w:asciiTheme="majorHAnsi" w:hAnsiTheme="majorHAnsi" w:cstheme="majorHAnsi"/>
          <w:szCs w:val="20"/>
        </w:rPr>
        <w:t>Three letters of recommendation from officials or faculty members of institutions previously attended who can attest to the applicant’s academic or professional performance, ability, motivation, and character</w:t>
      </w:r>
      <w:r>
        <w:rPr>
          <w:rFonts w:asciiTheme="majorHAnsi" w:hAnsiTheme="majorHAnsi" w:cstheme="majorHAnsi"/>
          <w:szCs w:val="20"/>
        </w:rPr>
        <w:t>.</w:t>
      </w:r>
    </w:p>
    <w:p w:rsidR="00D32117" w:rsidRPr="003710C3" w:rsidRDefault="00D32117" w:rsidP="00D32117">
      <w:pPr>
        <w:pStyle w:val="ListParagraph"/>
        <w:numPr>
          <w:ilvl w:val="0"/>
          <w:numId w:val="212"/>
        </w:numPr>
        <w:textAlignment w:val="baseline"/>
        <w:rPr>
          <w:rFonts w:asciiTheme="majorHAnsi" w:hAnsiTheme="majorHAnsi" w:cstheme="majorHAnsi"/>
          <w:color w:val="000000"/>
          <w:szCs w:val="20"/>
        </w:rPr>
      </w:pPr>
      <w:r w:rsidRPr="00E80636">
        <w:rPr>
          <w:rFonts w:asciiTheme="majorHAnsi" w:hAnsiTheme="majorHAnsi" w:cstheme="majorHAnsi"/>
          <w:szCs w:val="20"/>
        </w:rPr>
        <w:t>Applicants from countries where English is not the parent language are required to take the Test of English as a Foreign Language (TOEFL).</w:t>
      </w:r>
    </w:p>
    <w:p w:rsidR="00D32117" w:rsidRPr="003710C3" w:rsidRDefault="00D32117" w:rsidP="00D32117">
      <w:pPr>
        <w:pStyle w:val="ListParagraph"/>
        <w:numPr>
          <w:ilvl w:val="1"/>
          <w:numId w:val="212"/>
        </w:numPr>
        <w:ind w:right="146"/>
        <w:rPr>
          <w:rFonts w:asciiTheme="majorHAnsi" w:hAnsiTheme="majorHAnsi" w:cstheme="majorHAnsi"/>
          <w:szCs w:val="20"/>
        </w:rPr>
      </w:pPr>
      <w:r w:rsidRPr="003710C3">
        <w:rPr>
          <w:rFonts w:asciiTheme="majorHAnsi" w:hAnsiTheme="majorHAnsi" w:cstheme="majorHAnsi"/>
          <w:szCs w:val="20"/>
        </w:rPr>
        <w:t xml:space="preserve">This requirement applies even if the applicant attended a U.S. graduate institution (only master’s level education), or had postsecondary education conducted in English. A minimum acceptable score of 600 on paper-based TOEFL, 250 on computer-based TOEFL, or 100 on internet-based TOEFL is required for admission. International applicants also have the option to take the International English Language Testing System (IELTS) and must score a minimum of 7.5. Test scores are valid for two years from the test date. The UTHealth School of Public Health offers TOEFL/IELTS waivers, which are granted only if the following criteria are met: (1) if the applicant is a Permanent Resident or Citizen of the United States; and/or (2) the applicant completed an undergraduate degree or doctoral degree in the U.S.; and/or (3) the </w:t>
      </w:r>
      <w:r w:rsidRPr="00D32117">
        <w:rPr>
          <w:rFonts w:asciiTheme="majorHAnsi" w:hAnsiTheme="majorHAnsi" w:cstheme="majorHAnsi"/>
          <w:szCs w:val="20"/>
          <w:lang w:val="en"/>
        </w:rPr>
        <w:t xml:space="preserve">applicant’s </w:t>
      </w:r>
      <w:r w:rsidRPr="00D32117">
        <w:rPr>
          <w:rFonts w:asciiTheme="majorHAnsi" w:hAnsiTheme="majorHAnsi" w:cstheme="majorHAnsi"/>
          <w:i/>
          <w:szCs w:val="20"/>
          <w:lang w:val="en"/>
        </w:rPr>
        <w:t>country of origin</w:t>
      </w:r>
      <w:r w:rsidRPr="003710C3">
        <w:rPr>
          <w:rFonts w:asciiTheme="majorHAnsi" w:hAnsiTheme="majorHAnsi" w:cstheme="majorHAnsi"/>
          <w:szCs w:val="20"/>
          <w:lang w:val="en"/>
        </w:rPr>
        <w:t xml:space="preserve"> is one of the following English-speaking countries: Australia, Bahamas, Canada, Ireland, Jamaica, New Zealand, Trinidad and Tobago, Uganda, and United Kingdom.</w:t>
      </w:r>
    </w:p>
    <w:p w:rsidR="00D32117" w:rsidRDefault="00D32117" w:rsidP="00D32117">
      <w:pPr>
        <w:pStyle w:val="ListParagraph"/>
        <w:numPr>
          <w:ilvl w:val="0"/>
          <w:numId w:val="212"/>
        </w:numPr>
        <w:rPr>
          <w:rFonts w:asciiTheme="majorHAnsi" w:hAnsiTheme="majorHAnsi" w:cstheme="majorHAnsi"/>
          <w:szCs w:val="20"/>
        </w:rPr>
      </w:pPr>
      <w:r w:rsidRPr="003710C3">
        <w:rPr>
          <w:rFonts w:asciiTheme="majorHAnsi" w:hAnsiTheme="majorHAnsi" w:cstheme="majorHAnsi"/>
          <w:szCs w:val="20"/>
        </w:rPr>
        <w:t>Applicants who hold degrees from institutions outside of the United States must submit their transcripts for an educational credential evaluation and determination of U.S. equivalency. Applicants often include published papers, reports, or other materials that may provide further information on the applicant’s capability and performance. Specific candidates seeking admission to the UTHealth School of Public Health doctoral programs in Health Promotion and Behavioral Sciences must also submit a writing sample.</w:t>
      </w:r>
    </w:p>
    <w:p w:rsidR="00D32117" w:rsidRPr="00E80636" w:rsidRDefault="00D32117" w:rsidP="00D32117">
      <w:pPr>
        <w:pStyle w:val="ListParagraph"/>
        <w:numPr>
          <w:ilvl w:val="0"/>
          <w:numId w:val="212"/>
        </w:numPr>
        <w:ind w:right="146"/>
        <w:textAlignment w:val="baseline"/>
        <w:rPr>
          <w:rFonts w:asciiTheme="majorHAnsi" w:hAnsiTheme="majorHAnsi" w:cstheme="majorHAnsi"/>
          <w:szCs w:val="20"/>
        </w:rPr>
      </w:pPr>
      <w:r w:rsidRPr="00E80636">
        <w:rPr>
          <w:rFonts w:asciiTheme="majorHAnsi" w:hAnsiTheme="majorHAnsi" w:cstheme="majorHAnsi"/>
          <w:szCs w:val="20"/>
        </w:rPr>
        <w:t>Applicants seeking admissions to doctoral programs, may be required to participate in a formal interview process dictated by the academic program.</w:t>
      </w:r>
    </w:p>
    <w:p w:rsidR="00D32117" w:rsidRDefault="00D32117" w:rsidP="00D32117">
      <w:pPr>
        <w:pStyle w:val="ListParagraph"/>
        <w:numPr>
          <w:ilvl w:val="0"/>
          <w:numId w:val="120"/>
        </w:numPr>
        <w:textAlignment w:val="baseline"/>
        <w:rPr>
          <w:rFonts w:asciiTheme="majorHAnsi" w:hAnsiTheme="majorHAnsi" w:cstheme="majorHAnsi"/>
          <w:color w:val="000000"/>
          <w:szCs w:val="20"/>
        </w:rPr>
      </w:pPr>
      <w:r>
        <w:rPr>
          <w:rFonts w:asciiTheme="majorHAnsi" w:hAnsiTheme="majorHAnsi" w:cstheme="majorHAnsi"/>
          <w:color w:val="000000"/>
          <w:szCs w:val="20"/>
        </w:rPr>
        <w:t>Recommendations include:</w:t>
      </w:r>
    </w:p>
    <w:p w:rsidR="00D32117" w:rsidRDefault="00D32117" w:rsidP="00D32117">
      <w:pPr>
        <w:pStyle w:val="ListParagraph"/>
        <w:numPr>
          <w:ilvl w:val="1"/>
          <w:numId w:val="120"/>
        </w:numPr>
        <w:ind w:left="1800"/>
        <w:textAlignment w:val="baseline"/>
        <w:rPr>
          <w:rFonts w:asciiTheme="majorHAnsi" w:hAnsiTheme="majorHAnsi" w:cstheme="majorHAnsi"/>
          <w:color w:val="000000"/>
          <w:szCs w:val="20"/>
        </w:rPr>
      </w:pPr>
      <w:r w:rsidRPr="008B4B70">
        <w:rPr>
          <w:rFonts w:asciiTheme="majorHAnsi" w:hAnsiTheme="majorHAnsi" w:cstheme="majorHAnsi"/>
          <w:color w:val="000000"/>
          <w:szCs w:val="20"/>
        </w:rPr>
        <w:t xml:space="preserve">A minimum preferred GPA of 3.0 on a 4.0 scale </w:t>
      </w:r>
    </w:p>
    <w:p w:rsidR="00D32117" w:rsidRPr="008B4B70" w:rsidRDefault="00D32117" w:rsidP="00D32117">
      <w:pPr>
        <w:pStyle w:val="ListParagraph"/>
        <w:numPr>
          <w:ilvl w:val="1"/>
          <w:numId w:val="120"/>
        </w:numPr>
        <w:ind w:left="1800"/>
        <w:textAlignment w:val="baseline"/>
        <w:rPr>
          <w:rFonts w:asciiTheme="majorHAnsi" w:hAnsiTheme="majorHAnsi" w:cstheme="majorHAnsi"/>
          <w:color w:val="000000"/>
          <w:szCs w:val="20"/>
        </w:rPr>
      </w:pPr>
      <w:r w:rsidRPr="008B4B70">
        <w:rPr>
          <w:rFonts w:asciiTheme="majorHAnsi" w:hAnsiTheme="majorHAnsi" w:cstheme="majorHAnsi"/>
          <w:color w:val="000000"/>
          <w:szCs w:val="20"/>
        </w:rPr>
        <w:t>Proficiency in basic mathematical or other quantitative skills documented in the applicant’s transcripts or a statement that documents how this proficiency was achieved or will be achieved prior to enrollment.</w:t>
      </w:r>
    </w:p>
    <w:p w:rsidR="00D32117" w:rsidRPr="00E80636" w:rsidRDefault="00D32117" w:rsidP="00D32117">
      <w:pPr>
        <w:pStyle w:val="ListParagraph"/>
        <w:numPr>
          <w:ilvl w:val="1"/>
          <w:numId w:val="120"/>
        </w:numPr>
        <w:ind w:left="1800"/>
        <w:textAlignment w:val="baseline"/>
        <w:rPr>
          <w:rFonts w:asciiTheme="majorHAnsi" w:hAnsiTheme="majorHAnsi" w:cstheme="majorHAnsi"/>
          <w:szCs w:val="20"/>
        </w:rPr>
      </w:pPr>
      <w:r w:rsidRPr="00E80636">
        <w:rPr>
          <w:rFonts w:asciiTheme="majorHAnsi" w:hAnsiTheme="majorHAnsi" w:cstheme="majorHAnsi"/>
          <w:szCs w:val="20"/>
        </w:rPr>
        <w:t>Satisfactory results from the Graduate Record Examination (GRE) completed no more than five years prior to the application date, a minimum preferred score of 298 for Master’s applicants and 308 for doctoral applicants. If the applicant has a doctoral degree from an accredited U.S. university, the GRE may be waived, following an assessment of the individual academic record.</w:t>
      </w:r>
    </w:p>
    <w:p w:rsidR="00C844F1" w:rsidRPr="00E80636" w:rsidRDefault="00C844F1" w:rsidP="006C308E">
      <w:pPr>
        <w:ind w:left="720"/>
        <w:jc w:val="both"/>
        <w:rPr>
          <w:rFonts w:asciiTheme="majorHAnsi" w:hAnsiTheme="majorHAnsi" w:cstheme="majorHAnsi"/>
          <w:sz w:val="20"/>
          <w:szCs w:val="20"/>
        </w:rPr>
      </w:pPr>
    </w:p>
    <w:p w:rsidR="00933038" w:rsidRPr="00E80636" w:rsidRDefault="00933038" w:rsidP="006C308E">
      <w:pPr>
        <w:numPr>
          <w:ilvl w:val="0"/>
          <w:numId w:val="50"/>
        </w:numPr>
        <w:jc w:val="both"/>
        <w:rPr>
          <w:rFonts w:asciiTheme="majorHAnsi" w:hAnsiTheme="majorHAnsi" w:cstheme="majorHAnsi"/>
          <w:sz w:val="20"/>
          <w:szCs w:val="20"/>
        </w:rPr>
      </w:pPr>
      <w:r w:rsidRPr="00E80636">
        <w:rPr>
          <w:rFonts w:asciiTheme="majorHAnsi" w:hAnsiTheme="majorHAnsi" w:cstheme="majorHAnsi"/>
          <w:sz w:val="20"/>
          <w:szCs w:val="20"/>
        </w:rPr>
        <w:t>Select at least one of the measures that is meaningful to the school and demonstrates its success in enrolling a qualified student body. Provide a target and data from the last three years in the format of Template H4-1. In addition to at least one from the list, the school may add measures that are significant to its own mission and context.</w:t>
      </w:r>
    </w:p>
    <w:p w:rsidR="00933038" w:rsidRPr="00E80636" w:rsidRDefault="00933038" w:rsidP="006C308E">
      <w:pPr>
        <w:pStyle w:val="ListParagraph"/>
        <w:rPr>
          <w:rFonts w:asciiTheme="majorHAnsi" w:hAnsiTheme="majorHAnsi" w:cstheme="majorHAnsi"/>
          <w:szCs w:val="20"/>
        </w:rPr>
      </w:pPr>
    </w:p>
    <w:p w:rsidR="00AB42BF" w:rsidRPr="00E80636" w:rsidRDefault="00AB42BF" w:rsidP="006C308E">
      <w:pPr>
        <w:pStyle w:val="Default"/>
        <w:adjustRightInd/>
        <w:ind w:left="720"/>
        <w:rPr>
          <w:rFonts w:asciiTheme="majorHAnsi" w:hAnsiTheme="majorHAnsi" w:cstheme="majorHAnsi"/>
          <w:szCs w:val="20"/>
        </w:rPr>
      </w:pPr>
      <w:r w:rsidRPr="00E80636">
        <w:rPr>
          <w:rFonts w:asciiTheme="majorHAnsi" w:hAnsiTheme="majorHAnsi" w:cstheme="majorHAnsi"/>
          <w:szCs w:val="20"/>
        </w:rPr>
        <w:t xml:space="preserve">Percentage of priority under-represented students (as defined in </w:t>
      </w:r>
      <w:hyperlink w:anchor="_G1._Diversity_" w:history="1">
        <w:r w:rsidR="00D32117">
          <w:rPr>
            <w:rStyle w:val="Hyperlink"/>
            <w:rFonts w:asciiTheme="majorHAnsi" w:hAnsiTheme="majorHAnsi" w:cstheme="majorHAnsi"/>
            <w:i/>
            <w:szCs w:val="20"/>
          </w:rPr>
          <w:t>Criterion G1. Diversity and Cultural Competence</w:t>
        </w:r>
      </w:hyperlink>
      <w:r w:rsidRPr="00E80636">
        <w:rPr>
          <w:rFonts w:asciiTheme="majorHAnsi" w:hAnsiTheme="majorHAnsi" w:cstheme="majorHAnsi"/>
          <w:szCs w:val="20"/>
        </w:rPr>
        <w:t xml:space="preserve">) accepting offers of admission as shown in </w:t>
      </w:r>
      <w:hyperlink w:anchor="tableg11" w:history="1">
        <w:r w:rsidR="00D32117">
          <w:rPr>
            <w:rStyle w:val="Hyperlink"/>
            <w:rFonts w:asciiTheme="majorHAnsi" w:hAnsiTheme="majorHAnsi" w:cstheme="majorHAnsi"/>
            <w:szCs w:val="20"/>
          </w:rPr>
          <w:t>Tables G.1.1.</w:t>
        </w:r>
      </w:hyperlink>
      <w:r w:rsidRPr="00E80636">
        <w:rPr>
          <w:rFonts w:asciiTheme="majorHAnsi" w:hAnsiTheme="majorHAnsi" w:cstheme="majorHAnsi"/>
          <w:szCs w:val="20"/>
        </w:rPr>
        <w:t xml:space="preserve"> below.</w:t>
      </w:r>
    </w:p>
    <w:p w:rsidR="00AB42BF" w:rsidRPr="00E80636" w:rsidRDefault="00AB42BF" w:rsidP="006C308E">
      <w:pPr>
        <w:pStyle w:val="Default"/>
        <w:adjustRightInd/>
        <w:ind w:left="720"/>
        <w:rPr>
          <w:rFonts w:asciiTheme="majorHAnsi" w:hAnsiTheme="majorHAnsi" w:cstheme="majorHAnsi"/>
          <w:szCs w:val="20"/>
        </w:rPr>
      </w:pPr>
    </w:p>
    <w:p w:rsidR="004A2589" w:rsidRDefault="004A2589" w:rsidP="006C308E">
      <w:pPr>
        <w:pStyle w:val="Default"/>
        <w:adjustRightInd/>
        <w:ind w:left="720"/>
        <w:rPr>
          <w:rFonts w:asciiTheme="majorHAnsi" w:hAnsiTheme="majorHAnsi" w:cstheme="majorHAnsi"/>
          <w:szCs w:val="20"/>
        </w:rPr>
      </w:pPr>
    </w:p>
    <w:p w:rsidR="007A5622" w:rsidRDefault="007A5622" w:rsidP="006C308E">
      <w:pPr>
        <w:pStyle w:val="Default"/>
        <w:adjustRightInd/>
        <w:ind w:left="720"/>
        <w:rPr>
          <w:rFonts w:asciiTheme="majorHAnsi" w:hAnsiTheme="majorHAnsi" w:cstheme="majorHAnsi"/>
          <w:szCs w:val="20"/>
        </w:rPr>
      </w:pPr>
    </w:p>
    <w:p w:rsidR="007A5622" w:rsidRPr="00E80636" w:rsidRDefault="007A5622" w:rsidP="006C308E">
      <w:pPr>
        <w:pStyle w:val="Default"/>
        <w:adjustRightInd/>
        <w:ind w:left="720"/>
        <w:rPr>
          <w:rFonts w:asciiTheme="majorHAnsi" w:hAnsiTheme="majorHAnsi" w:cstheme="majorHAnsi"/>
          <w:szCs w:val="20"/>
        </w:rPr>
      </w:pPr>
    </w:p>
    <w:p w:rsidR="004A2589" w:rsidRPr="00E80636" w:rsidRDefault="004A2589" w:rsidP="006C308E">
      <w:pPr>
        <w:pStyle w:val="Default"/>
        <w:adjustRightInd/>
        <w:ind w:left="720"/>
        <w:rPr>
          <w:rFonts w:asciiTheme="majorHAnsi" w:hAnsiTheme="majorHAnsi" w:cstheme="majorHAnsi"/>
          <w:szCs w:val="20"/>
        </w:rPr>
      </w:pPr>
    </w:p>
    <w:p w:rsidR="004A2589" w:rsidRPr="00E80636" w:rsidRDefault="004A2589" w:rsidP="006C308E">
      <w:pPr>
        <w:pStyle w:val="Default"/>
        <w:adjustRightInd/>
        <w:ind w:left="720"/>
        <w:rPr>
          <w:rFonts w:asciiTheme="majorHAnsi" w:hAnsiTheme="majorHAnsi" w:cstheme="majorHAnsi"/>
          <w:szCs w:val="20"/>
        </w:rPr>
      </w:pPr>
    </w:p>
    <w:p w:rsidR="004A2589" w:rsidRPr="00E80636" w:rsidRDefault="004A2589" w:rsidP="006C308E">
      <w:pPr>
        <w:pStyle w:val="Default"/>
        <w:adjustRightInd/>
        <w:ind w:left="720"/>
        <w:rPr>
          <w:rFonts w:asciiTheme="majorHAnsi" w:hAnsiTheme="majorHAnsi" w:cstheme="majorHAnsi"/>
          <w:szCs w:val="20"/>
        </w:rPr>
      </w:pPr>
    </w:p>
    <w:p w:rsidR="004A2589" w:rsidRPr="00E80636" w:rsidRDefault="004A2589" w:rsidP="006C308E">
      <w:pPr>
        <w:pStyle w:val="Default"/>
        <w:adjustRightInd/>
        <w:ind w:left="720"/>
        <w:rPr>
          <w:rFonts w:asciiTheme="majorHAnsi" w:hAnsiTheme="majorHAnsi" w:cstheme="majorHAnsi"/>
          <w:szCs w:val="20"/>
        </w:rPr>
      </w:pPr>
    </w:p>
    <w:p w:rsidR="004A2589" w:rsidRDefault="004A2589" w:rsidP="006C308E">
      <w:pPr>
        <w:pStyle w:val="Default"/>
        <w:adjustRightInd/>
        <w:ind w:left="720"/>
        <w:rPr>
          <w:rFonts w:asciiTheme="majorHAnsi" w:hAnsiTheme="majorHAnsi" w:cstheme="majorHAnsi"/>
          <w:szCs w:val="20"/>
        </w:rPr>
      </w:pPr>
    </w:p>
    <w:p w:rsidR="00D32117" w:rsidRDefault="00D32117" w:rsidP="006C308E">
      <w:pPr>
        <w:pStyle w:val="Default"/>
        <w:adjustRightInd/>
        <w:ind w:left="720"/>
        <w:rPr>
          <w:rFonts w:asciiTheme="majorHAnsi" w:hAnsiTheme="majorHAnsi" w:cstheme="majorHAnsi"/>
          <w:szCs w:val="20"/>
        </w:rPr>
      </w:pPr>
    </w:p>
    <w:p w:rsidR="00D32117" w:rsidRPr="00E80636" w:rsidRDefault="00D32117" w:rsidP="006C308E">
      <w:pPr>
        <w:pStyle w:val="Default"/>
        <w:adjustRightInd/>
        <w:ind w:left="720"/>
        <w:rPr>
          <w:rFonts w:asciiTheme="majorHAnsi" w:hAnsiTheme="majorHAnsi" w:cstheme="majorHAnsi"/>
          <w:szCs w:val="20"/>
        </w:rPr>
      </w:pPr>
    </w:p>
    <w:p w:rsidR="004A2589" w:rsidRPr="00E80636" w:rsidRDefault="004A2589" w:rsidP="006C308E">
      <w:pPr>
        <w:pStyle w:val="Default"/>
        <w:adjustRightInd/>
        <w:ind w:left="720"/>
        <w:rPr>
          <w:rFonts w:asciiTheme="majorHAnsi" w:hAnsiTheme="majorHAnsi" w:cstheme="majorHAnsi"/>
          <w:szCs w:val="20"/>
        </w:rPr>
      </w:pPr>
    </w:p>
    <w:p w:rsidR="00AB42BF" w:rsidRPr="00E80636" w:rsidRDefault="00AB42BF" w:rsidP="006C308E">
      <w:pPr>
        <w:ind w:left="720"/>
        <w:contextualSpacing/>
        <w:jc w:val="both"/>
        <w:rPr>
          <w:rFonts w:asciiTheme="majorHAnsi" w:eastAsia="Arial" w:hAnsiTheme="majorHAnsi" w:cstheme="majorHAnsi"/>
          <w:sz w:val="20"/>
          <w:szCs w:val="20"/>
        </w:rPr>
      </w:pPr>
      <w:bookmarkStart w:id="165" w:name="tableg11"/>
      <w:r w:rsidRPr="00E80636">
        <w:rPr>
          <w:rFonts w:asciiTheme="majorHAnsi" w:eastAsia="Arial" w:hAnsiTheme="majorHAnsi" w:cstheme="majorHAnsi"/>
          <w:sz w:val="20"/>
          <w:szCs w:val="20"/>
        </w:rPr>
        <w:t>Table G</w:t>
      </w:r>
      <w:r w:rsidR="000832AA" w:rsidRPr="00E80636">
        <w:rPr>
          <w:rFonts w:asciiTheme="majorHAnsi" w:eastAsia="Arial" w:hAnsiTheme="majorHAnsi" w:cstheme="majorHAnsi"/>
          <w:sz w:val="20"/>
          <w:szCs w:val="20"/>
        </w:rPr>
        <w:t>.</w:t>
      </w:r>
      <w:r w:rsidRPr="00E80636">
        <w:rPr>
          <w:rFonts w:asciiTheme="majorHAnsi" w:eastAsia="Arial" w:hAnsiTheme="majorHAnsi" w:cstheme="majorHAnsi"/>
          <w:sz w:val="20"/>
          <w:szCs w:val="20"/>
        </w:rPr>
        <w:t xml:space="preserve">1.1. </w:t>
      </w:r>
      <w:bookmarkEnd w:id="165"/>
      <w:r w:rsidRPr="00E80636">
        <w:rPr>
          <w:rFonts w:asciiTheme="majorHAnsi" w:eastAsia="Arial" w:hAnsiTheme="majorHAnsi" w:cstheme="majorHAnsi"/>
          <w:sz w:val="20"/>
          <w:szCs w:val="20"/>
        </w:rPr>
        <w:t>Rac</w:t>
      </w:r>
      <w:r w:rsidR="008B1A51">
        <w:rPr>
          <w:rFonts w:asciiTheme="majorHAnsi" w:eastAsia="Arial" w:hAnsiTheme="majorHAnsi" w:cstheme="majorHAnsi"/>
          <w:sz w:val="20"/>
          <w:szCs w:val="20"/>
        </w:rPr>
        <w:t xml:space="preserve">e/Ethnicity, </w:t>
      </w:r>
      <w:r w:rsidR="00031E43">
        <w:rPr>
          <w:rFonts w:asciiTheme="majorHAnsi" w:eastAsia="Arial" w:hAnsiTheme="majorHAnsi" w:cstheme="majorHAnsi"/>
          <w:sz w:val="20"/>
          <w:szCs w:val="20"/>
        </w:rPr>
        <w:t xml:space="preserve">Citizenship </w:t>
      </w:r>
      <w:r w:rsidR="008B1A51">
        <w:rPr>
          <w:rFonts w:asciiTheme="majorHAnsi" w:eastAsia="Arial" w:hAnsiTheme="majorHAnsi" w:cstheme="majorHAnsi"/>
          <w:sz w:val="20"/>
          <w:szCs w:val="20"/>
        </w:rPr>
        <w:t xml:space="preserve">and Gender </w:t>
      </w:r>
      <w:r w:rsidRPr="00E80636">
        <w:rPr>
          <w:rFonts w:asciiTheme="majorHAnsi" w:eastAsia="Arial" w:hAnsiTheme="majorHAnsi" w:cstheme="majorHAnsi"/>
          <w:sz w:val="20"/>
          <w:szCs w:val="20"/>
        </w:rPr>
        <w:t>Distribution for Fall 2018 Enrollment</w:t>
      </w:r>
    </w:p>
    <w:tbl>
      <w:tblPr>
        <w:tblW w:w="8730"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5"/>
        <w:gridCol w:w="1686"/>
        <w:gridCol w:w="1596"/>
        <w:gridCol w:w="1596"/>
        <w:gridCol w:w="1597"/>
      </w:tblGrid>
      <w:tr w:rsidR="00AB42BF" w:rsidRPr="00743A41" w:rsidTr="00AB42BF">
        <w:trPr>
          <w:cantSplit/>
          <w:tblHeader/>
        </w:trPr>
        <w:tc>
          <w:tcPr>
            <w:tcW w:w="2255" w:type="dxa"/>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eastAsia="Times New Roman" w:hAnsiTheme="majorHAnsi" w:cstheme="majorHAnsi"/>
                <w:color w:val="000000"/>
                <w:sz w:val="20"/>
                <w:szCs w:val="20"/>
              </w:rPr>
              <w:br w:type="page"/>
            </w:r>
          </w:p>
        </w:tc>
        <w:tc>
          <w:tcPr>
            <w:tcW w:w="1686" w:type="dxa"/>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SPH Students</w:t>
            </w:r>
          </w:p>
        </w:tc>
        <w:tc>
          <w:tcPr>
            <w:tcW w:w="1596" w:type="dxa"/>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ASPPH Schools of Public Health Graduate Students</w:t>
            </w:r>
          </w:p>
        </w:tc>
        <w:tc>
          <w:tcPr>
            <w:tcW w:w="1596" w:type="dxa"/>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Texas population</w:t>
            </w:r>
          </w:p>
        </w:tc>
        <w:tc>
          <w:tcPr>
            <w:tcW w:w="1597" w:type="dxa"/>
            <w:tcMar>
              <w:top w:w="0" w:type="dxa"/>
              <w:left w:w="108" w:type="dxa"/>
              <w:bottom w:w="0" w:type="dxa"/>
              <w:right w:w="108" w:type="dxa"/>
            </w:tcMar>
            <w:vAlign w:val="center"/>
            <w:hideMark/>
          </w:tcPr>
          <w:p w:rsidR="00AB42BF" w:rsidRPr="00E80636" w:rsidRDefault="00D06EEE"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U.S.</w:t>
            </w:r>
          </w:p>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population</w:t>
            </w:r>
          </w:p>
        </w:tc>
      </w:tr>
      <w:tr w:rsidR="00AB42BF" w:rsidRPr="00743A41" w:rsidTr="00AB42BF">
        <w:tc>
          <w:tcPr>
            <w:tcW w:w="8730" w:type="dxa"/>
            <w:gridSpan w:val="5"/>
            <w:shd w:val="clear" w:color="auto" w:fill="D9D9D9"/>
            <w:tcMar>
              <w:top w:w="0" w:type="dxa"/>
              <w:left w:w="108" w:type="dxa"/>
              <w:bottom w:w="0" w:type="dxa"/>
              <w:right w:w="108" w:type="dxa"/>
            </w:tcMar>
            <w:vAlign w:val="center"/>
            <w:hideMark/>
          </w:tcPr>
          <w:p w:rsidR="00AB42BF" w:rsidRPr="00E80636" w:rsidRDefault="00AB42BF" w:rsidP="006C308E">
            <w:pPr>
              <w:rPr>
                <w:rFonts w:asciiTheme="majorHAnsi" w:hAnsiTheme="majorHAnsi" w:cstheme="majorHAnsi"/>
                <w:color w:val="000000"/>
                <w:sz w:val="20"/>
                <w:szCs w:val="20"/>
              </w:rPr>
            </w:pPr>
            <w:r w:rsidRPr="00E80636">
              <w:rPr>
                <w:rFonts w:asciiTheme="majorHAnsi" w:hAnsiTheme="majorHAnsi" w:cstheme="majorHAnsi"/>
                <w:b/>
                <w:bCs/>
                <w:color w:val="000000"/>
                <w:sz w:val="20"/>
                <w:szCs w:val="20"/>
              </w:rPr>
              <w:t>Race/ethnic distribution among domestic students</w:t>
            </w:r>
          </w:p>
        </w:tc>
      </w:tr>
      <w:tr w:rsidR="00AB42BF" w:rsidRPr="00743A41" w:rsidTr="00AB42BF">
        <w:tc>
          <w:tcPr>
            <w:tcW w:w="2255" w:type="dxa"/>
            <w:shd w:val="clear" w:color="auto" w:fill="FFFFFF"/>
            <w:tcMar>
              <w:top w:w="0" w:type="dxa"/>
              <w:left w:w="108" w:type="dxa"/>
              <w:bottom w:w="0" w:type="dxa"/>
              <w:right w:w="108" w:type="dxa"/>
            </w:tcMar>
            <w:vAlign w:val="center"/>
            <w:hideMark/>
          </w:tcPr>
          <w:p w:rsidR="00AB42BF" w:rsidRPr="00E80636" w:rsidRDefault="00AB42BF" w:rsidP="006C308E">
            <w:pPr>
              <w:rPr>
                <w:rFonts w:asciiTheme="majorHAnsi" w:hAnsiTheme="majorHAnsi" w:cstheme="majorHAnsi"/>
                <w:color w:val="000000"/>
                <w:sz w:val="20"/>
                <w:szCs w:val="20"/>
              </w:rPr>
            </w:pPr>
            <w:r w:rsidRPr="00E80636">
              <w:rPr>
                <w:rFonts w:asciiTheme="majorHAnsi" w:hAnsiTheme="majorHAnsi" w:cstheme="majorHAnsi"/>
                <w:color w:val="000000"/>
                <w:sz w:val="20"/>
                <w:szCs w:val="20"/>
              </w:rPr>
              <w:t>White (non-Hispanic)</w:t>
            </w:r>
          </w:p>
        </w:tc>
        <w:tc>
          <w:tcPr>
            <w:tcW w:w="1686"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39%</w:t>
            </w:r>
          </w:p>
        </w:tc>
        <w:tc>
          <w:tcPr>
            <w:tcW w:w="1596"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55%</w:t>
            </w:r>
          </w:p>
        </w:tc>
        <w:tc>
          <w:tcPr>
            <w:tcW w:w="1596"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41%</w:t>
            </w:r>
          </w:p>
        </w:tc>
        <w:tc>
          <w:tcPr>
            <w:tcW w:w="1597"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61%</w:t>
            </w:r>
          </w:p>
        </w:tc>
      </w:tr>
      <w:tr w:rsidR="00AB42BF" w:rsidRPr="00743A41" w:rsidTr="00AB42BF">
        <w:tc>
          <w:tcPr>
            <w:tcW w:w="2255" w:type="dxa"/>
            <w:shd w:val="clear" w:color="auto" w:fill="FFFFFF"/>
            <w:tcMar>
              <w:top w:w="0" w:type="dxa"/>
              <w:left w:w="108" w:type="dxa"/>
              <w:bottom w:w="0" w:type="dxa"/>
              <w:right w:w="108" w:type="dxa"/>
            </w:tcMar>
            <w:vAlign w:val="center"/>
            <w:hideMark/>
          </w:tcPr>
          <w:p w:rsidR="00AB42BF" w:rsidRPr="00E80636" w:rsidRDefault="00AB42BF" w:rsidP="006C308E">
            <w:pPr>
              <w:rPr>
                <w:rFonts w:asciiTheme="majorHAnsi" w:hAnsiTheme="majorHAnsi" w:cstheme="majorHAnsi"/>
                <w:color w:val="000000"/>
                <w:sz w:val="20"/>
                <w:szCs w:val="20"/>
              </w:rPr>
            </w:pPr>
            <w:r w:rsidRPr="00E80636">
              <w:rPr>
                <w:rFonts w:asciiTheme="majorHAnsi" w:hAnsiTheme="majorHAnsi" w:cstheme="majorHAnsi"/>
                <w:color w:val="000000"/>
                <w:sz w:val="20"/>
                <w:szCs w:val="20"/>
              </w:rPr>
              <w:t>African American</w:t>
            </w:r>
          </w:p>
        </w:tc>
        <w:tc>
          <w:tcPr>
            <w:tcW w:w="1686"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11%</w:t>
            </w:r>
          </w:p>
        </w:tc>
        <w:tc>
          <w:tcPr>
            <w:tcW w:w="1596"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11%</w:t>
            </w:r>
          </w:p>
        </w:tc>
        <w:tc>
          <w:tcPr>
            <w:tcW w:w="1596"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13%</w:t>
            </w:r>
          </w:p>
        </w:tc>
        <w:tc>
          <w:tcPr>
            <w:tcW w:w="1597"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13%</w:t>
            </w:r>
          </w:p>
        </w:tc>
      </w:tr>
      <w:tr w:rsidR="00AB42BF" w:rsidRPr="00743A41" w:rsidTr="00AB42BF">
        <w:tc>
          <w:tcPr>
            <w:tcW w:w="2255" w:type="dxa"/>
            <w:shd w:val="clear" w:color="auto" w:fill="FFFFFF"/>
            <w:tcMar>
              <w:top w:w="0" w:type="dxa"/>
              <w:left w:w="108" w:type="dxa"/>
              <w:bottom w:w="0" w:type="dxa"/>
              <w:right w:w="108" w:type="dxa"/>
            </w:tcMar>
            <w:vAlign w:val="center"/>
            <w:hideMark/>
          </w:tcPr>
          <w:p w:rsidR="00AB42BF" w:rsidRPr="00E80636" w:rsidRDefault="00AB42BF" w:rsidP="006C308E">
            <w:pPr>
              <w:rPr>
                <w:rFonts w:asciiTheme="majorHAnsi" w:hAnsiTheme="majorHAnsi" w:cstheme="majorHAnsi"/>
                <w:color w:val="000000"/>
                <w:sz w:val="20"/>
                <w:szCs w:val="20"/>
              </w:rPr>
            </w:pPr>
            <w:r w:rsidRPr="00E80636">
              <w:rPr>
                <w:rFonts w:asciiTheme="majorHAnsi" w:hAnsiTheme="majorHAnsi" w:cstheme="majorHAnsi"/>
                <w:color w:val="000000"/>
                <w:sz w:val="20"/>
                <w:szCs w:val="20"/>
              </w:rPr>
              <w:t>Hispanic/Latino</w:t>
            </w:r>
          </w:p>
        </w:tc>
        <w:tc>
          <w:tcPr>
            <w:tcW w:w="1686"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21%</w:t>
            </w:r>
          </w:p>
        </w:tc>
        <w:tc>
          <w:tcPr>
            <w:tcW w:w="1596"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11%</w:t>
            </w:r>
          </w:p>
        </w:tc>
        <w:tc>
          <w:tcPr>
            <w:tcW w:w="1596"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39%</w:t>
            </w:r>
          </w:p>
        </w:tc>
        <w:tc>
          <w:tcPr>
            <w:tcW w:w="1597"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18%</w:t>
            </w:r>
          </w:p>
        </w:tc>
      </w:tr>
      <w:tr w:rsidR="00AB42BF" w:rsidRPr="00743A41" w:rsidTr="00AB42BF">
        <w:tc>
          <w:tcPr>
            <w:tcW w:w="2255" w:type="dxa"/>
            <w:shd w:val="clear" w:color="auto" w:fill="FFFFFF"/>
            <w:tcMar>
              <w:top w:w="0" w:type="dxa"/>
              <w:left w:w="108" w:type="dxa"/>
              <w:bottom w:w="0" w:type="dxa"/>
              <w:right w:w="108" w:type="dxa"/>
            </w:tcMar>
            <w:vAlign w:val="center"/>
            <w:hideMark/>
          </w:tcPr>
          <w:p w:rsidR="00AB42BF" w:rsidRPr="00E80636" w:rsidRDefault="00AB42BF" w:rsidP="006C308E">
            <w:pPr>
              <w:rPr>
                <w:rFonts w:asciiTheme="majorHAnsi" w:hAnsiTheme="majorHAnsi" w:cstheme="majorHAnsi"/>
                <w:color w:val="000000"/>
                <w:sz w:val="20"/>
                <w:szCs w:val="20"/>
              </w:rPr>
            </w:pPr>
            <w:r w:rsidRPr="00E80636">
              <w:rPr>
                <w:rFonts w:asciiTheme="majorHAnsi" w:hAnsiTheme="majorHAnsi" w:cstheme="majorHAnsi"/>
                <w:color w:val="000000"/>
                <w:sz w:val="20"/>
                <w:szCs w:val="20"/>
              </w:rPr>
              <w:t>Asian</w:t>
            </w:r>
          </w:p>
        </w:tc>
        <w:tc>
          <w:tcPr>
            <w:tcW w:w="1686"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19%</w:t>
            </w:r>
          </w:p>
        </w:tc>
        <w:tc>
          <w:tcPr>
            <w:tcW w:w="1596"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14%</w:t>
            </w:r>
          </w:p>
        </w:tc>
        <w:tc>
          <w:tcPr>
            <w:tcW w:w="1596"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5%</w:t>
            </w:r>
          </w:p>
        </w:tc>
        <w:tc>
          <w:tcPr>
            <w:tcW w:w="1597"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6%</w:t>
            </w:r>
          </w:p>
        </w:tc>
      </w:tr>
      <w:tr w:rsidR="00AB42BF" w:rsidRPr="00743A41" w:rsidTr="00AB42BF">
        <w:tc>
          <w:tcPr>
            <w:tcW w:w="8730" w:type="dxa"/>
            <w:gridSpan w:val="5"/>
            <w:shd w:val="clear" w:color="auto" w:fill="D9D9D9"/>
            <w:tcMar>
              <w:top w:w="0" w:type="dxa"/>
              <w:left w:w="108" w:type="dxa"/>
              <w:bottom w:w="0" w:type="dxa"/>
              <w:right w:w="108" w:type="dxa"/>
            </w:tcMar>
            <w:vAlign w:val="center"/>
            <w:hideMark/>
          </w:tcPr>
          <w:p w:rsidR="00AB42BF" w:rsidRPr="00E80636" w:rsidRDefault="00AB42BF" w:rsidP="006C308E">
            <w:pPr>
              <w:rPr>
                <w:rFonts w:asciiTheme="majorHAnsi" w:hAnsiTheme="majorHAnsi" w:cstheme="majorHAnsi"/>
                <w:b/>
                <w:bCs/>
                <w:color w:val="000000"/>
                <w:sz w:val="20"/>
                <w:szCs w:val="20"/>
              </w:rPr>
            </w:pPr>
            <w:r w:rsidRPr="00E80636">
              <w:rPr>
                <w:rFonts w:asciiTheme="majorHAnsi" w:hAnsiTheme="majorHAnsi" w:cstheme="majorHAnsi"/>
                <w:b/>
                <w:bCs/>
                <w:color w:val="000000"/>
                <w:sz w:val="20"/>
                <w:szCs w:val="20"/>
              </w:rPr>
              <w:t>Citizenship and gender distribution among all students</w:t>
            </w:r>
          </w:p>
        </w:tc>
      </w:tr>
      <w:tr w:rsidR="00AB42BF" w:rsidRPr="00743A41" w:rsidTr="00AB42BF">
        <w:tc>
          <w:tcPr>
            <w:tcW w:w="2255" w:type="dxa"/>
            <w:tcMar>
              <w:top w:w="0" w:type="dxa"/>
              <w:left w:w="108" w:type="dxa"/>
              <w:bottom w:w="0" w:type="dxa"/>
              <w:right w:w="108" w:type="dxa"/>
            </w:tcMar>
            <w:vAlign w:val="center"/>
            <w:hideMark/>
          </w:tcPr>
          <w:p w:rsidR="00AB42BF" w:rsidRPr="00E80636" w:rsidRDefault="00AB42BF" w:rsidP="006C308E">
            <w:pPr>
              <w:rPr>
                <w:rFonts w:asciiTheme="majorHAnsi" w:hAnsiTheme="majorHAnsi" w:cstheme="majorHAnsi"/>
                <w:color w:val="000000"/>
                <w:sz w:val="20"/>
                <w:szCs w:val="20"/>
              </w:rPr>
            </w:pPr>
            <w:r w:rsidRPr="00E80636">
              <w:rPr>
                <w:rFonts w:asciiTheme="majorHAnsi" w:hAnsiTheme="majorHAnsi" w:cstheme="majorHAnsi"/>
                <w:color w:val="000000"/>
                <w:sz w:val="20"/>
                <w:szCs w:val="20"/>
              </w:rPr>
              <w:t>International</w:t>
            </w:r>
          </w:p>
        </w:tc>
        <w:tc>
          <w:tcPr>
            <w:tcW w:w="1686" w:type="dxa"/>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18%</w:t>
            </w:r>
          </w:p>
        </w:tc>
        <w:tc>
          <w:tcPr>
            <w:tcW w:w="1596" w:type="dxa"/>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17%</w:t>
            </w:r>
          </w:p>
        </w:tc>
        <w:tc>
          <w:tcPr>
            <w:tcW w:w="1596" w:type="dxa"/>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w:t>
            </w:r>
          </w:p>
        </w:tc>
        <w:tc>
          <w:tcPr>
            <w:tcW w:w="1597" w:type="dxa"/>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w:t>
            </w:r>
          </w:p>
        </w:tc>
      </w:tr>
      <w:tr w:rsidR="00AB42BF" w:rsidRPr="00743A41" w:rsidTr="00AB42BF">
        <w:tc>
          <w:tcPr>
            <w:tcW w:w="2255" w:type="dxa"/>
            <w:tcMar>
              <w:top w:w="0" w:type="dxa"/>
              <w:left w:w="108" w:type="dxa"/>
              <w:bottom w:w="0" w:type="dxa"/>
              <w:right w:w="108" w:type="dxa"/>
            </w:tcMar>
            <w:vAlign w:val="center"/>
            <w:hideMark/>
          </w:tcPr>
          <w:p w:rsidR="00AB42BF" w:rsidRPr="00E80636" w:rsidRDefault="00AB42BF" w:rsidP="006C308E">
            <w:pPr>
              <w:rPr>
                <w:rFonts w:asciiTheme="majorHAnsi" w:hAnsiTheme="majorHAnsi" w:cstheme="majorHAnsi"/>
                <w:color w:val="000000"/>
                <w:sz w:val="20"/>
                <w:szCs w:val="20"/>
              </w:rPr>
            </w:pPr>
            <w:r w:rsidRPr="00E80636">
              <w:rPr>
                <w:rFonts w:asciiTheme="majorHAnsi" w:hAnsiTheme="majorHAnsi" w:cstheme="majorHAnsi"/>
                <w:color w:val="000000"/>
                <w:sz w:val="20"/>
                <w:szCs w:val="20"/>
              </w:rPr>
              <w:t>Female</w:t>
            </w:r>
          </w:p>
        </w:tc>
        <w:tc>
          <w:tcPr>
            <w:tcW w:w="1686" w:type="dxa"/>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73%</w:t>
            </w:r>
          </w:p>
        </w:tc>
        <w:tc>
          <w:tcPr>
            <w:tcW w:w="1596" w:type="dxa"/>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72%</w:t>
            </w:r>
          </w:p>
        </w:tc>
        <w:tc>
          <w:tcPr>
            <w:tcW w:w="1596" w:type="dxa"/>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50%</w:t>
            </w:r>
          </w:p>
        </w:tc>
        <w:tc>
          <w:tcPr>
            <w:tcW w:w="1597" w:type="dxa"/>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51%</w:t>
            </w:r>
          </w:p>
        </w:tc>
      </w:tr>
    </w:tbl>
    <w:p w:rsidR="00AB42BF" w:rsidRPr="00E80636" w:rsidRDefault="00AB42BF" w:rsidP="006C308E">
      <w:pPr>
        <w:ind w:left="720"/>
        <w:contextualSpacing/>
        <w:jc w:val="both"/>
        <w:rPr>
          <w:rFonts w:asciiTheme="majorHAnsi" w:hAnsiTheme="majorHAnsi" w:cstheme="majorHAnsi"/>
          <w:sz w:val="20"/>
          <w:szCs w:val="20"/>
        </w:rPr>
      </w:pPr>
    </w:p>
    <w:p w:rsidR="00AB42BF" w:rsidRPr="00E80636" w:rsidRDefault="006E3D5E" w:rsidP="006C308E">
      <w:pPr>
        <w:ind w:left="720"/>
        <w:rPr>
          <w:rFonts w:asciiTheme="majorHAnsi" w:eastAsia="Arial" w:hAnsiTheme="majorHAnsi" w:cstheme="majorHAnsi"/>
          <w:sz w:val="20"/>
          <w:szCs w:val="20"/>
        </w:rPr>
      </w:pPr>
      <w:hyperlink w:anchor="tableg12" w:history="1">
        <w:r w:rsidR="00AB42BF" w:rsidRPr="00E80636">
          <w:rPr>
            <w:rStyle w:val="Hyperlink"/>
            <w:rFonts w:asciiTheme="majorHAnsi" w:eastAsia="Arial" w:hAnsiTheme="majorHAnsi" w:cstheme="majorHAnsi"/>
            <w:sz w:val="20"/>
            <w:szCs w:val="20"/>
          </w:rPr>
          <w:t>Table G</w:t>
        </w:r>
        <w:r w:rsidR="00591176" w:rsidRPr="00E80636">
          <w:rPr>
            <w:rStyle w:val="Hyperlink"/>
            <w:rFonts w:asciiTheme="majorHAnsi" w:eastAsia="Arial" w:hAnsiTheme="majorHAnsi" w:cstheme="majorHAnsi"/>
            <w:sz w:val="20"/>
            <w:szCs w:val="20"/>
          </w:rPr>
          <w:t>.</w:t>
        </w:r>
        <w:r w:rsidR="00AB42BF" w:rsidRPr="00E80636">
          <w:rPr>
            <w:rStyle w:val="Hyperlink"/>
            <w:rFonts w:asciiTheme="majorHAnsi" w:eastAsia="Arial" w:hAnsiTheme="majorHAnsi" w:cstheme="majorHAnsi"/>
            <w:sz w:val="20"/>
            <w:szCs w:val="20"/>
          </w:rPr>
          <w:t>1.2</w:t>
        </w:r>
        <w:r w:rsidR="00591176" w:rsidRPr="00E80636">
          <w:rPr>
            <w:rStyle w:val="Hyperlink"/>
            <w:rFonts w:asciiTheme="majorHAnsi" w:eastAsia="Arial" w:hAnsiTheme="majorHAnsi" w:cstheme="majorHAnsi"/>
            <w:sz w:val="20"/>
            <w:szCs w:val="20"/>
          </w:rPr>
          <w:t>.</w:t>
        </w:r>
      </w:hyperlink>
      <w:r w:rsidR="00AB42BF" w:rsidRPr="00E80636">
        <w:rPr>
          <w:rFonts w:asciiTheme="majorHAnsi" w:eastAsia="Arial" w:hAnsiTheme="majorHAnsi" w:cstheme="majorHAnsi"/>
          <w:sz w:val="20"/>
          <w:szCs w:val="20"/>
        </w:rPr>
        <w:t xml:space="preserve"> shows the racial/ethnic, gender, and international distribution of applicants as well as those who were denied admission to the school among each demographic group. Among domestic applicants to the school, more than one-third of applicants are white, with the remaining being evenly distributed among African-American, Hispanic/Latino, and Asian. Table G1.2 also shows some disparities in the proportion of those denied admissions by the school, it appears there are disparities in admission decisions that need to be addressed by the school. </w:t>
      </w:r>
    </w:p>
    <w:p w:rsidR="00AB42BF" w:rsidRPr="00E80636" w:rsidRDefault="00AB42BF" w:rsidP="006C308E">
      <w:pPr>
        <w:ind w:left="720"/>
        <w:rPr>
          <w:rFonts w:asciiTheme="majorHAnsi" w:eastAsia="Arial" w:hAnsiTheme="majorHAnsi" w:cstheme="majorHAnsi"/>
          <w:sz w:val="20"/>
          <w:szCs w:val="20"/>
        </w:rPr>
      </w:pPr>
    </w:p>
    <w:p w:rsidR="00AB42BF" w:rsidRPr="00E80636" w:rsidRDefault="00AB42BF" w:rsidP="006C308E">
      <w:pPr>
        <w:ind w:left="720"/>
        <w:rPr>
          <w:rFonts w:asciiTheme="majorHAnsi" w:eastAsia="Arial" w:hAnsiTheme="majorHAnsi" w:cstheme="majorHAnsi"/>
          <w:sz w:val="20"/>
          <w:szCs w:val="20"/>
        </w:rPr>
      </w:pPr>
      <w:bookmarkStart w:id="166" w:name="tableg12"/>
      <w:r w:rsidRPr="00E80636">
        <w:rPr>
          <w:rFonts w:asciiTheme="majorHAnsi" w:eastAsia="Arial" w:hAnsiTheme="majorHAnsi" w:cstheme="majorHAnsi"/>
          <w:sz w:val="20"/>
          <w:szCs w:val="20"/>
        </w:rPr>
        <w:t>Table G</w:t>
      </w:r>
      <w:r w:rsidR="000634AF" w:rsidRPr="00E80636">
        <w:rPr>
          <w:rFonts w:asciiTheme="majorHAnsi" w:eastAsia="Arial" w:hAnsiTheme="majorHAnsi" w:cstheme="majorHAnsi"/>
          <w:sz w:val="20"/>
          <w:szCs w:val="20"/>
        </w:rPr>
        <w:t>.</w:t>
      </w:r>
      <w:r w:rsidRPr="00E80636">
        <w:rPr>
          <w:rFonts w:asciiTheme="majorHAnsi" w:eastAsia="Arial" w:hAnsiTheme="majorHAnsi" w:cstheme="majorHAnsi"/>
          <w:sz w:val="20"/>
          <w:szCs w:val="20"/>
        </w:rPr>
        <w:t>1.2</w:t>
      </w:r>
      <w:bookmarkEnd w:id="166"/>
      <w:r w:rsidRPr="00E80636">
        <w:rPr>
          <w:rFonts w:asciiTheme="majorHAnsi" w:eastAsia="Arial" w:hAnsiTheme="majorHAnsi" w:cstheme="majorHAnsi"/>
          <w:sz w:val="20"/>
          <w:szCs w:val="20"/>
        </w:rPr>
        <w:t>. Race/Ethnicity and Citizenship and Gender Distribution for Fall 2018 Admissions</w:t>
      </w:r>
    </w:p>
    <w:tbl>
      <w:tblPr>
        <w:tblW w:w="8730"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5"/>
        <w:gridCol w:w="1710"/>
        <w:gridCol w:w="1620"/>
        <w:gridCol w:w="1530"/>
        <w:gridCol w:w="1615"/>
      </w:tblGrid>
      <w:tr w:rsidR="00AB42BF" w:rsidRPr="00743A41" w:rsidTr="00AB42BF">
        <w:tc>
          <w:tcPr>
            <w:tcW w:w="2255" w:type="dxa"/>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eastAsia="Times New Roman" w:hAnsiTheme="majorHAnsi" w:cstheme="majorHAnsi"/>
                <w:color w:val="000000"/>
                <w:sz w:val="20"/>
                <w:szCs w:val="20"/>
              </w:rPr>
              <w:br w:type="page"/>
            </w:r>
          </w:p>
        </w:tc>
        <w:tc>
          <w:tcPr>
            <w:tcW w:w="1710" w:type="dxa"/>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SPH Applicants</w:t>
            </w:r>
          </w:p>
        </w:tc>
        <w:tc>
          <w:tcPr>
            <w:tcW w:w="1620" w:type="dxa"/>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ASPPH Schools of Public Health Graduate Applicants</w:t>
            </w:r>
          </w:p>
        </w:tc>
        <w:tc>
          <w:tcPr>
            <w:tcW w:w="1530" w:type="dxa"/>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Percentage of SPH applicants denied among demographic groups</w:t>
            </w:r>
          </w:p>
        </w:tc>
        <w:tc>
          <w:tcPr>
            <w:tcW w:w="1615" w:type="dxa"/>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Percentage of ASPPH applicants denied among demographic groups</w:t>
            </w:r>
          </w:p>
        </w:tc>
      </w:tr>
      <w:tr w:rsidR="00AB42BF" w:rsidRPr="00743A41" w:rsidTr="00AB42BF">
        <w:tc>
          <w:tcPr>
            <w:tcW w:w="8730" w:type="dxa"/>
            <w:gridSpan w:val="5"/>
            <w:shd w:val="clear" w:color="auto" w:fill="D9D9D9"/>
            <w:tcMar>
              <w:top w:w="0" w:type="dxa"/>
              <w:left w:w="108" w:type="dxa"/>
              <w:bottom w:w="0" w:type="dxa"/>
              <w:right w:w="108" w:type="dxa"/>
            </w:tcMar>
            <w:vAlign w:val="center"/>
            <w:hideMark/>
          </w:tcPr>
          <w:p w:rsidR="00AB42BF" w:rsidRPr="00E80636" w:rsidRDefault="00AB42BF" w:rsidP="006C308E">
            <w:pPr>
              <w:rPr>
                <w:rFonts w:asciiTheme="majorHAnsi" w:hAnsiTheme="majorHAnsi" w:cstheme="majorHAnsi"/>
                <w:color w:val="000000"/>
                <w:sz w:val="20"/>
                <w:szCs w:val="20"/>
              </w:rPr>
            </w:pPr>
            <w:r w:rsidRPr="00E80636">
              <w:rPr>
                <w:rFonts w:asciiTheme="majorHAnsi" w:hAnsiTheme="majorHAnsi" w:cstheme="majorHAnsi"/>
                <w:b/>
                <w:bCs/>
                <w:color w:val="000000"/>
                <w:sz w:val="20"/>
                <w:szCs w:val="20"/>
              </w:rPr>
              <w:t>Race/ethnic and gender distribution among domestic applicants</w:t>
            </w:r>
          </w:p>
        </w:tc>
      </w:tr>
      <w:tr w:rsidR="00AB42BF" w:rsidRPr="00743A41" w:rsidTr="00AB42BF">
        <w:tc>
          <w:tcPr>
            <w:tcW w:w="2255" w:type="dxa"/>
            <w:shd w:val="clear" w:color="auto" w:fill="FFFFFF"/>
            <w:tcMar>
              <w:top w:w="0" w:type="dxa"/>
              <w:left w:w="108" w:type="dxa"/>
              <w:bottom w:w="0" w:type="dxa"/>
              <w:right w:w="108" w:type="dxa"/>
            </w:tcMar>
            <w:vAlign w:val="center"/>
            <w:hideMark/>
          </w:tcPr>
          <w:p w:rsidR="00AB42BF" w:rsidRPr="00E80636" w:rsidRDefault="00AB42BF" w:rsidP="006C308E">
            <w:pPr>
              <w:rPr>
                <w:rFonts w:asciiTheme="majorHAnsi" w:hAnsiTheme="majorHAnsi" w:cstheme="majorHAnsi"/>
                <w:color w:val="000000"/>
                <w:sz w:val="20"/>
                <w:szCs w:val="20"/>
              </w:rPr>
            </w:pPr>
            <w:r w:rsidRPr="00E80636">
              <w:rPr>
                <w:rFonts w:asciiTheme="majorHAnsi" w:hAnsiTheme="majorHAnsi" w:cstheme="majorHAnsi"/>
                <w:color w:val="000000"/>
                <w:sz w:val="20"/>
                <w:szCs w:val="20"/>
              </w:rPr>
              <w:t>White (non-Hispanic)</w:t>
            </w:r>
          </w:p>
        </w:tc>
        <w:tc>
          <w:tcPr>
            <w:tcW w:w="1710"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36%</w:t>
            </w:r>
          </w:p>
        </w:tc>
        <w:tc>
          <w:tcPr>
            <w:tcW w:w="1620"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45%</w:t>
            </w:r>
          </w:p>
        </w:tc>
        <w:tc>
          <w:tcPr>
            <w:tcW w:w="1530"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14%</w:t>
            </w:r>
          </w:p>
        </w:tc>
        <w:tc>
          <w:tcPr>
            <w:tcW w:w="1615"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24%</w:t>
            </w:r>
          </w:p>
        </w:tc>
      </w:tr>
      <w:tr w:rsidR="00AB42BF" w:rsidRPr="00743A41" w:rsidTr="00AB42BF">
        <w:tc>
          <w:tcPr>
            <w:tcW w:w="2255" w:type="dxa"/>
            <w:shd w:val="clear" w:color="auto" w:fill="FFFFFF"/>
            <w:tcMar>
              <w:top w:w="0" w:type="dxa"/>
              <w:left w:w="108" w:type="dxa"/>
              <w:bottom w:w="0" w:type="dxa"/>
              <w:right w:w="108" w:type="dxa"/>
            </w:tcMar>
            <w:vAlign w:val="center"/>
            <w:hideMark/>
          </w:tcPr>
          <w:p w:rsidR="00AB42BF" w:rsidRPr="00E80636" w:rsidRDefault="00AB42BF" w:rsidP="006C308E">
            <w:pPr>
              <w:rPr>
                <w:rFonts w:asciiTheme="majorHAnsi" w:hAnsiTheme="majorHAnsi" w:cstheme="majorHAnsi"/>
                <w:color w:val="000000"/>
                <w:sz w:val="20"/>
                <w:szCs w:val="20"/>
              </w:rPr>
            </w:pPr>
            <w:r w:rsidRPr="00E80636">
              <w:rPr>
                <w:rFonts w:asciiTheme="majorHAnsi" w:hAnsiTheme="majorHAnsi" w:cstheme="majorHAnsi"/>
                <w:color w:val="000000"/>
                <w:sz w:val="20"/>
                <w:szCs w:val="20"/>
              </w:rPr>
              <w:t>African American</w:t>
            </w:r>
          </w:p>
        </w:tc>
        <w:tc>
          <w:tcPr>
            <w:tcW w:w="1710"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18%</w:t>
            </w:r>
          </w:p>
        </w:tc>
        <w:tc>
          <w:tcPr>
            <w:tcW w:w="1620"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14%</w:t>
            </w:r>
          </w:p>
        </w:tc>
        <w:tc>
          <w:tcPr>
            <w:tcW w:w="1530"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50%</w:t>
            </w:r>
          </w:p>
        </w:tc>
        <w:tc>
          <w:tcPr>
            <w:tcW w:w="1615"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41%</w:t>
            </w:r>
          </w:p>
        </w:tc>
      </w:tr>
      <w:tr w:rsidR="00AB42BF" w:rsidRPr="00743A41" w:rsidTr="00AB42BF">
        <w:tc>
          <w:tcPr>
            <w:tcW w:w="2255" w:type="dxa"/>
            <w:shd w:val="clear" w:color="auto" w:fill="FFFFFF"/>
            <w:tcMar>
              <w:top w:w="0" w:type="dxa"/>
              <w:left w:w="108" w:type="dxa"/>
              <w:bottom w:w="0" w:type="dxa"/>
              <w:right w:w="108" w:type="dxa"/>
            </w:tcMar>
            <w:vAlign w:val="center"/>
            <w:hideMark/>
          </w:tcPr>
          <w:p w:rsidR="00AB42BF" w:rsidRPr="00E80636" w:rsidRDefault="00AB42BF" w:rsidP="006C308E">
            <w:pPr>
              <w:rPr>
                <w:rFonts w:asciiTheme="majorHAnsi" w:hAnsiTheme="majorHAnsi" w:cstheme="majorHAnsi"/>
                <w:color w:val="000000"/>
                <w:sz w:val="20"/>
                <w:szCs w:val="20"/>
              </w:rPr>
            </w:pPr>
            <w:r w:rsidRPr="00E80636">
              <w:rPr>
                <w:rFonts w:asciiTheme="majorHAnsi" w:hAnsiTheme="majorHAnsi" w:cstheme="majorHAnsi"/>
                <w:color w:val="000000"/>
                <w:sz w:val="20"/>
                <w:szCs w:val="20"/>
              </w:rPr>
              <w:t>Hispanic/Latino</w:t>
            </w:r>
          </w:p>
        </w:tc>
        <w:tc>
          <w:tcPr>
            <w:tcW w:w="1710"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17%</w:t>
            </w:r>
          </w:p>
        </w:tc>
        <w:tc>
          <w:tcPr>
            <w:tcW w:w="1620"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10%</w:t>
            </w:r>
          </w:p>
        </w:tc>
        <w:tc>
          <w:tcPr>
            <w:tcW w:w="1530"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31%</w:t>
            </w:r>
          </w:p>
        </w:tc>
        <w:tc>
          <w:tcPr>
            <w:tcW w:w="1615"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32%</w:t>
            </w:r>
          </w:p>
        </w:tc>
      </w:tr>
      <w:tr w:rsidR="00AB42BF" w:rsidRPr="00743A41" w:rsidTr="00AB42BF">
        <w:tc>
          <w:tcPr>
            <w:tcW w:w="2255" w:type="dxa"/>
            <w:shd w:val="clear" w:color="auto" w:fill="FFFFFF"/>
            <w:tcMar>
              <w:top w:w="0" w:type="dxa"/>
              <w:left w:w="108" w:type="dxa"/>
              <w:bottom w:w="0" w:type="dxa"/>
              <w:right w:w="108" w:type="dxa"/>
            </w:tcMar>
            <w:vAlign w:val="center"/>
            <w:hideMark/>
          </w:tcPr>
          <w:p w:rsidR="00AB42BF" w:rsidRPr="00E80636" w:rsidRDefault="00AB42BF" w:rsidP="006C308E">
            <w:pPr>
              <w:rPr>
                <w:rFonts w:asciiTheme="majorHAnsi" w:hAnsiTheme="majorHAnsi" w:cstheme="majorHAnsi"/>
                <w:color w:val="000000"/>
                <w:sz w:val="20"/>
                <w:szCs w:val="20"/>
              </w:rPr>
            </w:pPr>
            <w:r w:rsidRPr="00E80636">
              <w:rPr>
                <w:rFonts w:asciiTheme="majorHAnsi" w:hAnsiTheme="majorHAnsi" w:cstheme="majorHAnsi"/>
                <w:color w:val="000000"/>
                <w:sz w:val="20"/>
                <w:szCs w:val="20"/>
              </w:rPr>
              <w:t>Asian</w:t>
            </w:r>
          </w:p>
        </w:tc>
        <w:tc>
          <w:tcPr>
            <w:tcW w:w="1710"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19%</w:t>
            </w:r>
          </w:p>
        </w:tc>
        <w:tc>
          <w:tcPr>
            <w:tcW w:w="1620"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18%</w:t>
            </w:r>
          </w:p>
        </w:tc>
        <w:tc>
          <w:tcPr>
            <w:tcW w:w="1530"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28%</w:t>
            </w:r>
          </w:p>
        </w:tc>
        <w:tc>
          <w:tcPr>
            <w:tcW w:w="1615"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31%</w:t>
            </w:r>
          </w:p>
        </w:tc>
      </w:tr>
      <w:tr w:rsidR="00AB42BF" w:rsidRPr="00743A41" w:rsidTr="00AB42BF">
        <w:tc>
          <w:tcPr>
            <w:tcW w:w="2255" w:type="dxa"/>
            <w:shd w:val="clear" w:color="auto" w:fill="FFFFFF"/>
            <w:tcMar>
              <w:top w:w="0" w:type="dxa"/>
              <w:left w:w="108" w:type="dxa"/>
              <w:bottom w:w="0" w:type="dxa"/>
              <w:right w:w="108" w:type="dxa"/>
            </w:tcMar>
            <w:vAlign w:val="center"/>
            <w:hideMark/>
          </w:tcPr>
          <w:p w:rsidR="00AB42BF" w:rsidRPr="00E80636" w:rsidRDefault="00AB42BF" w:rsidP="006C308E">
            <w:pPr>
              <w:rPr>
                <w:rFonts w:asciiTheme="majorHAnsi" w:hAnsiTheme="majorHAnsi" w:cstheme="majorHAnsi"/>
                <w:color w:val="000000"/>
                <w:sz w:val="20"/>
                <w:szCs w:val="20"/>
              </w:rPr>
            </w:pPr>
            <w:r w:rsidRPr="00E80636">
              <w:rPr>
                <w:rFonts w:asciiTheme="majorHAnsi" w:hAnsiTheme="majorHAnsi" w:cstheme="majorHAnsi"/>
                <w:color w:val="000000"/>
                <w:sz w:val="20"/>
                <w:szCs w:val="20"/>
              </w:rPr>
              <w:t>Domestic</w:t>
            </w:r>
          </w:p>
        </w:tc>
        <w:tc>
          <w:tcPr>
            <w:tcW w:w="1710" w:type="dxa"/>
            <w:shd w:val="clear" w:color="auto" w:fill="FFFFFF"/>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color w:val="000000"/>
                <w:sz w:val="20"/>
                <w:szCs w:val="20"/>
                <w:highlight w:val="yellow"/>
              </w:rPr>
            </w:pPr>
          </w:p>
        </w:tc>
        <w:tc>
          <w:tcPr>
            <w:tcW w:w="1620" w:type="dxa"/>
            <w:shd w:val="clear" w:color="auto" w:fill="FFFFFF"/>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color w:val="000000"/>
                <w:sz w:val="20"/>
                <w:szCs w:val="20"/>
                <w:highlight w:val="yellow"/>
              </w:rPr>
            </w:pPr>
          </w:p>
        </w:tc>
        <w:tc>
          <w:tcPr>
            <w:tcW w:w="1530"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27%</w:t>
            </w:r>
          </w:p>
        </w:tc>
        <w:tc>
          <w:tcPr>
            <w:tcW w:w="1615" w:type="dxa"/>
            <w:shd w:val="clear" w:color="auto" w:fill="FFFFFF"/>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29%</w:t>
            </w:r>
          </w:p>
        </w:tc>
      </w:tr>
      <w:tr w:rsidR="00AB42BF" w:rsidRPr="00743A41" w:rsidTr="00AB42BF">
        <w:trPr>
          <w:trHeight w:val="260"/>
        </w:trPr>
        <w:tc>
          <w:tcPr>
            <w:tcW w:w="8730" w:type="dxa"/>
            <w:gridSpan w:val="5"/>
            <w:shd w:val="clear" w:color="auto" w:fill="D9D9D9"/>
            <w:tcMar>
              <w:top w:w="0" w:type="dxa"/>
              <w:left w:w="108" w:type="dxa"/>
              <w:bottom w:w="0" w:type="dxa"/>
              <w:right w:w="108" w:type="dxa"/>
            </w:tcMar>
            <w:vAlign w:val="center"/>
          </w:tcPr>
          <w:p w:rsidR="00AB42BF" w:rsidRPr="00E80636" w:rsidRDefault="00AB42BF" w:rsidP="006C308E">
            <w:pPr>
              <w:rPr>
                <w:rFonts w:asciiTheme="majorHAnsi" w:hAnsiTheme="majorHAnsi" w:cstheme="majorHAnsi"/>
                <w:color w:val="000000"/>
                <w:sz w:val="20"/>
                <w:szCs w:val="20"/>
              </w:rPr>
            </w:pPr>
            <w:r w:rsidRPr="00E80636">
              <w:rPr>
                <w:rFonts w:asciiTheme="majorHAnsi" w:hAnsiTheme="majorHAnsi" w:cstheme="majorHAnsi"/>
                <w:b/>
                <w:bCs/>
                <w:color w:val="000000"/>
                <w:sz w:val="20"/>
                <w:szCs w:val="20"/>
              </w:rPr>
              <w:t>Citizenship and gender distribution among all students</w:t>
            </w:r>
          </w:p>
        </w:tc>
      </w:tr>
      <w:tr w:rsidR="00AB42BF" w:rsidRPr="00743A41" w:rsidTr="00AB42BF">
        <w:tc>
          <w:tcPr>
            <w:tcW w:w="2255" w:type="dxa"/>
            <w:tcMar>
              <w:top w:w="0" w:type="dxa"/>
              <w:left w:w="108" w:type="dxa"/>
              <w:bottom w:w="0" w:type="dxa"/>
              <w:right w:w="108" w:type="dxa"/>
            </w:tcMar>
            <w:vAlign w:val="center"/>
            <w:hideMark/>
          </w:tcPr>
          <w:p w:rsidR="00AB42BF" w:rsidRPr="00E80636" w:rsidRDefault="00AB42BF" w:rsidP="006C308E">
            <w:pPr>
              <w:rPr>
                <w:rFonts w:asciiTheme="majorHAnsi" w:hAnsiTheme="majorHAnsi" w:cstheme="majorHAnsi"/>
                <w:color w:val="000000"/>
                <w:sz w:val="20"/>
                <w:szCs w:val="20"/>
              </w:rPr>
            </w:pPr>
            <w:r w:rsidRPr="00E80636">
              <w:rPr>
                <w:rFonts w:asciiTheme="majorHAnsi" w:hAnsiTheme="majorHAnsi" w:cstheme="majorHAnsi"/>
                <w:color w:val="000000"/>
                <w:sz w:val="20"/>
                <w:szCs w:val="20"/>
              </w:rPr>
              <w:t>International</w:t>
            </w:r>
          </w:p>
        </w:tc>
        <w:tc>
          <w:tcPr>
            <w:tcW w:w="1710" w:type="dxa"/>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23%</w:t>
            </w:r>
          </w:p>
        </w:tc>
        <w:tc>
          <w:tcPr>
            <w:tcW w:w="1620" w:type="dxa"/>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29%</w:t>
            </w:r>
          </w:p>
        </w:tc>
        <w:tc>
          <w:tcPr>
            <w:tcW w:w="1530" w:type="dxa"/>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8%</w:t>
            </w:r>
          </w:p>
        </w:tc>
        <w:tc>
          <w:tcPr>
            <w:tcW w:w="1615" w:type="dxa"/>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50%</w:t>
            </w:r>
          </w:p>
        </w:tc>
      </w:tr>
      <w:tr w:rsidR="00AB42BF" w:rsidRPr="00743A41" w:rsidTr="00AB42BF">
        <w:tc>
          <w:tcPr>
            <w:tcW w:w="2255" w:type="dxa"/>
            <w:tcMar>
              <w:top w:w="0" w:type="dxa"/>
              <w:left w:w="108" w:type="dxa"/>
              <w:bottom w:w="0" w:type="dxa"/>
              <w:right w:w="108" w:type="dxa"/>
            </w:tcMar>
            <w:vAlign w:val="center"/>
            <w:hideMark/>
          </w:tcPr>
          <w:p w:rsidR="00AB42BF" w:rsidRPr="00E80636" w:rsidRDefault="00AB42BF" w:rsidP="006C308E">
            <w:pPr>
              <w:rPr>
                <w:rFonts w:asciiTheme="majorHAnsi" w:hAnsiTheme="majorHAnsi" w:cstheme="majorHAnsi"/>
                <w:color w:val="000000"/>
                <w:sz w:val="20"/>
                <w:szCs w:val="20"/>
              </w:rPr>
            </w:pPr>
            <w:r w:rsidRPr="00E80636">
              <w:rPr>
                <w:rFonts w:asciiTheme="majorHAnsi" w:hAnsiTheme="majorHAnsi" w:cstheme="majorHAnsi"/>
                <w:color w:val="000000"/>
                <w:sz w:val="20"/>
                <w:szCs w:val="20"/>
              </w:rPr>
              <w:t>Female</w:t>
            </w:r>
          </w:p>
        </w:tc>
        <w:tc>
          <w:tcPr>
            <w:tcW w:w="1710" w:type="dxa"/>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70%</w:t>
            </w:r>
          </w:p>
        </w:tc>
        <w:tc>
          <w:tcPr>
            <w:tcW w:w="1620" w:type="dxa"/>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65%</w:t>
            </w:r>
          </w:p>
        </w:tc>
        <w:tc>
          <w:tcPr>
            <w:tcW w:w="1530" w:type="dxa"/>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29%</w:t>
            </w:r>
          </w:p>
        </w:tc>
        <w:tc>
          <w:tcPr>
            <w:tcW w:w="1615" w:type="dxa"/>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35%</w:t>
            </w:r>
          </w:p>
        </w:tc>
      </w:tr>
    </w:tbl>
    <w:p w:rsidR="00AB42BF" w:rsidRPr="00E80636" w:rsidRDefault="00AB42BF" w:rsidP="006C308E">
      <w:pPr>
        <w:ind w:left="720"/>
        <w:contextualSpacing/>
        <w:jc w:val="both"/>
        <w:rPr>
          <w:rFonts w:asciiTheme="majorHAnsi" w:hAnsiTheme="majorHAnsi" w:cstheme="majorHAnsi"/>
          <w:sz w:val="20"/>
          <w:szCs w:val="20"/>
        </w:rPr>
      </w:pPr>
    </w:p>
    <w:p w:rsidR="00AB42BF" w:rsidRPr="00E80636" w:rsidRDefault="006E3D5E" w:rsidP="006C308E">
      <w:pPr>
        <w:ind w:left="720"/>
        <w:rPr>
          <w:rFonts w:asciiTheme="majorHAnsi" w:eastAsia="Arial" w:hAnsiTheme="majorHAnsi" w:cstheme="majorHAnsi"/>
          <w:sz w:val="20"/>
          <w:szCs w:val="20"/>
        </w:rPr>
      </w:pPr>
      <w:hyperlink w:anchor="tableg13" w:history="1">
        <w:r w:rsidR="00AB42BF" w:rsidRPr="00E80636">
          <w:rPr>
            <w:rStyle w:val="Hyperlink"/>
            <w:rFonts w:asciiTheme="majorHAnsi" w:hAnsiTheme="majorHAnsi" w:cstheme="majorHAnsi"/>
            <w:sz w:val="20"/>
            <w:szCs w:val="20"/>
          </w:rPr>
          <w:t>Table G</w:t>
        </w:r>
        <w:r w:rsidR="00591176" w:rsidRPr="00E80636">
          <w:rPr>
            <w:rStyle w:val="Hyperlink"/>
            <w:rFonts w:asciiTheme="majorHAnsi" w:hAnsiTheme="majorHAnsi" w:cstheme="majorHAnsi"/>
            <w:sz w:val="20"/>
            <w:szCs w:val="20"/>
          </w:rPr>
          <w:t>.</w:t>
        </w:r>
        <w:r w:rsidR="00AB42BF" w:rsidRPr="00E80636">
          <w:rPr>
            <w:rStyle w:val="Hyperlink"/>
            <w:rFonts w:asciiTheme="majorHAnsi" w:hAnsiTheme="majorHAnsi" w:cstheme="majorHAnsi"/>
            <w:sz w:val="20"/>
            <w:szCs w:val="20"/>
          </w:rPr>
          <w:t>1.3</w:t>
        </w:r>
        <w:r w:rsidR="00591176" w:rsidRPr="00E80636">
          <w:rPr>
            <w:rStyle w:val="Hyperlink"/>
            <w:rFonts w:asciiTheme="majorHAnsi" w:hAnsiTheme="majorHAnsi" w:cstheme="majorHAnsi"/>
            <w:sz w:val="20"/>
            <w:szCs w:val="20"/>
          </w:rPr>
          <w:t>.</w:t>
        </w:r>
      </w:hyperlink>
      <w:r w:rsidR="00AB42BF" w:rsidRPr="00E80636">
        <w:rPr>
          <w:rFonts w:asciiTheme="majorHAnsi" w:hAnsiTheme="majorHAnsi" w:cstheme="majorHAnsi"/>
          <w:color w:val="000000"/>
          <w:sz w:val="20"/>
          <w:szCs w:val="20"/>
        </w:rPr>
        <w:t xml:space="preserve"> shows the diversity of our faculty compared to that in other schools of public health nationally and the Texas and U.S. populations. While the ethnic/racial composition is similar to the composition of </w:t>
      </w:r>
      <w:r w:rsidR="00AB42BF" w:rsidRPr="00E80636">
        <w:rPr>
          <w:rFonts w:asciiTheme="majorHAnsi" w:eastAsia="Arial" w:hAnsiTheme="majorHAnsi" w:cstheme="majorHAnsi"/>
          <w:sz w:val="20"/>
          <w:szCs w:val="20"/>
        </w:rPr>
        <w:t xml:space="preserve">U.S. schools of public health, it is lacking compared with composition of the Texas and the U.S. population. The racial/ethnic composition of staff is 78% female, 50% Hispanic/Latino, 26% white, and 12% African-American. </w:t>
      </w:r>
    </w:p>
    <w:p w:rsidR="00AB42BF" w:rsidRPr="00E80636" w:rsidRDefault="00AB42BF" w:rsidP="006C308E">
      <w:pPr>
        <w:ind w:left="720"/>
        <w:rPr>
          <w:rFonts w:asciiTheme="majorHAnsi" w:eastAsia="Arial" w:hAnsiTheme="majorHAnsi" w:cstheme="majorHAnsi"/>
          <w:sz w:val="20"/>
          <w:szCs w:val="20"/>
        </w:rPr>
      </w:pPr>
    </w:p>
    <w:p w:rsidR="004A2589" w:rsidRPr="00E80636" w:rsidRDefault="004A2589" w:rsidP="006C308E">
      <w:pPr>
        <w:ind w:left="720"/>
        <w:rPr>
          <w:rFonts w:asciiTheme="majorHAnsi" w:eastAsia="Arial" w:hAnsiTheme="majorHAnsi" w:cstheme="majorHAnsi"/>
          <w:sz w:val="20"/>
          <w:szCs w:val="20"/>
        </w:rPr>
      </w:pPr>
    </w:p>
    <w:p w:rsidR="004A2589" w:rsidRPr="00E80636" w:rsidRDefault="004A2589" w:rsidP="006C308E">
      <w:pPr>
        <w:ind w:left="720"/>
        <w:rPr>
          <w:rFonts w:asciiTheme="majorHAnsi" w:eastAsia="Arial" w:hAnsiTheme="majorHAnsi" w:cstheme="majorHAnsi"/>
          <w:sz w:val="20"/>
          <w:szCs w:val="20"/>
        </w:rPr>
      </w:pPr>
    </w:p>
    <w:p w:rsidR="004A2589" w:rsidRPr="00E80636" w:rsidRDefault="004A2589" w:rsidP="006C308E">
      <w:pPr>
        <w:ind w:left="720"/>
        <w:rPr>
          <w:rFonts w:asciiTheme="majorHAnsi" w:eastAsia="Arial" w:hAnsiTheme="majorHAnsi" w:cstheme="majorHAnsi"/>
          <w:sz w:val="20"/>
          <w:szCs w:val="20"/>
        </w:rPr>
      </w:pPr>
    </w:p>
    <w:p w:rsidR="004A2589" w:rsidRPr="00E80636" w:rsidRDefault="004A2589" w:rsidP="006C308E">
      <w:pPr>
        <w:ind w:left="720"/>
        <w:rPr>
          <w:rFonts w:asciiTheme="majorHAnsi" w:eastAsia="Arial" w:hAnsiTheme="majorHAnsi" w:cstheme="majorHAnsi"/>
          <w:sz w:val="20"/>
          <w:szCs w:val="20"/>
        </w:rPr>
      </w:pPr>
    </w:p>
    <w:p w:rsidR="004A2589" w:rsidRPr="00E80636" w:rsidRDefault="004A2589" w:rsidP="006C308E">
      <w:pPr>
        <w:ind w:left="720"/>
        <w:rPr>
          <w:rFonts w:asciiTheme="majorHAnsi" w:eastAsia="Arial" w:hAnsiTheme="majorHAnsi" w:cstheme="majorHAnsi"/>
          <w:sz w:val="20"/>
          <w:szCs w:val="20"/>
        </w:rPr>
      </w:pPr>
    </w:p>
    <w:p w:rsidR="004A2589" w:rsidRPr="00E80636" w:rsidRDefault="004A2589" w:rsidP="006C308E">
      <w:pPr>
        <w:ind w:left="720"/>
        <w:rPr>
          <w:rFonts w:asciiTheme="majorHAnsi" w:eastAsia="Arial" w:hAnsiTheme="majorHAnsi" w:cstheme="majorHAnsi"/>
          <w:sz w:val="20"/>
          <w:szCs w:val="20"/>
        </w:rPr>
      </w:pPr>
    </w:p>
    <w:p w:rsidR="004A2589" w:rsidRPr="00E80636" w:rsidRDefault="004A2589" w:rsidP="006C308E">
      <w:pPr>
        <w:ind w:left="720"/>
        <w:rPr>
          <w:rFonts w:asciiTheme="majorHAnsi" w:eastAsia="Arial" w:hAnsiTheme="majorHAnsi" w:cstheme="majorHAnsi"/>
          <w:sz w:val="20"/>
          <w:szCs w:val="20"/>
        </w:rPr>
      </w:pPr>
    </w:p>
    <w:p w:rsidR="004A2589" w:rsidRPr="00E80636" w:rsidRDefault="004A2589" w:rsidP="006C308E">
      <w:pPr>
        <w:ind w:left="720"/>
        <w:rPr>
          <w:rFonts w:asciiTheme="majorHAnsi" w:eastAsia="Arial" w:hAnsiTheme="majorHAnsi" w:cstheme="majorHAnsi"/>
          <w:sz w:val="20"/>
          <w:szCs w:val="20"/>
        </w:rPr>
      </w:pPr>
    </w:p>
    <w:p w:rsidR="004A2589" w:rsidRPr="00E80636" w:rsidRDefault="004A2589" w:rsidP="006C308E">
      <w:pPr>
        <w:ind w:left="720"/>
        <w:rPr>
          <w:rFonts w:asciiTheme="majorHAnsi" w:eastAsia="Arial" w:hAnsiTheme="majorHAnsi" w:cstheme="majorHAnsi"/>
          <w:sz w:val="20"/>
          <w:szCs w:val="20"/>
        </w:rPr>
      </w:pPr>
    </w:p>
    <w:p w:rsidR="00AB42BF" w:rsidRPr="00E80636" w:rsidRDefault="00AB42BF" w:rsidP="006C308E">
      <w:pPr>
        <w:ind w:left="720"/>
        <w:rPr>
          <w:rFonts w:asciiTheme="majorHAnsi" w:eastAsia="Arial" w:hAnsiTheme="majorHAnsi" w:cstheme="majorHAnsi"/>
          <w:sz w:val="20"/>
          <w:szCs w:val="20"/>
        </w:rPr>
      </w:pPr>
      <w:bookmarkStart w:id="167" w:name="tableg13"/>
      <w:r w:rsidRPr="00E80636">
        <w:rPr>
          <w:rFonts w:asciiTheme="majorHAnsi" w:eastAsia="Arial" w:hAnsiTheme="majorHAnsi" w:cstheme="majorHAnsi"/>
          <w:sz w:val="20"/>
          <w:szCs w:val="20"/>
        </w:rPr>
        <w:t>Table G</w:t>
      </w:r>
      <w:r w:rsidR="000634AF" w:rsidRPr="00E80636">
        <w:rPr>
          <w:rFonts w:asciiTheme="majorHAnsi" w:eastAsia="Arial" w:hAnsiTheme="majorHAnsi" w:cstheme="majorHAnsi"/>
          <w:sz w:val="20"/>
          <w:szCs w:val="20"/>
        </w:rPr>
        <w:t>.</w:t>
      </w:r>
      <w:r w:rsidRPr="00E80636">
        <w:rPr>
          <w:rFonts w:asciiTheme="majorHAnsi" w:eastAsia="Arial" w:hAnsiTheme="majorHAnsi" w:cstheme="majorHAnsi"/>
          <w:sz w:val="20"/>
          <w:szCs w:val="20"/>
        </w:rPr>
        <w:t xml:space="preserve">1.3. </w:t>
      </w:r>
      <w:bookmarkEnd w:id="167"/>
      <w:r w:rsidRPr="00E80636">
        <w:rPr>
          <w:rFonts w:asciiTheme="majorHAnsi" w:eastAsia="Arial" w:hAnsiTheme="majorHAnsi" w:cstheme="majorHAnsi"/>
          <w:sz w:val="20"/>
          <w:szCs w:val="20"/>
        </w:rPr>
        <w:t>Race/Ethnicity Distribution Compared to State and National Levels</w:t>
      </w:r>
    </w:p>
    <w:tbl>
      <w:tblPr>
        <w:tblW w:w="8730" w:type="dxa"/>
        <w:tblInd w:w="710" w:type="dxa"/>
        <w:tblLayout w:type="fixed"/>
        <w:tblCellMar>
          <w:left w:w="0" w:type="dxa"/>
          <w:right w:w="0" w:type="dxa"/>
        </w:tblCellMar>
        <w:tblLook w:val="04A0" w:firstRow="1" w:lastRow="0" w:firstColumn="1" w:lastColumn="0" w:noHBand="0" w:noVBand="1"/>
      </w:tblPr>
      <w:tblGrid>
        <w:gridCol w:w="2139"/>
        <w:gridCol w:w="1318"/>
        <w:gridCol w:w="1318"/>
        <w:gridCol w:w="1318"/>
        <w:gridCol w:w="1318"/>
        <w:gridCol w:w="1319"/>
      </w:tblGrid>
      <w:tr w:rsidR="00AB42BF" w:rsidRPr="00743A41" w:rsidTr="00AB42BF">
        <w:tc>
          <w:tcPr>
            <w:tcW w:w="21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42BF" w:rsidRPr="00E80636" w:rsidRDefault="00AB42BF" w:rsidP="006C308E">
            <w:pPr>
              <w:rPr>
                <w:rFonts w:asciiTheme="majorHAnsi" w:hAnsiTheme="majorHAnsi" w:cstheme="majorHAnsi"/>
                <w:color w:val="000000"/>
                <w:sz w:val="20"/>
                <w:szCs w:val="20"/>
              </w:rPr>
            </w:pPr>
            <w:r w:rsidRPr="00E80636">
              <w:rPr>
                <w:rFonts w:asciiTheme="majorHAnsi" w:eastAsia="Times New Roman" w:hAnsiTheme="majorHAnsi" w:cstheme="majorHAnsi"/>
                <w:color w:val="000000"/>
                <w:sz w:val="20"/>
                <w:szCs w:val="20"/>
              </w:rPr>
              <w:br w:type="page"/>
            </w:r>
          </w:p>
        </w:tc>
        <w:tc>
          <w:tcPr>
            <w:tcW w:w="13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SPH Faculty</w:t>
            </w:r>
          </w:p>
        </w:tc>
        <w:tc>
          <w:tcPr>
            <w:tcW w:w="13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ASPPH Schools of Public Health Faculty</w:t>
            </w:r>
          </w:p>
        </w:tc>
        <w:tc>
          <w:tcPr>
            <w:tcW w:w="13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SPH Staff</w:t>
            </w:r>
          </w:p>
        </w:tc>
        <w:tc>
          <w:tcPr>
            <w:tcW w:w="13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Texas population</w:t>
            </w:r>
          </w:p>
        </w:tc>
        <w:tc>
          <w:tcPr>
            <w:tcW w:w="13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D06EEE"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U.S.</w:t>
            </w:r>
          </w:p>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population</w:t>
            </w:r>
          </w:p>
        </w:tc>
      </w:tr>
      <w:tr w:rsidR="00AB42BF" w:rsidRPr="00743A41" w:rsidTr="00AB42BF">
        <w:tc>
          <w:tcPr>
            <w:tcW w:w="2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42BF" w:rsidRPr="00E80636" w:rsidRDefault="00AB42BF" w:rsidP="006C308E">
            <w:pPr>
              <w:rPr>
                <w:rFonts w:asciiTheme="majorHAnsi" w:hAnsiTheme="majorHAnsi" w:cstheme="majorHAnsi"/>
                <w:color w:val="000000"/>
                <w:sz w:val="20"/>
                <w:szCs w:val="20"/>
              </w:rPr>
            </w:pPr>
            <w:r w:rsidRPr="00E80636">
              <w:rPr>
                <w:rFonts w:asciiTheme="majorHAnsi" w:hAnsiTheme="majorHAnsi" w:cstheme="majorHAnsi"/>
                <w:color w:val="000000"/>
                <w:sz w:val="20"/>
                <w:szCs w:val="20"/>
              </w:rPr>
              <w:t>White (non-Hispanic)</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62%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62%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26%</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41%</w:t>
            </w:r>
          </w:p>
        </w:tc>
        <w:tc>
          <w:tcPr>
            <w:tcW w:w="1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61%</w:t>
            </w:r>
          </w:p>
        </w:tc>
      </w:tr>
      <w:tr w:rsidR="00AB42BF" w:rsidRPr="00743A41" w:rsidTr="00AB42BF">
        <w:tc>
          <w:tcPr>
            <w:tcW w:w="2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42BF" w:rsidRPr="00E80636" w:rsidRDefault="00AB42BF" w:rsidP="006C308E">
            <w:pPr>
              <w:rPr>
                <w:rFonts w:asciiTheme="majorHAnsi" w:hAnsiTheme="majorHAnsi" w:cstheme="majorHAnsi"/>
                <w:color w:val="000000"/>
                <w:sz w:val="20"/>
                <w:szCs w:val="20"/>
              </w:rPr>
            </w:pPr>
            <w:r w:rsidRPr="00E80636">
              <w:rPr>
                <w:rFonts w:asciiTheme="majorHAnsi" w:hAnsiTheme="majorHAnsi" w:cstheme="majorHAnsi"/>
                <w:color w:val="000000"/>
                <w:sz w:val="20"/>
                <w:szCs w:val="20"/>
              </w:rPr>
              <w:t>African American</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6%</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6%</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13%</w:t>
            </w:r>
          </w:p>
        </w:tc>
        <w:tc>
          <w:tcPr>
            <w:tcW w:w="1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13%</w:t>
            </w:r>
          </w:p>
        </w:tc>
      </w:tr>
      <w:tr w:rsidR="00AB42BF" w:rsidRPr="00743A41" w:rsidTr="00AB42BF">
        <w:tc>
          <w:tcPr>
            <w:tcW w:w="2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42BF" w:rsidRPr="00E80636" w:rsidRDefault="00AB42BF" w:rsidP="006C308E">
            <w:pPr>
              <w:rPr>
                <w:rFonts w:asciiTheme="majorHAnsi" w:hAnsiTheme="majorHAnsi" w:cstheme="majorHAnsi"/>
                <w:color w:val="000000"/>
                <w:sz w:val="20"/>
                <w:szCs w:val="20"/>
              </w:rPr>
            </w:pPr>
            <w:r w:rsidRPr="00E80636">
              <w:rPr>
                <w:rFonts w:asciiTheme="majorHAnsi" w:hAnsiTheme="majorHAnsi" w:cstheme="majorHAnsi"/>
                <w:color w:val="000000"/>
                <w:sz w:val="20"/>
                <w:szCs w:val="20"/>
              </w:rPr>
              <w:t>Hispanic/Latino</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9%</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4%</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50%</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39%</w:t>
            </w:r>
          </w:p>
        </w:tc>
        <w:tc>
          <w:tcPr>
            <w:tcW w:w="1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18%</w:t>
            </w:r>
          </w:p>
        </w:tc>
      </w:tr>
      <w:tr w:rsidR="00AB42BF" w:rsidRPr="00743A41" w:rsidTr="00AB42BF">
        <w:tc>
          <w:tcPr>
            <w:tcW w:w="2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42BF" w:rsidRPr="00E80636" w:rsidRDefault="00AB42BF" w:rsidP="006C308E">
            <w:pPr>
              <w:rPr>
                <w:rFonts w:asciiTheme="majorHAnsi" w:hAnsiTheme="majorHAnsi" w:cstheme="majorHAnsi"/>
                <w:color w:val="000000"/>
                <w:sz w:val="20"/>
                <w:szCs w:val="20"/>
              </w:rPr>
            </w:pPr>
            <w:r w:rsidRPr="00E80636">
              <w:rPr>
                <w:rFonts w:asciiTheme="majorHAnsi" w:hAnsiTheme="majorHAnsi" w:cstheme="majorHAnsi"/>
                <w:color w:val="000000"/>
                <w:sz w:val="20"/>
                <w:szCs w:val="20"/>
              </w:rPr>
              <w:t>Asian</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22%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13%</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10%</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5%</w:t>
            </w:r>
          </w:p>
        </w:tc>
        <w:tc>
          <w:tcPr>
            <w:tcW w:w="1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6%</w:t>
            </w:r>
          </w:p>
        </w:tc>
      </w:tr>
      <w:tr w:rsidR="00AB42BF" w:rsidRPr="00743A41" w:rsidTr="00AB42BF">
        <w:tc>
          <w:tcPr>
            <w:tcW w:w="2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42BF" w:rsidRPr="00E80636" w:rsidRDefault="00AB42BF" w:rsidP="006C308E">
            <w:pPr>
              <w:rPr>
                <w:rFonts w:asciiTheme="majorHAnsi" w:hAnsiTheme="majorHAnsi" w:cstheme="majorHAnsi"/>
                <w:color w:val="000000"/>
                <w:sz w:val="20"/>
                <w:szCs w:val="20"/>
              </w:rPr>
            </w:pPr>
            <w:r w:rsidRPr="00E80636">
              <w:rPr>
                <w:rFonts w:asciiTheme="majorHAnsi" w:hAnsiTheme="majorHAnsi" w:cstheme="majorHAnsi"/>
                <w:color w:val="000000"/>
                <w:sz w:val="20"/>
                <w:szCs w:val="20"/>
              </w:rPr>
              <w:t>Female</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47%</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48%</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77%</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50%</w:t>
            </w:r>
          </w:p>
        </w:tc>
        <w:tc>
          <w:tcPr>
            <w:tcW w:w="1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51%</w:t>
            </w:r>
          </w:p>
        </w:tc>
      </w:tr>
      <w:tr w:rsidR="00AB42BF" w:rsidRPr="00743A41" w:rsidTr="00AB42BF">
        <w:tc>
          <w:tcPr>
            <w:tcW w:w="2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42BF" w:rsidRPr="00E80636" w:rsidRDefault="00AB42BF" w:rsidP="006C308E">
            <w:pPr>
              <w:rPr>
                <w:rFonts w:asciiTheme="majorHAnsi" w:hAnsiTheme="majorHAnsi" w:cstheme="majorHAnsi"/>
                <w:color w:val="000000"/>
                <w:sz w:val="20"/>
                <w:szCs w:val="20"/>
              </w:rPr>
            </w:pPr>
            <w:r w:rsidRPr="00E80636">
              <w:rPr>
                <w:rFonts w:asciiTheme="majorHAnsi" w:hAnsiTheme="majorHAnsi" w:cstheme="majorHAnsi"/>
                <w:color w:val="000000"/>
                <w:sz w:val="20"/>
                <w:szCs w:val="20"/>
              </w:rPr>
              <w:t>International</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color w:val="000000"/>
                <w:sz w:val="20"/>
                <w:szCs w:val="20"/>
              </w:rPr>
            </w:pP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color w:val="000000"/>
                <w:sz w:val="20"/>
                <w:szCs w:val="20"/>
              </w:rPr>
            </w:pP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w:t>
            </w:r>
          </w:p>
        </w:tc>
        <w:tc>
          <w:tcPr>
            <w:tcW w:w="1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w:t>
            </w:r>
          </w:p>
        </w:tc>
      </w:tr>
    </w:tbl>
    <w:p w:rsidR="00AB42BF" w:rsidRPr="00E80636" w:rsidRDefault="00AB42BF" w:rsidP="006C308E">
      <w:pPr>
        <w:contextualSpacing/>
        <w:jc w:val="both"/>
        <w:rPr>
          <w:rFonts w:asciiTheme="majorHAnsi" w:hAnsiTheme="majorHAnsi" w:cstheme="majorHAnsi"/>
          <w:sz w:val="20"/>
          <w:szCs w:val="20"/>
        </w:rPr>
      </w:pPr>
    </w:p>
    <w:p w:rsidR="00AB42BF" w:rsidRPr="00E80636" w:rsidRDefault="006E3D5E" w:rsidP="006C308E">
      <w:pPr>
        <w:ind w:left="720" w:right="63"/>
        <w:rPr>
          <w:rFonts w:asciiTheme="majorHAnsi" w:eastAsia="Arial" w:hAnsiTheme="majorHAnsi" w:cstheme="majorHAnsi"/>
          <w:sz w:val="20"/>
          <w:szCs w:val="20"/>
        </w:rPr>
      </w:pPr>
      <w:hyperlink w:anchor="tableg14" w:history="1">
        <w:r w:rsidR="00AB42BF" w:rsidRPr="00E80636">
          <w:rPr>
            <w:rStyle w:val="Hyperlink"/>
            <w:rFonts w:asciiTheme="majorHAnsi" w:eastAsia="Arial" w:hAnsiTheme="majorHAnsi" w:cstheme="majorHAnsi"/>
            <w:sz w:val="20"/>
            <w:szCs w:val="20"/>
          </w:rPr>
          <w:t>Table G</w:t>
        </w:r>
        <w:r w:rsidR="00591176" w:rsidRPr="00E80636">
          <w:rPr>
            <w:rStyle w:val="Hyperlink"/>
            <w:rFonts w:asciiTheme="majorHAnsi" w:eastAsia="Arial" w:hAnsiTheme="majorHAnsi" w:cstheme="majorHAnsi"/>
            <w:sz w:val="20"/>
            <w:szCs w:val="20"/>
          </w:rPr>
          <w:t>.</w:t>
        </w:r>
        <w:r w:rsidR="00AB42BF" w:rsidRPr="00E80636">
          <w:rPr>
            <w:rStyle w:val="Hyperlink"/>
            <w:rFonts w:asciiTheme="majorHAnsi" w:eastAsia="Arial" w:hAnsiTheme="majorHAnsi" w:cstheme="majorHAnsi"/>
            <w:sz w:val="20"/>
            <w:szCs w:val="20"/>
          </w:rPr>
          <w:t>1.4</w:t>
        </w:r>
        <w:r w:rsidR="00591176" w:rsidRPr="00E80636">
          <w:rPr>
            <w:rStyle w:val="Hyperlink"/>
            <w:rFonts w:asciiTheme="majorHAnsi" w:eastAsia="Arial" w:hAnsiTheme="majorHAnsi" w:cstheme="majorHAnsi"/>
            <w:sz w:val="20"/>
            <w:szCs w:val="20"/>
          </w:rPr>
          <w:t>.</w:t>
        </w:r>
      </w:hyperlink>
      <w:r w:rsidR="00AB42BF" w:rsidRPr="00E80636">
        <w:rPr>
          <w:rFonts w:asciiTheme="majorHAnsi" w:eastAsia="Arial" w:hAnsiTheme="majorHAnsi" w:cstheme="majorHAnsi"/>
          <w:sz w:val="20"/>
          <w:szCs w:val="20"/>
        </w:rPr>
        <w:t xml:space="preserve"> shows the racial/ethnic and gender distribution of our faculty by rank and tenure. There is a need to support African Americans, Hispanics/Latinos, and women towards achieving tenure.  While we have more Hispanic/Latino faculty on the tenure track than ASPPH schools nationally, it would be important to develop mentoring and other programs to ensure that these minority faculty are retained and successfully reach tenure. Moreover, it appears that we have a disproportionate percentage of female faculty on the non-tenure track compared with ASPPH schools nationally. </w:t>
      </w:r>
    </w:p>
    <w:p w:rsidR="00AB42BF" w:rsidRPr="00E80636" w:rsidRDefault="00AB42BF" w:rsidP="006C308E">
      <w:pPr>
        <w:ind w:left="720" w:right="63"/>
        <w:rPr>
          <w:rFonts w:asciiTheme="majorHAnsi" w:eastAsia="Arial" w:hAnsiTheme="majorHAnsi" w:cstheme="majorHAnsi"/>
          <w:sz w:val="20"/>
          <w:szCs w:val="20"/>
        </w:rPr>
      </w:pPr>
    </w:p>
    <w:p w:rsidR="00AB42BF" w:rsidRPr="00E80636" w:rsidRDefault="00AB42BF" w:rsidP="006C308E">
      <w:pPr>
        <w:ind w:left="720" w:right="63"/>
        <w:rPr>
          <w:rFonts w:asciiTheme="majorHAnsi" w:eastAsia="Arial" w:hAnsiTheme="majorHAnsi" w:cstheme="majorHAnsi"/>
          <w:sz w:val="20"/>
          <w:szCs w:val="20"/>
        </w:rPr>
      </w:pPr>
      <w:bookmarkStart w:id="168" w:name="tableg14"/>
      <w:r w:rsidRPr="00E80636">
        <w:rPr>
          <w:rFonts w:asciiTheme="majorHAnsi" w:eastAsia="Arial" w:hAnsiTheme="majorHAnsi" w:cstheme="majorHAnsi"/>
          <w:sz w:val="20"/>
          <w:szCs w:val="20"/>
        </w:rPr>
        <w:t>Table G</w:t>
      </w:r>
      <w:r w:rsidR="000634AF" w:rsidRPr="00E80636">
        <w:rPr>
          <w:rFonts w:asciiTheme="majorHAnsi" w:eastAsia="Arial" w:hAnsiTheme="majorHAnsi" w:cstheme="majorHAnsi"/>
          <w:sz w:val="20"/>
          <w:szCs w:val="20"/>
        </w:rPr>
        <w:t>.</w:t>
      </w:r>
      <w:r w:rsidRPr="00E80636">
        <w:rPr>
          <w:rFonts w:asciiTheme="majorHAnsi" w:eastAsia="Arial" w:hAnsiTheme="majorHAnsi" w:cstheme="majorHAnsi"/>
          <w:sz w:val="20"/>
          <w:szCs w:val="20"/>
        </w:rPr>
        <w:t xml:space="preserve">1.4. </w:t>
      </w:r>
      <w:bookmarkEnd w:id="168"/>
      <w:r w:rsidRPr="00E80636">
        <w:rPr>
          <w:rFonts w:asciiTheme="majorHAnsi" w:eastAsia="Arial" w:hAnsiTheme="majorHAnsi" w:cstheme="majorHAnsi"/>
          <w:sz w:val="20"/>
          <w:szCs w:val="20"/>
        </w:rPr>
        <w:t>Racial/Ethnicity and Gender Distribution of Faculty by Rank and Tenure</w:t>
      </w:r>
    </w:p>
    <w:tbl>
      <w:tblPr>
        <w:tblW w:w="8550" w:type="dxa"/>
        <w:tblInd w:w="710" w:type="dxa"/>
        <w:tblLayout w:type="fixed"/>
        <w:tblCellMar>
          <w:left w:w="0" w:type="dxa"/>
          <w:right w:w="0" w:type="dxa"/>
        </w:tblCellMar>
        <w:tblLook w:val="04A0" w:firstRow="1" w:lastRow="0" w:firstColumn="1" w:lastColumn="0" w:noHBand="0" w:noVBand="1"/>
      </w:tblPr>
      <w:tblGrid>
        <w:gridCol w:w="1980"/>
        <w:gridCol w:w="995"/>
        <w:gridCol w:w="995"/>
        <w:gridCol w:w="895"/>
        <w:gridCol w:w="937"/>
        <w:gridCol w:w="948"/>
        <w:gridCol w:w="884"/>
        <w:gridCol w:w="916"/>
      </w:tblGrid>
      <w:tr w:rsidR="00AB42BF" w:rsidRPr="00743A41" w:rsidTr="00AB42BF">
        <w:tc>
          <w:tcPr>
            <w:tcW w:w="1980" w:type="dxa"/>
            <w:tcBorders>
              <w:top w:val="single" w:sz="4" w:space="0" w:color="auto"/>
              <w:left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B42BF" w:rsidRPr="00E80636" w:rsidRDefault="00AB42BF" w:rsidP="006C308E">
            <w:pPr>
              <w:jc w:val="center"/>
              <w:rPr>
                <w:rFonts w:asciiTheme="majorHAnsi" w:eastAsia="Times New Roman" w:hAnsiTheme="majorHAnsi" w:cstheme="majorHAnsi"/>
                <w:b/>
                <w:color w:val="000000"/>
                <w:sz w:val="20"/>
                <w:szCs w:val="20"/>
              </w:rPr>
            </w:pPr>
          </w:p>
        </w:tc>
        <w:tc>
          <w:tcPr>
            <w:tcW w:w="995" w:type="dxa"/>
            <w:tcBorders>
              <w:top w:val="single" w:sz="4" w:space="0" w:color="auto"/>
              <w:left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b/>
                <w:color w:val="000000"/>
                <w:sz w:val="20"/>
                <w:szCs w:val="20"/>
              </w:rPr>
            </w:pPr>
          </w:p>
        </w:tc>
        <w:tc>
          <w:tcPr>
            <w:tcW w:w="1890" w:type="dxa"/>
            <w:gridSpan w:val="2"/>
            <w:tcBorders>
              <w:top w:val="single" w:sz="8" w:space="0" w:color="auto"/>
              <w:left w:val="single" w:sz="4" w:space="0" w:color="auto"/>
              <w:bottom w:val="single" w:sz="8"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b/>
                <w:color w:val="000000"/>
                <w:sz w:val="20"/>
                <w:szCs w:val="20"/>
              </w:rPr>
            </w:pPr>
            <w:r w:rsidRPr="00E80636">
              <w:rPr>
                <w:rFonts w:asciiTheme="majorHAnsi" w:hAnsiTheme="majorHAnsi" w:cstheme="majorHAnsi"/>
                <w:b/>
                <w:color w:val="000000"/>
                <w:sz w:val="20"/>
                <w:szCs w:val="20"/>
              </w:rPr>
              <w:t>Tenured Faculty</w:t>
            </w:r>
          </w:p>
        </w:tc>
        <w:tc>
          <w:tcPr>
            <w:tcW w:w="18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B42BF" w:rsidRPr="00E80636" w:rsidRDefault="00AB42BF" w:rsidP="006C308E">
            <w:pPr>
              <w:jc w:val="center"/>
              <w:rPr>
                <w:rFonts w:asciiTheme="majorHAnsi" w:hAnsiTheme="majorHAnsi" w:cstheme="majorHAnsi"/>
                <w:b/>
                <w:color w:val="000000"/>
                <w:sz w:val="20"/>
                <w:szCs w:val="20"/>
              </w:rPr>
            </w:pPr>
            <w:r w:rsidRPr="00E80636">
              <w:rPr>
                <w:rFonts w:asciiTheme="majorHAnsi" w:hAnsiTheme="majorHAnsi" w:cstheme="majorHAnsi"/>
                <w:b/>
                <w:color w:val="000000"/>
                <w:sz w:val="20"/>
                <w:szCs w:val="20"/>
              </w:rPr>
              <w:t>Tenure-Track Faculty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B42BF" w:rsidRPr="00E80636" w:rsidRDefault="00AB42BF" w:rsidP="006C308E">
            <w:pPr>
              <w:jc w:val="center"/>
              <w:rPr>
                <w:rFonts w:asciiTheme="majorHAnsi" w:hAnsiTheme="majorHAnsi" w:cstheme="majorHAnsi"/>
                <w:b/>
                <w:color w:val="000000"/>
                <w:sz w:val="20"/>
                <w:szCs w:val="20"/>
              </w:rPr>
            </w:pPr>
            <w:r w:rsidRPr="00E80636">
              <w:rPr>
                <w:rFonts w:asciiTheme="majorHAnsi" w:hAnsiTheme="majorHAnsi" w:cstheme="majorHAnsi"/>
                <w:b/>
                <w:color w:val="000000"/>
                <w:sz w:val="20"/>
                <w:szCs w:val="20"/>
              </w:rPr>
              <w:t>Non-Tenure Track Faculty</w:t>
            </w:r>
          </w:p>
        </w:tc>
      </w:tr>
      <w:tr w:rsidR="00AB42BF" w:rsidRPr="00743A41" w:rsidTr="00AB42BF">
        <w:tc>
          <w:tcPr>
            <w:tcW w:w="1980" w:type="dxa"/>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eastAsia="Times New Roman" w:hAnsiTheme="majorHAnsi" w:cstheme="majorHAnsi"/>
                <w:color w:val="000000"/>
                <w:sz w:val="20"/>
                <w:szCs w:val="20"/>
              </w:rPr>
              <w:br w:type="page"/>
            </w:r>
          </w:p>
        </w:tc>
        <w:tc>
          <w:tcPr>
            <w:tcW w:w="995" w:type="dxa"/>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AB42BF" w:rsidRPr="00E80636" w:rsidRDefault="00AB42BF" w:rsidP="006C308E">
            <w:pPr>
              <w:ind w:left="-105" w:right="-105"/>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UTHealth Total</w:t>
            </w:r>
          </w:p>
        </w:tc>
        <w:tc>
          <w:tcPr>
            <w:tcW w:w="99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AB42BF" w:rsidRPr="00E80636" w:rsidRDefault="00AB42BF" w:rsidP="006C308E">
            <w:pPr>
              <w:ind w:left="-104" w:right="-105" w:hanging="14"/>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UTHealth</w:t>
            </w:r>
          </w:p>
        </w:tc>
        <w:tc>
          <w:tcPr>
            <w:tcW w:w="895"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AB42BF" w:rsidRPr="00E80636" w:rsidRDefault="00AB42BF" w:rsidP="006C308E">
            <w:pPr>
              <w:ind w:left="-119" w:right="-105"/>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ASPPH Schools</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UTHealth</w:t>
            </w:r>
          </w:p>
        </w:tc>
        <w:tc>
          <w:tcPr>
            <w:tcW w:w="948"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AB42BF" w:rsidRPr="00E80636" w:rsidRDefault="00AB42BF" w:rsidP="006C308E">
            <w:pPr>
              <w:ind w:left="-150" w:right="-120"/>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ASPPH Schools</w:t>
            </w: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UTHealth</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ASPPH Schools</w:t>
            </w:r>
          </w:p>
        </w:tc>
      </w:tr>
      <w:tr w:rsidR="00AB42BF" w:rsidRPr="00743A41" w:rsidTr="00AB42BF">
        <w:tc>
          <w:tcPr>
            <w:tcW w:w="19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rPr>
                <w:rFonts w:asciiTheme="majorHAnsi" w:hAnsiTheme="majorHAnsi" w:cstheme="majorHAnsi"/>
                <w:color w:val="000000"/>
                <w:sz w:val="20"/>
                <w:szCs w:val="20"/>
              </w:rPr>
            </w:pPr>
            <w:r w:rsidRPr="00E80636">
              <w:rPr>
                <w:rFonts w:asciiTheme="majorHAnsi" w:hAnsiTheme="majorHAnsi" w:cstheme="majorHAnsi"/>
                <w:color w:val="000000"/>
                <w:sz w:val="20"/>
                <w:szCs w:val="20"/>
              </w:rPr>
              <w:t>White (non-Hispanic)</w:t>
            </w:r>
          </w:p>
        </w:tc>
        <w:tc>
          <w:tcPr>
            <w:tcW w:w="99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56%</w:t>
            </w:r>
          </w:p>
        </w:tc>
        <w:tc>
          <w:tcPr>
            <w:tcW w:w="995"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67%</w:t>
            </w:r>
          </w:p>
        </w:tc>
        <w:tc>
          <w:tcPr>
            <w:tcW w:w="895" w:type="dxa"/>
            <w:tcBorders>
              <w:top w:val="nil"/>
              <w:left w:val="nil"/>
              <w:bottom w:val="single" w:sz="8"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71%</w:t>
            </w:r>
          </w:p>
        </w:tc>
        <w:tc>
          <w:tcPr>
            <w:tcW w:w="937" w:type="dxa"/>
            <w:tcBorders>
              <w:top w:val="single" w:sz="4" w:space="0" w:color="auto"/>
              <w:left w:val="single" w:sz="4" w:space="0" w:color="auto"/>
              <w:bottom w:val="single" w:sz="4" w:space="0" w:color="auto"/>
              <w:right w:val="single" w:sz="4" w:space="0" w:color="auto"/>
            </w:tcBorders>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37%</w:t>
            </w:r>
          </w:p>
        </w:tc>
        <w:tc>
          <w:tcPr>
            <w:tcW w:w="948"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55%</w:t>
            </w:r>
          </w:p>
        </w:tc>
        <w:tc>
          <w:tcPr>
            <w:tcW w:w="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74%</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68%</w:t>
            </w:r>
          </w:p>
        </w:tc>
      </w:tr>
      <w:tr w:rsidR="00AB42BF" w:rsidRPr="00743A41" w:rsidTr="00AB42BF">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rPr>
                <w:rFonts w:asciiTheme="majorHAnsi" w:hAnsiTheme="majorHAnsi" w:cstheme="majorHAnsi"/>
                <w:color w:val="000000"/>
                <w:sz w:val="20"/>
                <w:szCs w:val="20"/>
              </w:rPr>
            </w:pPr>
            <w:r w:rsidRPr="00E80636">
              <w:rPr>
                <w:rFonts w:asciiTheme="majorHAnsi" w:hAnsiTheme="majorHAnsi" w:cstheme="majorHAnsi"/>
                <w:color w:val="000000"/>
                <w:sz w:val="20"/>
                <w:szCs w:val="20"/>
              </w:rPr>
              <w:t>African American</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4%</w:t>
            </w:r>
          </w:p>
        </w:tc>
        <w:tc>
          <w:tcPr>
            <w:tcW w:w="995"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4%</w:t>
            </w:r>
          </w:p>
        </w:tc>
        <w:tc>
          <w:tcPr>
            <w:tcW w:w="895" w:type="dxa"/>
            <w:tcBorders>
              <w:top w:val="nil"/>
              <w:left w:val="nil"/>
              <w:bottom w:val="single" w:sz="8"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4%</w:t>
            </w:r>
          </w:p>
        </w:tc>
        <w:tc>
          <w:tcPr>
            <w:tcW w:w="937" w:type="dxa"/>
            <w:tcBorders>
              <w:top w:val="single" w:sz="4" w:space="0" w:color="auto"/>
              <w:left w:val="single" w:sz="4" w:space="0" w:color="auto"/>
              <w:bottom w:val="single" w:sz="4" w:space="0" w:color="auto"/>
              <w:right w:val="single" w:sz="4" w:space="0" w:color="auto"/>
            </w:tcBorders>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11%</w:t>
            </w:r>
          </w:p>
        </w:tc>
        <w:tc>
          <w:tcPr>
            <w:tcW w:w="948"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10%</w:t>
            </w:r>
          </w:p>
        </w:tc>
        <w:tc>
          <w:tcPr>
            <w:tcW w:w="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4%</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7%</w:t>
            </w:r>
          </w:p>
        </w:tc>
      </w:tr>
      <w:tr w:rsidR="00AB42BF" w:rsidRPr="00743A41" w:rsidTr="00AB42BF">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rPr>
                <w:rFonts w:asciiTheme="majorHAnsi" w:hAnsiTheme="majorHAnsi" w:cstheme="majorHAnsi"/>
                <w:color w:val="000000"/>
                <w:sz w:val="20"/>
                <w:szCs w:val="20"/>
              </w:rPr>
            </w:pPr>
            <w:r w:rsidRPr="00E80636">
              <w:rPr>
                <w:rFonts w:asciiTheme="majorHAnsi" w:hAnsiTheme="majorHAnsi" w:cstheme="majorHAnsi"/>
                <w:color w:val="000000"/>
                <w:sz w:val="20"/>
                <w:szCs w:val="20"/>
              </w:rPr>
              <w:t>Hispanic/Latino</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8%</w:t>
            </w:r>
          </w:p>
        </w:tc>
        <w:tc>
          <w:tcPr>
            <w:tcW w:w="995"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11%</w:t>
            </w:r>
          </w:p>
        </w:tc>
        <w:tc>
          <w:tcPr>
            <w:tcW w:w="895" w:type="dxa"/>
            <w:tcBorders>
              <w:top w:val="nil"/>
              <w:left w:val="nil"/>
              <w:bottom w:val="single" w:sz="8"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6%</w:t>
            </w:r>
          </w:p>
        </w:tc>
        <w:tc>
          <w:tcPr>
            <w:tcW w:w="937" w:type="dxa"/>
            <w:tcBorders>
              <w:top w:val="single" w:sz="4" w:space="0" w:color="auto"/>
              <w:left w:val="single" w:sz="4" w:space="0" w:color="auto"/>
              <w:bottom w:val="single" w:sz="4" w:space="0" w:color="auto"/>
              <w:right w:val="single" w:sz="4" w:space="0" w:color="auto"/>
            </w:tcBorders>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115</w:t>
            </w:r>
          </w:p>
        </w:tc>
        <w:tc>
          <w:tcPr>
            <w:tcW w:w="948"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5%</w:t>
            </w:r>
          </w:p>
        </w:tc>
        <w:tc>
          <w:tcPr>
            <w:tcW w:w="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6%</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7%</w:t>
            </w:r>
          </w:p>
        </w:tc>
      </w:tr>
      <w:tr w:rsidR="00AB42BF" w:rsidRPr="00743A41" w:rsidTr="00AB42BF">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rPr>
                <w:rFonts w:asciiTheme="majorHAnsi" w:hAnsiTheme="majorHAnsi" w:cstheme="majorHAnsi"/>
                <w:color w:val="000000"/>
                <w:sz w:val="20"/>
                <w:szCs w:val="20"/>
              </w:rPr>
            </w:pPr>
            <w:r w:rsidRPr="00E80636">
              <w:rPr>
                <w:rFonts w:asciiTheme="majorHAnsi" w:hAnsiTheme="majorHAnsi" w:cstheme="majorHAnsi"/>
                <w:color w:val="000000"/>
                <w:sz w:val="20"/>
                <w:szCs w:val="20"/>
              </w:rPr>
              <w:t>Asian</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20%</w:t>
            </w:r>
          </w:p>
        </w:tc>
        <w:tc>
          <w:tcPr>
            <w:tcW w:w="995"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19%</w:t>
            </w:r>
          </w:p>
        </w:tc>
        <w:tc>
          <w:tcPr>
            <w:tcW w:w="895" w:type="dxa"/>
            <w:tcBorders>
              <w:top w:val="nil"/>
              <w:left w:val="nil"/>
              <w:bottom w:val="single" w:sz="8"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15%</w:t>
            </w:r>
          </w:p>
        </w:tc>
        <w:tc>
          <w:tcPr>
            <w:tcW w:w="937" w:type="dxa"/>
            <w:tcBorders>
              <w:top w:val="single" w:sz="4" w:space="0" w:color="auto"/>
              <w:left w:val="single" w:sz="4" w:space="0" w:color="auto"/>
              <w:bottom w:val="single" w:sz="4" w:space="0" w:color="auto"/>
              <w:right w:val="single" w:sz="4" w:space="0" w:color="auto"/>
            </w:tcBorders>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39%</w:t>
            </w:r>
          </w:p>
        </w:tc>
        <w:tc>
          <w:tcPr>
            <w:tcW w:w="948"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20%</w:t>
            </w:r>
          </w:p>
        </w:tc>
        <w:tc>
          <w:tcPr>
            <w:tcW w:w="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17%</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13%</w:t>
            </w:r>
          </w:p>
        </w:tc>
      </w:tr>
      <w:tr w:rsidR="00AB42BF" w:rsidRPr="00743A41" w:rsidTr="00AB42BF">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42BF" w:rsidRPr="00E80636" w:rsidRDefault="00AB42BF" w:rsidP="006C308E">
            <w:pPr>
              <w:rPr>
                <w:rFonts w:asciiTheme="majorHAnsi" w:hAnsiTheme="majorHAnsi" w:cstheme="majorHAnsi"/>
                <w:color w:val="000000"/>
                <w:sz w:val="20"/>
                <w:szCs w:val="20"/>
              </w:rPr>
            </w:pPr>
            <w:r w:rsidRPr="00E80636">
              <w:rPr>
                <w:rFonts w:asciiTheme="majorHAnsi" w:hAnsiTheme="majorHAnsi" w:cstheme="majorHAnsi"/>
                <w:color w:val="000000"/>
                <w:sz w:val="20"/>
                <w:szCs w:val="20"/>
              </w:rPr>
              <w:t>Female</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47%</w:t>
            </w:r>
          </w:p>
        </w:tc>
        <w:tc>
          <w:tcPr>
            <w:tcW w:w="995"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48%</w:t>
            </w:r>
          </w:p>
        </w:tc>
        <w:tc>
          <w:tcPr>
            <w:tcW w:w="895" w:type="dxa"/>
            <w:tcBorders>
              <w:top w:val="nil"/>
              <w:left w:val="nil"/>
              <w:bottom w:val="single" w:sz="8"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43%</w:t>
            </w:r>
          </w:p>
        </w:tc>
        <w:tc>
          <w:tcPr>
            <w:tcW w:w="937" w:type="dxa"/>
            <w:tcBorders>
              <w:top w:val="single" w:sz="4" w:space="0" w:color="auto"/>
              <w:left w:val="single" w:sz="4" w:space="0" w:color="auto"/>
              <w:bottom w:val="single" w:sz="4" w:space="0" w:color="auto"/>
              <w:right w:val="single" w:sz="4" w:space="0" w:color="auto"/>
            </w:tcBorders>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39%</w:t>
            </w:r>
          </w:p>
        </w:tc>
        <w:tc>
          <w:tcPr>
            <w:tcW w:w="948"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54%</w:t>
            </w:r>
          </w:p>
        </w:tc>
        <w:tc>
          <w:tcPr>
            <w:tcW w:w="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70%</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42BF" w:rsidRPr="00E80636" w:rsidRDefault="00AB42BF" w:rsidP="006C308E">
            <w:pPr>
              <w:jc w:val="center"/>
              <w:rPr>
                <w:rFonts w:asciiTheme="majorHAnsi" w:hAnsiTheme="majorHAnsi" w:cstheme="majorHAnsi"/>
                <w:color w:val="000000"/>
                <w:sz w:val="20"/>
                <w:szCs w:val="20"/>
              </w:rPr>
            </w:pPr>
            <w:r w:rsidRPr="00E80636">
              <w:rPr>
                <w:rFonts w:asciiTheme="majorHAnsi" w:hAnsiTheme="majorHAnsi" w:cstheme="majorHAnsi"/>
                <w:color w:val="000000"/>
                <w:sz w:val="20"/>
                <w:szCs w:val="20"/>
              </w:rPr>
              <w:t>42%</w:t>
            </w:r>
          </w:p>
        </w:tc>
      </w:tr>
    </w:tbl>
    <w:p w:rsidR="00AB42BF" w:rsidRPr="00E80636" w:rsidRDefault="00AB42BF" w:rsidP="006C308E">
      <w:pPr>
        <w:ind w:left="720" w:right="63"/>
        <w:rPr>
          <w:rFonts w:asciiTheme="majorHAnsi" w:eastAsia="Arial" w:hAnsiTheme="majorHAnsi" w:cstheme="majorHAnsi"/>
          <w:sz w:val="20"/>
          <w:szCs w:val="20"/>
        </w:rPr>
      </w:pPr>
    </w:p>
    <w:p w:rsidR="00AB42BF" w:rsidRPr="00E80636" w:rsidRDefault="00AB42BF" w:rsidP="006C308E">
      <w:pPr>
        <w:pStyle w:val="Default"/>
        <w:adjustRightInd/>
        <w:ind w:left="720"/>
        <w:rPr>
          <w:rFonts w:asciiTheme="majorHAnsi" w:hAnsiTheme="majorHAnsi" w:cstheme="majorHAnsi"/>
          <w:szCs w:val="20"/>
        </w:rPr>
      </w:pPr>
      <w:r w:rsidRPr="00E80636">
        <w:rPr>
          <w:rFonts w:asciiTheme="majorHAnsi" w:eastAsia="Arial" w:hAnsiTheme="majorHAnsi" w:cstheme="majorHAnsi"/>
          <w:szCs w:val="20"/>
        </w:rPr>
        <w:t>There were three considerations to deciding on the school’s priority under-represented populations: (1) the composition of the Texas population because of our commitment to impacting health disparities in our state and our commitment to training the state’s public health workforce; (2) the composition of our student body and previous input from our students that they would like to see a faculty composition reflective of the student body; and (3) input from faculty and school leadership about the future direction of the school. Given these considerations, our goal is to ensure our faculty, staff, and student demographics more closely reflect the diversity found in our State. Our priority populations are Hispanics/Latinos and African Americans as well as women.</w:t>
      </w:r>
    </w:p>
    <w:p w:rsidR="00933038" w:rsidRPr="00E80636" w:rsidRDefault="00933038" w:rsidP="006C308E">
      <w:pPr>
        <w:ind w:left="1440"/>
        <w:jc w:val="both"/>
        <w:rPr>
          <w:rFonts w:asciiTheme="majorHAnsi" w:hAnsiTheme="majorHAnsi" w:cstheme="majorHAnsi"/>
          <w:sz w:val="20"/>
          <w:szCs w:val="20"/>
        </w:rPr>
      </w:pPr>
    </w:p>
    <w:p w:rsidR="00933038" w:rsidRPr="00E80636" w:rsidRDefault="00933038" w:rsidP="006C308E">
      <w:pPr>
        <w:numPr>
          <w:ilvl w:val="0"/>
          <w:numId w:val="50"/>
        </w:numPr>
        <w:jc w:val="both"/>
        <w:rPr>
          <w:rFonts w:asciiTheme="majorHAnsi" w:hAnsiTheme="majorHAnsi" w:cstheme="majorHAnsi"/>
          <w:sz w:val="20"/>
          <w:szCs w:val="20"/>
        </w:rPr>
      </w:pPr>
      <w:r w:rsidRPr="00E80636">
        <w:rPr>
          <w:rFonts w:asciiTheme="majorHAnsi" w:hAnsiTheme="majorHAnsi" w:cstheme="majorHAnsi"/>
          <w:sz w:val="20"/>
          <w:szCs w:val="20"/>
        </w:rPr>
        <w:t xml:space="preserve">If applicable, assess strengths and weaknesses related to this criterion and plans for improvement in this area. </w:t>
      </w:r>
    </w:p>
    <w:p w:rsidR="00933038" w:rsidRPr="00E80636" w:rsidRDefault="00933038" w:rsidP="006C308E">
      <w:pPr>
        <w:jc w:val="both"/>
        <w:rPr>
          <w:rFonts w:asciiTheme="majorHAnsi" w:hAnsiTheme="majorHAnsi" w:cstheme="majorHAnsi"/>
          <w:sz w:val="20"/>
          <w:szCs w:val="20"/>
        </w:rPr>
      </w:pPr>
    </w:p>
    <w:p w:rsidR="008C321E" w:rsidRPr="00E80636" w:rsidRDefault="001B309E" w:rsidP="006C308E">
      <w:pPr>
        <w:keepNext/>
        <w:ind w:left="720"/>
        <w:jc w:val="both"/>
        <w:rPr>
          <w:rFonts w:asciiTheme="majorHAnsi" w:eastAsia="Calibri" w:hAnsiTheme="majorHAnsi" w:cstheme="majorHAnsi"/>
          <w:i/>
          <w:sz w:val="20"/>
          <w:szCs w:val="20"/>
        </w:rPr>
      </w:pPr>
      <w:r w:rsidRPr="00E80636">
        <w:rPr>
          <w:rFonts w:asciiTheme="majorHAnsi" w:hAnsiTheme="majorHAnsi" w:cstheme="majorHAnsi"/>
          <w:i/>
          <w:sz w:val="20"/>
          <w:szCs w:val="20"/>
        </w:rPr>
        <w:t xml:space="preserve">Not applicable. </w:t>
      </w:r>
    </w:p>
    <w:p w:rsidR="00933038" w:rsidRPr="00E80636" w:rsidRDefault="00933038" w:rsidP="006C308E">
      <w:pPr>
        <w:ind w:left="720"/>
        <w:jc w:val="both"/>
        <w:rPr>
          <w:rFonts w:asciiTheme="majorHAnsi" w:hAnsiTheme="majorHAnsi" w:cstheme="majorHAnsi"/>
          <w:i/>
          <w:sz w:val="20"/>
          <w:szCs w:val="20"/>
        </w:rPr>
      </w:pPr>
    </w:p>
    <w:p w:rsidR="00933038" w:rsidRPr="00E80636" w:rsidRDefault="00933038" w:rsidP="006C308E">
      <w:pPr>
        <w:jc w:val="both"/>
        <w:rPr>
          <w:rFonts w:asciiTheme="majorHAnsi" w:hAnsiTheme="majorHAnsi" w:cstheme="majorHAnsi"/>
          <w:sz w:val="20"/>
          <w:szCs w:val="20"/>
        </w:rPr>
      </w:pPr>
    </w:p>
    <w:p w:rsidR="00933038" w:rsidRPr="00E80636" w:rsidRDefault="00933038" w:rsidP="006C308E">
      <w:pPr>
        <w:rPr>
          <w:rStyle w:val="Heading1Char"/>
        </w:rPr>
      </w:pPr>
      <w:bookmarkStart w:id="169" w:name="_Toc464487901"/>
      <w:r w:rsidRPr="00E80636">
        <w:rPr>
          <w:rStyle w:val="Heading1Char"/>
        </w:rPr>
        <w:br w:type="page"/>
      </w:r>
    </w:p>
    <w:p w:rsidR="00933038" w:rsidRPr="00E80636" w:rsidRDefault="00933038" w:rsidP="007A68BE">
      <w:pPr>
        <w:pStyle w:val="Heading1"/>
      </w:pPr>
      <w:bookmarkStart w:id="170" w:name="_Toc7118234"/>
      <w:r w:rsidRPr="00E80636">
        <w:rPr>
          <w:rStyle w:val="Heading1Char"/>
          <w:b/>
        </w:rPr>
        <w:t>H5. Publication of Educational Offerings</w:t>
      </w:r>
      <w:bookmarkEnd w:id="169"/>
      <w:bookmarkEnd w:id="170"/>
      <w:r w:rsidRPr="00E80636">
        <w:t xml:space="preserve">  </w:t>
      </w:r>
    </w:p>
    <w:p w:rsidR="00933038" w:rsidRPr="00E80636" w:rsidRDefault="00933038" w:rsidP="006C308E">
      <w:pPr>
        <w:ind w:left="1080"/>
        <w:jc w:val="both"/>
        <w:rPr>
          <w:rFonts w:asciiTheme="majorHAnsi" w:hAnsiTheme="majorHAnsi" w:cstheme="majorHAnsi"/>
          <w:b/>
          <w:sz w:val="20"/>
          <w:szCs w:val="20"/>
        </w:rPr>
      </w:pPr>
    </w:p>
    <w:p w:rsidR="00933038" w:rsidRPr="00E80636" w:rsidRDefault="00933038" w:rsidP="006C308E">
      <w:pPr>
        <w:jc w:val="both"/>
        <w:rPr>
          <w:rFonts w:asciiTheme="majorHAnsi" w:hAnsiTheme="majorHAnsi" w:cstheme="majorHAnsi"/>
          <w:b/>
          <w:sz w:val="20"/>
          <w:szCs w:val="20"/>
        </w:rPr>
      </w:pPr>
      <w:r w:rsidRPr="00E80636">
        <w:rPr>
          <w:rFonts w:asciiTheme="majorHAnsi" w:hAnsiTheme="majorHAnsi" w:cstheme="majorHAnsi"/>
          <w:b/>
          <w:sz w:val="20"/>
          <w:szCs w:val="20"/>
        </w:rPr>
        <w:t>Catalogs and bulletins used by the school to describe its educational offerings must be publicly available and must accurately describe its academic calendar, admissions policies, grading policies, academic integrity standards and degree completion requirements. Advertising, promotional materials, recruitment literature and other supporting material, in whatever medium it is presented, must contain accurate information.</w:t>
      </w:r>
    </w:p>
    <w:p w:rsidR="00933038" w:rsidRPr="00E80636" w:rsidRDefault="00933038" w:rsidP="006C308E">
      <w:pPr>
        <w:keepNext/>
        <w:ind w:left="1094"/>
        <w:jc w:val="both"/>
        <w:rPr>
          <w:rFonts w:asciiTheme="majorHAnsi" w:hAnsiTheme="majorHAnsi" w:cstheme="majorHAnsi"/>
          <w:sz w:val="20"/>
          <w:szCs w:val="20"/>
        </w:rPr>
      </w:pPr>
    </w:p>
    <w:p w:rsidR="00933038" w:rsidRPr="00E80636" w:rsidRDefault="00933038" w:rsidP="006C308E">
      <w:pPr>
        <w:pStyle w:val="ListParagraph"/>
        <w:numPr>
          <w:ilvl w:val="0"/>
          <w:numId w:val="51"/>
        </w:numPr>
        <w:contextualSpacing/>
        <w:jc w:val="both"/>
        <w:rPr>
          <w:rFonts w:asciiTheme="majorHAnsi" w:hAnsiTheme="majorHAnsi" w:cstheme="majorHAnsi"/>
          <w:szCs w:val="20"/>
        </w:rPr>
      </w:pPr>
      <w:r w:rsidRPr="00E80636">
        <w:rPr>
          <w:rFonts w:asciiTheme="majorHAnsi" w:hAnsiTheme="majorHAnsi" w:cstheme="majorHAnsi"/>
          <w:szCs w:val="20"/>
        </w:rPr>
        <w:t xml:space="preserve">Provide direct links to information and descriptions of all degree schools and concentrations in the unit of accreditation. The information must describe all of the following: academic calendar, admissions policies, grading policies, academic integrity standards and degree completion requirements. </w:t>
      </w:r>
    </w:p>
    <w:p w:rsidR="00256EBF" w:rsidRPr="00E80636" w:rsidRDefault="00256EBF" w:rsidP="006C308E">
      <w:pPr>
        <w:contextualSpacing/>
        <w:jc w:val="both"/>
        <w:rPr>
          <w:rFonts w:asciiTheme="majorHAnsi" w:hAnsiTheme="majorHAnsi" w:cstheme="majorHAnsi"/>
          <w:sz w:val="20"/>
          <w:szCs w:val="20"/>
        </w:rPr>
      </w:pPr>
    </w:p>
    <w:p w:rsidR="00492946" w:rsidRPr="00E80636" w:rsidRDefault="006E3D5E" w:rsidP="006C308E">
      <w:pPr>
        <w:ind w:left="720"/>
        <w:contextualSpacing/>
        <w:jc w:val="both"/>
        <w:rPr>
          <w:rFonts w:asciiTheme="majorHAnsi" w:hAnsiTheme="majorHAnsi" w:cstheme="majorHAnsi"/>
          <w:sz w:val="20"/>
          <w:szCs w:val="20"/>
        </w:rPr>
      </w:pPr>
      <w:hyperlink r:id="rId43" w:history="1">
        <w:r w:rsidR="00492946" w:rsidRPr="00E80636">
          <w:rPr>
            <w:rStyle w:val="Hyperlink"/>
            <w:rFonts w:asciiTheme="majorHAnsi" w:hAnsiTheme="majorHAnsi" w:cstheme="majorHAnsi"/>
            <w:sz w:val="20"/>
            <w:szCs w:val="20"/>
          </w:rPr>
          <w:t>Table H</w:t>
        </w:r>
        <w:r w:rsidR="000634AF" w:rsidRPr="00E80636">
          <w:rPr>
            <w:rStyle w:val="Hyperlink"/>
            <w:rFonts w:asciiTheme="majorHAnsi" w:hAnsiTheme="majorHAnsi" w:cstheme="majorHAnsi"/>
            <w:sz w:val="20"/>
            <w:szCs w:val="20"/>
          </w:rPr>
          <w:t>.</w:t>
        </w:r>
        <w:r w:rsidR="00492946" w:rsidRPr="00E80636">
          <w:rPr>
            <w:rStyle w:val="Hyperlink"/>
            <w:rFonts w:asciiTheme="majorHAnsi" w:hAnsiTheme="majorHAnsi" w:cstheme="majorHAnsi"/>
            <w:sz w:val="20"/>
            <w:szCs w:val="20"/>
          </w:rPr>
          <w:t>5.1. Publication and Educational Offerings</w:t>
        </w:r>
      </w:hyperlink>
    </w:p>
    <w:tbl>
      <w:tblPr>
        <w:tblStyle w:val="16"/>
        <w:tblW w:w="863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050"/>
        <w:gridCol w:w="4585"/>
      </w:tblGrid>
      <w:tr w:rsidR="004334BF" w:rsidRPr="00743A41" w:rsidTr="007B72A1">
        <w:trPr>
          <w:cnfStyle w:val="000000100000" w:firstRow="0" w:lastRow="0" w:firstColumn="0" w:lastColumn="0" w:oddVBand="0" w:evenVBand="0" w:oddHBand="1" w:evenHBand="0" w:firstRowFirstColumn="0" w:firstRowLastColumn="0" w:lastRowFirstColumn="0" w:lastRowLastColumn="0"/>
        </w:trPr>
        <w:tc>
          <w:tcPr>
            <w:tcW w:w="4050" w:type="dxa"/>
          </w:tcPr>
          <w:p w:rsidR="004334BF" w:rsidRPr="00E80636" w:rsidRDefault="004334BF" w:rsidP="006C308E">
            <w:pPr>
              <w:ind w:right="64"/>
              <w:jc w:val="both"/>
              <w:rPr>
                <w:rFonts w:asciiTheme="majorHAnsi" w:eastAsia="Arial" w:hAnsiTheme="majorHAnsi" w:cstheme="majorHAnsi"/>
                <w:b/>
                <w:sz w:val="20"/>
                <w:szCs w:val="20"/>
              </w:rPr>
            </w:pPr>
            <w:r w:rsidRPr="00E80636">
              <w:rPr>
                <w:rFonts w:asciiTheme="majorHAnsi" w:eastAsia="Arial" w:hAnsiTheme="majorHAnsi" w:cstheme="majorHAnsi"/>
                <w:b/>
                <w:sz w:val="20"/>
                <w:szCs w:val="20"/>
              </w:rPr>
              <w:t>Publication</w:t>
            </w:r>
          </w:p>
        </w:tc>
        <w:tc>
          <w:tcPr>
            <w:tcW w:w="4585" w:type="dxa"/>
          </w:tcPr>
          <w:p w:rsidR="004334BF" w:rsidRPr="00E80636" w:rsidRDefault="004334BF" w:rsidP="006C308E">
            <w:pPr>
              <w:ind w:right="64"/>
              <w:jc w:val="both"/>
              <w:rPr>
                <w:rFonts w:asciiTheme="majorHAnsi" w:eastAsia="Arial" w:hAnsiTheme="majorHAnsi" w:cstheme="majorHAnsi"/>
                <w:b/>
                <w:sz w:val="20"/>
                <w:szCs w:val="20"/>
              </w:rPr>
            </w:pPr>
            <w:r w:rsidRPr="00E80636">
              <w:rPr>
                <w:rFonts w:asciiTheme="majorHAnsi" w:eastAsia="Arial" w:hAnsiTheme="majorHAnsi" w:cstheme="majorHAnsi"/>
                <w:b/>
                <w:sz w:val="20"/>
                <w:szCs w:val="20"/>
              </w:rPr>
              <w:t>Link</w:t>
            </w:r>
          </w:p>
        </w:tc>
      </w:tr>
      <w:tr w:rsidR="004334BF" w:rsidRPr="00743A41" w:rsidTr="007B72A1">
        <w:tc>
          <w:tcPr>
            <w:tcW w:w="4050" w:type="dxa"/>
          </w:tcPr>
          <w:p w:rsidR="004334BF" w:rsidRPr="00E80636" w:rsidRDefault="004334BF" w:rsidP="006C308E">
            <w:pPr>
              <w:ind w:right="64"/>
              <w:jc w:val="both"/>
              <w:rPr>
                <w:rFonts w:asciiTheme="majorHAnsi" w:eastAsia="Arial" w:hAnsiTheme="majorHAnsi" w:cstheme="majorHAnsi"/>
                <w:sz w:val="20"/>
                <w:szCs w:val="20"/>
              </w:rPr>
            </w:pPr>
            <w:r w:rsidRPr="00E80636">
              <w:rPr>
                <w:rFonts w:asciiTheme="majorHAnsi" w:eastAsia="Arial" w:hAnsiTheme="majorHAnsi" w:cstheme="majorHAnsi"/>
                <w:sz w:val="20"/>
                <w:szCs w:val="20"/>
              </w:rPr>
              <w:t>Academic Calendar</w:t>
            </w:r>
          </w:p>
        </w:tc>
        <w:tc>
          <w:tcPr>
            <w:tcW w:w="4585" w:type="dxa"/>
          </w:tcPr>
          <w:p w:rsidR="004334BF" w:rsidRPr="00E80636" w:rsidRDefault="006E3D5E" w:rsidP="006C308E">
            <w:pPr>
              <w:ind w:right="64"/>
              <w:jc w:val="both"/>
              <w:rPr>
                <w:rFonts w:asciiTheme="majorHAnsi" w:eastAsia="Arial" w:hAnsiTheme="majorHAnsi" w:cstheme="majorHAnsi"/>
                <w:sz w:val="20"/>
                <w:szCs w:val="20"/>
              </w:rPr>
            </w:pPr>
            <w:hyperlink r:id="rId44" w:history="1">
              <w:r w:rsidR="004334BF" w:rsidRPr="00E80636">
                <w:rPr>
                  <w:rStyle w:val="Hyperlink"/>
                  <w:rFonts w:asciiTheme="majorHAnsi" w:hAnsiTheme="majorHAnsi" w:cstheme="majorHAnsi"/>
                  <w:sz w:val="20"/>
                  <w:szCs w:val="20"/>
                </w:rPr>
                <w:t>https://www.uth.edu/registrar/current-students/student-information/academic-calendar.htm</w:t>
              </w:r>
            </w:hyperlink>
            <w:r w:rsidR="004334BF" w:rsidRPr="00E80636">
              <w:rPr>
                <w:rFonts w:asciiTheme="majorHAnsi" w:hAnsiTheme="majorHAnsi" w:cstheme="majorHAnsi"/>
                <w:color w:val="1F497D"/>
                <w:sz w:val="20"/>
                <w:szCs w:val="20"/>
              </w:rPr>
              <w:t xml:space="preserve"> </w:t>
            </w:r>
          </w:p>
        </w:tc>
      </w:tr>
      <w:tr w:rsidR="004334BF" w:rsidRPr="00743A41" w:rsidTr="007B72A1">
        <w:trPr>
          <w:cnfStyle w:val="000000100000" w:firstRow="0" w:lastRow="0" w:firstColumn="0" w:lastColumn="0" w:oddVBand="0" w:evenVBand="0" w:oddHBand="1" w:evenHBand="0" w:firstRowFirstColumn="0" w:firstRowLastColumn="0" w:lastRowFirstColumn="0" w:lastRowLastColumn="0"/>
        </w:trPr>
        <w:tc>
          <w:tcPr>
            <w:tcW w:w="4050" w:type="dxa"/>
          </w:tcPr>
          <w:p w:rsidR="004334BF" w:rsidRPr="00E80636" w:rsidRDefault="004334BF" w:rsidP="006C308E">
            <w:pPr>
              <w:ind w:right="64"/>
              <w:jc w:val="both"/>
              <w:rPr>
                <w:rFonts w:asciiTheme="majorHAnsi" w:eastAsia="Arial" w:hAnsiTheme="majorHAnsi" w:cstheme="majorHAnsi"/>
                <w:sz w:val="20"/>
                <w:szCs w:val="20"/>
              </w:rPr>
            </w:pPr>
            <w:r w:rsidRPr="00E80636">
              <w:rPr>
                <w:rFonts w:asciiTheme="majorHAnsi" w:eastAsia="Arial" w:hAnsiTheme="majorHAnsi" w:cstheme="majorHAnsi"/>
                <w:sz w:val="20"/>
                <w:szCs w:val="20"/>
              </w:rPr>
              <w:t>Academic Integrity Standards</w:t>
            </w:r>
          </w:p>
        </w:tc>
        <w:tc>
          <w:tcPr>
            <w:tcW w:w="4585" w:type="dxa"/>
          </w:tcPr>
          <w:p w:rsidR="004334BF" w:rsidRPr="00E80636" w:rsidRDefault="006E3D5E" w:rsidP="006C308E">
            <w:pPr>
              <w:ind w:right="64"/>
              <w:jc w:val="both"/>
              <w:rPr>
                <w:rFonts w:asciiTheme="majorHAnsi" w:eastAsia="Arial" w:hAnsiTheme="majorHAnsi" w:cstheme="majorHAnsi"/>
                <w:sz w:val="20"/>
                <w:szCs w:val="20"/>
              </w:rPr>
            </w:pPr>
            <w:hyperlink r:id="rId45" w:history="1">
              <w:r w:rsidR="004334BF" w:rsidRPr="00E80636">
                <w:rPr>
                  <w:rStyle w:val="Hyperlink"/>
                  <w:rFonts w:asciiTheme="majorHAnsi" w:hAnsiTheme="majorHAnsi" w:cstheme="majorHAnsi"/>
                  <w:sz w:val="20"/>
                  <w:szCs w:val="20"/>
                </w:rPr>
                <w:t>https://www.uth.edu/hoop/policy.htm?id=1448220</w:t>
              </w:r>
            </w:hyperlink>
            <w:r w:rsidR="004334BF" w:rsidRPr="00E80636">
              <w:rPr>
                <w:rFonts w:asciiTheme="majorHAnsi" w:hAnsiTheme="majorHAnsi" w:cstheme="majorHAnsi"/>
                <w:color w:val="1F497D"/>
                <w:sz w:val="20"/>
                <w:szCs w:val="20"/>
              </w:rPr>
              <w:t xml:space="preserve"> </w:t>
            </w:r>
          </w:p>
        </w:tc>
      </w:tr>
      <w:tr w:rsidR="004334BF" w:rsidRPr="00743A41" w:rsidTr="007B72A1">
        <w:tc>
          <w:tcPr>
            <w:tcW w:w="4050" w:type="dxa"/>
          </w:tcPr>
          <w:p w:rsidR="004334BF" w:rsidRPr="00E80636" w:rsidRDefault="004334BF" w:rsidP="006C308E">
            <w:pPr>
              <w:ind w:right="64"/>
              <w:jc w:val="both"/>
              <w:rPr>
                <w:rFonts w:asciiTheme="majorHAnsi" w:eastAsia="Arial" w:hAnsiTheme="majorHAnsi" w:cstheme="majorHAnsi"/>
                <w:sz w:val="20"/>
                <w:szCs w:val="20"/>
              </w:rPr>
            </w:pPr>
            <w:r w:rsidRPr="00E80636">
              <w:rPr>
                <w:rFonts w:asciiTheme="majorHAnsi" w:eastAsia="Arial" w:hAnsiTheme="majorHAnsi" w:cstheme="majorHAnsi"/>
                <w:sz w:val="20"/>
                <w:szCs w:val="20"/>
              </w:rPr>
              <w:t>Admissions Policies</w:t>
            </w:r>
          </w:p>
        </w:tc>
        <w:tc>
          <w:tcPr>
            <w:tcW w:w="4585" w:type="dxa"/>
          </w:tcPr>
          <w:p w:rsidR="004334BF" w:rsidRPr="00E80636" w:rsidRDefault="006E3D5E" w:rsidP="006C308E">
            <w:pPr>
              <w:ind w:right="64"/>
              <w:jc w:val="both"/>
              <w:rPr>
                <w:rFonts w:asciiTheme="majorHAnsi" w:eastAsia="Arial" w:hAnsiTheme="majorHAnsi" w:cstheme="majorHAnsi"/>
                <w:sz w:val="20"/>
                <w:szCs w:val="20"/>
              </w:rPr>
            </w:pPr>
            <w:hyperlink r:id="rId46" w:history="1">
              <w:r w:rsidR="004334BF" w:rsidRPr="00E80636">
                <w:rPr>
                  <w:rStyle w:val="Hyperlink"/>
                  <w:rFonts w:asciiTheme="majorHAnsi" w:hAnsiTheme="majorHAnsi" w:cstheme="majorHAnsi"/>
                  <w:sz w:val="20"/>
                  <w:szCs w:val="20"/>
                </w:rPr>
                <w:t>https://sph.uth.edu/prospective-students/How-to-Apply/</w:t>
              </w:r>
            </w:hyperlink>
            <w:r w:rsidR="004334BF" w:rsidRPr="00E80636">
              <w:rPr>
                <w:rFonts w:asciiTheme="majorHAnsi" w:hAnsiTheme="majorHAnsi" w:cstheme="majorHAnsi"/>
                <w:color w:val="1F497D"/>
                <w:sz w:val="20"/>
                <w:szCs w:val="20"/>
              </w:rPr>
              <w:t xml:space="preserve"> </w:t>
            </w:r>
          </w:p>
        </w:tc>
      </w:tr>
      <w:tr w:rsidR="004334BF" w:rsidRPr="00743A41" w:rsidTr="007B72A1">
        <w:trPr>
          <w:cnfStyle w:val="000000100000" w:firstRow="0" w:lastRow="0" w:firstColumn="0" w:lastColumn="0" w:oddVBand="0" w:evenVBand="0" w:oddHBand="1" w:evenHBand="0" w:firstRowFirstColumn="0" w:firstRowLastColumn="0" w:lastRowFirstColumn="0" w:lastRowLastColumn="0"/>
        </w:trPr>
        <w:tc>
          <w:tcPr>
            <w:tcW w:w="4050" w:type="dxa"/>
          </w:tcPr>
          <w:p w:rsidR="004334BF" w:rsidRDefault="004334BF" w:rsidP="006C308E">
            <w:pPr>
              <w:ind w:right="64"/>
              <w:jc w:val="both"/>
              <w:rPr>
                <w:rStyle w:val="Hyperlink"/>
                <w:rFonts w:asciiTheme="majorHAnsi" w:eastAsia="Arial" w:hAnsiTheme="majorHAnsi" w:cstheme="majorHAnsi"/>
                <w:sz w:val="20"/>
                <w:szCs w:val="20"/>
              </w:rPr>
            </w:pPr>
            <w:r w:rsidRPr="005D7599">
              <w:rPr>
                <w:rFonts w:asciiTheme="majorHAnsi" w:eastAsia="Arial" w:hAnsiTheme="majorHAnsi" w:cstheme="majorHAnsi"/>
                <w:sz w:val="20"/>
                <w:szCs w:val="20"/>
              </w:rPr>
              <w:t>Catalog</w:t>
            </w:r>
            <w:r w:rsidR="00C82734" w:rsidRPr="00E80636">
              <w:rPr>
                <w:rFonts w:asciiTheme="majorHAnsi" w:eastAsia="Arial" w:hAnsiTheme="majorHAnsi" w:cstheme="majorHAnsi"/>
                <w:sz w:val="20"/>
                <w:szCs w:val="20"/>
              </w:rPr>
              <w:t xml:space="preserve"> and </w:t>
            </w:r>
            <w:r w:rsidR="00C82734" w:rsidRPr="005D7599">
              <w:rPr>
                <w:rFonts w:asciiTheme="majorHAnsi" w:eastAsia="Arial" w:hAnsiTheme="majorHAnsi" w:cstheme="majorHAnsi"/>
                <w:sz w:val="20"/>
                <w:szCs w:val="20"/>
              </w:rPr>
              <w:t>Catalog Addendum</w:t>
            </w:r>
          </w:p>
          <w:p w:rsidR="005D7599" w:rsidRPr="005D7599" w:rsidRDefault="005D7599" w:rsidP="006C308E">
            <w:pPr>
              <w:ind w:right="64"/>
              <w:jc w:val="both"/>
              <w:rPr>
                <w:rFonts w:asciiTheme="majorHAnsi" w:eastAsia="Arial" w:hAnsiTheme="majorHAnsi" w:cstheme="majorHAnsi"/>
                <w:i/>
                <w:sz w:val="20"/>
                <w:szCs w:val="20"/>
              </w:rPr>
            </w:pPr>
            <w:r w:rsidRPr="005D7599">
              <w:rPr>
                <w:rFonts w:asciiTheme="majorHAnsi" w:eastAsia="Arial" w:hAnsiTheme="majorHAnsi" w:cstheme="majorHAnsi"/>
                <w:i/>
                <w:sz w:val="20"/>
                <w:szCs w:val="20"/>
              </w:rPr>
              <w:t>(ERF, A5. Degree Offerings in Schools of Public Health)</w:t>
            </w:r>
          </w:p>
        </w:tc>
        <w:tc>
          <w:tcPr>
            <w:tcW w:w="4585" w:type="dxa"/>
          </w:tcPr>
          <w:p w:rsidR="004334BF" w:rsidRPr="00E80636" w:rsidRDefault="006E3D5E" w:rsidP="006C308E">
            <w:pPr>
              <w:ind w:right="64"/>
              <w:jc w:val="both"/>
              <w:rPr>
                <w:rFonts w:asciiTheme="majorHAnsi" w:eastAsia="Arial" w:hAnsiTheme="majorHAnsi" w:cstheme="majorHAnsi"/>
                <w:sz w:val="20"/>
                <w:szCs w:val="20"/>
              </w:rPr>
            </w:pPr>
            <w:hyperlink r:id="rId47" w:history="1">
              <w:r w:rsidR="004334BF" w:rsidRPr="00E80636">
                <w:rPr>
                  <w:rStyle w:val="Hyperlink"/>
                  <w:rFonts w:asciiTheme="majorHAnsi" w:hAnsiTheme="majorHAnsi" w:cstheme="majorHAnsi"/>
                  <w:sz w:val="20"/>
                  <w:szCs w:val="20"/>
                </w:rPr>
                <w:t>https://sph.uth.edu/academics/course-information/</w:t>
              </w:r>
            </w:hyperlink>
            <w:r w:rsidR="004334BF" w:rsidRPr="00E80636">
              <w:rPr>
                <w:rFonts w:asciiTheme="majorHAnsi" w:hAnsiTheme="majorHAnsi" w:cstheme="majorHAnsi"/>
                <w:color w:val="1F497D"/>
                <w:sz w:val="20"/>
                <w:szCs w:val="20"/>
              </w:rPr>
              <w:t xml:space="preserve"> </w:t>
            </w:r>
          </w:p>
        </w:tc>
      </w:tr>
      <w:tr w:rsidR="00790C42" w:rsidRPr="00743A41" w:rsidTr="007B72A1">
        <w:tc>
          <w:tcPr>
            <w:tcW w:w="4050" w:type="dxa"/>
          </w:tcPr>
          <w:p w:rsidR="00790C42" w:rsidRPr="00E80636" w:rsidRDefault="00790C42" w:rsidP="006C308E">
            <w:pPr>
              <w:ind w:right="64"/>
              <w:jc w:val="both"/>
              <w:rPr>
                <w:rFonts w:asciiTheme="majorHAnsi" w:eastAsia="Arial" w:hAnsiTheme="majorHAnsi" w:cstheme="majorHAnsi"/>
                <w:sz w:val="20"/>
                <w:szCs w:val="20"/>
              </w:rPr>
            </w:pPr>
            <w:r w:rsidRPr="00E80636">
              <w:rPr>
                <w:rFonts w:asciiTheme="majorHAnsi" w:eastAsia="Arial" w:hAnsiTheme="majorHAnsi" w:cstheme="majorHAnsi"/>
                <w:sz w:val="20"/>
                <w:szCs w:val="20"/>
              </w:rPr>
              <w:t>Course Schedule</w:t>
            </w:r>
          </w:p>
        </w:tc>
        <w:tc>
          <w:tcPr>
            <w:tcW w:w="4585" w:type="dxa"/>
          </w:tcPr>
          <w:p w:rsidR="00790C42" w:rsidRPr="00E80636" w:rsidRDefault="006E3D5E" w:rsidP="006C308E">
            <w:pPr>
              <w:ind w:right="64"/>
              <w:jc w:val="both"/>
              <w:rPr>
                <w:rFonts w:asciiTheme="majorHAnsi" w:hAnsiTheme="majorHAnsi" w:cstheme="majorHAnsi"/>
                <w:sz w:val="20"/>
                <w:szCs w:val="20"/>
              </w:rPr>
            </w:pPr>
            <w:hyperlink r:id="rId48" w:history="1">
              <w:r w:rsidR="00790C42" w:rsidRPr="00E80636">
                <w:rPr>
                  <w:rStyle w:val="Hyperlink"/>
                  <w:rFonts w:asciiTheme="majorHAnsi" w:hAnsiTheme="majorHAnsi" w:cstheme="majorHAnsi"/>
                  <w:sz w:val="20"/>
                  <w:szCs w:val="20"/>
                </w:rPr>
                <w:t>https://web.sph.uth.edu/course/CourseSchedule</w:t>
              </w:r>
            </w:hyperlink>
          </w:p>
        </w:tc>
      </w:tr>
      <w:tr w:rsidR="00790C42" w:rsidRPr="00743A41" w:rsidTr="007B72A1">
        <w:trPr>
          <w:cnfStyle w:val="000000100000" w:firstRow="0" w:lastRow="0" w:firstColumn="0" w:lastColumn="0" w:oddVBand="0" w:evenVBand="0" w:oddHBand="1" w:evenHBand="0" w:firstRowFirstColumn="0" w:firstRowLastColumn="0" w:lastRowFirstColumn="0" w:lastRowLastColumn="0"/>
        </w:trPr>
        <w:tc>
          <w:tcPr>
            <w:tcW w:w="4050" w:type="dxa"/>
          </w:tcPr>
          <w:p w:rsidR="00790C42" w:rsidRPr="00E80636" w:rsidRDefault="00790C42" w:rsidP="006C308E">
            <w:pPr>
              <w:ind w:right="64"/>
              <w:jc w:val="both"/>
              <w:rPr>
                <w:rFonts w:asciiTheme="majorHAnsi" w:eastAsia="Arial" w:hAnsiTheme="majorHAnsi" w:cstheme="majorHAnsi"/>
                <w:sz w:val="20"/>
                <w:szCs w:val="20"/>
              </w:rPr>
            </w:pPr>
            <w:r w:rsidRPr="00E80636">
              <w:rPr>
                <w:rFonts w:asciiTheme="majorHAnsi" w:eastAsia="Arial" w:hAnsiTheme="majorHAnsi" w:cstheme="majorHAnsi"/>
                <w:sz w:val="20"/>
                <w:szCs w:val="20"/>
              </w:rPr>
              <w:t>Degree Completion Requirements</w:t>
            </w:r>
          </w:p>
        </w:tc>
        <w:tc>
          <w:tcPr>
            <w:tcW w:w="4585" w:type="dxa"/>
          </w:tcPr>
          <w:p w:rsidR="00790C42" w:rsidRPr="00E80636" w:rsidRDefault="006E3D5E" w:rsidP="006C308E">
            <w:pPr>
              <w:ind w:right="64"/>
              <w:jc w:val="both"/>
              <w:rPr>
                <w:rFonts w:asciiTheme="majorHAnsi" w:eastAsia="Arial" w:hAnsiTheme="majorHAnsi" w:cstheme="majorHAnsi"/>
                <w:sz w:val="20"/>
                <w:szCs w:val="20"/>
              </w:rPr>
            </w:pPr>
            <w:hyperlink r:id="rId49" w:history="1">
              <w:r w:rsidR="00790C42" w:rsidRPr="00E80636">
                <w:rPr>
                  <w:rStyle w:val="Hyperlink"/>
                  <w:rFonts w:asciiTheme="majorHAnsi" w:hAnsiTheme="majorHAnsi" w:cstheme="majorHAnsi"/>
                  <w:sz w:val="20"/>
                  <w:szCs w:val="20"/>
                </w:rPr>
                <w:t>https://sph.uth.edu/academics/degree-programs/</w:t>
              </w:r>
            </w:hyperlink>
          </w:p>
        </w:tc>
      </w:tr>
      <w:tr w:rsidR="00790C42" w:rsidRPr="00743A41" w:rsidTr="007B72A1">
        <w:tc>
          <w:tcPr>
            <w:tcW w:w="4050" w:type="dxa"/>
          </w:tcPr>
          <w:p w:rsidR="00790C42" w:rsidRDefault="00790C42" w:rsidP="006C308E">
            <w:pPr>
              <w:ind w:right="64"/>
              <w:jc w:val="both"/>
              <w:rPr>
                <w:rStyle w:val="Hyperlink"/>
                <w:rFonts w:asciiTheme="majorHAnsi" w:eastAsia="Arial" w:hAnsiTheme="majorHAnsi" w:cstheme="majorHAnsi"/>
                <w:sz w:val="20"/>
                <w:szCs w:val="20"/>
              </w:rPr>
            </w:pPr>
            <w:r w:rsidRPr="002C4FC8">
              <w:rPr>
                <w:rFonts w:asciiTheme="majorHAnsi" w:eastAsia="Arial" w:hAnsiTheme="majorHAnsi" w:cstheme="majorHAnsi"/>
                <w:sz w:val="20"/>
                <w:szCs w:val="20"/>
              </w:rPr>
              <w:t>Grading Policies</w:t>
            </w:r>
          </w:p>
          <w:p w:rsidR="00943EE2" w:rsidRPr="00943EE2" w:rsidRDefault="00943EE2" w:rsidP="006C308E">
            <w:pPr>
              <w:ind w:right="64"/>
              <w:jc w:val="both"/>
              <w:rPr>
                <w:rFonts w:asciiTheme="majorHAnsi" w:eastAsia="Arial" w:hAnsiTheme="majorHAnsi" w:cstheme="majorHAnsi"/>
                <w:i/>
                <w:sz w:val="20"/>
                <w:szCs w:val="20"/>
              </w:rPr>
            </w:pPr>
            <w:r w:rsidRPr="00943EE2">
              <w:rPr>
                <w:rFonts w:asciiTheme="majorHAnsi" w:eastAsia="Arial" w:hAnsiTheme="majorHAnsi" w:cstheme="majorHAnsi"/>
                <w:i/>
                <w:sz w:val="20"/>
                <w:szCs w:val="20"/>
              </w:rPr>
              <w:t>(ERF, H5. Publication of Education Offerings)</w:t>
            </w:r>
          </w:p>
        </w:tc>
        <w:tc>
          <w:tcPr>
            <w:tcW w:w="4585" w:type="dxa"/>
          </w:tcPr>
          <w:p w:rsidR="00790C42" w:rsidRPr="00E80636" w:rsidRDefault="006E3D5E" w:rsidP="006C308E">
            <w:pPr>
              <w:ind w:right="64"/>
              <w:jc w:val="both"/>
              <w:rPr>
                <w:rFonts w:asciiTheme="majorHAnsi" w:eastAsia="Arial" w:hAnsiTheme="majorHAnsi" w:cstheme="majorHAnsi"/>
                <w:sz w:val="20"/>
                <w:szCs w:val="20"/>
              </w:rPr>
            </w:pPr>
            <w:hyperlink r:id="rId50" w:history="1">
              <w:r w:rsidR="006F58EF" w:rsidRPr="00E80636">
                <w:rPr>
                  <w:rStyle w:val="Hyperlink"/>
                  <w:rFonts w:asciiTheme="majorHAnsi" w:hAnsiTheme="majorHAnsi" w:cstheme="majorHAnsi"/>
                  <w:sz w:val="20"/>
                  <w:szCs w:val="20"/>
                </w:rPr>
                <w:t>https://sph.uth.edu/academics/academic-affairs/Policy_201_Course_Grading.pdf</w:t>
              </w:r>
            </w:hyperlink>
            <w:r w:rsidR="006F58EF" w:rsidRPr="00E80636">
              <w:rPr>
                <w:rFonts w:asciiTheme="majorHAnsi" w:hAnsiTheme="majorHAnsi" w:cstheme="majorHAnsi"/>
                <w:sz w:val="20"/>
                <w:szCs w:val="20"/>
              </w:rPr>
              <w:t xml:space="preserve"> </w:t>
            </w:r>
          </w:p>
        </w:tc>
      </w:tr>
      <w:tr w:rsidR="00790C42" w:rsidRPr="00743A41" w:rsidTr="007B72A1">
        <w:trPr>
          <w:cnfStyle w:val="000000100000" w:firstRow="0" w:lastRow="0" w:firstColumn="0" w:lastColumn="0" w:oddVBand="0" w:evenVBand="0" w:oddHBand="1" w:evenHBand="0" w:firstRowFirstColumn="0" w:firstRowLastColumn="0" w:lastRowFirstColumn="0" w:lastRowLastColumn="0"/>
        </w:trPr>
        <w:tc>
          <w:tcPr>
            <w:tcW w:w="4050" w:type="dxa"/>
          </w:tcPr>
          <w:p w:rsidR="00790C42" w:rsidRPr="00E80636" w:rsidRDefault="00790C42" w:rsidP="006C308E">
            <w:pPr>
              <w:ind w:right="64"/>
              <w:jc w:val="both"/>
              <w:rPr>
                <w:rFonts w:asciiTheme="majorHAnsi" w:eastAsia="Arial" w:hAnsiTheme="majorHAnsi" w:cstheme="majorHAnsi"/>
                <w:sz w:val="20"/>
                <w:szCs w:val="20"/>
              </w:rPr>
            </w:pPr>
            <w:r w:rsidRPr="00E80636">
              <w:rPr>
                <w:rFonts w:asciiTheme="majorHAnsi" w:eastAsia="Arial" w:hAnsiTheme="majorHAnsi" w:cstheme="majorHAnsi"/>
                <w:sz w:val="20"/>
                <w:szCs w:val="20"/>
              </w:rPr>
              <w:t>Policies</w:t>
            </w:r>
          </w:p>
        </w:tc>
        <w:tc>
          <w:tcPr>
            <w:tcW w:w="4585" w:type="dxa"/>
          </w:tcPr>
          <w:p w:rsidR="00790C42" w:rsidRPr="00E80636" w:rsidRDefault="007B72A1" w:rsidP="006C308E">
            <w:pPr>
              <w:ind w:right="64"/>
              <w:rPr>
                <w:rFonts w:asciiTheme="majorHAnsi" w:hAnsiTheme="majorHAnsi" w:cstheme="majorHAnsi"/>
                <w:color w:val="1F497D"/>
                <w:sz w:val="20"/>
                <w:szCs w:val="20"/>
              </w:rPr>
            </w:pPr>
            <w:r w:rsidRPr="00E80636">
              <w:rPr>
                <w:rFonts w:asciiTheme="majorHAnsi" w:hAnsiTheme="majorHAnsi" w:cstheme="majorHAnsi"/>
                <w:sz w:val="20"/>
                <w:szCs w:val="20"/>
              </w:rPr>
              <w:t xml:space="preserve">UTHealth Policies: </w:t>
            </w:r>
            <w:hyperlink r:id="rId51" w:history="1">
              <w:r w:rsidR="00790C42" w:rsidRPr="00E80636">
                <w:rPr>
                  <w:rStyle w:val="Hyperlink"/>
                  <w:rFonts w:asciiTheme="majorHAnsi" w:hAnsiTheme="majorHAnsi" w:cstheme="majorHAnsi"/>
                  <w:sz w:val="20"/>
                  <w:szCs w:val="20"/>
                </w:rPr>
                <w:t>https://www.uth.edu/hoop/index.htm</w:t>
              </w:r>
            </w:hyperlink>
            <w:r w:rsidR="00790C42" w:rsidRPr="00E80636">
              <w:rPr>
                <w:rFonts w:asciiTheme="majorHAnsi" w:hAnsiTheme="majorHAnsi" w:cstheme="majorHAnsi"/>
                <w:color w:val="1F497D"/>
                <w:sz w:val="20"/>
                <w:szCs w:val="20"/>
              </w:rPr>
              <w:t xml:space="preserve"> </w:t>
            </w:r>
          </w:p>
          <w:p w:rsidR="007B72A1" w:rsidRPr="00E80636" w:rsidRDefault="007B72A1" w:rsidP="006C308E">
            <w:pPr>
              <w:ind w:right="64"/>
              <w:rPr>
                <w:rFonts w:asciiTheme="majorHAnsi" w:eastAsia="Arial" w:hAnsiTheme="majorHAnsi" w:cstheme="majorHAnsi"/>
                <w:sz w:val="20"/>
                <w:szCs w:val="20"/>
              </w:rPr>
            </w:pPr>
            <w:r w:rsidRPr="00E80636">
              <w:rPr>
                <w:rFonts w:asciiTheme="majorHAnsi" w:hAnsiTheme="majorHAnsi" w:cstheme="majorHAnsi"/>
                <w:sz w:val="20"/>
                <w:szCs w:val="20"/>
              </w:rPr>
              <w:t>UTHealth School of Public Health Policies</w:t>
            </w:r>
            <w:r w:rsidR="00C82734" w:rsidRPr="00E80636">
              <w:rPr>
                <w:rFonts w:asciiTheme="majorHAnsi" w:hAnsiTheme="majorHAnsi" w:cstheme="majorHAnsi"/>
                <w:sz w:val="20"/>
                <w:szCs w:val="20"/>
              </w:rPr>
              <w:t xml:space="preserve"> (</w:t>
            </w:r>
            <w:r w:rsidR="003D6BB1" w:rsidRPr="003D6BB1">
              <w:rPr>
                <w:rFonts w:asciiTheme="majorHAnsi" w:hAnsiTheme="majorHAnsi" w:cstheme="majorHAnsi"/>
                <w:i/>
                <w:sz w:val="20"/>
                <w:szCs w:val="20"/>
              </w:rPr>
              <w:t>ERF, H5.1. UTHealth SPH Policies</w:t>
            </w:r>
            <w:r w:rsidR="003D6BB1">
              <w:rPr>
                <w:rFonts w:asciiTheme="majorHAnsi" w:hAnsiTheme="majorHAnsi" w:cstheme="majorHAnsi"/>
                <w:sz w:val="20"/>
                <w:szCs w:val="20"/>
              </w:rPr>
              <w:t>)</w:t>
            </w:r>
            <w:r w:rsidRPr="00E80636">
              <w:rPr>
                <w:rFonts w:asciiTheme="majorHAnsi" w:hAnsiTheme="majorHAnsi" w:cstheme="majorHAnsi"/>
                <w:sz w:val="20"/>
                <w:szCs w:val="20"/>
              </w:rPr>
              <w:t xml:space="preserve">: </w:t>
            </w:r>
            <w:hyperlink r:id="rId52" w:history="1">
              <w:r w:rsidRPr="00E80636">
                <w:rPr>
                  <w:rStyle w:val="Hyperlink"/>
                  <w:rFonts w:asciiTheme="majorHAnsi" w:hAnsiTheme="majorHAnsi" w:cstheme="majorHAnsi"/>
                  <w:sz w:val="20"/>
                  <w:szCs w:val="20"/>
                </w:rPr>
                <w:t>https://sph.uth.edu/academics/academic-affairs/</w:t>
              </w:r>
            </w:hyperlink>
          </w:p>
        </w:tc>
      </w:tr>
    </w:tbl>
    <w:p w:rsidR="00952464" w:rsidRPr="00E80636" w:rsidRDefault="00952464" w:rsidP="006C308E">
      <w:pPr>
        <w:rPr>
          <w:rFonts w:asciiTheme="majorHAnsi" w:hAnsiTheme="majorHAnsi" w:cstheme="majorHAnsi"/>
          <w:sz w:val="20"/>
          <w:szCs w:val="20"/>
        </w:rPr>
      </w:pPr>
    </w:p>
    <w:sectPr w:rsidR="00952464" w:rsidRPr="00E80636" w:rsidSect="005F7B0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D5E" w:rsidRDefault="006E3D5E" w:rsidP="00193137">
      <w:r>
        <w:separator/>
      </w:r>
    </w:p>
  </w:endnote>
  <w:endnote w:type="continuationSeparator" w:id="0">
    <w:p w:rsidR="006E3D5E" w:rsidRDefault="006E3D5E" w:rsidP="0019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570255"/>
      <w:docPartObj>
        <w:docPartGallery w:val="Page Numbers (Bottom of Page)"/>
        <w:docPartUnique/>
      </w:docPartObj>
    </w:sdtPr>
    <w:sdtEndPr>
      <w:rPr>
        <w:rFonts w:asciiTheme="majorHAnsi" w:hAnsiTheme="majorHAnsi"/>
        <w:noProof/>
        <w:sz w:val="20"/>
        <w:szCs w:val="20"/>
      </w:rPr>
    </w:sdtEndPr>
    <w:sdtContent>
      <w:p w:rsidR="004D4B23" w:rsidRPr="00BB6DCE" w:rsidRDefault="004D4B23">
        <w:pPr>
          <w:pStyle w:val="Footer"/>
          <w:jc w:val="center"/>
          <w:rPr>
            <w:rFonts w:asciiTheme="majorHAnsi" w:hAnsiTheme="majorHAnsi"/>
            <w:sz w:val="20"/>
            <w:szCs w:val="20"/>
          </w:rPr>
        </w:pPr>
        <w:r w:rsidRPr="00BB6DCE">
          <w:rPr>
            <w:rFonts w:asciiTheme="majorHAnsi" w:hAnsiTheme="majorHAnsi"/>
            <w:sz w:val="20"/>
            <w:szCs w:val="20"/>
          </w:rPr>
          <w:fldChar w:fldCharType="begin"/>
        </w:r>
        <w:r w:rsidRPr="00BB6DCE">
          <w:rPr>
            <w:rFonts w:asciiTheme="majorHAnsi" w:hAnsiTheme="majorHAnsi"/>
            <w:sz w:val="20"/>
            <w:szCs w:val="20"/>
          </w:rPr>
          <w:instrText xml:space="preserve"> PAGE   \* MERGEFORMAT </w:instrText>
        </w:r>
        <w:r w:rsidRPr="00BB6DCE">
          <w:rPr>
            <w:rFonts w:asciiTheme="majorHAnsi" w:hAnsiTheme="majorHAnsi"/>
            <w:sz w:val="20"/>
            <w:szCs w:val="20"/>
          </w:rPr>
          <w:fldChar w:fldCharType="separate"/>
        </w:r>
        <w:r w:rsidR="00484E47">
          <w:rPr>
            <w:rFonts w:asciiTheme="majorHAnsi" w:hAnsiTheme="majorHAnsi"/>
            <w:noProof/>
            <w:sz w:val="20"/>
            <w:szCs w:val="20"/>
          </w:rPr>
          <w:t>9</w:t>
        </w:r>
        <w:r w:rsidRPr="00BB6DCE">
          <w:rPr>
            <w:rFonts w:asciiTheme="majorHAnsi" w:hAnsiTheme="majorHAnsi"/>
            <w:noProof/>
            <w:sz w:val="20"/>
            <w:szCs w:val="20"/>
          </w:rPr>
          <w:fldChar w:fldCharType="end"/>
        </w:r>
      </w:p>
    </w:sdtContent>
  </w:sdt>
  <w:p w:rsidR="004D4B23" w:rsidRPr="00327D29" w:rsidRDefault="004D4B23" w:rsidP="00327D29">
    <w:pPr>
      <w:pStyle w:val="Footer"/>
      <w:jc w:val="center"/>
      <w:rPr>
        <w:rFonts w:asciiTheme="majorHAnsi" w:hAnsiTheme="maj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975302"/>
      <w:docPartObj>
        <w:docPartGallery w:val="Page Numbers (Bottom of Page)"/>
        <w:docPartUnique/>
      </w:docPartObj>
    </w:sdtPr>
    <w:sdtEndPr>
      <w:rPr>
        <w:rFonts w:asciiTheme="majorHAnsi" w:hAnsiTheme="majorHAnsi"/>
        <w:noProof/>
        <w:sz w:val="20"/>
        <w:szCs w:val="20"/>
      </w:rPr>
    </w:sdtEndPr>
    <w:sdtContent>
      <w:p w:rsidR="004D4B23" w:rsidRPr="00327D29" w:rsidRDefault="004D4B23">
        <w:pPr>
          <w:pStyle w:val="Footer"/>
          <w:jc w:val="center"/>
          <w:rPr>
            <w:rFonts w:asciiTheme="majorHAnsi" w:hAnsiTheme="majorHAnsi"/>
            <w:sz w:val="20"/>
            <w:szCs w:val="20"/>
          </w:rPr>
        </w:pPr>
        <w:r w:rsidRPr="00327D29">
          <w:rPr>
            <w:rFonts w:asciiTheme="majorHAnsi" w:hAnsiTheme="majorHAnsi"/>
            <w:sz w:val="20"/>
            <w:szCs w:val="20"/>
          </w:rPr>
          <w:fldChar w:fldCharType="begin"/>
        </w:r>
        <w:r w:rsidRPr="00327D29">
          <w:rPr>
            <w:rFonts w:asciiTheme="majorHAnsi" w:hAnsiTheme="majorHAnsi"/>
            <w:sz w:val="20"/>
            <w:szCs w:val="20"/>
          </w:rPr>
          <w:instrText xml:space="preserve"> PAGE   \* MERGEFORMAT </w:instrText>
        </w:r>
        <w:r w:rsidRPr="00327D29">
          <w:rPr>
            <w:rFonts w:asciiTheme="majorHAnsi" w:hAnsiTheme="majorHAnsi"/>
            <w:sz w:val="20"/>
            <w:szCs w:val="20"/>
          </w:rPr>
          <w:fldChar w:fldCharType="separate"/>
        </w:r>
        <w:r w:rsidR="00484E47">
          <w:rPr>
            <w:rFonts w:asciiTheme="majorHAnsi" w:hAnsiTheme="majorHAnsi"/>
            <w:noProof/>
            <w:sz w:val="20"/>
            <w:szCs w:val="20"/>
          </w:rPr>
          <w:t>i</w:t>
        </w:r>
        <w:r w:rsidRPr="00327D29">
          <w:rPr>
            <w:rFonts w:asciiTheme="majorHAnsi" w:hAnsiTheme="majorHAnsi"/>
            <w:noProof/>
            <w:sz w:val="20"/>
            <w:szCs w:val="20"/>
          </w:rPr>
          <w:fldChar w:fldCharType="end"/>
        </w:r>
      </w:p>
    </w:sdtContent>
  </w:sdt>
  <w:p w:rsidR="004D4B23" w:rsidRDefault="004D4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D5E" w:rsidRDefault="006E3D5E" w:rsidP="00193137">
      <w:r>
        <w:separator/>
      </w:r>
    </w:p>
  </w:footnote>
  <w:footnote w:type="continuationSeparator" w:id="0">
    <w:p w:rsidR="006E3D5E" w:rsidRDefault="006E3D5E" w:rsidP="00193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0A"/>
    <w:multiLevelType w:val="hybridMultilevel"/>
    <w:tmpl w:val="57A2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2365"/>
    <w:multiLevelType w:val="hybridMultilevel"/>
    <w:tmpl w:val="030660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61207"/>
    <w:multiLevelType w:val="hybridMultilevel"/>
    <w:tmpl w:val="6FB294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60F1F"/>
    <w:multiLevelType w:val="hybridMultilevel"/>
    <w:tmpl w:val="E226873C"/>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5C200B"/>
    <w:multiLevelType w:val="hybridMultilevel"/>
    <w:tmpl w:val="D70A3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0906F2"/>
    <w:multiLevelType w:val="hybridMultilevel"/>
    <w:tmpl w:val="291A4A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751B62"/>
    <w:multiLevelType w:val="hybridMultilevel"/>
    <w:tmpl w:val="665AEF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4753973"/>
    <w:multiLevelType w:val="hybridMultilevel"/>
    <w:tmpl w:val="5C8C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10653D"/>
    <w:multiLevelType w:val="hybridMultilevel"/>
    <w:tmpl w:val="691CCE80"/>
    <w:lvl w:ilvl="0" w:tplc="C8CA8832">
      <w:numFmt w:val="bullet"/>
      <w:lvlText w:val="•"/>
      <w:lvlJc w:val="left"/>
      <w:pPr>
        <w:ind w:left="1440" w:hanging="360"/>
      </w:pPr>
      <w:rPr>
        <w:rFonts w:ascii="Calibri" w:eastAsia="Arial" w:hAnsi="Calibri" w:cs="Calibri" w:hint="default"/>
      </w:rPr>
    </w:lvl>
    <w:lvl w:ilvl="1" w:tplc="1DCEB702">
      <w:numFmt w:val="bullet"/>
      <w:lvlText w:val="-"/>
      <w:lvlJc w:val="left"/>
      <w:pPr>
        <w:ind w:left="2160" w:hanging="360"/>
      </w:pPr>
      <w:rPr>
        <w:rFonts w:ascii="Calibri Light" w:eastAsia="Arial" w:hAnsi="Calibri Light" w:cs="Calibri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552536B"/>
    <w:multiLevelType w:val="hybridMultilevel"/>
    <w:tmpl w:val="F9C45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6936626"/>
    <w:multiLevelType w:val="hybridMultilevel"/>
    <w:tmpl w:val="2C7C1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F80E11"/>
    <w:multiLevelType w:val="hybridMultilevel"/>
    <w:tmpl w:val="CF78B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76267F4"/>
    <w:multiLevelType w:val="hybridMultilevel"/>
    <w:tmpl w:val="B064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B1499C"/>
    <w:multiLevelType w:val="hybridMultilevel"/>
    <w:tmpl w:val="E17AC1EA"/>
    <w:lvl w:ilvl="0" w:tplc="04090011">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7FE4B0F"/>
    <w:multiLevelType w:val="hybridMultilevel"/>
    <w:tmpl w:val="5F26AF7E"/>
    <w:lvl w:ilvl="0" w:tplc="39E67A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92C1157"/>
    <w:multiLevelType w:val="multilevel"/>
    <w:tmpl w:val="D4625D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0A034CA3"/>
    <w:multiLevelType w:val="hybridMultilevel"/>
    <w:tmpl w:val="97648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A2278E2"/>
    <w:multiLevelType w:val="hybridMultilevel"/>
    <w:tmpl w:val="8062D438"/>
    <w:lvl w:ilvl="0" w:tplc="71E27C46">
      <w:numFmt w:val="bullet"/>
      <w:lvlText w:val="-"/>
      <w:lvlJc w:val="left"/>
      <w:pPr>
        <w:ind w:left="1440" w:hanging="360"/>
      </w:pPr>
      <w:rPr>
        <w:rFonts w:ascii="Calibri Light" w:eastAsiaTheme="minorHAnsi" w:hAnsi="Calibri Light" w:cs="Calibri Light" w:hint="default"/>
        <w:color w:val="auto"/>
      </w:rPr>
    </w:lvl>
    <w:lvl w:ilvl="1" w:tplc="08B0B14A">
      <w:start w:val="1"/>
      <w:numFmt w:val="bullet"/>
      <w:lvlText w:val="o"/>
      <w:lvlJc w:val="left"/>
      <w:pPr>
        <w:ind w:left="2160" w:hanging="360"/>
      </w:pPr>
      <w:rPr>
        <w:rFonts w:ascii="Courier New" w:hAnsi="Courier New" w:cs="Courier New" w:hint="default"/>
        <w:color w:val="auto"/>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A307E8D"/>
    <w:multiLevelType w:val="hybridMultilevel"/>
    <w:tmpl w:val="EED62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5F7DC4"/>
    <w:multiLevelType w:val="hybridMultilevel"/>
    <w:tmpl w:val="CCE4E520"/>
    <w:lvl w:ilvl="0" w:tplc="C8CA8832">
      <w:numFmt w:val="bullet"/>
      <w:lvlText w:val="•"/>
      <w:lvlJc w:val="left"/>
      <w:pPr>
        <w:ind w:left="1440" w:hanging="360"/>
      </w:pPr>
      <w:rPr>
        <w:rFonts w:ascii="Calibri" w:eastAsia="Arial" w:hAnsi="Calibri" w:cs="Calibri" w:hint="default"/>
      </w:rPr>
    </w:lvl>
    <w:lvl w:ilvl="1" w:tplc="1DCEB702">
      <w:numFmt w:val="bullet"/>
      <w:lvlText w:val="-"/>
      <w:lvlJc w:val="left"/>
      <w:pPr>
        <w:ind w:left="2160" w:hanging="360"/>
      </w:pPr>
      <w:rPr>
        <w:rFonts w:ascii="Calibri Light" w:eastAsia="Arial" w:hAnsi="Calibri Light" w:cs="Calibri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CDF7A9C"/>
    <w:multiLevelType w:val="hybridMultilevel"/>
    <w:tmpl w:val="C80AA690"/>
    <w:lvl w:ilvl="0" w:tplc="C8CA8832">
      <w:numFmt w:val="bullet"/>
      <w:lvlText w:val="•"/>
      <w:lvlJc w:val="left"/>
      <w:pPr>
        <w:ind w:left="1440" w:hanging="360"/>
      </w:pPr>
      <w:rPr>
        <w:rFonts w:ascii="Calibri" w:eastAsia="Arial" w:hAnsi="Calibri" w:cs="Calibri" w:hint="default"/>
      </w:rPr>
    </w:lvl>
    <w:lvl w:ilvl="1" w:tplc="1DCEB702">
      <w:numFmt w:val="bullet"/>
      <w:lvlText w:val="-"/>
      <w:lvlJc w:val="left"/>
      <w:pPr>
        <w:ind w:left="2160" w:hanging="360"/>
      </w:pPr>
      <w:rPr>
        <w:rFonts w:ascii="Calibri Light" w:eastAsia="Arial" w:hAnsi="Calibri Light" w:cs="Calibri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CF07DDF"/>
    <w:multiLevelType w:val="multilevel"/>
    <w:tmpl w:val="392A53A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0F3E02DB"/>
    <w:multiLevelType w:val="hybridMultilevel"/>
    <w:tmpl w:val="82EAF0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10216713"/>
    <w:multiLevelType w:val="hybridMultilevel"/>
    <w:tmpl w:val="FFA87D2C"/>
    <w:lvl w:ilvl="0" w:tplc="1DCEB702">
      <w:numFmt w:val="bullet"/>
      <w:lvlText w:val="-"/>
      <w:lvlJc w:val="left"/>
      <w:pPr>
        <w:ind w:left="2160" w:hanging="360"/>
      </w:pPr>
      <w:rPr>
        <w:rFonts w:ascii="Calibri Light" w:eastAsia="Arial" w:hAnsi="Calibri Light" w:cs="Calibri Ligh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0E3141A"/>
    <w:multiLevelType w:val="hybridMultilevel"/>
    <w:tmpl w:val="89A6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117643D"/>
    <w:multiLevelType w:val="hybridMultilevel"/>
    <w:tmpl w:val="90941A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6211D0"/>
    <w:multiLevelType w:val="hybridMultilevel"/>
    <w:tmpl w:val="66F6742C"/>
    <w:lvl w:ilvl="0" w:tplc="1A8AA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1DB352C"/>
    <w:multiLevelType w:val="hybridMultilevel"/>
    <w:tmpl w:val="F68AA4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2AE5D06"/>
    <w:multiLevelType w:val="hybridMultilevel"/>
    <w:tmpl w:val="FF0045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130D7AC8"/>
    <w:multiLevelType w:val="hybridMultilevel"/>
    <w:tmpl w:val="CF28C25A"/>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3BB2785"/>
    <w:multiLevelType w:val="hybridMultilevel"/>
    <w:tmpl w:val="0C8A4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43E340A"/>
    <w:multiLevelType w:val="hybridMultilevel"/>
    <w:tmpl w:val="E59C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5E230BE"/>
    <w:multiLevelType w:val="hybridMultilevel"/>
    <w:tmpl w:val="13FAA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F45569"/>
    <w:multiLevelType w:val="hybridMultilevel"/>
    <w:tmpl w:val="62DACACC"/>
    <w:lvl w:ilvl="0" w:tplc="A86CC7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4B6BEA"/>
    <w:multiLevelType w:val="hybridMultilevel"/>
    <w:tmpl w:val="863AF388"/>
    <w:lvl w:ilvl="0" w:tplc="6422FB78">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6881A33"/>
    <w:multiLevelType w:val="hybridMultilevel"/>
    <w:tmpl w:val="9062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7F12E37"/>
    <w:multiLevelType w:val="hybridMultilevel"/>
    <w:tmpl w:val="7F3205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9D66971"/>
    <w:multiLevelType w:val="hybridMultilevel"/>
    <w:tmpl w:val="C4E2C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FC0B34"/>
    <w:multiLevelType w:val="hybridMultilevel"/>
    <w:tmpl w:val="F9D0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D54524F"/>
    <w:multiLevelType w:val="hybridMultilevel"/>
    <w:tmpl w:val="43963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8C14B1"/>
    <w:multiLevelType w:val="hybridMultilevel"/>
    <w:tmpl w:val="58EA82DC"/>
    <w:lvl w:ilvl="0" w:tplc="1DCEB702">
      <w:numFmt w:val="bullet"/>
      <w:lvlText w:val="-"/>
      <w:lvlJc w:val="left"/>
      <w:pPr>
        <w:ind w:left="2160" w:hanging="360"/>
      </w:pPr>
      <w:rPr>
        <w:rFonts w:ascii="Calibri Light" w:eastAsia="Arial" w:hAnsi="Calibri Light" w:cs="Calibri Light" w:hint="default"/>
      </w:rPr>
    </w:lvl>
    <w:lvl w:ilvl="1" w:tplc="1DCEB702">
      <w:numFmt w:val="bullet"/>
      <w:lvlText w:val="-"/>
      <w:lvlJc w:val="left"/>
      <w:pPr>
        <w:ind w:left="2880" w:hanging="360"/>
      </w:pPr>
      <w:rPr>
        <w:rFonts w:ascii="Calibri Light" w:eastAsia="Arial" w:hAnsi="Calibri Light" w:cs="Calibri Light"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1EA005F2"/>
    <w:multiLevelType w:val="hybridMultilevel"/>
    <w:tmpl w:val="8DFECC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ECB7BD7"/>
    <w:multiLevelType w:val="hybridMultilevel"/>
    <w:tmpl w:val="5F6E78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1F6465CF"/>
    <w:multiLevelType w:val="hybridMultilevel"/>
    <w:tmpl w:val="6396F99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4" w15:restartNumberingAfterBreak="0">
    <w:nsid w:val="1FAC50DA"/>
    <w:multiLevelType w:val="multilevel"/>
    <w:tmpl w:val="0D8AD7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5" w15:restartNumberingAfterBreak="0">
    <w:nsid w:val="1FFC32CF"/>
    <w:multiLevelType w:val="hybridMultilevel"/>
    <w:tmpl w:val="1622668C"/>
    <w:lvl w:ilvl="0" w:tplc="C8CA8832">
      <w:numFmt w:val="bullet"/>
      <w:lvlText w:val="•"/>
      <w:lvlJc w:val="left"/>
      <w:pPr>
        <w:ind w:left="1440" w:hanging="360"/>
      </w:pPr>
      <w:rPr>
        <w:rFonts w:ascii="Calibri" w:eastAsia="Arial" w:hAnsi="Calibri" w:cs="Calibri" w:hint="default"/>
      </w:rPr>
    </w:lvl>
    <w:lvl w:ilvl="1" w:tplc="1DCEB702">
      <w:numFmt w:val="bullet"/>
      <w:lvlText w:val="-"/>
      <w:lvlJc w:val="left"/>
      <w:pPr>
        <w:ind w:left="2160" w:hanging="360"/>
      </w:pPr>
      <w:rPr>
        <w:rFonts w:ascii="Calibri Light" w:eastAsia="Arial" w:hAnsi="Calibri Light" w:cs="Calibri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0D8498C"/>
    <w:multiLevelType w:val="hybridMultilevel"/>
    <w:tmpl w:val="F40AE15E"/>
    <w:lvl w:ilvl="0" w:tplc="C8CA8832">
      <w:numFmt w:val="bullet"/>
      <w:lvlText w:val="•"/>
      <w:lvlJc w:val="left"/>
      <w:pPr>
        <w:ind w:left="1440" w:hanging="360"/>
      </w:pPr>
      <w:rPr>
        <w:rFonts w:ascii="Calibri" w:eastAsia="Arial" w:hAnsi="Calibri" w:cs="Calibri" w:hint="default"/>
      </w:rPr>
    </w:lvl>
    <w:lvl w:ilvl="1" w:tplc="1DCEB702">
      <w:numFmt w:val="bullet"/>
      <w:lvlText w:val="-"/>
      <w:lvlJc w:val="left"/>
      <w:pPr>
        <w:ind w:left="2160" w:hanging="360"/>
      </w:pPr>
      <w:rPr>
        <w:rFonts w:ascii="Calibri Light" w:eastAsia="Arial" w:hAnsi="Calibri Light" w:cs="Calibri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0DB272C"/>
    <w:multiLevelType w:val="hybridMultilevel"/>
    <w:tmpl w:val="951CC552"/>
    <w:lvl w:ilvl="0" w:tplc="6D548E88">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14C0A92"/>
    <w:multiLevelType w:val="hybridMultilevel"/>
    <w:tmpl w:val="5554EAD4"/>
    <w:lvl w:ilvl="0" w:tplc="1DCEB702">
      <w:numFmt w:val="bullet"/>
      <w:lvlText w:val="-"/>
      <w:lvlJc w:val="left"/>
      <w:pPr>
        <w:ind w:left="1440" w:hanging="360"/>
      </w:pPr>
      <w:rPr>
        <w:rFonts w:ascii="Calibri Light" w:eastAsia="Arial" w:hAnsi="Calibri Light" w:cs="Calibri Ligh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17256CF"/>
    <w:multiLevelType w:val="hybridMultilevel"/>
    <w:tmpl w:val="B822A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21A27F29"/>
    <w:multiLevelType w:val="hybridMultilevel"/>
    <w:tmpl w:val="470E6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2554965"/>
    <w:multiLevelType w:val="multilevel"/>
    <w:tmpl w:val="ADF666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22990700"/>
    <w:multiLevelType w:val="hybridMultilevel"/>
    <w:tmpl w:val="B2B8E446"/>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3022F44"/>
    <w:multiLevelType w:val="hybridMultilevel"/>
    <w:tmpl w:val="75082E86"/>
    <w:lvl w:ilvl="0" w:tplc="C8CA8832">
      <w:numFmt w:val="bullet"/>
      <w:lvlText w:val="•"/>
      <w:lvlJc w:val="left"/>
      <w:pPr>
        <w:ind w:left="1440" w:hanging="360"/>
      </w:pPr>
      <w:rPr>
        <w:rFonts w:ascii="Calibri" w:eastAsia="Arial" w:hAnsi="Calibri" w:cs="Calibri" w:hint="default"/>
      </w:rPr>
    </w:lvl>
    <w:lvl w:ilvl="1" w:tplc="1DCEB702">
      <w:numFmt w:val="bullet"/>
      <w:lvlText w:val="-"/>
      <w:lvlJc w:val="left"/>
      <w:pPr>
        <w:ind w:left="2160" w:hanging="360"/>
      </w:pPr>
      <w:rPr>
        <w:rFonts w:ascii="Calibri Light" w:eastAsia="Arial" w:hAnsi="Calibri Light" w:cs="Calibri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3CB6312"/>
    <w:multiLevelType w:val="hybridMultilevel"/>
    <w:tmpl w:val="C4DEE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44E716E"/>
    <w:multiLevelType w:val="hybridMultilevel"/>
    <w:tmpl w:val="B2863E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4F3378A"/>
    <w:multiLevelType w:val="hybridMultilevel"/>
    <w:tmpl w:val="BEE6F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25A6143C"/>
    <w:multiLevelType w:val="hybridMultilevel"/>
    <w:tmpl w:val="1FE046EE"/>
    <w:lvl w:ilvl="0" w:tplc="C8CA8832">
      <w:numFmt w:val="bullet"/>
      <w:lvlText w:val="•"/>
      <w:lvlJc w:val="left"/>
      <w:pPr>
        <w:ind w:left="1440" w:hanging="360"/>
      </w:pPr>
      <w:rPr>
        <w:rFonts w:ascii="Calibri" w:eastAsia="Arial" w:hAnsi="Calibri" w:cs="Calibri" w:hint="default"/>
      </w:rPr>
    </w:lvl>
    <w:lvl w:ilvl="1" w:tplc="1DCEB702">
      <w:numFmt w:val="bullet"/>
      <w:lvlText w:val="-"/>
      <w:lvlJc w:val="left"/>
      <w:pPr>
        <w:ind w:left="2160" w:hanging="360"/>
      </w:pPr>
      <w:rPr>
        <w:rFonts w:ascii="Calibri Light" w:eastAsia="Arial" w:hAnsi="Calibri Light" w:cs="Calibri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25B549F6"/>
    <w:multiLevelType w:val="hybridMultilevel"/>
    <w:tmpl w:val="5224AF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28020139"/>
    <w:multiLevelType w:val="hybridMultilevel"/>
    <w:tmpl w:val="21EE119E"/>
    <w:lvl w:ilvl="0" w:tplc="B4C6C01E">
      <w:start w:val="2017"/>
      <w:numFmt w:val="bullet"/>
      <w:lvlText w:val="-"/>
      <w:lvlJc w:val="left"/>
      <w:pPr>
        <w:ind w:left="720" w:hanging="360"/>
      </w:pPr>
      <w:rPr>
        <w:rFonts w:ascii="Calibri" w:eastAsia="Arial" w:hAnsi="Calibri" w:cs="Calibri" w:hint="default"/>
        <w:strike w:val="0"/>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86A2E67"/>
    <w:multiLevelType w:val="multilevel"/>
    <w:tmpl w:val="ADF666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1" w15:restartNumberingAfterBreak="0">
    <w:nsid w:val="28DC3949"/>
    <w:multiLevelType w:val="hybridMultilevel"/>
    <w:tmpl w:val="D8C2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99F6B83"/>
    <w:multiLevelType w:val="hybridMultilevel"/>
    <w:tmpl w:val="78468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29FA1589"/>
    <w:multiLevelType w:val="hybridMultilevel"/>
    <w:tmpl w:val="B69637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A3C77E2"/>
    <w:multiLevelType w:val="hybridMultilevel"/>
    <w:tmpl w:val="BFD6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A5A0398"/>
    <w:multiLevelType w:val="hybridMultilevel"/>
    <w:tmpl w:val="59BE620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6" w15:restartNumberingAfterBreak="0">
    <w:nsid w:val="2B337D80"/>
    <w:multiLevelType w:val="multilevel"/>
    <w:tmpl w:val="FBCEC01E"/>
    <w:lvl w:ilvl="0">
      <w:start w:val="1"/>
      <w:numFmt w:val="lowerLetter"/>
      <w:lvlText w:val="%1)"/>
      <w:lvlJc w:val="left"/>
      <w:pPr>
        <w:ind w:left="1440" w:hanging="360"/>
      </w:pPr>
    </w:lvl>
    <w:lvl w:ilvl="1">
      <w:start w:val="9"/>
      <w:numFmt w:val="bullet"/>
      <w:lvlText w:val="•"/>
      <w:lvlJc w:val="left"/>
      <w:pPr>
        <w:ind w:left="2295" w:hanging="495"/>
      </w:pPr>
      <w:rPr>
        <w:rFonts w:ascii="Arial" w:eastAsia="Arial" w:hAnsi="Arial" w:cs="Arial"/>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2B8719A6"/>
    <w:multiLevelType w:val="hybridMultilevel"/>
    <w:tmpl w:val="48789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BA106E9"/>
    <w:multiLevelType w:val="hybridMultilevel"/>
    <w:tmpl w:val="B0B6C3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2C486F4D"/>
    <w:multiLevelType w:val="hybridMultilevel"/>
    <w:tmpl w:val="5A2A7CB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D875021"/>
    <w:multiLevelType w:val="hybridMultilevel"/>
    <w:tmpl w:val="811EB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2DCC1746"/>
    <w:multiLevelType w:val="hybridMultilevel"/>
    <w:tmpl w:val="10E68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ED02423"/>
    <w:multiLevelType w:val="hybridMultilevel"/>
    <w:tmpl w:val="3D66F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2F8F3AB2"/>
    <w:multiLevelType w:val="hybridMultilevel"/>
    <w:tmpl w:val="D75C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16E7720"/>
    <w:multiLevelType w:val="hybridMultilevel"/>
    <w:tmpl w:val="9716D3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32BA379A"/>
    <w:multiLevelType w:val="hybridMultilevel"/>
    <w:tmpl w:val="B662402C"/>
    <w:lvl w:ilvl="0" w:tplc="1DCEB702">
      <w:numFmt w:val="bullet"/>
      <w:lvlText w:val="-"/>
      <w:lvlJc w:val="left"/>
      <w:pPr>
        <w:ind w:left="1800" w:hanging="360"/>
      </w:pPr>
      <w:rPr>
        <w:rFonts w:ascii="Calibri Light" w:eastAsia="Arial" w:hAnsi="Calibri Light" w:cs="Calibri Light"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32D12681"/>
    <w:multiLevelType w:val="hybridMultilevel"/>
    <w:tmpl w:val="0A34D164"/>
    <w:lvl w:ilvl="0" w:tplc="C8CA8832">
      <w:numFmt w:val="bullet"/>
      <w:lvlText w:val="•"/>
      <w:lvlJc w:val="left"/>
      <w:pPr>
        <w:ind w:left="1440" w:hanging="360"/>
      </w:pPr>
      <w:rPr>
        <w:rFonts w:ascii="Calibri" w:eastAsia="Arial" w:hAnsi="Calibri" w:cs="Calibri" w:hint="default"/>
      </w:rPr>
    </w:lvl>
    <w:lvl w:ilvl="1" w:tplc="1DCEB702">
      <w:numFmt w:val="bullet"/>
      <w:lvlText w:val="-"/>
      <w:lvlJc w:val="left"/>
      <w:pPr>
        <w:ind w:left="2160" w:hanging="360"/>
      </w:pPr>
      <w:rPr>
        <w:rFonts w:ascii="Calibri Light" w:eastAsia="Arial" w:hAnsi="Calibri Light" w:cs="Calibri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347B1A21"/>
    <w:multiLevelType w:val="hybridMultilevel"/>
    <w:tmpl w:val="71CAB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355A0903"/>
    <w:multiLevelType w:val="hybridMultilevel"/>
    <w:tmpl w:val="560C7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59439B0"/>
    <w:multiLevelType w:val="hybridMultilevel"/>
    <w:tmpl w:val="C1B6E35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0" w15:restartNumberingAfterBreak="0">
    <w:nsid w:val="35AA6AEC"/>
    <w:multiLevelType w:val="hybridMultilevel"/>
    <w:tmpl w:val="1F348910"/>
    <w:lvl w:ilvl="0" w:tplc="49A0FCF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6B32733"/>
    <w:multiLevelType w:val="hybridMultilevel"/>
    <w:tmpl w:val="0394BCB0"/>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36DB1FFE"/>
    <w:multiLevelType w:val="hybridMultilevel"/>
    <w:tmpl w:val="2D462F1C"/>
    <w:lvl w:ilvl="0" w:tplc="1DCEB702">
      <w:numFmt w:val="bullet"/>
      <w:lvlText w:val="-"/>
      <w:lvlJc w:val="left"/>
      <w:pPr>
        <w:ind w:left="2520" w:hanging="360"/>
      </w:pPr>
      <w:rPr>
        <w:rFonts w:ascii="Calibri Light" w:eastAsia="Arial" w:hAnsi="Calibri Light" w:cs="Calibri Ligh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3742237C"/>
    <w:multiLevelType w:val="hybridMultilevel"/>
    <w:tmpl w:val="B106DE60"/>
    <w:lvl w:ilvl="0" w:tplc="39E67A52">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C36E3E8">
      <w:start w:val="1"/>
      <w:numFmt w:val="decimal"/>
      <w:lvlText w:val="%4p"/>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3791715C"/>
    <w:multiLevelType w:val="hybridMultilevel"/>
    <w:tmpl w:val="802C9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86E083E"/>
    <w:multiLevelType w:val="hybridMultilevel"/>
    <w:tmpl w:val="26A04A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15:restartNumberingAfterBreak="0">
    <w:nsid w:val="38C47828"/>
    <w:multiLevelType w:val="hybridMultilevel"/>
    <w:tmpl w:val="C9E628BA"/>
    <w:lvl w:ilvl="0" w:tplc="C8CA8832">
      <w:numFmt w:val="bullet"/>
      <w:lvlText w:val="•"/>
      <w:lvlJc w:val="left"/>
      <w:pPr>
        <w:ind w:left="1440" w:hanging="360"/>
      </w:pPr>
      <w:rPr>
        <w:rFonts w:ascii="Calibri" w:eastAsia="Arial" w:hAnsi="Calibri" w:cs="Calibri" w:hint="default"/>
      </w:rPr>
    </w:lvl>
    <w:lvl w:ilvl="1" w:tplc="1DCEB702">
      <w:numFmt w:val="bullet"/>
      <w:lvlText w:val="-"/>
      <w:lvlJc w:val="left"/>
      <w:pPr>
        <w:ind w:left="2160" w:hanging="360"/>
      </w:pPr>
      <w:rPr>
        <w:rFonts w:ascii="Calibri Light" w:eastAsia="Arial" w:hAnsi="Calibri Light" w:cs="Calibri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38EE4BE3"/>
    <w:multiLevelType w:val="hybridMultilevel"/>
    <w:tmpl w:val="576078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39010B99"/>
    <w:multiLevelType w:val="hybridMultilevel"/>
    <w:tmpl w:val="5590CA88"/>
    <w:lvl w:ilvl="0" w:tplc="04090011">
      <w:start w:val="1"/>
      <w:numFmt w:val="decimal"/>
      <w:lvlText w:val="%1)"/>
      <w:lvlJc w:val="left"/>
      <w:pPr>
        <w:ind w:left="720" w:hanging="360"/>
      </w:pPr>
      <w:rPr>
        <w:rFonts w:hint="default"/>
      </w:rPr>
    </w:lvl>
    <w:lvl w:ilvl="1" w:tplc="37A663EA">
      <w:numFmt w:val="bullet"/>
      <w:lvlText w:val="•"/>
      <w:lvlJc w:val="left"/>
      <w:pPr>
        <w:ind w:left="1440" w:hanging="360"/>
      </w:pPr>
      <w:rPr>
        <w:rFonts w:ascii="Calibri Light" w:eastAsiaTheme="minorHAnsi"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90362D0"/>
    <w:multiLevelType w:val="hybridMultilevel"/>
    <w:tmpl w:val="0C02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91E74C2"/>
    <w:multiLevelType w:val="hybridMultilevel"/>
    <w:tmpl w:val="290ABA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398B5152"/>
    <w:multiLevelType w:val="hybridMultilevel"/>
    <w:tmpl w:val="865E3CA4"/>
    <w:lvl w:ilvl="0" w:tplc="B4C6C01E">
      <w:start w:val="2017"/>
      <w:numFmt w:val="bullet"/>
      <w:lvlText w:val="-"/>
      <w:lvlJc w:val="left"/>
      <w:pPr>
        <w:ind w:left="1440" w:hanging="360"/>
      </w:pPr>
      <w:rPr>
        <w:rFonts w:ascii="Calibri" w:eastAsia="Arial" w:hAnsi="Calibri" w:cs="Calibri" w:hint="default"/>
        <w:strike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39C57AEC"/>
    <w:multiLevelType w:val="hybridMultilevel"/>
    <w:tmpl w:val="030660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9EF54C5"/>
    <w:multiLevelType w:val="hybridMultilevel"/>
    <w:tmpl w:val="D73CDAD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B2C4E9A"/>
    <w:multiLevelType w:val="hybridMultilevel"/>
    <w:tmpl w:val="405C8CF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3B660884"/>
    <w:multiLevelType w:val="hybridMultilevel"/>
    <w:tmpl w:val="14962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B9761C8"/>
    <w:multiLevelType w:val="hybridMultilevel"/>
    <w:tmpl w:val="0A549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3BD770C4"/>
    <w:multiLevelType w:val="hybridMultilevel"/>
    <w:tmpl w:val="D4BCA6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3BEE5312"/>
    <w:multiLevelType w:val="hybridMultilevel"/>
    <w:tmpl w:val="E69A39CC"/>
    <w:lvl w:ilvl="0" w:tplc="C8CA8832">
      <w:numFmt w:val="bullet"/>
      <w:lvlText w:val="•"/>
      <w:lvlJc w:val="left"/>
      <w:pPr>
        <w:ind w:left="1440" w:hanging="360"/>
      </w:pPr>
      <w:rPr>
        <w:rFonts w:ascii="Calibri" w:eastAsia="Arial" w:hAnsi="Calibri" w:cs="Calibri" w:hint="default"/>
      </w:rPr>
    </w:lvl>
    <w:lvl w:ilvl="1" w:tplc="1DCEB702">
      <w:numFmt w:val="bullet"/>
      <w:lvlText w:val="-"/>
      <w:lvlJc w:val="left"/>
      <w:pPr>
        <w:ind w:left="2160" w:hanging="360"/>
      </w:pPr>
      <w:rPr>
        <w:rFonts w:ascii="Calibri Light" w:eastAsia="Arial" w:hAnsi="Calibri Light" w:cs="Calibri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41A474C6"/>
    <w:multiLevelType w:val="hybridMultilevel"/>
    <w:tmpl w:val="47E80024"/>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41DF407B"/>
    <w:multiLevelType w:val="multilevel"/>
    <w:tmpl w:val="ADF666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1" w15:restartNumberingAfterBreak="0">
    <w:nsid w:val="434333D0"/>
    <w:multiLevelType w:val="hybridMultilevel"/>
    <w:tmpl w:val="EE6A1A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43F55111"/>
    <w:multiLevelType w:val="hybridMultilevel"/>
    <w:tmpl w:val="E53481D8"/>
    <w:lvl w:ilvl="0" w:tplc="B4C6C01E">
      <w:start w:val="2017"/>
      <w:numFmt w:val="bullet"/>
      <w:lvlText w:val="-"/>
      <w:lvlJc w:val="left"/>
      <w:pPr>
        <w:ind w:left="720" w:hanging="360"/>
      </w:pPr>
      <w:rPr>
        <w:rFonts w:ascii="Calibri" w:eastAsia="Arial" w:hAnsi="Calibri" w:cs="Calibri" w:hint="default"/>
        <w:strike w:val="0"/>
      </w:rPr>
    </w:lvl>
    <w:lvl w:ilvl="1" w:tplc="71E27C46">
      <w:numFmt w:val="bullet"/>
      <w:lvlText w:val="-"/>
      <w:lvlJc w:val="left"/>
      <w:pPr>
        <w:ind w:left="1440" w:hanging="360"/>
      </w:pPr>
      <w:rPr>
        <w:rFonts w:ascii="Calibri Light" w:eastAsiaTheme="minorHAnsi" w:hAnsi="Calibri Light" w:cs="Calibri Light"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4246797"/>
    <w:multiLevelType w:val="hybridMultilevel"/>
    <w:tmpl w:val="9348A3B0"/>
    <w:lvl w:ilvl="0" w:tplc="1DCEB702">
      <w:numFmt w:val="bullet"/>
      <w:lvlText w:val="-"/>
      <w:lvlJc w:val="left"/>
      <w:pPr>
        <w:ind w:left="2520" w:hanging="360"/>
      </w:pPr>
      <w:rPr>
        <w:rFonts w:ascii="Calibri Light" w:eastAsia="Arial" w:hAnsi="Calibri Light" w:cs="Calibri Ligh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44B17060"/>
    <w:multiLevelType w:val="hybridMultilevel"/>
    <w:tmpl w:val="AAECC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488A26AF"/>
    <w:multiLevelType w:val="hybridMultilevel"/>
    <w:tmpl w:val="26E46E82"/>
    <w:lvl w:ilvl="0" w:tplc="D56C33BC">
      <w:start w:val="1"/>
      <w:numFmt w:val="decimal"/>
      <w:lvlText w:val="%1)"/>
      <w:lvlJc w:val="left"/>
      <w:pPr>
        <w:tabs>
          <w:tab w:val="num" w:pos="360"/>
        </w:tabs>
        <w:ind w:left="360" w:hanging="360"/>
      </w:pPr>
      <w:rPr>
        <w:rFonts w:asciiTheme="majorHAnsi" w:eastAsia="Times New Roman" w:hAnsiTheme="majorHAnsi" w:cstheme="majorHAnsi"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49D23865"/>
    <w:multiLevelType w:val="hybridMultilevel"/>
    <w:tmpl w:val="F04893C8"/>
    <w:lvl w:ilvl="0" w:tplc="04090001">
      <w:start w:val="1"/>
      <w:numFmt w:val="bullet"/>
      <w:lvlText w:val=""/>
      <w:lvlJc w:val="left"/>
      <w:pPr>
        <w:ind w:left="720" w:hanging="360"/>
      </w:pPr>
      <w:rPr>
        <w:rFonts w:ascii="Symbol" w:hAnsi="Symbol" w:hint="default"/>
      </w:rPr>
    </w:lvl>
    <w:lvl w:ilvl="1" w:tplc="C8CA883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A1122AB"/>
    <w:multiLevelType w:val="hybridMultilevel"/>
    <w:tmpl w:val="E6667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4AE3306E"/>
    <w:multiLevelType w:val="hybridMultilevel"/>
    <w:tmpl w:val="A0E4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C1B752A"/>
    <w:multiLevelType w:val="hybridMultilevel"/>
    <w:tmpl w:val="285812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C687EAA"/>
    <w:multiLevelType w:val="hybridMultilevel"/>
    <w:tmpl w:val="7F20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DAF67F7"/>
    <w:multiLevelType w:val="hybridMultilevel"/>
    <w:tmpl w:val="70FC1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2" w15:restartNumberingAfterBreak="0">
    <w:nsid w:val="4E8471E8"/>
    <w:multiLevelType w:val="hybridMultilevel"/>
    <w:tmpl w:val="3BD49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EB072E1"/>
    <w:multiLevelType w:val="hybridMultilevel"/>
    <w:tmpl w:val="C7A2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0952C8F"/>
    <w:multiLevelType w:val="hybridMultilevel"/>
    <w:tmpl w:val="579EA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50D40DFC"/>
    <w:multiLevelType w:val="hybridMultilevel"/>
    <w:tmpl w:val="4580C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51197264"/>
    <w:multiLevelType w:val="hybridMultilevel"/>
    <w:tmpl w:val="CE58A6EC"/>
    <w:lvl w:ilvl="0" w:tplc="0409000F">
      <w:numFmt w:val="decimal"/>
      <w:lvlText w:val="%1."/>
      <w:lvlJc w:val="left"/>
      <w:pPr>
        <w:ind w:left="234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7" w15:restartNumberingAfterBreak="0">
    <w:nsid w:val="51671387"/>
    <w:multiLevelType w:val="hybridMultilevel"/>
    <w:tmpl w:val="D234C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19A549E"/>
    <w:multiLevelType w:val="hybridMultilevel"/>
    <w:tmpl w:val="E4F0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32569EA"/>
    <w:multiLevelType w:val="hybridMultilevel"/>
    <w:tmpl w:val="A8F2FD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541871C8"/>
    <w:multiLevelType w:val="hybridMultilevel"/>
    <w:tmpl w:val="09901C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21" w15:restartNumberingAfterBreak="0">
    <w:nsid w:val="55A740C5"/>
    <w:multiLevelType w:val="hybridMultilevel"/>
    <w:tmpl w:val="FFD65F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57094532"/>
    <w:multiLevelType w:val="hybridMultilevel"/>
    <w:tmpl w:val="E7729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7522784"/>
    <w:multiLevelType w:val="hybridMultilevel"/>
    <w:tmpl w:val="41084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583E1401"/>
    <w:multiLevelType w:val="hybridMultilevel"/>
    <w:tmpl w:val="2392F26A"/>
    <w:lvl w:ilvl="0" w:tplc="C8CA8832">
      <w:numFmt w:val="bullet"/>
      <w:lvlText w:val="•"/>
      <w:lvlJc w:val="left"/>
      <w:pPr>
        <w:ind w:left="1440" w:hanging="360"/>
      </w:pPr>
      <w:rPr>
        <w:rFonts w:ascii="Calibri" w:eastAsia="Arial"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5842195B"/>
    <w:multiLevelType w:val="hybridMultilevel"/>
    <w:tmpl w:val="0ED0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87C5128"/>
    <w:multiLevelType w:val="hybridMultilevel"/>
    <w:tmpl w:val="6276A5E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59392CEA"/>
    <w:multiLevelType w:val="hybridMultilevel"/>
    <w:tmpl w:val="4E1AA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9F37B0F"/>
    <w:multiLevelType w:val="hybridMultilevel"/>
    <w:tmpl w:val="7B0A9A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A373850"/>
    <w:multiLevelType w:val="hybridMultilevel"/>
    <w:tmpl w:val="E7729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BC017D9"/>
    <w:multiLevelType w:val="hybridMultilevel"/>
    <w:tmpl w:val="2FB23B3E"/>
    <w:lvl w:ilvl="0" w:tplc="1DCEB702">
      <w:numFmt w:val="bullet"/>
      <w:lvlText w:val="-"/>
      <w:lvlJc w:val="left"/>
      <w:pPr>
        <w:ind w:left="1440" w:hanging="360"/>
      </w:pPr>
      <w:rPr>
        <w:rFonts w:ascii="Calibri Light" w:eastAsia="Arial"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5BC616D3"/>
    <w:multiLevelType w:val="hybridMultilevel"/>
    <w:tmpl w:val="BE9AA14A"/>
    <w:lvl w:ilvl="0" w:tplc="A8BA6FF6">
      <w:start w:val="2"/>
      <w:numFmt w:val="decimal"/>
      <w:lvlText w:val="%1."/>
      <w:lvlJc w:val="left"/>
      <w:pPr>
        <w:ind w:left="36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32" w15:restartNumberingAfterBreak="0">
    <w:nsid w:val="5BFB7189"/>
    <w:multiLevelType w:val="hybridMultilevel"/>
    <w:tmpl w:val="AEE067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3" w15:restartNumberingAfterBreak="0">
    <w:nsid w:val="5C36486E"/>
    <w:multiLevelType w:val="hybridMultilevel"/>
    <w:tmpl w:val="B636B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4" w15:restartNumberingAfterBreak="0">
    <w:nsid w:val="5C962A9D"/>
    <w:multiLevelType w:val="hybridMultilevel"/>
    <w:tmpl w:val="DADA5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CB544B6"/>
    <w:multiLevelType w:val="hybridMultilevel"/>
    <w:tmpl w:val="97C85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5D1D7791"/>
    <w:multiLevelType w:val="hybridMultilevel"/>
    <w:tmpl w:val="523414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7" w15:restartNumberingAfterBreak="0">
    <w:nsid w:val="5D3E6F6A"/>
    <w:multiLevelType w:val="hybridMultilevel"/>
    <w:tmpl w:val="18C0F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5D6C4704"/>
    <w:multiLevelType w:val="hybridMultilevel"/>
    <w:tmpl w:val="FF004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D8B6262"/>
    <w:multiLevelType w:val="hybridMultilevel"/>
    <w:tmpl w:val="DDFCC036"/>
    <w:lvl w:ilvl="0" w:tplc="71E27C46">
      <w:numFmt w:val="bullet"/>
      <w:lvlText w:val="-"/>
      <w:lvlJc w:val="left"/>
      <w:pPr>
        <w:ind w:left="1440" w:hanging="360"/>
      </w:pPr>
      <w:rPr>
        <w:rFonts w:ascii="Calibri Light" w:eastAsiaTheme="minorHAnsi" w:hAnsi="Calibri Light" w:cs="Calibri Light" w:hint="default"/>
        <w:color w:val="auto"/>
      </w:rPr>
    </w:lvl>
    <w:lvl w:ilvl="1" w:tplc="0409000F">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5D8E48E6"/>
    <w:multiLevelType w:val="hybridMultilevel"/>
    <w:tmpl w:val="DF92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DDA2EE5"/>
    <w:multiLevelType w:val="hybridMultilevel"/>
    <w:tmpl w:val="A16A09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5EB04975"/>
    <w:multiLevelType w:val="hybridMultilevel"/>
    <w:tmpl w:val="B65EA7F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5F7553E5"/>
    <w:multiLevelType w:val="hybridMultilevel"/>
    <w:tmpl w:val="5C84CB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4" w15:restartNumberingAfterBreak="0">
    <w:nsid w:val="607C4FEE"/>
    <w:multiLevelType w:val="hybridMultilevel"/>
    <w:tmpl w:val="216C94F0"/>
    <w:lvl w:ilvl="0" w:tplc="31C0EA0C">
      <w:start w:val="2017"/>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0E628CF"/>
    <w:multiLevelType w:val="hybridMultilevel"/>
    <w:tmpl w:val="C4E2C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0F44276"/>
    <w:multiLevelType w:val="hybridMultilevel"/>
    <w:tmpl w:val="5B1EF0BA"/>
    <w:lvl w:ilvl="0" w:tplc="C8CA8832">
      <w:numFmt w:val="bullet"/>
      <w:lvlText w:val="•"/>
      <w:lvlJc w:val="left"/>
      <w:pPr>
        <w:ind w:left="1440" w:hanging="360"/>
      </w:pPr>
      <w:rPr>
        <w:rFonts w:ascii="Calibri" w:eastAsia="Arial" w:hAnsi="Calibri" w:cs="Calibri" w:hint="default"/>
      </w:rPr>
    </w:lvl>
    <w:lvl w:ilvl="1" w:tplc="1DCEB702">
      <w:numFmt w:val="bullet"/>
      <w:lvlText w:val="-"/>
      <w:lvlJc w:val="left"/>
      <w:pPr>
        <w:ind w:left="2160" w:hanging="360"/>
      </w:pPr>
      <w:rPr>
        <w:rFonts w:ascii="Calibri Light" w:eastAsia="Arial" w:hAnsi="Calibri Light" w:cs="Calibri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61831C0C"/>
    <w:multiLevelType w:val="hybridMultilevel"/>
    <w:tmpl w:val="6846B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1891FBA"/>
    <w:multiLevelType w:val="hybridMultilevel"/>
    <w:tmpl w:val="C3D67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9" w15:restartNumberingAfterBreak="0">
    <w:nsid w:val="62A06E6D"/>
    <w:multiLevelType w:val="hybridMultilevel"/>
    <w:tmpl w:val="017EA06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0" w15:restartNumberingAfterBreak="0">
    <w:nsid w:val="62A63AF0"/>
    <w:multiLevelType w:val="hybridMultilevel"/>
    <w:tmpl w:val="B2643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63143AD7"/>
    <w:multiLevelType w:val="hybridMultilevel"/>
    <w:tmpl w:val="09241946"/>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52" w15:restartNumberingAfterBreak="0">
    <w:nsid w:val="63A874C9"/>
    <w:multiLevelType w:val="hybridMultilevel"/>
    <w:tmpl w:val="4110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45B3131"/>
    <w:multiLevelType w:val="hybridMultilevel"/>
    <w:tmpl w:val="E6D2B8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48221A4"/>
    <w:multiLevelType w:val="hybridMultilevel"/>
    <w:tmpl w:val="77381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15:restartNumberingAfterBreak="0">
    <w:nsid w:val="64B07EAA"/>
    <w:multiLevelType w:val="hybridMultilevel"/>
    <w:tmpl w:val="2940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4CD5944"/>
    <w:multiLevelType w:val="hybridMultilevel"/>
    <w:tmpl w:val="83643A40"/>
    <w:lvl w:ilvl="0" w:tplc="C8CA8832">
      <w:numFmt w:val="bullet"/>
      <w:lvlText w:val="•"/>
      <w:lvlJc w:val="left"/>
      <w:pPr>
        <w:ind w:left="1440" w:hanging="360"/>
      </w:pPr>
      <w:rPr>
        <w:rFonts w:ascii="Calibri" w:eastAsia="Arial" w:hAnsi="Calibri" w:cs="Calibri" w:hint="default"/>
      </w:rPr>
    </w:lvl>
    <w:lvl w:ilvl="1" w:tplc="1DCEB702">
      <w:numFmt w:val="bullet"/>
      <w:lvlText w:val="-"/>
      <w:lvlJc w:val="left"/>
      <w:pPr>
        <w:ind w:left="2160" w:hanging="360"/>
      </w:pPr>
      <w:rPr>
        <w:rFonts w:ascii="Calibri Light" w:eastAsia="Arial" w:hAnsi="Calibri Light" w:cs="Calibri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665D5CE6"/>
    <w:multiLevelType w:val="hybridMultilevel"/>
    <w:tmpl w:val="4C26C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6C90733"/>
    <w:multiLevelType w:val="hybridMultilevel"/>
    <w:tmpl w:val="0C72ED66"/>
    <w:lvl w:ilvl="0" w:tplc="C8CA8832">
      <w:numFmt w:val="bullet"/>
      <w:lvlText w:val="•"/>
      <w:lvlJc w:val="left"/>
      <w:pPr>
        <w:ind w:left="1440" w:hanging="360"/>
      </w:pPr>
      <w:rPr>
        <w:rFonts w:ascii="Calibri" w:eastAsia="Arial" w:hAnsi="Calibri" w:cs="Calibri" w:hint="default"/>
      </w:rPr>
    </w:lvl>
    <w:lvl w:ilvl="1" w:tplc="1DCEB702">
      <w:numFmt w:val="bullet"/>
      <w:lvlText w:val="-"/>
      <w:lvlJc w:val="left"/>
      <w:pPr>
        <w:ind w:left="2160" w:hanging="360"/>
      </w:pPr>
      <w:rPr>
        <w:rFonts w:ascii="Calibri Light" w:eastAsia="Arial" w:hAnsi="Calibri Light" w:cs="Calibri Light"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15:restartNumberingAfterBreak="0">
    <w:nsid w:val="66ED5593"/>
    <w:multiLevelType w:val="hybridMultilevel"/>
    <w:tmpl w:val="3B548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15:restartNumberingAfterBreak="0">
    <w:nsid w:val="672550B1"/>
    <w:multiLevelType w:val="hybridMultilevel"/>
    <w:tmpl w:val="D598E67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677C5993"/>
    <w:multiLevelType w:val="hybridMultilevel"/>
    <w:tmpl w:val="5F26AF7E"/>
    <w:lvl w:ilvl="0" w:tplc="39E67A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68380276"/>
    <w:multiLevelType w:val="hybridMultilevel"/>
    <w:tmpl w:val="3CBC60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6854253A"/>
    <w:multiLevelType w:val="hybridMultilevel"/>
    <w:tmpl w:val="A5A2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85A074A"/>
    <w:multiLevelType w:val="hybridMultilevel"/>
    <w:tmpl w:val="8826A95A"/>
    <w:lvl w:ilvl="0" w:tplc="1DCEB702">
      <w:numFmt w:val="bullet"/>
      <w:lvlText w:val="-"/>
      <w:lvlJc w:val="left"/>
      <w:pPr>
        <w:ind w:left="1440" w:hanging="360"/>
      </w:pPr>
      <w:rPr>
        <w:rFonts w:ascii="Calibri Light" w:eastAsia="Arial" w:hAnsi="Calibri Light" w:cs="Calibri Ligh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693B4885"/>
    <w:multiLevelType w:val="hybridMultilevel"/>
    <w:tmpl w:val="4892717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698D18A2"/>
    <w:multiLevelType w:val="hybridMultilevel"/>
    <w:tmpl w:val="7F2C598E"/>
    <w:lvl w:ilvl="0" w:tplc="1DCEB702">
      <w:numFmt w:val="bullet"/>
      <w:lvlText w:val="-"/>
      <w:lvlJc w:val="left"/>
      <w:pPr>
        <w:ind w:left="2160" w:hanging="360"/>
      </w:pPr>
      <w:rPr>
        <w:rFonts w:ascii="Calibri Light" w:eastAsia="Arial" w:hAnsi="Calibri Light" w:cs="Calibri Light"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7" w15:restartNumberingAfterBreak="0">
    <w:nsid w:val="69C73B55"/>
    <w:multiLevelType w:val="hybridMultilevel"/>
    <w:tmpl w:val="FCE47DC0"/>
    <w:lvl w:ilvl="0" w:tplc="1DCEB702">
      <w:numFmt w:val="bullet"/>
      <w:lvlText w:val="-"/>
      <w:lvlJc w:val="left"/>
      <w:pPr>
        <w:ind w:left="1440" w:hanging="360"/>
      </w:pPr>
      <w:rPr>
        <w:rFonts w:ascii="Calibri Light" w:eastAsia="Arial" w:hAnsi="Calibri Light" w:cs="Calibri Ligh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8" w15:restartNumberingAfterBreak="0">
    <w:nsid w:val="6A05178A"/>
    <w:multiLevelType w:val="hybridMultilevel"/>
    <w:tmpl w:val="5846C70C"/>
    <w:lvl w:ilvl="0" w:tplc="73B08D62">
      <w:numFmt w:val="decimal"/>
      <w:lvlText w:val="%1"/>
      <w:lvlJc w:val="left"/>
      <w:pPr>
        <w:ind w:left="1800" w:hanging="360"/>
      </w:pPr>
      <w:rPr>
        <w:rFonts w:hint="default"/>
        <w:color w:val="0563C1"/>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9" w15:restartNumberingAfterBreak="0">
    <w:nsid w:val="6A087CC3"/>
    <w:multiLevelType w:val="hybridMultilevel"/>
    <w:tmpl w:val="3EB8A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6AD83A55"/>
    <w:multiLevelType w:val="hybridMultilevel"/>
    <w:tmpl w:val="654811A4"/>
    <w:lvl w:ilvl="0" w:tplc="1DCEB702">
      <w:numFmt w:val="bullet"/>
      <w:lvlText w:val="-"/>
      <w:lvlJc w:val="left"/>
      <w:pPr>
        <w:ind w:left="1440" w:hanging="360"/>
      </w:pPr>
      <w:rPr>
        <w:rFonts w:ascii="Calibri Light" w:eastAsia="Arial" w:hAnsi="Calibri Light" w:cs="Calibri Light" w:hint="default"/>
      </w:rPr>
    </w:lvl>
    <w:lvl w:ilvl="1" w:tplc="1DCEB702">
      <w:numFmt w:val="bullet"/>
      <w:lvlText w:val="-"/>
      <w:lvlJc w:val="left"/>
      <w:pPr>
        <w:ind w:left="2160" w:hanging="360"/>
      </w:pPr>
      <w:rPr>
        <w:rFonts w:ascii="Calibri Light" w:eastAsia="Arial" w:hAnsi="Calibri Light" w:cs="Calibri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1" w15:restartNumberingAfterBreak="0">
    <w:nsid w:val="6B5607A9"/>
    <w:multiLevelType w:val="hybridMultilevel"/>
    <w:tmpl w:val="0B36935A"/>
    <w:lvl w:ilvl="0" w:tplc="71E27C46">
      <w:numFmt w:val="bullet"/>
      <w:lvlText w:val="-"/>
      <w:lvlJc w:val="left"/>
      <w:pPr>
        <w:ind w:left="1440" w:hanging="360"/>
      </w:pPr>
      <w:rPr>
        <w:rFonts w:ascii="Calibri Light" w:eastAsiaTheme="minorHAnsi" w:hAnsi="Calibri Light" w:cs="Calibri Light" w:hint="default"/>
        <w:color w:val="auto"/>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15:restartNumberingAfterBreak="0">
    <w:nsid w:val="6B7D64B8"/>
    <w:multiLevelType w:val="hybridMultilevel"/>
    <w:tmpl w:val="F9469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CCD40C7"/>
    <w:multiLevelType w:val="hybridMultilevel"/>
    <w:tmpl w:val="A68E4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DED5992"/>
    <w:multiLevelType w:val="hybridMultilevel"/>
    <w:tmpl w:val="F970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EB01958"/>
    <w:multiLevelType w:val="hybridMultilevel"/>
    <w:tmpl w:val="F6A817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15:restartNumberingAfterBreak="0">
    <w:nsid w:val="6EFE4B89"/>
    <w:multiLevelType w:val="hybridMultilevel"/>
    <w:tmpl w:val="2FDC9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F571F9F"/>
    <w:multiLevelType w:val="hybridMultilevel"/>
    <w:tmpl w:val="1326EA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8" w15:restartNumberingAfterBreak="0">
    <w:nsid w:val="70E430E9"/>
    <w:multiLevelType w:val="hybridMultilevel"/>
    <w:tmpl w:val="AEE06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1BB580D"/>
    <w:multiLevelType w:val="hybridMultilevel"/>
    <w:tmpl w:val="08F4F87A"/>
    <w:lvl w:ilvl="0" w:tplc="C8CA8832">
      <w:numFmt w:val="bullet"/>
      <w:lvlText w:val="•"/>
      <w:lvlJc w:val="left"/>
      <w:pPr>
        <w:ind w:left="1440" w:hanging="360"/>
      </w:pPr>
      <w:rPr>
        <w:rFonts w:ascii="Calibri" w:eastAsia="Arial" w:hAnsi="Calibri" w:cs="Calibri" w:hint="default"/>
      </w:rPr>
    </w:lvl>
    <w:lvl w:ilvl="1" w:tplc="1DCEB702">
      <w:numFmt w:val="bullet"/>
      <w:lvlText w:val="-"/>
      <w:lvlJc w:val="left"/>
      <w:pPr>
        <w:ind w:left="2160" w:hanging="360"/>
      </w:pPr>
      <w:rPr>
        <w:rFonts w:ascii="Calibri Light" w:eastAsia="Arial" w:hAnsi="Calibri Light" w:cs="Calibri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721158CE"/>
    <w:multiLevelType w:val="hybridMultilevel"/>
    <w:tmpl w:val="573E3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15:restartNumberingAfterBreak="0">
    <w:nsid w:val="72880CA9"/>
    <w:multiLevelType w:val="hybridMultilevel"/>
    <w:tmpl w:val="E0468544"/>
    <w:lvl w:ilvl="0" w:tplc="1DCEB702">
      <w:numFmt w:val="bullet"/>
      <w:lvlText w:val="-"/>
      <w:lvlJc w:val="left"/>
      <w:pPr>
        <w:ind w:left="1080" w:hanging="360"/>
      </w:pPr>
      <w:rPr>
        <w:rFonts w:ascii="Calibri Light" w:eastAsia="Arial" w:hAnsi="Calibri Light" w:cs="Calibri Light"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15:restartNumberingAfterBreak="0">
    <w:nsid w:val="73AC4EF2"/>
    <w:multiLevelType w:val="hybridMultilevel"/>
    <w:tmpl w:val="87D6ACD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3" w15:restartNumberingAfterBreak="0">
    <w:nsid w:val="73B54870"/>
    <w:multiLevelType w:val="hybridMultilevel"/>
    <w:tmpl w:val="D5FCD4D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43B43D6"/>
    <w:multiLevelType w:val="hybridMultilevel"/>
    <w:tmpl w:val="C5226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5" w15:restartNumberingAfterBreak="0">
    <w:nsid w:val="74A419A3"/>
    <w:multiLevelType w:val="hybridMultilevel"/>
    <w:tmpl w:val="FF0045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6" w15:restartNumberingAfterBreak="0">
    <w:nsid w:val="75976735"/>
    <w:multiLevelType w:val="multilevel"/>
    <w:tmpl w:val="5B9E510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7" w15:restartNumberingAfterBreak="0">
    <w:nsid w:val="7697418C"/>
    <w:multiLevelType w:val="hybridMultilevel"/>
    <w:tmpl w:val="7C3C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7250F1F"/>
    <w:multiLevelType w:val="hybridMultilevel"/>
    <w:tmpl w:val="924CEFFA"/>
    <w:lvl w:ilvl="0" w:tplc="C8CA8832">
      <w:numFmt w:val="bullet"/>
      <w:lvlText w:val="•"/>
      <w:lvlJc w:val="left"/>
      <w:pPr>
        <w:ind w:left="1440" w:hanging="360"/>
      </w:pPr>
      <w:rPr>
        <w:rFonts w:ascii="Calibri" w:eastAsia="Arial" w:hAnsi="Calibri" w:cs="Calibri" w:hint="default"/>
      </w:rPr>
    </w:lvl>
    <w:lvl w:ilvl="1" w:tplc="1DCEB702">
      <w:numFmt w:val="bullet"/>
      <w:lvlText w:val="-"/>
      <w:lvlJc w:val="left"/>
      <w:pPr>
        <w:ind w:left="2160" w:hanging="360"/>
      </w:pPr>
      <w:rPr>
        <w:rFonts w:ascii="Calibri Light" w:eastAsia="Arial" w:hAnsi="Calibri Light" w:cs="Calibri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9" w15:restartNumberingAfterBreak="0">
    <w:nsid w:val="77FA07CD"/>
    <w:multiLevelType w:val="hybridMultilevel"/>
    <w:tmpl w:val="EBCC982A"/>
    <w:lvl w:ilvl="0" w:tplc="3236C6E6">
      <w:start w:val="2"/>
      <w:numFmt w:val="upperLetter"/>
      <w:lvlText w:val="%1."/>
      <w:lvlJc w:val="left"/>
      <w:pPr>
        <w:ind w:left="1080" w:hanging="360"/>
      </w:pPr>
      <w:rPr>
        <w:rFonts w:cs="Arial"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78187140"/>
    <w:multiLevelType w:val="hybridMultilevel"/>
    <w:tmpl w:val="2D5CA5AA"/>
    <w:lvl w:ilvl="0" w:tplc="57CECC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 w15:restartNumberingAfterBreak="0">
    <w:nsid w:val="78D01C5B"/>
    <w:multiLevelType w:val="hybridMultilevel"/>
    <w:tmpl w:val="B756D3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797D727E"/>
    <w:multiLevelType w:val="hybridMultilevel"/>
    <w:tmpl w:val="1EDAD2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3" w15:restartNumberingAfterBreak="0">
    <w:nsid w:val="7A304573"/>
    <w:multiLevelType w:val="hybridMultilevel"/>
    <w:tmpl w:val="B2062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A5C7C6D"/>
    <w:multiLevelType w:val="hybridMultilevel"/>
    <w:tmpl w:val="4C26C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A8A545A"/>
    <w:multiLevelType w:val="hybridMultilevel"/>
    <w:tmpl w:val="9334DE7E"/>
    <w:lvl w:ilvl="0" w:tplc="C8CA8832">
      <w:numFmt w:val="bullet"/>
      <w:lvlText w:val="•"/>
      <w:lvlJc w:val="left"/>
      <w:pPr>
        <w:ind w:left="1440" w:hanging="360"/>
      </w:pPr>
      <w:rPr>
        <w:rFonts w:ascii="Calibri" w:eastAsia="Arial" w:hAnsi="Calibri" w:cs="Calibri" w:hint="default"/>
      </w:rPr>
    </w:lvl>
    <w:lvl w:ilvl="1" w:tplc="1DCEB702">
      <w:numFmt w:val="bullet"/>
      <w:lvlText w:val="-"/>
      <w:lvlJc w:val="left"/>
      <w:pPr>
        <w:ind w:left="2160" w:hanging="360"/>
      </w:pPr>
      <w:rPr>
        <w:rFonts w:ascii="Calibri Light" w:eastAsia="Arial" w:hAnsi="Calibri Light" w:cs="Calibri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6" w15:restartNumberingAfterBreak="0">
    <w:nsid w:val="7A957FEE"/>
    <w:multiLevelType w:val="hybridMultilevel"/>
    <w:tmpl w:val="25D4BDF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7" w15:restartNumberingAfterBreak="0">
    <w:nsid w:val="7AB84A17"/>
    <w:multiLevelType w:val="hybridMultilevel"/>
    <w:tmpl w:val="4B72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AE563BC"/>
    <w:multiLevelType w:val="hybridMultilevel"/>
    <w:tmpl w:val="0B38D5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B2465F3"/>
    <w:multiLevelType w:val="hybridMultilevel"/>
    <w:tmpl w:val="D20A4F6C"/>
    <w:lvl w:ilvl="0" w:tplc="40E0664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B43143C"/>
    <w:multiLevelType w:val="hybridMultilevel"/>
    <w:tmpl w:val="D02243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1" w15:restartNumberingAfterBreak="0">
    <w:nsid w:val="7C4E196C"/>
    <w:multiLevelType w:val="hybridMultilevel"/>
    <w:tmpl w:val="4AE0E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2" w15:restartNumberingAfterBreak="0">
    <w:nsid w:val="7C7149FA"/>
    <w:multiLevelType w:val="hybridMultilevel"/>
    <w:tmpl w:val="9DC6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CA51C45"/>
    <w:multiLevelType w:val="hybridMultilevel"/>
    <w:tmpl w:val="EC46D4C6"/>
    <w:lvl w:ilvl="0" w:tplc="71E27C46">
      <w:numFmt w:val="bullet"/>
      <w:lvlText w:val="-"/>
      <w:lvlJc w:val="left"/>
      <w:pPr>
        <w:ind w:left="1440" w:hanging="360"/>
      </w:pPr>
      <w:rPr>
        <w:rFonts w:ascii="Calibri Light" w:eastAsiaTheme="minorHAnsi" w:hAnsi="Calibri Light" w:cs="Calibri Light"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4" w15:restartNumberingAfterBreak="0">
    <w:nsid w:val="7CA631A6"/>
    <w:multiLevelType w:val="hybridMultilevel"/>
    <w:tmpl w:val="1116D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D0B6BF6"/>
    <w:multiLevelType w:val="hybridMultilevel"/>
    <w:tmpl w:val="AB1A8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6" w15:restartNumberingAfterBreak="0">
    <w:nsid w:val="7D3B1BD2"/>
    <w:multiLevelType w:val="hybridMultilevel"/>
    <w:tmpl w:val="EC4E086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7" w15:restartNumberingAfterBreak="0">
    <w:nsid w:val="7DC12904"/>
    <w:multiLevelType w:val="hybridMultilevel"/>
    <w:tmpl w:val="895637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DF73C66"/>
    <w:multiLevelType w:val="hybridMultilevel"/>
    <w:tmpl w:val="CB086F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9" w15:restartNumberingAfterBreak="0">
    <w:nsid w:val="7E5A0E84"/>
    <w:multiLevelType w:val="hybridMultilevel"/>
    <w:tmpl w:val="7E32B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0" w15:restartNumberingAfterBreak="0">
    <w:nsid w:val="7EA377F7"/>
    <w:multiLevelType w:val="hybridMultilevel"/>
    <w:tmpl w:val="1CBA4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1" w15:restartNumberingAfterBreak="0">
    <w:nsid w:val="7F06533B"/>
    <w:multiLevelType w:val="hybridMultilevel"/>
    <w:tmpl w:val="E17A86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3"/>
  </w:num>
  <w:num w:numId="2">
    <w:abstractNumId w:val="14"/>
  </w:num>
  <w:num w:numId="3">
    <w:abstractNumId w:val="161"/>
  </w:num>
  <w:num w:numId="4">
    <w:abstractNumId w:val="172"/>
  </w:num>
  <w:num w:numId="5">
    <w:abstractNumId w:val="132"/>
  </w:num>
  <w:num w:numId="6">
    <w:abstractNumId w:val="178"/>
  </w:num>
  <w:num w:numId="7">
    <w:abstractNumId w:val="26"/>
  </w:num>
  <w:num w:numId="8">
    <w:abstractNumId w:val="88"/>
  </w:num>
  <w:num w:numId="9">
    <w:abstractNumId w:val="112"/>
  </w:num>
  <w:num w:numId="10">
    <w:abstractNumId w:val="204"/>
  </w:num>
  <w:num w:numId="11">
    <w:abstractNumId w:val="109"/>
  </w:num>
  <w:num w:numId="12">
    <w:abstractNumId w:val="1"/>
  </w:num>
  <w:num w:numId="13">
    <w:abstractNumId w:val="92"/>
  </w:num>
  <w:num w:numId="14">
    <w:abstractNumId w:val="3"/>
  </w:num>
  <w:num w:numId="15">
    <w:abstractNumId w:val="198"/>
  </w:num>
  <w:num w:numId="16">
    <w:abstractNumId w:val="142"/>
  </w:num>
  <w:num w:numId="17">
    <w:abstractNumId w:val="93"/>
  </w:num>
  <w:num w:numId="18">
    <w:abstractNumId w:val="42"/>
  </w:num>
  <w:num w:numId="19">
    <w:abstractNumId w:val="25"/>
  </w:num>
  <w:num w:numId="20">
    <w:abstractNumId w:val="34"/>
  </w:num>
  <w:num w:numId="21">
    <w:abstractNumId w:val="193"/>
  </w:num>
  <w:num w:numId="22">
    <w:abstractNumId w:val="28"/>
  </w:num>
  <w:num w:numId="23">
    <w:abstractNumId w:val="185"/>
  </w:num>
  <w:num w:numId="24">
    <w:abstractNumId w:val="47"/>
  </w:num>
  <w:num w:numId="25">
    <w:abstractNumId w:val="13"/>
  </w:num>
  <w:num w:numId="26">
    <w:abstractNumId w:val="134"/>
  </w:num>
  <w:num w:numId="27">
    <w:abstractNumId w:val="138"/>
  </w:num>
  <w:num w:numId="28">
    <w:abstractNumId w:val="2"/>
  </w:num>
  <w:num w:numId="29">
    <w:abstractNumId w:val="67"/>
  </w:num>
  <w:num w:numId="30">
    <w:abstractNumId w:val="127"/>
  </w:num>
  <w:num w:numId="31">
    <w:abstractNumId w:val="194"/>
  </w:num>
  <w:num w:numId="32">
    <w:abstractNumId w:val="157"/>
  </w:num>
  <w:num w:numId="33">
    <w:abstractNumId w:val="94"/>
  </w:num>
  <w:num w:numId="34">
    <w:abstractNumId w:val="33"/>
  </w:num>
  <w:num w:numId="35">
    <w:abstractNumId w:val="183"/>
  </w:num>
  <w:num w:numId="36">
    <w:abstractNumId w:val="117"/>
  </w:num>
  <w:num w:numId="37">
    <w:abstractNumId w:val="207"/>
  </w:num>
  <w:num w:numId="38">
    <w:abstractNumId w:val="32"/>
  </w:num>
  <w:num w:numId="39">
    <w:abstractNumId w:val="105"/>
  </w:num>
  <w:num w:numId="40">
    <w:abstractNumId w:val="129"/>
  </w:num>
  <w:num w:numId="41">
    <w:abstractNumId w:val="122"/>
  </w:num>
  <w:num w:numId="42">
    <w:abstractNumId w:val="37"/>
  </w:num>
  <w:num w:numId="43">
    <w:abstractNumId w:val="87"/>
  </w:num>
  <w:num w:numId="44">
    <w:abstractNumId w:val="165"/>
  </w:num>
  <w:num w:numId="45">
    <w:abstractNumId w:val="69"/>
  </w:num>
  <w:num w:numId="46">
    <w:abstractNumId w:val="153"/>
  </w:num>
  <w:num w:numId="47">
    <w:abstractNumId w:val="78"/>
  </w:num>
  <w:num w:numId="48">
    <w:abstractNumId w:val="145"/>
  </w:num>
  <w:num w:numId="49">
    <w:abstractNumId w:val="84"/>
  </w:num>
  <w:num w:numId="50">
    <w:abstractNumId w:val="39"/>
  </w:num>
  <w:num w:numId="51">
    <w:abstractNumId w:val="52"/>
  </w:num>
  <w:num w:numId="52">
    <w:abstractNumId w:val="119"/>
  </w:num>
  <w:num w:numId="53">
    <w:abstractNumId w:val="136"/>
  </w:num>
  <w:num w:numId="54">
    <w:abstractNumId w:val="56"/>
  </w:num>
  <w:num w:numId="55">
    <w:abstractNumId w:val="7"/>
  </w:num>
  <w:num w:numId="56">
    <w:abstractNumId w:val="202"/>
  </w:num>
  <w:num w:numId="57">
    <w:abstractNumId w:val="114"/>
  </w:num>
  <w:num w:numId="58">
    <w:abstractNumId w:val="159"/>
  </w:num>
  <w:num w:numId="59">
    <w:abstractNumId w:val="180"/>
  </w:num>
  <w:num w:numId="60">
    <w:abstractNumId w:val="209"/>
  </w:num>
  <w:num w:numId="61">
    <w:abstractNumId w:val="6"/>
  </w:num>
  <w:num w:numId="62">
    <w:abstractNumId w:val="143"/>
  </w:num>
  <w:num w:numId="63">
    <w:abstractNumId w:val="17"/>
  </w:num>
  <w:num w:numId="64">
    <w:abstractNumId w:val="79"/>
  </w:num>
  <w:num w:numId="65">
    <w:abstractNumId w:val="89"/>
  </w:num>
  <w:num w:numId="66">
    <w:abstractNumId w:val="140"/>
  </w:num>
  <w:num w:numId="67">
    <w:abstractNumId w:val="38"/>
  </w:num>
  <w:num w:numId="68">
    <w:abstractNumId w:val="61"/>
  </w:num>
  <w:num w:numId="69">
    <w:abstractNumId w:val="199"/>
  </w:num>
  <w:num w:numId="70">
    <w:abstractNumId w:val="65"/>
  </w:num>
  <w:num w:numId="71">
    <w:abstractNumId w:val="102"/>
  </w:num>
  <w:num w:numId="72">
    <w:abstractNumId w:val="144"/>
  </w:num>
  <w:num w:numId="73">
    <w:abstractNumId w:val="182"/>
  </w:num>
  <w:num w:numId="74">
    <w:abstractNumId w:val="184"/>
  </w:num>
  <w:num w:numId="75">
    <w:abstractNumId w:val="110"/>
  </w:num>
  <w:num w:numId="76">
    <w:abstractNumId w:val="18"/>
  </w:num>
  <w:num w:numId="77">
    <w:abstractNumId w:val="70"/>
  </w:num>
  <w:num w:numId="78">
    <w:abstractNumId w:val="181"/>
  </w:num>
  <w:num w:numId="79">
    <w:abstractNumId w:val="149"/>
  </w:num>
  <w:num w:numId="80">
    <w:abstractNumId w:val="162"/>
  </w:num>
  <w:num w:numId="81">
    <w:abstractNumId w:val="60"/>
  </w:num>
  <w:num w:numId="82">
    <w:abstractNumId w:val="74"/>
  </w:num>
  <w:num w:numId="83">
    <w:abstractNumId w:val="51"/>
  </w:num>
  <w:num w:numId="84">
    <w:abstractNumId w:val="100"/>
  </w:num>
  <w:num w:numId="85">
    <w:abstractNumId w:val="43"/>
  </w:num>
  <w:num w:numId="86">
    <w:abstractNumId w:val="29"/>
  </w:num>
  <w:num w:numId="87">
    <w:abstractNumId w:val="158"/>
  </w:num>
  <w:num w:numId="88">
    <w:abstractNumId w:val="57"/>
  </w:num>
  <w:num w:numId="89">
    <w:abstractNumId w:val="20"/>
  </w:num>
  <w:num w:numId="90">
    <w:abstractNumId w:val="53"/>
  </w:num>
  <w:num w:numId="91">
    <w:abstractNumId w:val="76"/>
  </w:num>
  <w:num w:numId="92">
    <w:abstractNumId w:val="146"/>
  </w:num>
  <w:num w:numId="93">
    <w:abstractNumId w:val="19"/>
  </w:num>
  <w:num w:numId="94">
    <w:abstractNumId w:val="46"/>
  </w:num>
  <w:num w:numId="95">
    <w:abstractNumId w:val="98"/>
  </w:num>
  <w:num w:numId="96">
    <w:abstractNumId w:val="8"/>
  </w:num>
  <w:num w:numId="97">
    <w:abstractNumId w:val="179"/>
  </w:num>
  <w:num w:numId="98">
    <w:abstractNumId w:val="86"/>
  </w:num>
  <w:num w:numId="99">
    <w:abstractNumId w:val="156"/>
  </w:num>
  <w:num w:numId="100">
    <w:abstractNumId w:val="45"/>
  </w:num>
  <w:num w:numId="101">
    <w:abstractNumId w:val="170"/>
  </w:num>
  <w:num w:numId="102">
    <w:abstractNumId w:val="195"/>
  </w:num>
  <w:num w:numId="103">
    <w:abstractNumId w:val="40"/>
  </w:num>
  <w:num w:numId="104">
    <w:abstractNumId w:val="106"/>
  </w:num>
  <w:num w:numId="105">
    <w:abstractNumId w:val="128"/>
  </w:num>
  <w:num w:numId="106">
    <w:abstractNumId w:val="124"/>
  </w:num>
  <w:num w:numId="107">
    <w:abstractNumId w:val="77"/>
  </w:num>
  <w:num w:numId="108">
    <w:abstractNumId w:val="115"/>
  </w:num>
  <w:num w:numId="109">
    <w:abstractNumId w:val="167"/>
  </w:num>
  <w:num w:numId="110">
    <w:abstractNumId w:val="58"/>
  </w:num>
  <w:num w:numId="111">
    <w:abstractNumId w:val="210"/>
  </w:num>
  <w:num w:numId="112">
    <w:abstractNumId w:val="21"/>
  </w:num>
  <w:num w:numId="113">
    <w:abstractNumId w:val="186"/>
  </w:num>
  <w:num w:numId="114">
    <w:abstractNumId w:val="66"/>
  </w:num>
  <w:num w:numId="115">
    <w:abstractNumId w:val="192"/>
  </w:num>
  <w:num w:numId="116">
    <w:abstractNumId w:val="44"/>
  </w:num>
  <w:num w:numId="117">
    <w:abstractNumId w:val="97"/>
  </w:num>
  <w:num w:numId="118">
    <w:abstractNumId w:val="4"/>
  </w:num>
  <w:num w:numId="119">
    <w:abstractNumId w:val="191"/>
  </w:num>
  <w:num w:numId="120">
    <w:abstractNumId w:val="101"/>
  </w:num>
  <w:num w:numId="121">
    <w:abstractNumId w:val="72"/>
  </w:num>
  <w:num w:numId="122">
    <w:abstractNumId w:val="68"/>
  </w:num>
  <w:num w:numId="123">
    <w:abstractNumId w:val="131"/>
  </w:num>
  <w:num w:numId="12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9"/>
  </w:num>
  <w:num w:numId="126">
    <w:abstractNumId w:val="27"/>
  </w:num>
  <w:num w:numId="127">
    <w:abstractNumId w:val="187"/>
  </w:num>
  <w:num w:numId="128">
    <w:abstractNumId w:val="10"/>
  </w:num>
  <w:num w:numId="129">
    <w:abstractNumId w:val="173"/>
  </w:num>
  <w:num w:numId="130">
    <w:abstractNumId w:val="203"/>
  </w:num>
  <w:num w:numId="131">
    <w:abstractNumId w:val="30"/>
  </w:num>
  <w:num w:numId="132">
    <w:abstractNumId w:val="175"/>
  </w:num>
  <w:num w:numId="133">
    <w:abstractNumId w:val="41"/>
  </w:num>
  <w:num w:numId="134">
    <w:abstractNumId w:val="141"/>
  </w:num>
  <w:num w:numId="135">
    <w:abstractNumId w:val="81"/>
  </w:num>
  <w:num w:numId="136">
    <w:abstractNumId w:val="206"/>
  </w:num>
  <w:num w:numId="137">
    <w:abstractNumId w:val="120"/>
  </w:num>
  <w:num w:numId="138">
    <w:abstractNumId w:val="91"/>
  </w:num>
  <w:num w:numId="139">
    <w:abstractNumId w:val="166"/>
  </w:num>
  <w:num w:numId="140">
    <w:abstractNumId w:val="164"/>
  </w:num>
  <w:num w:numId="141">
    <w:abstractNumId w:val="75"/>
  </w:num>
  <w:num w:numId="142">
    <w:abstractNumId w:val="99"/>
  </w:num>
  <w:num w:numId="143">
    <w:abstractNumId w:val="54"/>
  </w:num>
  <w:num w:numId="144">
    <w:abstractNumId w:val="16"/>
  </w:num>
  <w:num w:numId="145">
    <w:abstractNumId w:val="36"/>
  </w:num>
  <w:num w:numId="146">
    <w:abstractNumId w:val="137"/>
  </w:num>
  <w:num w:numId="147">
    <w:abstractNumId w:val="15"/>
  </w:num>
  <w:num w:numId="148">
    <w:abstractNumId w:val="90"/>
  </w:num>
  <w:num w:numId="149">
    <w:abstractNumId w:val="135"/>
  </w:num>
  <w:num w:numId="150">
    <w:abstractNumId w:val="189"/>
  </w:num>
  <w:num w:numId="151">
    <w:abstractNumId w:val="190"/>
  </w:num>
  <w:num w:numId="152">
    <w:abstractNumId w:val="63"/>
  </w:num>
  <w:num w:numId="153">
    <w:abstractNumId w:val="5"/>
  </w:num>
  <w:num w:numId="154">
    <w:abstractNumId w:val="160"/>
  </w:num>
  <w:num w:numId="155">
    <w:abstractNumId w:val="126"/>
  </w:num>
  <w:num w:numId="156">
    <w:abstractNumId w:val="150"/>
  </w:num>
  <w:num w:numId="157">
    <w:abstractNumId w:val="9"/>
  </w:num>
  <w:num w:numId="158">
    <w:abstractNumId w:val="188"/>
  </w:num>
  <w:num w:numId="159">
    <w:abstractNumId w:val="147"/>
  </w:num>
  <w:num w:numId="160">
    <w:abstractNumId w:val="95"/>
  </w:num>
  <w:num w:numId="161">
    <w:abstractNumId w:val="176"/>
  </w:num>
  <w:num w:numId="162">
    <w:abstractNumId w:val="12"/>
  </w:num>
  <w:num w:numId="163">
    <w:abstractNumId w:val="152"/>
  </w:num>
  <w:num w:numId="164">
    <w:abstractNumId w:val="197"/>
  </w:num>
  <w:num w:numId="165">
    <w:abstractNumId w:val="62"/>
  </w:num>
  <w:num w:numId="166">
    <w:abstractNumId w:val="80"/>
  </w:num>
  <w:num w:numId="167">
    <w:abstractNumId w:val="64"/>
  </w:num>
  <w:num w:numId="168">
    <w:abstractNumId w:val="163"/>
  </w:num>
  <w:num w:numId="169">
    <w:abstractNumId w:val="208"/>
  </w:num>
  <w:num w:numId="170">
    <w:abstractNumId w:val="104"/>
  </w:num>
  <w:num w:numId="171">
    <w:abstractNumId w:val="123"/>
  </w:num>
  <w:num w:numId="172">
    <w:abstractNumId w:val="107"/>
  </w:num>
  <w:num w:numId="173">
    <w:abstractNumId w:val="211"/>
  </w:num>
  <w:num w:numId="174">
    <w:abstractNumId w:val="133"/>
  </w:num>
  <w:num w:numId="175">
    <w:abstractNumId w:val="85"/>
  </w:num>
  <w:num w:numId="176">
    <w:abstractNumId w:val="111"/>
  </w:num>
  <w:num w:numId="177">
    <w:abstractNumId w:val="201"/>
  </w:num>
  <w:num w:numId="178">
    <w:abstractNumId w:val="0"/>
  </w:num>
  <w:num w:numId="179">
    <w:abstractNumId w:val="11"/>
  </w:num>
  <w:num w:numId="180">
    <w:abstractNumId w:val="205"/>
  </w:num>
  <w:num w:numId="181">
    <w:abstractNumId w:val="22"/>
  </w:num>
  <w:num w:numId="182">
    <w:abstractNumId w:val="121"/>
  </w:num>
  <w:num w:numId="183">
    <w:abstractNumId w:val="31"/>
  </w:num>
  <w:num w:numId="184">
    <w:abstractNumId w:val="125"/>
  </w:num>
  <w:num w:numId="185">
    <w:abstractNumId w:val="24"/>
  </w:num>
  <w:num w:numId="186">
    <w:abstractNumId w:val="35"/>
  </w:num>
  <w:num w:numId="187">
    <w:abstractNumId w:val="55"/>
  </w:num>
  <w:num w:numId="188">
    <w:abstractNumId w:val="139"/>
  </w:num>
  <w:num w:numId="189">
    <w:abstractNumId w:val="169"/>
  </w:num>
  <w:num w:numId="190">
    <w:abstractNumId w:val="50"/>
  </w:num>
  <w:num w:numId="191">
    <w:abstractNumId w:val="96"/>
  </w:num>
  <w:num w:numId="192">
    <w:abstractNumId w:val="171"/>
  </w:num>
  <w:num w:numId="193">
    <w:abstractNumId w:val="116"/>
  </w:num>
  <w:num w:numId="194">
    <w:abstractNumId w:val="73"/>
  </w:num>
  <w:num w:numId="195">
    <w:abstractNumId w:val="103"/>
  </w:num>
  <w:num w:numId="196">
    <w:abstractNumId w:val="113"/>
  </w:num>
  <w:num w:numId="197">
    <w:abstractNumId w:val="108"/>
  </w:num>
  <w:num w:numId="198">
    <w:abstractNumId w:val="82"/>
  </w:num>
  <w:num w:numId="199">
    <w:abstractNumId w:val="118"/>
  </w:num>
  <w:num w:numId="200">
    <w:abstractNumId w:val="151"/>
  </w:num>
  <w:num w:numId="201">
    <w:abstractNumId w:val="174"/>
  </w:num>
  <w:num w:numId="202">
    <w:abstractNumId w:val="155"/>
  </w:num>
  <w:num w:numId="203">
    <w:abstractNumId w:val="154"/>
  </w:num>
  <w:num w:numId="204">
    <w:abstractNumId w:val="148"/>
  </w:num>
  <w:num w:numId="205">
    <w:abstractNumId w:val="49"/>
  </w:num>
  <w:num w:numId="206">
    <w:abstractNumId w:val="168"/>
  </w:num>
  <w:num w:numId="207">
    <w:abstractNumId w:val="23"/>
  </w:num>
  <w:num w:numId="208">
    <w:abstractNumId w:val="48"/>
  </w:num>
  <w:num w:numId="209">
    <w:abstractNumId w:val="71"/>
  </w:num>
  <w:num w:numId="210">
    <w:abstractNumId w:val="130"/>
  </w:num>
  <w:num w:numId="211">
    <w:abstractNumId w:val="200"/>
  </w:num>
  <w:num w:numId="212">
    <w:abstractNumId w:val="196"/>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38"/>
    <w:rsid w:val="000002EC"/>
    <w:rsid w:val="0000097A"/>
    <w:rsid w:val="0000125A"/>
    <w:rsid w:val="0000144F"/>
    <w:rsid w:val="00001F02"/>
    <w:rsid w:val="0000238C"/>
    <w:rsid w:val="00002978"/>
    <w:rsid w:val="00002A96"/>
    <w:rsid w:val="000037CC"/>
    <w:rsid w:val="00003E70"/>
    <w:rsid w:val="00003EDB"/>
    <w:rsid w:val="000044E8"/>
    <w:rsid w:val="00004CEE"/>
    <w:rsid w:val="00005DEB"/>
    <w:rsid w:val="00006595"/>
    <w:rsid w:val="000073EC"/>
    <w:rsid w:val="000105C0"/>
    <w:rsid w:val="00010795"/>
    <w:rsid w:val="00010B4E"/>
    <w:rsid w:val="00010D9A"/>
    <w:rsid w:val="00011879"/>
    <w:rsid w:val="00012C23"/>
    <w:rsid w:val="00012CB3"/>
    <w:rsid w:val="00013A66"/>
    <w:rsid w:val="00013BF6"/>
    <w:rsid w:val="000150B9"/>
    <w:rsid w:val="000158FD"/>
    <w:rsid w:val="000159B6"/>
    <w:rsid w:val="00015D0D"/>
    <w:rsid w:val="00015D96"/>
    <w:rsid w:val="00016886"/>
    <w:rsid w:val="00016FF8"/>
    <w:rsid w:val="00017306"/>
    <w:rsid w:val="000203D4"/>
    <w:rsid w:val="00020AE1"/>
    <w:rsid w:val="000215D4"/>
    <w:rsid w:val="000219D8"/>
    <w:rsid w:val="00021BF9"/>
    <w:rsid w:val="00022278"/>
    <w:rsid w:val="00022401"/>
    <w:rsid w:val="000224CC"/>
    <w:rsid w:val="00022BB7"/>
    <w:rsid w:val="00022F6F"/>
    <w:rsid w:val="000230F1"/>
    <w:rsid w:val="000232C2"/>
    <w:rsid w:val="0002362B"/>
    <w:rsid w:val="0002369F"/>
    <w:rsid w:val="00023924"/>
    <w:rsid w:val="000241CF"/>
    <w:rsid w:val="000244BA"/>
    <w:rsid w:val="000247A9"/>
    <w:rsid w:val="00024A89"/>
    <w:rsid w:val="00024CB5"/>
    <w:rsid w:val="00024FEE"/>
    <w:rsid w:val="000255F1"/>
    <w:rsid w:val="00025EAF"/>
    <w:rsid w:val="00026306"/>
    <w:rsid w:val="0002666D"/>
    <w:rsid w:val="00030708"/>
    <w:rsid w:val="00031C86"/>
    <w:rsid w:val="00031E43"/>
    <w:rsid w:val="00031E89"/>
    <w:rsid w:val="00032A0F"/>
    <w:rsid w:val="00032EB2"/>
    <w:rsid w:val="00033DDB"/>
    <w:rsid w:val="000341F7"/>
    <w:rsid w:val="00034447"/>
    <w:rsid w:val="00034FD3"/>
    <w:rsid w:val="00034FE8"/>
    <w:rsid w:val="00035C83"/>
    <w:rsid w:val="000362A2"/>
    <w:rsid w:val="0003646D"/>
    <w:rsid w:val="00036CF5"/>
    <w:rsid w:val="000375D6"/>
    <w:rsid w:val="00037AA7"/>
    <w:rsid w:val="00037D0F"/>
    <w:rsid w:val="000400DF"/>
    <w:rsid w:val="00040CA5"/>
    <w:rsid w:val="000416EA"/>
    <w:rsid w:val="00041871"/>
    <w:rsid w:val="000419FA"/>
    <w:rsid w:val="0004281F"/>
    <w:rsid w:val="00042960"/>
    <w:rsid w:val="00042F68"/>
    <w:rsid w:val="00043819"/>
    <w:rsid w:val="000449E8"/>
    <w:rsid w:val="000451C4"/>
    <w:rsid w:val="000453C4"/>
    <w:rsid w:val="000454A5"/>
    <w:rsid w:val="000460B2"/>
    <w:rsid w:val="000466A5"/>
    <w:rsid w:val="00046F7D"/>
    <w:rsid w:val="0004788C"/>
    <w:rsid w:val="000504E2"/>
    <w:rsid w:val="000507A8"/>
    <w:rsid w:val="00050F8F"/>
    <w:rsid w:val="000513B7"/>
    <w:rsid w:val="00052EC9"/>
    <w:rsid w:val="00053420"/>
    <w:rsid w:val="0005343E"/>
    <w:rsid w:val="00053729"/>
    <w:rsid w:val="0005458B"/>
    <w:rsid w:val="00056065"/>
    <w:rsid w:val="00056445"/>
    <w:rsid w:val="000564C3"/>
    <w:rsid w:val="00056AE8"/>
    <w:rsid w:val="0006036D"/>
    <w:rsid w:val="00061176"/>
    <w:rsid w:val="000614D8"/>
    <w:rsid w:val="000614FF"/>
    <w:rsid w:val="00061D19"/>
    <w:rsid w:val="000632D9"/>
    <w:rsid w:val="000634AF"/>
    <w:rsid w:val="0006418C"/>
    <w:rsid w:val="0006485C"/>
    <w:rsid w:val="00064972"/>
    <w:rsid w:val="00065B0A"/>
    <w:rsid w:val="00065DA2"/>
    <w:rsid w:val="000667A6"/>
    <w:rsid w:val="00067362"/>
    <w:rsid w:val="00070107"/>
    <w:rsid w:val="0007096C"/>
    <w:rsid w:val="00070A30"/>
    <w:rsid w:val="00070E19"/>
    <w:rsid w:val="0007180E"/>
    <w:rsid w:val="00071B13"/>
    <w:rsid w:val="00071F6D"/>
    <w:rsid w:val="00072CA3"/>
    <w:rsid w:val="0007301B"/>
    <w:rsid w:val="000732AD"/>
    <w:rsid w:val="00073BD9"/>
    <w:rsid w:val="00074268"/>
    <w:rsid w:val="00075706"/>
    <w:rsid w:val="00076438"/>
    <w:rsid w:val="0007751D"/>
    <w:rsid w:val="00077996"/>
    <w:rsid w:val="000804BE"/>
    <w:rsid w:val="000806DD"/>
    <w:rsid w:val="00081D98"/>
    <w:rsid w:val="00081DE5"/>
    <w:rsid w:val="0008213C"/>
    <w:rsid w:val="0008232D"/>
    <w:rsid w:val="00082569"/>
    <w:rsid w:val="0008312C"/>
    <w:rsid w:val="00083144"/>
    <w:rsid w:val="000832AA"/>
    <w:rsid w:val="000836CE"/>
    <w:rsid w:val="00084449"/>
    <w:rsid w:val="000846AF"/>
    <w:rsid w:val="00084B2F"/>
    <w:rsid w:val="00084C76"/>
    <w:rsid w:val="00085D1E"/>
    <w:rsid w:val="000865BE"/>
    <w:rsid w:val="00086E8A"/>
    <w:rsid w:val="00086F23"/>
    <w:rsid w:val="00087072"/>
    <w:rsid w:val="00087181"/>
    <w:rsid w:val="00087D51"/>
    <w:rsid w:val="0009033B"/>
    <w:rsid w:val="0009053B"/>
    <w:rsid w:val="00090665"/>
    <w:rsid w:val="00090675"/>
    <w:rsid w:val="00091071"/>
    <w:rsid w:val="00091D7E"/>
    <w:rsid w:val="00092BF5"/>
    <w:rsid w:val="00092D31"/>
    <w:rsid w:val="000937BC"/>
    <w:rsid w:val="0009446B"/>
    <w:rsid w:val="00094E6E"/>
    <w:rsid w:val="00095037"/>
    <w:rsid w:val="00095B83"/>
    <w:rsid w:val="00095D26"/>
    <w:rsid w:val="00095E49"/>
    <w:rsid w:val="00096135"/>
    <w:rsid w:val="00096541"/>
    <w:rsid w:val="000965BF"/>
    <w:rsid w:val="00096A4A"/>
    <w:rsid w:val="0009719F"/>
    <w:rsid w:val="0009724E"/>
    <w:rsid w:val="000976A7"/>
    <w:rsid w:val="000978C5"/>
    <w:rsid w:val="00097A87"/>
    <w:rsid w:val="00097D0B"/>
    <w:rsid w:val="000A0B21"/>
    <w:rsid w:val="000A0BA5"/>
    <w:rsid w:val="000A0F2E"/>
    <w:rsid w:val="000A14A6"/>
    <w:rsid w:val="000A14AA"/>
    <w:rsid w:val="000A2694"/>
    <w:rsid w:val="000A2A2C"/>
    <w:rsid w:val="000A2A4E"/>
    <w:rsid w:val="000A2E3C"/>
    <w:rsid w:val="000A2E9F"/>
    <w:rsid w:val="000A3306"/>
    <w:rsid w:val="000A37E9"/>
    <w:rsid w:val="000A3F76"/>
    <w:rsid w:val="000A4399"/>
    <w:rsid w:val="000A4563"/>
    <w:rsid w:val="000A467F"/>
    <w:rsid w:val="000A523A"/>
    <w:rsid w:val="000A5297"/>
    <w:rsid w:val="000A5A49"/>
    <w:rsid w:val="000A5C2D"/>
    <w:rsid w:val="000A6811"/>
    <w:rsid w:val="000A7105"/>
    <w:rsid w:val="000A711A"/>
    <w:rsid w:val="000A74E8"/>
    <w:rsid w:val="000A78CE"/>
    <w:rsid w:val="000A7B8C"/>
    <w:rsid w:val="000A7BAD"/>
    <w:rsid w:val="000A7F8B"/>
    <w:rsid w:val="000B0DCC"/>
    <w:rsid w:val="000B1396"/>
    <w:rsid w:val="000B17E2"/>
    <w:rsid w:val="000B1DEF"/>
    <w:rsid w:val="000B28D6"/>
    <w:rsid w:val="000B2CC8"/>
    <w:rsid w:val="000B318F"/>
    <w:rsid w:val="000B339F"/>
    <w:rsid w:val="000B38B3"/>
    <w:rsid w:val="000B4634"/>
    <w:rsid w:val="000B4735"/>
    <w:rsid w:val="000B4889"/>
    <w:rsid w:val="000B4F14"/>
    <w:rsid w:val="000B50DE"/>
    <w:rsid w:val="000B570B"/>
    <w:rsid w:val="000B5743"/>
    <w:rsid w:val="000B600D"/>
    <w:rsid w:val="000B6CAB"/>
    <w:rsid w:val="000B7083"/>
    <w:rsid w:val="000B714E"/>
    <w:rsid w:val="000B78AE"/>
    <w:rsid w:val="000B7962"/>
    <w:rsid w:val="000B7B79"/>
    <w:rsid w:val="000B7C31"/>
    <w:rsid w:val="000C0DB7"/>
    <w:rsid w:val="000C0EBA"/>
    <w:rsid w:val="000C120B"/>
    <w:rsid w:val="000C33E8"/>
    <w:rsid w:val="000C33ED"/>
    <w:rsid w:val="000C39DC"/>
    <w:rsid w:val="000C442C"/>
    <w:rsid w:val="000C47C1"/>
    <w:rsid w:val="000C491F"/>
    <w:rsid w:val="000C4BB6"/>
    <w:rsid w:val="000C4F99"/>
    <w:rsid w:val="000C50D1"/>
    <w:rsid w:val="000C5B4B"/>
    <w:rsid w:val="000C5EA3"/>
    <w:rsid w:val="000C600E"/>
    <w:rsid w:val="000C6EE8"/>
    <w:rsid w:val="000C77B4"/>
    <w:rsid w:val="000C7D3C"/>
    <w:rsid w:val="000C7FE4"/>
    <w:rsid w:val="000D05E5"/>
    <w:rsid w:val="000D0650"/>
    <w:rsid w:val="000D0809"/>
    <w:rsid w:val="000D10D6"/>
    <w:rsid w:val="000D18DB"/>
    <w:rsid w:val="000D223B"/>
    <w:rsid w:val="000D2BC4"/>
    <w:rsid w:val="000D351E"/>
    <w:rsid w:val="000D36FD"/>
    <w:rsid w:val="000D3F3B"/>
    <w:rsid w:val="000D46E7"/>
    <w:rsid w:val="000D47FF"/>
    <w:rsid w:val="000D488D"/>
    <w:rsid w:val="000D5869"/>
    <w:rsid w:val="000D6764"/>
    <w:rsid w:val="000D770F"/>
    <w:rsid w:val="000E0347"/>
    <w:rsid w:val="000E043B"/>
    <w:rsid w:val="000E05CC"/>
    <w:rsid w:val="000E0845"/>
    <w:rsid w:val="000E22FB"/>
    <w:rsid w:val="000E2570"/>
    <w:rsid w:val="000E36E0"/>
    <w:rsid w:val="000E4912"/>
    <w:rsid w:val="000E4D1F"/>
    <w:rsid w:val="000E4F8B"/>
    <w:rsid w:val="000E50AE"/>
    <w:rsid w:val="000E50B7"/>
    <w:rsid w:val="000E6503"/>
    <w:rsid w:val="000E66F8"/>
    <w:rsid w:val="000E6B0B"/>
    <w:rsid w:val="000E7155"/>
    <w:rsid w:val="000E75B2"/>
    <w:rsid w:val="000E7A85"/>
    <w:rsid w:val="000F003F"/>
    <w:rsid w:val="000F01E6"/>
    <w:rsid w:val="000F0B6A"/>
    <w:rsid w:val="000F0FAD"/>
    <w:rsid w:val="000F124C"/>
    <w:rsid w:val="000F1B37"/>
    <w:rsid w:val="000F2523"/>
    <w:rsid w:val="000F2539"/>
    <w:rsid w:val="000F29D3"/>
    <w:rsid w:val="000F3751"/>
    <w:rsid w:val="000F3ADA"/>
    <w:rsid w:val="000F3F17"/>
    <w:rsid w:val="000F55AB"/>
    <w:rsid w:val="000F6818"/>
    <w:rsid w:val="000F6FFF"/>
    <w:rsid w:val="00100E78"/>
    <w:rsid w:val="00102016"/>
    <w:rsid w:val="001025D6"/>
    <w:rsid w:val="0010271E"/>
    <w:rsid w:val="0010288F"/>
    <w:rsid w:val="00102B33"/>
    <w:rsid w:val="00103892"/>
    <w:rsid w:val="00104C9A"/>
    <w:rsid w:val="00105E3B"/>
    <w:rsid w:val="001060C3"/>
    <w:rsid w:val="00106BAE"/>
    <w:rsid w:val="00107169"/>
    <w:rsid w:val="00107BE5"/>
    <w:rsid w:val="001106B9"/>
    <w:rsid w:val="0011106E"/>
    <w:rsid w:val="00112383"/>
    <w:rsid w:val="0011252C"/>
    <w:rsid w:val="00112712"/>
    <w:rsid w:val="0011278D"/>
    <w:rsid w:val="00112818"/>
    <w:rsid w:val="00113509"/>
    <w:rsid w:val="00113DC9"/>
    <w:rsid w:val="00114B92"/>
    <w:rsid w:val="00114C08"/>
    <w:rsid w:val="00114CAB"/>
    <w:rsid w:val="00115768"/>
    <w:rsid w:val="00117B7C"/>
    <w:rsid w:val="00117EB7"/>
    <w:rsid w:val="001204D8"/>
    <w:rsid w:val="0012136D"/>
    <w:rsid w:val="00121957"/>
    <w:rsid w:val="00121982"/>
    <w:rsid w:val="00121996"/>
    <w:rsid w:val="00121D3B"/>
    <w:rsid w:val="001227B1"/>
    <w:rsid w:val="00122D2B"/>
    <w:rsid w:val="00123A0C"/>
    <w:rsid w:val="00124699"/>
    <w:rsid w:val="001247EE"/>
    <w:rsid w:val="00124FC1"/>
    <w:rsid w:val="001253EF"/>
    <w:rsid w:val="00125607"/>
    <w:rsid w:val="00125CD7"/>
    <w:rsid w:val="00126903"/>
    <w:rsid w:val="00126984"/>
    <w:rsid w:val="00126A66"/>
    <w:rsid w:val="00126C90"/>
    <w:rsid w:val="00127BC4"/>
    <w:rsid w:val="00127BFE"/>
    <w:rsid w:val="001302F6"/>
    <w:rsid w:val="00130A8A"/>
    <w:rsid w:val="00130C7B"/>
    <w:rsid w:val="001312A7"/>
    <w:rsid w:val="00131DE1"/>
    <w:rsid w:val="001329C9"/>
    <w:rsid w:val="00132C7B"/>
    <w:rsid w:val="00132FD5"/>
    <w:rsid w:val="001332D5"/>
    <w:rsid w:val="001344B8"/>
    <w:rsid w:val="001346AB"/>
    <w:rsid w:val="00134E37"/>
    <w:rsid w:val="00135842"/>
    <w:rsid w:val="00137207"/>
    <w:rsid w:val="0013741C"/>
    <w:rsid w:val="00137B4F"/>
    <w:rsid w:val="00137EE7"/>
    <w:rsid w:val="001401D8"/>
    <w:rsid w:val="001405BF"/>
    <w:rsid w:val="0014152B"/>
    <w:rsid w:val="001415CB"/>
    <w:rsid w:val="001421F9"/>
    <w:rsid w:val="00144468"/>
    <w:rsid w:val="00144C15"/>
    <w:rsid w:val="001463BA"/>
    <w:rsid w:val="00146572"/>
    <w:rsid w:val="00146AC1"/>
    <w:rsid w:val="0014764C"/>
    <w:rsid w:val="001478AD"/>
    <w:rsid w:val="00147C31"/>
    <w:rsid w:val="001505A3"/>
    <w:rsid w:val="00150A0F"/>
    <w:rsid w:val="00150F2F"/>
    <w:rsid w:val="00151152"/>
    <w:rsid w:val="00151190"/>
    <w:rsid w:val="0015126C"/>
    <w:rsid w:val="0015192B"/>
    <w:rsid w:val="00151F16"/>
    <w:rsid w:val="00152059"/>
    <w:rsid w:val="00152064"/>
    <w:rsid w:val="001525ED"/>
    <w:rsid w:val="0015279B"/>
    <w:rsid w:val="0015364E"/>
    <w:rsid w:val="00153A1F"/>
    <w:rsid w:val="00153AD7"/>
    <w:rsid w:val="0015487D"/>
    <w:rsid w:val="00154923"/>
    <w:rsid w:val="00156CE8"/>
    <w:rsid w:val="00156DA6"/>
    <w:rsid w:val="00156E5F"/>
    <w:rsid w:val="001572A9"/>
    <w:rsid w:val="00157397"/>
    <w:rsid w:val="00160093"/>
    <w:rsid w:val="00161758"/>
    <w:rsid w:val="00161E69"/>
    <w:rsid w:val="001624A4"/>
    <w:rsid w:val="00162804"/>
    <w:rsid w:val="00162F6E"/>
    <w:rsid w:val="00163249"/>
    <w:rsid w:val="00164164"/>
    <w:rsid w:val="0016468D"/>
    <w:rsid w:val="00164A8A"/>
    <w:rsid w:val="00165040"/>
    <w:rsid w:val="001652D6"/>
    <w:rsid w:val="0016580E"/>
    <w:rsid w:val="00165BD3"/>
    <w:rsid w:val="00165BE5"/>
    <w:rsid w:val="00165EE6"/>
    <w:rsid w:val="001665DD"/>
    <w:rsid w:val="0016667F"/>
    <w:rsid w:val="0016682B"/>
    <w:rsid w:val="00166853"/>
    <w:rsid w:val="001671E7"/>
    <w:rsid w:val="00167D57"/>
    <w:rsid w:val="00167F54"/>
    <w:rsid w:val="00167FC3"/>
    <w:rsid w:val="00170A34"/>
    <w:rsid w:val="00171C1A"/>
    <w:rsid w:val="001720C8"/>
    <w:rsid w:val="001721F1"/>
    <w:rsid w:val="00172987"/>
    <w:rsid w:val="00173E23"/>
    <w:rsid w:val="001753E2"/>
    <w:rsid w:val="00175B98"/>
    <w:rsid w:val="00175F0F"/>
    <w:rsid w:val="00175F38"/>
    <w:rsid w:val="00177987"/>
    <w:rsid w:val="00177A22"/>
    <w:rsid w:val="00180295"/>
    <w:rsid w:val="00180454"/>
    <w:rsid w:val="00180818"/>
    <w:rsid w:val="001809F6"/>
    <w:rsid w:val="0018143F"/>
    <w:rsid w:val="0018151A"/>
    <w:rsid w:val="0018175D"/>
    <w:rsid w:val="00182053"/>
    <w:rsid w:val="00182386"/>
    <w:rsid w:val="00185051"/>
    <w:rsid w:val="001856A0"/>
    <w:rsid w:val="00185789"/>
    <w:rsid w:val="0018593D"/>
    <w:rsid w:val="00185E6B"/>
    <w:rsid w:val="00185F1F"/>
    <w:rsid w:val="00186280"/>
    <w:rsid w:val="0018697F"/>
    <w:rsid w:val="00186B31"/>
    <w:rsid w:val="00187490"/>
    <w:rsid w:val="0018792B"/>
    <w:rsid w:val="00187F6B"/>
    <w:rsid w:val="00190550"/>
    <w:rsid w:val="00190628"/>
    <w:rsid w:val="00190BA0"/>
    <w:rsid w:val="0019127A"/>
    <w:rsid w:val="001915FE"/>
    <w:rsid w:val="001921F7"/>
    <w:rsid w:val="00192489"/>
    <w:rsid w:val="00192546"/>
    <w:rsid w:val="00193137"/>
    <w:rsid w:val="0019353B"/>
    <w:rsid w:val="001944BF"/>
    <w:rsid w:val="001944F5"/>
    <w:rsid w:val="00195B7A"/>
    <w:rsid w:val="00195E9F"/>
    <w:rsid w:val="001962DC"/>
    <w:rsid w:val="001964EF"/>
    <w:rsid w:val="00196522"/>
    <w:rsid w:val="001969FD"/>
    <w:rsid w:val="00197BA2"/>
    <w:rsid w:val="00197FBD"/>
    <w:rsid w:val="001A014E"/>
    <w:rsid w:val="001A01DF"/>
    <w:rsid w:val="001A0254"/>
    <w:rsid w:val="001A060B"/>
    <w:rsid w:val="001A1C62"/>
    <w:rsid w:val="001A25C6"/>
    <w:rsid w:val="001A2AEC"/>
    <w:rsid w:val="001A3F12"/>
    <w:rsid w:val="001A69FD"/>
    <w:rsid w:val="001A6CC6"/>
    <w:rsid w:val="001A6FFE"/>
    <w:rsid w:val="001A7A13"/>
    <w:rsid w:val="001A7B05"/>
    <w:rsid w:val="001B016A"/>
    <w:rsid w:val="001B0AE1"/>
    <w:rsid w:val="001B1530"/>
    <w:rsid w:val="001B2192"/>
    <w:rsid w:val="001B2FC7"/>
    <w:rsid w:val="001B309E"/>
    <w:rsid w:val="001B37EC"/>
    <w:rsid w:val="001B4015"/>
    <w:rsid w:val="001B4373"/>
    <w:rsid w:val="001B4CE1"/>
    <w:rsid w:val="001B4E88"/>
    <w:rsid w:val="001B5238"/>
    <w:rsid w:val="001B5C74"/>
    <w:rsid w:val="001B6321"/>
    <w:rsid w:val="001B64EE"/>
    <w:rsid w:val="001B67F0"/>
    <w:rsid w:val="001B6D24"/>
    <w:rsid w:val="001B6FF8"/>
    <w:rsid w:val="001B70E1"/>
    <w:rsid w:val="001B7380"/>
    <w:rsid w:val="001B77B1"/>
    <w:rsid w:val="001B7D81"/>
    <w:rsid w:val="001C0975"/>
    <w:rsid w:val="001C0DAD"/>
    <w:rsid w:val="001C14F9"/>
    <w:rsid w:val="001C2076"/>
    <w:rsid w:val="001C22AD"/>
    <w:rsid w:val="001C3209"/>
    <w:rsid w:val="001C320A"/>
    <w:rsid w:val="001C36AE"/>
    <w:rsid w:val="001C3B61"/>
    <w:rsid w:val="001C41EC"/>
    <w:rsid w:val="001C46DE"/>
    <w:rsid w:val="001C5596"/>
    <w:rsid w:val="001C5708"/>
    <w:rsid w:val="001C6427"/>
    <w:rsid w:val="001C67B5"/>
    <w:rsid w:val="001C6B20"/>
    <w:rsid w:val="001C6D21"/>
    <w:rsid w:val="001C7653"/>
    <w:rsid w:val="001D06E8"/>
    <w:rsid w:val="001D0CBB"/>
    <w:rsid w:val="001D0D93"/>
    <w:rsid w:val="001D1968"/>
    <w:rsid w:val="001D1DCB"/>
    <w:rsid w:val="001D3318"/>
    <w:rsid w:val="001D3716"/>
    <w:rsid w:val="001D378B"/>
    <w:rsid w:val="001D3C22"/>
    <w:rsid w:val="001D4F32"/>
    <w:rsid w:val="001D5424"/>
    <w:rsid w:val="001D5981"/>
    <w:rsid w:val="001D5E69"/>
    <w:rsid w:val="001D606F"/>
    <w:rsid w:val="001D624F"/>
    <w:rsid w:val="001D7443"/>
    <w:rsid w:val="001D7734"/>
    <w:rsid w:val="001E0476"/>
    <w:rsid w:val="001E05E8"/>
    <w:rsid w:val="001E1192"/>
    <w:rsid w:val="001E162E"/>
    <w:rsid w:val="001E166A"/>
    <w:rsid w:val="001E2793"/>
    <w:rsid w:val="001E2B21"/>
    <w:rsid w:val="001E34D5"/>
    <w:rsid w:val="001E3A63"/>
    <w:rsid w:val="001E54DF"/>
    <w:rsid w:val="001E5554"/>
    <w:rsid w:val="001E6EE1"/>
    <w:rsid w:val="001E714B"/>
    <w:rsid w:val="001E7A98"/>
    <w:rsid w:val="001F0508"/>
    <w:rsid w:val="001F0696"/>
    <w:rsid w:val="001F074B"/>
    <w:rsid w:val="001F09F2"/>
    <w:rsid w:val="001F153B"/>
    <w:rsid w:val="001F199D"/>
    <w:rsid w:val="001F1D85"/>
    <w:rsid w:val="001F2A6A"/>
    <w:rsid w:val="001F2D5C"/>
    <w:rsid w:val="001F4704"/>
    <w:rsid w:val="001F494C"/>
    <w:rsid w:val="001F5006"/>
    <w:rsid w:val="001F6504"/>
    <w:rsid w:val="001F6577"/>
    <w:rsid w:val="001F6864"/>
    <w:rsid w:val="002001E3"/>
    <w:rsid w:val="00200674"/>
    <w:rsid w:val="002007C4"/>
    <w:rsid w:val="00200D23"/>
    <w:rsid w:val="002013BB"/>
    <w:rsid w:val="0020153F"/>
    <w:rsid w:val="002018BB"/>
    <w:rsid w:val="00202182"/>
    <w:rsid w:val="00203637"/>
    <w:rsid w:val="00203B83"/>
    <w:rsid w:val="00203EEB"/>
    <w:rsid w:val="002048C8"/>
    <w:rsid w:val="00204DA5"/>
    <w:rsid w:val="002050DE"/>
    <w:rsid w:val="00205443"/>
    <w:rsid w:val="0020551F"/>
    <w:rsid w:val="00206573"/>
    <w:rsid w:val="002068C6"/>
    <w:rsid w:val="002073C5"/>
    <w:rsid w:val="00210C96"/>
    <w:rsid w:val="00210D3D"/>
    <w:rsid w:val="00210F56"/>
    <w:rsid w:val="00211A89"/>
    <w:rsid w:val="002120E6"/>
    <w:rsid w:val="00212546"/>
    <w:rsid w:val="002137D3"/>
    <w:rsid w:val="00213C57"/>
    <w:rsid w:val="00213CC9"/>
    <w:rsid w:val="00214BA1"/>
    <w:rsid w:val="00214D38"/>
    <w:rsid w:val="0021570A"/>
    <w:rsid w:val="00215F60"/>
    <w:rsid w:val="002166B9"/>
    <w:rsid w:val="00216A34"/>
    <w:rsid w:val="00216DD6"/>
    <w:rsid w:val="00216E8D"/>
    <w:rsid w:val="00217354"/>
    <w:rsid w:val="002174DB"/>
    <w:rsid w:val="0021763B"/>
    <w:rsid w:val="0021789A"/>
    <w:rsid w:val="00217DE6"/>
    <w:rsid w:val="002201C4"/>
    <w:rsid w:val="002205E3"/>
    <w:rsid w:val="00220BF1"/>
    <w:rsid w:val="00220E54"/>
    <w:rsid w:val="00221AC0"/>
    <w:rsid w:val="00222E26"/>
    <w:rsid w:val="002232C3"/>
    <w:rsid w:val="0022361E"/>
    <w:rsid w:val="00224C76"/>
    <w:rsid w:val="0022506B"/>
    <w:rsid w:val="002259D9"/>
    <w:rsid w:val="00227EEB"/>
    <w:rsid w:val="00230668"/>
    <w:rsid w:val="00230729"/>
    <w:rsid w:val="00230A7C"/>
    <w:rsid w:val="00230C72"/>
    <w:rsid w:val="00230DEC"/>
    <w:rsid w:val="00231759"/>
    <w:rsid w:val="00232720"/>
    <w:rsid w:val="0023396C"/>
    <w:rsid w:val="0023458E"/>
    <w:rsid w:val="002349A5"/>
    <w:rsid w:val="00234B39"/>
    <w:rsid w:val="00234E61"/>
    <w:rsid w:val="00235135"/>
    <w:rsid w:val="00235627"/>
    <w:rsid w:val="00235CE3"/>
    <w:rsid w:val="00240274"/>
    <w:rsid w:val="00240BAF"/>
    <w:rsid w:val="00241B8B"/>
    <w:rsid w:val="00241F27"/>
    <w:rsid w:val="00242A3A"/>
    <w:rsid w:val="00243CDB"/>
    <w:rsid w:val="00244534"/>
    <w:rsid w:val="0024465C"/>
    <w:rsid w:val="00244E1C"/>
    <w:rsid w:val="0024566A"/>
    <w:rsid w:val="0024663A"/>
    <w:rsid w:val="00246722"/>
    <w:rsid w:val="00247517"/>
    <w:rsid w:val="00247664"/>
    <w:rsid w:val="0024776B"/>
    <w:rsid w:val="0025097E"/>
    <w:rsid w:val="00250DF9"/>
    <w:rsid w:val="00251120"/>
    <w:rsid w:val="00251DFF"/>
    <w:rsid w:val="00252391"/>
    <w:rsid w:val="0025256D"/>
    <w:rsid w:val="00252E1B"/>
    <w:rsid w:val="00254016"/>
    <w:rsid w:val="00254041"/>
    <w:rsid w:val="0025448F"/>
    <w:rsid w:val="0025464B"/>
    <w:rsid w:val="002564EF"/>
    <w:rsid w:val="00256EBF"/>
    <w:rsid w:val="002607E0"/>
    <w:rsid w:val="0026113E"/>
    <w:rsid w:val="002611EC"/>
    <w:rsid w:val="00261273"/>
    <w:rsid w:val="00261A5A"/>
    <w:rsid w:val="00263731"/>
    <w:rsid w:val="00263814"/>
    <w:rsid w:val="00263ABF"/>
    <w:rsid w:val="00263BBE"/>
    <w:rsid w:val="002658A7"/>
    <w:rsid w:val="002658C2"/>
    <w:rsid w:val="002659BC"/>
    <w:rsid w:val="00266096"/>
    <w:rsid w:val="00266160"/>
    <w:rsid w:val="00266560"/>
    <w:rsid w:val="002669FF"/>
    <w:rsid w:val="002702C5"/>
    <w:rsid w:val="002705FD"/>
    <w:rsid w:val="00270B49"/>
    <w:rsid w:val="00270C09"/>
    <w:rsid w:val="0027165E"/>
    <w:rsid w:val="00272639"/>
    <w:rsid w:val="002726BF"/>
    <w:rsid w:val="0027333E"/>
    <w:rsid w:val="002738D8"/>
    <w:rsid w:val="00273FBC"/>
    <w:rsid w:val="0027461D"/>
    <w:rsid w:val="002761A2"/>
    <w:rsid w:val="0027654C"/>
    <w:rsid w:val="00276EFB"/>
    <w:rsid w:val="00277A4C"/>
    <w:rsid w:val="00280679"/>
    <w:rsid w:val="00280D18"/>
    <w:rsid w:val="00281C97"/>
    <w:rsid w:val="0028304A"/>
    <w:rsid w:val="00283E21"/>
    <w:rsid w:val="00283E4C"/>
    <w:rsid w:val="002842AE"/>
    <w:rsid w:val="00284A08"/>
    <w:rsid w:val="002863F5"/>
    <w:rsid w:val="00286901"/>
    <w:rsid w:val="002869CD"/>
    <w:rsid w:val="00286BCC"/>
    <w:rsid w:val="00287E54"/>
    <w:rsid w:val="00290A1E"/>
    <w:rsid w:val="002912F7"/>
    <w:rsid w:val="0029162E"/>
    <w:rsid w:val="0029195C"/>
    <w:rsid w:val="0029291E"/>
    <w:rsid w:val="00293A5F"/>
    <w:rsid w:val="002950E1"/>
    <w:rsid w:val="00295491"/>
    <w:rsid w:val="00295B71"/>
    <w:rsid w:val="00296C1C"/>
    <w:rsid w:val="00297FFB"/>
    <w:rsid w:val="002A060D"/>
    <w:rsid w:val="002A0B43"/>
    <w:rsid w:val="002A1401"/>
    <w:rsid w:val="002A1AD6"/>
    <w:rsid w:val="002A22C4"/>
    <w:rsid w:val="002A2755"/>
    <w:rsid w:val="002A2792"/>
    <w:rsid w:val="002A2D45"/>
    <w:rsid w:val="002A2F37"/>
    <w:rsid w:val="002A3181"/>
    <w:rsid w:val="002A32E6"/>
    <w:rsid w:val="002A369E"/>
    <w:rsid w:val="002A44C1"/>
    <w:rsid w:val="002A4761"/>
    <w:rsid w:val="002A5183"/>
    <w:rsid w:val="002A53B5"/>
    <w:rsid w:val="002A54E8"/>
    <w:rsid w:val="002A5C66"/>
    <w:rsid w:val="002A6D8A"/>
    <w:rsid w:val="002A7224"/>
    <w:rsid w:val="002A7B3F"/>
    <w:rsid w:val="002B02C5"/>
    <w:rsid w:val="002B0D7D"/>
    <w:rsid w:val="002B0EE1"/>
    <w:rsid w:val="002B1678"/>
    <w:rsid w:val="002B1791"/>
    <w:rsid w:val="002B2035"/>
    <w:rsid w:val="002B2784"/>
    <w:rsid w:val="002B27B1"/>
    <w:rsid w:val="002B29E2"/>
    <w:rsid w:val="002B3FAE"/>
    <w:rsid w:val="002B55E6"/>
    <w:rsid w:val="002B5FDB"/>
    <w:rsid w:val="002B6C8B"/>
    <w:rsid w:val="002C031E"/>
    <w:rsid w:val="002C03E4"/>
    <w:rsid w:val="002C0642"/>
    <w:rsid w:val="002C0707"/>
    <w:rsid w:val="002C0A27"/>
    <w:rsid w:val="002C0F30"/>
    <w:rsid w:val="002C1E3E"/>
    <w:rsid w:val="002C2103"/>
    <w:rsid w:val="002C28F7"/>
    <w:rsid w:val="002C2C5D"/>
    <w:rsid w:val="002C2DBD"/>
    <w:rsid w:val="002C3688"/>
    <w:rsid w:val="002C3E62"/>
    <w:rsid w:val="002C43A9"/>
    <w:rsid w:val="002C4CE5"/>
    <w:rsid w:val="002C4FC8"/>
    <w:rsid w:val="002C591D"/>
    <w:rsid w:val="002C5A79"/>
    <w:rsid w:val="002C5D08"/>
    <w:rsid w:val="002C746E"/>
    <w:rsid w:val="002C7897"/>
    <w:rsid w:val="002C7B08"/>
    <w:rsid w:val="002D0D32"/>
    <w:rsid w:val="002D0F96"/>
    <w:rsid w:val="002D117C"/>
    <w:rsid w:val="002D1319"/>
    <w:rsid w:val="002D1BAE"/>
    <w:rsid w:val="002D2089"/>
    <w:rsid w:val="002D3EFB"/>
    <w:rsid w:val="002D43E2"/>
    <w:rsid w:val="002D4B03"/>
    <w:rsid w:val="002D4DCC"/>
    <w:rsid w:val="002D5C97"/>
    <w:rsid w:val="002D612B"/>
    <w:rsid w:val="002D74F0"/>
    <w:rsid w:val="002D76C1"/>
    <w:rsid w:val="002E07B2"/>
    <w:rsid w:val="002E088F"/>
    <w:rsid w:val="002E0DFC"/>
    <w:rsid w:val="002E0E9C"/>
    <w:rsid w:val="002E161C"/>
    <w:rsid w:val="002E1932"/>
    <w:rsid w:val="002E4560"/>
    <w:rsid w:val="002E481B"/>
    <w:rsid w:val="002E51BF"/>
    <w:rsid w:val="002E59D0"/>
    <w:rsid w:val="002E7628"/>
    <w:rsid w:val="002E792A"/>
    <w:rsid w:val="002E7F63"/>
    <w:rsid w:val="002F1010"/>
    <w:rsid w:val="002F1333"/>
    <w:rsid w:val="002F143F"/>
    <w:rsid w:val="002F15F2"/>
    <w:rsid w:val="002F1BA6"/>
    <w:rsid w:val="002F1F93"/>
    <w:rsid w:val="002F20FC"/>
    <w:rsid w:val="002F2485"/>
    <w:rsid w:val="002F2E5D"/>
    <w:rsid w:val="002F3BAC"/>
    <w:rsid w:val="002F40F8"/>
    <w:rsid w:val="002F47A2"/>
    <w:rsid w:val="002F5106"/>
    <w:rsid w:val="002F5117"/>
    <w:rsid w:val="002F523D"/>
    <w:rsid w:val="002F52E3"/>
    <w:rsid w:val="002F5ABB"/>
    <w:rsid w:val="002F648F"/>
    <w:rsid w:val="002F6672"/>
    <w:rsid w:val="002F6867"/>
    <w:rsid w:val="002F6FC6"/>
    <w:rsid w:val="002F70C2"/>
    <w:rsid w:val="002F72B6"/>
    <w:rsid w:val="002F7471"/>
    <w:rsid w:val="0030079D"/>
    <w:rsid w:val="00300F6E"/>
    <w:rsid w:val="00301617"/>
    <w:rsid w:val="00302217"/>
    <w:rsid w:val="00302459"/>
    <w:rsid w:val="00302570"/>
    <w:rsid w:val="00302D1F"/>
    <w:rsid w:val="00304893"/>
    <w:rsid w:val="003048B8"/>
    <w:rsid w:val="00304C53"/>
    <w:rsid w:val="00305013"/>
    <w:rsid w:val="003055C3"/>
    <w:rsid w:val="003061CF"/>
    <w:rsid w:val="00306649"/>
    <w:rsid w:val="0030695F"/>
    <w:rsid w:val="00307255"/>
    <w:rsid w:val="003078E9"/>
    <w:rsid w:val="00311A6D"/>
    <w:rsid w:val="00312B0C"/>
    <w:rsid w:val="00312F84"/>
    <w:rsid w:val="0031331D"/>
    <w:rsid w:val="00313418"/>
    <w:rsid w:val="003141F0"/>
    <w:rsid w:val="00315087"/>
    <w:rsid w:val="003157F8"/>
    <w:rsid w:val="0031680F"/>
    <w:rsid w:val="00317177"/>
    <w:rsid w:val="003172D4"/>
    <w:rsid w:val="00317AD7"/>
    <w:rsid w:val="003208D7"/>
    <w:rsid w:val="00320E59"/>
    <w:rsid w:val="00321053"/>
    <w:rsid w:val="00321AA0"/>
    <w:rsid w:val="00321D6D"/>
    <w:rsid w:val="00321F5F"/>
    <w:rsid w:val="003222E6"/>
    <w:rsid w:val="00322BE3"/>
    <w:rsid w:val="003233AC"/>
    <w:rsid w:val="00323454"/>
    <w:rsid w:val="003234D3"/>
    <w:rsid w:val="00325C04"/>
    <w:rsid w:val="00325F58"/>
    <w:rsid w:val="003261DB"/>
    <w:rsid w:val="00326398"/>
    <w:rsid w:val="00326F5C"/>
    <w:rsid w:val="00327D29"/>
    <w:rsid w:val="0033000E"/>
    <w:rsid w:val="00330631"/>
    <w:rsid w:val="0033066C"/>
    <w:rsid w:val="00330A16"/>
    <w:rsid w:val="00331AF5"/>
    <w:rsid w:val="00331B1A"/>
    <w:rsid w:val="00331C04"/>
    <w:rsid w:val="003330CF"/>
    <w:rsid w:val="00333B10"/>
    <w:rsid w:val="0033483E"/>
    <w:rsid w:val="00335BEA"/>
    <w:rsid w:val="00335CB7"/>
    <w:rsid w:val="00335F54"/>
    <w:rsid w:val="003363F3"/>
    <w:rsid w:val="00336840"/>
    <w:rsid w:val="00336C54"/>
    <w:rsid w:val="00336F7F"/>
    <w:rsid w:val="00337C15"/>
    <w:rsid w:val="00337D3D"/>
    <w:rsid w:val="00340464"/>
    <w:rsid w:val="00340660"/>
    <w:rsid w:val="003406CD"/>
    <w:rsid w:val="00341B1E"/>
    <w:rsid w:val="00342704"/>
    <w:rsid w:val="003428EE"/>
    <w:rsid w:val="00342E4C"/>
    <w:rsid w:val="00343565"/>
    <w:rsid w:val="00343E77"/>
    <w:rsid w:val="0034567A"/>
    <w:rsid w:val="00345747"/>
    <w:rsid w:val="00345B9F"/>
    <w:rsid w:val="0034635B"/>
    <w:rsid w:val="00350B49"/>
    <w:rsid w:val="00352A6E"/>
    <w:rsid w:val="00352B75"/>
    <w:rsid w:val="003530CF"/>
    <w:rsid w:val="00353D94"/>
    <w:rsid w:val="003544D6"/>
    <w:rsid w:val="00354547"/>
    <w:rsid w:val="00354A75"/>
    <w:rsid w:val="00354F80"/>
    <w:rsid w:val="0035554C"/>
    <w:rsid w:val="003555DB"/>
    <w:rsid w:val="003557A3"/>
    <w:rsid w:val="00355BDF"/>
    <w:rsid w:val="00355BF1"/>
    <w:rsid w:val="0035760A"/>
    <w:rsid w:val="00357657"/>
    <w:rsid w:val="00357684"/>
    <w:rsid w:val="003602A8"/>
    <w:rsid w:val="0036057C"/>
    <w:rsid w:val="0036081E"/>
    <w:rsid w:val="00360DB7"/>
    <w:rsid w:val="00361152"/>
    <w:rsid w:val="003612A5"/>
    <w:rsid w:val="00361AF2"/>
    <w:rsid w:val="003621EB"/>
    <w:rsid w:val="003629C2"/>
    <w:rsid w:val="003631EB"/>
    <w:rsid w:val="00363642"/>
    <w:rsid w:val="003642C3"/>
    <w:rsid w:val="003650BF"/>
    <w:rsid w:val="0036528B"/>
    <w:rsid w:val="00365638"/>
    <w:rsid w:val="00366951"/>
    <w:rsid w:val="00366CF4"/>
    <w:rsid w:val="00367369"/>
    <w:rsid w:val="003673E3"/>
    <w:rsid w:val="00367CB5"/>
    <w:rsid w:val="003704BB"/>
    <w:rsid w:val="00371632"/>
    <w:rsid w:val="00371887"/>
    <w:rsid w:val="00371AD4"/>
    <w:rsid w:val="00371CD8"/>
    <w:rsid w:val="00372759"/>
    <w:rsid w:val="0037362D"/>
    <w:rsid w:val="00375060"/>
    <w:rsid w:val="003756C1"/>
    <w:rsid w:val="0037594A"/>
    <w:rsid w:val="00375F6E"/>
    <w:rsid w:val="0037633D"/>
    <w:rsid w:val="00376363"/>
    <w:rsid w:val="00377B72"/>
    <w:rsid w:val="00377CF6"/>
    <w:rsid w:val="00377D10"/>
    <w:rsid w:val="00377D7A"/>
    <w:rsid w:val="003801F6"/>
    <w:rsid w:val="00381195"/>
    <w:rsid w:val="0038142C"/>
    <w:rsid w:val="0038144C"/>
    <w:rsid w:val="003816D0"/>
    <w:rsid w:val="003816D5"/>
    <w:rsid w:val="003818BA"/>
    <w:rsid w:val="0038192A"/>
    <w:rsid w:val="00381F4C"/>
    <w:rsid w:val="00382EA3"/>
    <w:rsid w:val="00382F5A"/>
    <w:rsid w:val="003832AA"/>
    <w:rsid w:val="003834A2"/>
    <w:rsid w:val="00384C25"/>
    <w:rsid w:val="00384F86"/>
    <w:rsid w:val="003856A9"/>
    <w:rsid w:val="0038670F"/>
    <w:rsid w:val="0038772A"/>
    <w:rsid w:val="0038773A"/>
    <w:rsid w:val="003909D0"/>
    <w:rsid w:val="00390A6F"/>
    <w:rsid w:val="0039118B"/>
    <w:rsid w:val="0039141E"/>
    <w:rsid w:val="003922EB"/>
    <w:rsid w:val="003923D3"/>
    <w:rsid w:val="00392649"/>
    <w:rsid w:val="00392FFF"/>
    <w:rsid w:val="0039346D"/>
    <w:rsid w:val="00393661"/>
    <w:rsid w:val="00394495"/>
    <w:rsid w:val="0039545D"/>
    <w:rsid w:val="00395500"/>
    <w:rsid w:val="0039550F"/>
    <w:rsid w:val="003959E5"/>
    <w:rsid w:val="00395AC6"/>
    <w:rsid w:val="0039634C"/>
    <w:rsid w:val="0039669E"/>
    <w:rsid w:val="00396911"/>
    <w:rsid w:val="00396DAB"/>
    <w:rsid w:val="00396DBA"/>
    <w:rsid w:val="0039710E"/>
    <w:rsid w:val="003A0AE2"/>
    <w:rsid w:val="003A0CC9"/>
    <w:rsid w:val="003A1E3B"/>
    <w:rsid w:val="003A245C"/>
    <w:rsid w:val="003A29C6"/>
    <w:rsid w:val="003A315D"/>
    <w:rsid w:val="003A36CB"/>
    <w:rsid w:val="003A3BCE"/>
    <w:rsid w:val="003A3EFD"/>
    <w:rsid w:val="003A4D62"/>
    <w:rsid w:val="003A51B7"/>
    <w:rsid w:val="003A5852"/>
    <w:rsid w:val="003A58B1"/>
    <w:rsid w:val="003A59C4"/>
    <w:rsid w:val="003A5AC0"/>
    <w:rsid w:val="003A636F"/>
    <w:rsid w:val="003A680B"/>
    <w:rsid w:val="003A6D10"/>
    <w:rsid w:val="003A7088"/>
    <w:rsid w:val="003A76D8"/>
    <w:rsid w:val="003A7C96"/>
    <w:rsid w:val="003B018F"/>
    <w:rsid w:val="003B09F2"/>
    <w:rsid w:val="003B2739"/>
    <w:rsid w:val="003B2FE7"/>
    <w:rsid w:val="003B32DE"/>
    <w:rsid w:val="003B4443"/>
    <w:rsid w:val="003B4E29"/>
    <w:rsid w:val="003B559E"/>
    <w:rsid w:val="003B663C"/>
    <w:rsid w:val="003B687F"/>
    <w:rsid w:val="003B789D"/>
    <w:rsid w:val="003C0284"/>
    <w:rsid w:val="003C108C"/>
    <w:rsid w:val="003C114E"/>
    <w:rsid w:val="003C13C0"/>
    <w:rsid w:val="003C1A34"/>
    <w:rsid w:val="003C1C1E"/>
    <w:rsid w:val="003C2C3B"/>
    <w:rsid w:val="003C2DDA"/>
    <w:rsid w:val="003C3737"/>
    <w:rsid w:val="003C3F8E"/>
    <w:rsid w:val="003C4096"/>
    <w:rsid w:val="003C4133"/>
    <w:rsid w:val="003C4E2A"/>
    <w:rsid w:val="003C5BE8"/>
    <w:rsid w:val="003C7EDE"/>
    <w:rsid w:val="003C7F80"/>
    <w:rsid w:val="003D0042"/>
    <w:rsid w:val="003D0129"/>
    <w:rsid w:val="003D05C1"/>
    <w:rsid w:val="003D15B3"/>
    <w:rsid w:val="003D24D6"/>
    <w:rsid w:val="003D310F"/>
    <w:rsid w:val="003D31FD"/>
    <w:rsid w:val="003D3313"/>
    <w:rsid w:val="003D36CE"/>
    <w:rsid w:val="003D394B"/>
    <w:rsid w:val="003D4017"/>
    <w:rsid w:val="003D44FD"/>
    <w:rsid w:val="003D47AB"/>
    <w:rsid w:val="003D5054"/>
    <w:rsid w:val="003D5807"/>
    <w:rsid w:val="003D5F08"/>
    <w:rsid w:val="003D5F86"/>
    <w:rsid w:val="003D5FE0"/>
    <w:rsid w:val="003D6BB1"/>
    <w:rsid w:val="003D79B5"/>
    <w:rsid w:val="003D7B72"/>
    <w:rsid w:val="003E0108"/>
    <w:rsid w:val="003E05D6"/>
    <w:rsid w:val="003E08B7"/>
    <w:rsid w:val="003E3907"/>
    <w:rsid w:val="003E446A"/>
    <w:rsid w:val="003E5035"/>
    <w:rsid w:val="003E5089"/>
    <w:rsid w:val="003E5AFC"/>
    <w:rsid w:val="003E5D51"/>
    <w:rsid w:val="003E60DE"/>
    <w:rsid w:val="003E67EA"/>
    <w:rsid w:val="003E698C"/>
    <w:rsid w:val="003E739B"/>
    <w:rsid w:val="003F134D"/>
    <w:rsid w:val="003F1E1B"/>
    <w:rsid w:val="003F28DF"/>
    <w:rsid w:val="003F36C6"/>
    <w:rsid w:val="003F3A33"/>
    <w:rsid w:val="003F40F5"/>
    <w:rsid w:val="003F41D4"/>
    <w:rsid w:val="003F4E3E"/>
    <w:rsid w:val="003F6117"/>
    <w:rsid w:val="003F7688"/>
    <w:rsid w:val="00400856"/>
    <w:rsid w:val="00400905"/>
    <w:rsid w:val="00400AFF"/>
    <w:rsid w:val="004012B7"/>
    <w:rsid w:val="004024BD"/>
    <w:rsid w:val="0040283E"/>
    <w:rsid w:val="00403A81"/>
    <w:rsid w:val="00403F3F"/>
    <w:rsid w:val="00404B6A"/>
    <w:rsid w:val="00404F8A"/>
    <w:rsid w:val="004052E1"/>
    <w:rsid w:val="00405FD6"/>
    <w:rsid w:val="00406376"/>
    <w:rsid w:val="00406536"/>
    <w:rsid w:val="00406537"/>
    <w:rsid w:val="004074B4"/>
    <w:rsid w:val="004074C4"/>
    <w:rsid w:val="00407764"/>
    <w:rsid w:val="00407E66"/>
    <w:rsid w:val="00410087"/>
    <w:rsid w:val="004105F7"/>
    <w:rsid w:val="004107F9"/>
    <w:rsid w:val="00410C9E"/>
    <w:rsid w:val="00410CDD"/>
    <w:rsid w:val="0041107A"/>
    <w:rsid w:val="0041142E"/>
    <w:rsid w:val="00413535"/>
    <w:rsid w:val="00413A3E"/>
    <w:rsid w:val="00414350"/>
    <w:rsid w:val="00414B04"/>
    <w:rsid w:val="00414E0F"/>
    <w:rsid w:val="00415A8B"/>
    <w:rsid w:val="00415FC2"/>
    <w:rsid w:val="004172C0"/>
    <w:rsid w:val="004178B1"/>
    <w:rsid w:val="00417DE3"/>
    <w:rsid w:val="00417F6C"/>
    <w:rsid w:val="0042031C"/>
    <w:rsid w:val="004213A7"/>
    <w:rsid w:val="00421838"/>
    <w:rsid w:val="00421BC3"/>
    <w:rsid w:val="00421F74"/>
    <w:rsid w:val="004225C9"/>
    <w:rsid w:val="00422B9B"/>
    <w:rsid w:val="00425CE4"/>
    <w:rsid w:val="00425DEF"/>
    <w:rsid w:val="00426BA6"/>
    <w:rsid w:val="00427E88"/>
    <w:rsid w:val="0043030C"/>
    <w:rsid w:val="004306B4"/>
    <w:rsid w:val="00430D30"/>
    <w:rsid w:val="004312DA"/>
    <w:rsid w:val="004319C2"/>
    <w:rsid w:val="00431AFF"/>
    <w:rsid w:val="0043210E"/>
    <w:rsid w:val="00432681"/>
    <w:rsid w:val="004334BF"/>
    <w:rsid w:val="00433F08"/>
    <w:rsid w:val="004340AB"/>
    <w:rsid w:val="00434499"/>
    <w:rsid w:val="004345FD"/>
    <w:rsid w:val="0043525D"/>
    <w:rsid w:val="00435E13"/>
    <w:rsid w:val="004361CE"/>
    <w:rsid w:val="00436A95"/>
    <w:rsid w:val="0043737C"/>
    <w:rsid w:val="00440400"/>
    <w:rsid w:val="00440500"/>
    <w:rsid w:val="00440AB9"/>
    <w:rsid w:val="00441A8B"/>
    <w:rsid w:val="00441E91"/>
    <w:rsid w:val="0044220A"/>
    <w:rsid w:val="00442C38"/>
    <w:rsid w:val="00443377"/>
    <w:rsid w:val="004435BE"/>
    <w:rsid w:val="00443947"/>
    <w:rsid w:val="00443FD0"/>
    <w:rsid w:val="00444492"/>
    <w:rsid w:val="004448E3"/>
    <w:rsid w:val="004453F3"/>
    <w:rsid w:val="00446142"/>
    <w:rsid w:val="00446BCD"/>
    <w:rsid w:val="00446C54"/>
    <w:rsid w:val="00447618"/>
    <w:rsid w:val="00447766"/>
    <w:rsid w:val="00447C4B"/>
    <w:rsid w:val="00447FC8"/>
    <w:rsid w:val="00450541"/>
    <w:rsid w:val="00450792"/>
    <w:rsid w:val="00450A9C"/>
    <w:rsid w:val="00450B83"/>
    <w:rsid w:val="0045108E"/>
    <w:rsid w:val="00451199"/>
    <w:rsid w:val="004511A2"/>
    <w:rsid w:val="00451972"/>
    <w:rsid w:val="00451C7E"/>
    <w:rsid w:val="004526A5"/>
    <w:rsid w:val="004530C2"/>
    <w:rsid w:val="00454285"/>
    <w:rsid w:val="004547EE"/>
    <w:rsid w:val="0045496D"/>
    <w:rsid w:val="00454FF6"/>
    <w:rsid w:val="00455AD4"/>
    <w:rsid w:val="00455DDC"/>
    <w:rsid w:val="0045616C"/>
    <w:rsid w:val="00456984"/>
    <w:rsid w:val="00456B17"/>
    <w:rsid w:val="00456C6D"/>
    <w:rsid w:val="00456C99"/>
    <w:rsid w:val="00456FF8"/>
    <w:rsid w:val="00457074"/>
    <w:rsid w:val="00457E0E"/>
    <w:rsid w:val="00457F5C"/>
    <w:rsid w:val="00460575"/>
    <w:rsid w:val="00461BBD"/>
    <w:rsid w:val="0046221F"/>
    <w:rsid w:val="0046308B"/>
    <w:rsid w:val="004635E3"/>
    <w:rsid w:val="0046360A"/>
    <w:rsid w:val="00463DBD"/>
    <w:rsid w:val="00463E61"/>
    <w:rsid w:val="00464FEE"/>
    <w:rsid w:val="00465881"/>
    <w:rsid w:val="004666AD"/>
    <w:rsid w:val="00466D91"/>
    <w:rsid w:val="00466F1F"/>
    <w:rsid w:val="00470A29"/>
    <w:rsid w:val="00470E6E"/>
    <w:rsid w:val="00470FD6"/>
    <w:rsid w:val="004711BC"/>
    <w:rsid w:val="0047147D"/>
    <w:rsid w:val="00471953"/>
    <w:rsid w:val="004719FF"/>
    <w:rsid w:val="00472222"/>
    <w:rsid w:val="004726E7"/>
    <w:rsid w:val="00472B28"/>
    <w:rsid w:val="00472BA6"/>
    <w:rsid w:val="00472F4F"/>
    <w:rsid w:val="004735A7"/>
    <w:rsid w:val="00473E39"/>
    <w:rsid w:val="00473E6A"/>
    <w:rsid w:val="00474653"/>
    <w:rsid w:val="00474A9A"/>
    <w:rsid w:val="00475136"/>
    <w:rsid w:val="004756A5"/>
    <w:rsid w:val="004756F5"/>
    <w:rsid w:val="00475A51"/>
    <w:rsid w:val="004771C3"/>
    <w:rsid w:val="004807B3"/>
    <w:rsid w:val="00480933"/>
    <w:rsid w:val="00480FA5"/>
    <w:rsid w:val="0048149C"/>
    <w:rsid w:val="004816C8"/>
    <w:rsid w:val="00481829"/>
    <w:rsid w:val="00482156"/>
    <w:rsid w:val="0048252B"/>
    <w:rsid w:val="00483289"/>
    <w:rsid w:val="00483D23"/>
    <w:rsid w:val="00484E47"/>
    <w:rsid w:val="004858ED"/>
    <w:rsid w:val="00485EB6"/>
    <w:rsid w:val="004868EB"/>
    <w:rsid w:val="00486C7B"/>
    <w:rsid w:val="00487611"/>
    <w:rsid w:val="00490754"/>
    <w:rsid w:val="00490C53"/>
    <w:rsid w:val="004919ED"/>
    <w:rsid w:val="00491F22"/>
    <w:rsid w:val="004922F8"/>
    <w:rsid w:val="00492946"/>
    <w:rsid w:val="00493DE5"/>
    <w:rsid w:val="00494465"/>
    <w:rsid w:val="00494675"/>
    <w:rsid w:val="004953AB"/>
    <w:rsid w:val="00496383"/>
    <w:rsid w:val="00496F73"/>
    <w:rsid w:val="004970BA"/>
    <w:rsid w:val="0049715C"/>
    <w:rsid w:val="004973C8"/>
    <w:rsid w:val="00497457"/>
    <w:rsid w:val="004977A8"/>
    <w:rsid w:val="00497EDB"/>
    <w:rsid w:val="004A0043"/>
    <w:rsid w:val="004A0049"/>
    <w:rsid w:val="004A00D2"/>
    <w:rsid w:val="004A01AE"/>
    <w:rsid w:val="004A05F0"/>
    <w:rsid w:val="004A070E"/>
    <w:rsid w:val="004A0F1C"/>
    <w:rsid w:val="004A1AC8"/>
    <w:rsid w:val="004A2248"/>
    <w:rsid w:val="004A2589"/>
    <w:rsid w:val="004A2A59"/>
    <w:rsid w:val="004A2D1C"/>
    <w:rsid w:val="004A3A97"/>
    <w:rsid w:val="004A4321"/>
    <w:rsid w:val="004A46C3"/>
    <w:rsid w:val="004A46CA"/>
    <w:rsid w:val="004A4A04"/>
    <w:rsid w:val="004A5331"/>
    <w:rsid w:val="004A5BF7"/>
    <w:rsid w:val="004A5E27"/>
    <w:rsid w:val="004A5E98"/>
    <w:rsid w:val="004A6387"/>
    <w:rsid w:val="004A66D0"/>
    <w:rsid w:val="004A6832"/>
    <w:rsid w:val="004A7345"/>
    <w:rsid w:val="004A7353"/>
    <w:rsid w:val="004A75E2"/>
    <w:rsid w:val="004A7653"/>
    <w:rsid w:val="004A7707"/>
    <w:rsid w:val="004A78F0"/>
    <w:rsid w:val="004A7A4C"/>
    <w:rsid w:val="004B0858"/>
    <w:rsid w:val="004B32D6"/>
    <w:rsid w:val="004B3D78"/>
    <w:rsid w:val="004B470D"/>
    <w:rsid w:val="004B49A7"/>
    <w:rsid w:val="004B55B9"/>
    <w:rsid w:val="004B5E9D"/>
    <w:rsid w:val="004B5FF4"/>
    <w:rsid w:val="004B670D"/>
    <w:rsid w:val="004B677F"/>
    <w:rsid w:val="004B6900"/>
    <w:rsid w:val="004B6E83"/>
    <w:rsid w:val="004B7517"/>
    <w:rsid w:val="004B7B42"/>
    <w:rsid w:val="004B7D96"/>
    <w:rsid w:val="004C0897"/>
    <w:rsid w:val="004C10A3"/>
    <w:rsid w:val="004C1BAA"/>
    <w:rsid w:val="004C2851"/>
    <w:rsid w:val="004C2B57"/>
    <w:rsid w:val="004C3168"/>
    <w:rsid w:val="004C40C3"/>
    <w:rsid w:val="004C48AF"/>
    <w:rsid w:val="004C4BB2"/>
    <w:rsid w:val="004C5040"/>
    <w:rsid w:val="004C6394"/>
    <w:rsid w:val="004C6574"/>
    <w:rsid w:val="004C7DA1"/>
    <w:rsid w:val="004D063F"/>
    <w:rsid w:val="004D07D0"/>
    <w:rsid w:val="004D0E4D"/>
    <w:rsid w:val="004D0F52"/>
    <w:rsid w:val="004D1475"/>
    <w:rsid w:val="004D22C0"/>
    <w:rsid w:val="004D2AEA"/>
    <w:rsid w:val="004D3D99"/>
    <w:rsid w:val="004D4415"/>
    <w:rsid w:val="004D4B23"/>
    <w:rsid w:val="004D60DB"/>
    <w:rsid w:val="004D69DE"/>
    <w:rsid w:val="004D7514"/>
    <w:rsid w:val="004D77FC"/>
    <w:rsid w:val="004E099B"/>
    <w:rsid w:val="004E133E"/>
    <w:rsid w:val="004E168C"/>
    <w:rsid w:val="004E1D32"/>
    <w:rsid w:val="004E2C37"/>
    <w:rsid w:val="004E38DB"/>
    <w:rsid w:val="004E46D4"/>
    <w:rsid w:val="004E4987"/>
    <w:rsid w:val="004E7300"/>
    <w:rsid w:val="004F0310"/>
    <w:rsid w:val="004F0726"/>
    <w:rsid w:val="004F167E"/>
    <w:rsid w:val="004F2E50"/>
    <w:rsid w:val="004F2F33"/>
    <w:rsid w:val="004F457D"/>
    <w:rsid w:val="004F4B54"/>
    <w:rsid w:val="004F52EA"/>
    <w:rsid w:val="004F534C"/>
    <w:rsid w:val="004F59EB"/>
    <w:rsid w:val="004F6232"/>
    <w:rsid w:val="004F6801"/>
    <w:rsid w:val="004F715E"/>
    <w:rsid w:val="004F72C7"/>
    <w:rsid w:val="004F7954"/>
    <w:rsid w:val="004F7AFF"/>
    <w:rsid w:val="00500348"/>
    <w:rsid w:val="00501661"/>
    <w:rsid w:val="00501B52"/>
    <w:rsid w:val="00501E99"/>
    <w:rsid w:val="005020DE"/>
    <w:rsid w:val="00502A01"/>
    <w:rsid w:val="005033D5"/>
    <w:rsid w:val="0050467D"/>
    <w:rsid w:val="00504B82"/>
    <w:rsid w:val="00504D44"/>
    <w:rsid w:val="00505F38"/>
    <w:rsid w:val="005063CD"/>
    <w:rsid w:val="005065A0"/>
    <w:rsid w:val="00506676"/>
    <w:rsid w:val="00506753"/>
    <w:rsid w:val="00506B30"/>
    <w:rsid w:val="00506BC5"/>
    <w:rsid w:val="00507303"/>
    <w:rsid w:val="005078BC"/>
    <w:rsid w:val="00507D51"/>
    <w:rsid w:val="00510864"/>
    <w:rsid w:val="00510B10"/>
    <w:rsid w:val="00510EA7"/>
    <w:rsid w:val="00511527"/>
    <w:rsid w:val="00511A7E"/>
    <w:rsid w:val="00511D66"/>
    <w:rsid w:val="0051248C"/>
    <w:rsid w:val="00513312"/>
    <w:rsid w:val="00515877"/>
    <w:rsid w:val="00515910"/>
    <w:rsid w:val="00516302"/>
    <w:rsid w:val="00516582"/>
    <w:rsid w:val="0051743E"/>
    <w:rsid w:val="00517B8E"/>
    <w:rsid w:val="00517E86"/>
    <w:rsid w:val="00520102"/>
    <w:rsid w:val="0052015A"/>
    <w:rsid w:val="005212B2"/>
    <w:rsid w:val="005216A6"/>
    <w:rsid w:val="0052239B"/>
    <w:rsid w:val="00522462"/>
    <w:rsid w:val="00523ACA"/>
    <w:rsid w:val="00523E46"/>
    <w:rsid w:val="0052420D"/>
    <w:rsid w:val="00525583"/>
    <w:rsid w:val="00525762"/>
    <w:rsid w:val="005257F4"/>
    <w:rsid w:val="00525D9F"/>
    <w:rsid w:val="005262EA"/>
    <w:rsid w:val="0052666E"/>
    <w:rsid w:val="005271D3"/>
    <w:rsid w:val="0053089D"/>
    <w:rsid w:val="005309FC"/>
    <w:rsid w:val="005315E6"/>
    <w:rsid w:val="00531B86"/>
    <w:rsid w:val="00533FC9"/>
    <w:rsid w:val="0053447A"/>
    <w:rsid w:val="00534D8C"/>
    <w:rsid w:val="0053651D"/>
    <w:rsid w:val="00536CEA"/>
    <w:rsid w:val="005373A4"/>
    <w:rsid w:val="0053741F"/>
    <w:rsid w:val="005374B8"/>
    <w:rsid w:val="005405DA"/>
    <w:rsid w:val="00540750"/>
    <w:rsid w:val="005407F4"/>
    <w:rsid w:val="00540D11"/>
    <w:rsid w:val="00540DB5"/>
    <w:rsid w:val="00540FE3"/>
    <w:rsid w:val="00541181"/>
    <w:rsid w:val="00541719"/>
    <w:rsid w:val="00542014"/>
    <w:rsid w:val="00542285"/>
    <w:rsid w:val="00542AB9"/>
    <w:rsid w:val="00543E67"/>
    <w:rsid w:val="0054457F"/>
    <w:rsid w:val="0054547D"/>
    <w:rsid w:val="00545768"/>
    <w:rsid w:val="00546DD9"/>
    <w:rsid w:val="00547032"/>
    <w:rsid w:val="00547054"/>
    <w:rsid w:val="0055055F"/>
    <w:rsid w:val="005509DF"/>
    <w:rsid w:val="00550DC0"/>
    <w:rsid w:val="0055156B"/>
    <w:rsid w:val="00551BF4"/>
    <w:rsid w:val="005521E3"/>
    <w:rsid w:val="005526A2"/>
    <w:rsid w:val="005538C6"/>
    <w:rsid w:val="00554835"/>
    <w:rsid w:val="00554D63"/>
    <w:rsid w:val="00554EE0"/>
    <w:rsid w:val="005554AF"/>
    <w:rsid w:val="005554B4"/>
    <w:rsid w:val="005555FF"/>
    <w:rsid w:val="0055593B"/>
    <w:rsid w:val="00555BF5"/>
    <w:rsid w:val="0055653E"/>
    <w:rsid w:val="00556C3A"/>
    <w:rsid w:val="00556DCF"/>
    <w:rsid w:val="00556F2B"/>
    <w:rsid w:val="00557608"/>
    <w:rsid w:val="005577E1"/>
    <w:rsid w:val="00557F26"/>
    <w:rsid w:val="00560371"/>
    <w:rsid w:val="00560D93"/>
    <w:rsid w:val="00560DCC"/>
    <w:rsid w:val="00561593"/>
    <w:rsid w:val="005619BD"/>
    <w:rsid w:val="005622A9"/>
    <w:rsid w:val="005625F5"/>
    <w:rsid w:val="005628F9"/>
    <w:rsid w:val="00562E73"/>
    <w:rsid w:val="0056320E"/>
    <w:rsid w:val="0056352B"/>
    <w:rsid w:val="00564B40"/>
    <w:rsid w:val="00564C2D"/>
    <w:rsid w:val="0056573D"/>
    <w:rsid w:val="00566095"/>
    <w:rsid w:val="00566253"/>
    <w:rsid w:val="0056672D"/>
    <w:rsid w:val="005667B4"/>
    <w:rsid w:val="00566DCC"/>
    <w:rsid w:val="00566E6A"/>
    <w:rsid w:val="00566E73"/>
    <w:rsid w:val="0056752F"/>
    <w:rsid w:val="00567600"/>
    <w:rsid w:val="00570506"/>
    <w:rsid w:val="00570E2F"/>
    <w:rsid w:val="00570F95"/>
    <w:rsid w:val="0057178F"/>
    <w:rsid w:val="005717A4"/>
    <w:rsid w:val="00572009"/>
    <w:rsid w:val="0057229A"/>
    <w:rsid w:val="00572909"/>
    <w:rsid w:val="00573F4A"/>
    <w:rsid w:val="0057431C"/>
    <w:rsid w:val="005749AE"/>
    <w:rsid w:val="005752F3"/>
    <w:rsid w:val="005754BD"/>
    <w:rsid w:val="005762B8"/>
    <w:rsid w:val="00576FC9"/>
    <w:rsid w:val="00577C33"/>
    <w:rsid w:val="00577CAD"/>
    <w:rsid w:val="00577FE8"/>
    <w:rsid w:val="00580B0C"/>
    <w:rsid w:val="00580BF8"/>
    <w:rsid w:val="005814E6"/>
    <w:rsid w:val="0058195A"/>
    <w:rsid w:val="00581B99"/>
    <w:rsid w:val="00581F3D"/>
    <w:rsid w:val="00582B8A"/>
    <w:rsid w:val="00582BB0"/>
    <w:rsid w:val="00584A0C"/>
    <w:rsid w:val="00584BF9"/>
    <w:rsid w:val="0058546A"/>
    <w:rsid w:val="00585652"/>
    <w:rsid w:val="0058590F"/>
    <w:rsid w:val="00586C20"/>
    <w:rsid w:val="00586F4E"/>
    <w:rsid w:val="0058779B"/>
    <w:rsid w:val="005878AF"/>
    <w:rsid w:val="00590884"/>
    <w:rsid w:val="00590D53"/>
    <w:rsid w:val="00591176"/>
    <w:rsid w:val="00591951"/>
    <w:rsid w:val="00592DB0"/>
    <w:rsid w:val="00593133"/>
    <w:rsid w:val="005931D6"/>
    <w:rsid w:val="00593E02"/>
    <w:rsid w:val="00594E68"/>
    <w:rsid w:val="0059535B"/>
    <w:rsid w:val="005956F8"/>
    <w:rsid w:val="0059571A"/>
    <w:rsid w:val="00595DA7"/>
    <w:rsid w:val="00596AE2"/>
    <w:rsid w:val="00597562"/>
    <w:rsid w:val="00597C2D"/>
    <w:rsid w:val="005A06BA"/>
    <w:rsid w:val="005A26EF"/>
    <w:rsid w:val="005A2A5B"/>
    <w:rsid w:val="005A2A6D"/>
    <w:rsid w:val="005A2BB9"/>
    <w:rsid w:val="005A2BEE"/>
    <w:rsid w:val="005A3066"/>
    <w:rsid w:val="005A3350"/>
    <w:rsid w:val="005A3A90"/>
    <w:rsid w:val="005A41A6"/>
    <w:rsid w:val="005A43D5"/>
    <w:rsid w:val="005A4CDD"/>
    <w:rsid w:val="005A60A1"/>
    <w:rsid w:val="005A60E3"/>
    <w:rsid w:val="005A6B4D"/>
    <w:rsid w:val="005A7DCA"/>
    <w:rsid w:val="005B03BB"/>
    <w:rsid w:val="005B0929"/>
    <w:rsid w:val="005B0EC0"/>
    <w:rsid w:val="005B1405"/>
    <w:rsid w:val="005B1CB6"/>
    <w:rsid w:val="005B254D"/>
    <w:rsid w:val="005B3498"/>
    <w:rsid w:val="005B3753"/>
    <w:rsid w:val="005B3BF9"/>
    <w:rsid w:val="005B3F2B"/>
    <w:rsid w:val="005B541A"/>
    <w:rsid w:val="005B64F3"/>
    <w:rsid w:val="005B7109"/>
    <w:rsid w:val="005B7263"/>
    <w:rsid w:val="005B726A"/>
    <w:rsid w:val="005B73F4"/>
    <w:rsid w:val="005C0D20"/>
    <w:rsid w:val="005C2310"/>
    <w:rsid w:val="005C29B0"/>
    <w:rsid w:val="005C324D"/>
    <w:rsid w:val="005C33A2"/>
    <w:rsid w:val="005C38BA"/>
    <w:rsid w:val="005C3AD5"/>
    <w:rsid w:val="005C3B1B"/>
    <w:rsid w:val="005C3D01"/>
    <w:rsid w:val="005C47CA"/>
    <w:rsid w:val="005C54F6"/>
    <w:rsid w:val="005C5BA6"/>
    <w:rsid w:val="005C5E7E"/>
    <w:rsid w:val="005C689D"/>
    <w:rsid w:val="005C693B"/>
    <w:rsid w:val="005C6E89"/>
    <w:rsid w:val="005C720A"/>
    <w:rsid w:val="005C7365"/>
    <w:rsid w:val="005C77FC"/>
    <w:rsid w:val="005D0075"/>
    <w:rsid w:val="005D0BC4"/>
    <w:rsid w:val="005D158C"/>
    <w:rsid w:val="005D24F2"/>
    <w:rsid w:val="005D3636"/>
    <w:rsid w:val="005D43EA"/>
    <w:rsid w:val="005D44E9"/>
    <w:rsid w:val="005D4677"/>
    <w:rsid w:val="005D57B1"/>
    <w:rsid w:val="005D6090"/>
    <w:rsid w:val="005D6290"/>
    <w:rsid w:val="005D678F"/>
    <w:rsid w:val="005D6BEB"/>
    <w:rsid w:val="005D7599"/>
    <w:rsid w:val="005D7E3F"/>
    <w:rsid w:val="005E0C9E"/>
    <w:rsid w:val="005E0DAD"/>
    <w:rsid w:val="005E1719"/>
    <w:rsid w:val="005E2066"/>
    <w:rsid w:val="005E2BCF"/>
    <w:rsid w:val="005E2E24"/>
    <w:rsid w:val="005E3552"/>
    <w:rsid w:val="005E383B"/>
    <w:rsid w:val="005E3A38"/>
    <w:rsid w:val="005E404C"/>
    <w:rsid w:val="005E41D2"/>
    <w:rsid w:val="005E4E09"/>
    <w:rsid w:val="005E53E4"/>
    <w:rsid w:val="005E5A3B"/>
    <w:rsid w:val="005E616E"/>
    <w:rsid w:val="005E686E"/>
    <w:rsid w:val="005E7F7B"/>
    <w:rsid w:val="005F124E"/>
    <w:rsid w:val="005F2130"/>
    <w:rsid w:val="005F216B"/>
    <w:rsid w:val="005F24AD"/>
    <w:rsid w:val="005F25E6"/>
    <w:rsid w:val="005F2C3B"/>
    <w:rsid w:val="005F3CCF"/>
    <w:rsid w:val="005F47B2"/>
    <w:rsid w:val="005F700E"/>
    <w:rsid w:val="005F7323"/>
    <w:rsid w:val="005F7340"/>
    <w:rsid w:val="005F7B02"/>
    <w:rsid w:val="005F7F21"/>
    <w:rsid w:val="0060046C"/>
    <w:rsid w:val="006007B9"/>
    <w:rsid w:val="00600AB7"/>
    <w:rsid w:val="00601264"/>
    <w:rsid w:val="0060242D"/>
    <w:rsid w:val="00603453"/>
    <w:rsid w:val="00603CA6"/>
    <w:rsid w:val="00604E1D"/>
    <w:rsid w:val="00605D4A"/>
    <w:rsid w:val="006062DF"/>
    <w:rsid w:val="006102BD"/>
    <w:rsid w:val="00610C3E"/>
    <w:rsid w:val="0061120C"/>
    <w:rsid w:val="00611337"/>
    <w:rsid w:val="00611857"/>
    <w:rsid w:val="00611900"/>
    <w:rsid w:val="00612106"/>
    <w:rsid w:val="00612335"/>
    <w:rsid w:val="006124B7"/>
    <w:rsid w:val="00612C7E"/>
    <w:rsid w:val="00612FD9"/>
    <w:rsid w:val="006130D9"/>
    <w:rsid w:val="00613EA5"/>
    <w:rsid w:val="00614180"/>
    <w:rsid w:val="0061568B"/>
    <w:rsid w:val="00617F31"/>
    <w:rsid w:val="006205A4"/>
    <w:rsid w:val="00621EB2"/>
    <w:rsid w:val="0062245D"/>
    <w:rsid w:val="0062288D"/>
    <w:rsid w:val="0062291B"/>
    <w:rsid w:val="00622B06"/>
    <w:rsid w:val="00622F62"/>
    <w:rsid w:val="006239CE"/>
    <w:rsid w:val="00623B65"/>
    <w:rsid w:val="00623C62"/>
    <w:rsid w:val="00624219"/>
    <w:rsid w:val="00624467"/>
    <w:rsid w:val="0062452D"/>
    <w:rsid w:val="00624F29"/>
    <w:rsid w:val="006250B8"/>
    <w:rsid w:val="006262B7"/>
    <w:rsid w:val="00626AB8"/>
    <w:rsid w:val="00627B55"/>
    <w:rsid w:val="00627F21"/>
    <w:rsid w:val="00632077"/>
    <w:rsid w:val="00632BB4"/>
    <w:rsid w:val="00633E12"/>
    <w:rsid w:val="00634408"/>
    <w:rsid w:val="00634450"/>
    <w:rsid w:val="00634528"/>
    <w:rsid w:val="006345A5"/>
    <w:rsid w:val="00635364"/>
    <w:rsid w:val="0063598B"/>
    <w:rsid w:val="00635E0C"/>
    <w:rsid w:val="00635E19"/>
    <w:rsid w:val="0063644D"/>
    <w:rsid w:val="00636549"/>
    <w:rsid w:val="00636D5C"/>
    <w:rsid w:val="00637559"/>
    <w:rsid w:val="00637D18"/>
    <w:rsid w:val="006413E9"/>
    <w:rsid w:val="0064145D"/>
    <w:rsid w:val="00641ACD"/>
    <w:rsid w:val="00641D55"/>
    <w:rsid w:val="00642AC4"/>
    <w:rsid w:val="00642EE5"/>
    <w:rsid w:val="0064368A"/>
    <w:rsid w:val="00643789"/>
    <w:rsid w:val="006437B0"/>
    <w:rsid w:val="0064411D"/>
    <w:rsid w:val="00644A8E"/>
    <w:rsid w:val="00646A42"/>
    <w:rsid w:val="00646BBE"/>
    <w:rsid w:val="00646D18"/>
    <w:rsid w:val="00647553"/>
    <w:rsid w:val="00647B34"/>
    <w:rsid w:val="00647E81"/>
    <w:rsid w:val="0065074D"/>
    <w:rsid w:val="006509C5"/>
    <w:rsid w:val="0065128D"/>
    <w:rsid w:val="00651BC7"/>
    <w:rsid w:val="00652446"/>
    <w:rsid w:val="0065255B"/>
    <w:rsid w:val="0065283F"/>
    <w:rsid w:val="0065377C"/>
    <w:rsid w:val="00654043"/>
    <w:rsid w:val="0065467D"/>
    <w:rsid w:val="00654892"/>
    <w:rsid w:val="00654A71"/>
    <w:rsid w:val="00655FFF"/>
    <w:rsid w:val="00656EE0"/>
    <w:rsid w:val="0065794F"/>
    <w:rsid w:val="00660683"/>
    <w:rsid w:val="00660790"/>
    <w:rsid w:val="00660B58"/>
    <w:rsid w:val="00660BEF"/>
    <w:rsid w:val="0066168E"/>
    <w:rsid w:val="006633DC"/>
    <w:rsid w:val="00663572"/>
    <w:rsid w:val="00663768"/>
    <w:rsid w:val="00663F9C"/>
    <w:rsid w:val="00664DBB"/>
    <w:rsid w:val="00665EFF"/>
    <w:rsid w:val="0066605D"/>
    <w:rsid w:val="0066634E"/>
    <w:rsid w:val="006665F7"/>
    <w:rsid w:val="0066663B"/>
    <w:rsid w:val="00667554"/>
    <w:rsid w:val="00667D3A"/>
    <w:rsid w:val="0067110E"/>
    <w:rsid w:val="0067143D"/>
    <w:rsid w:val="006715BB"/>
    <w:rsid w:val="006721F5"/>
    <w:rsid w:val="006728C4"/>
    <w:rsid w:val="006731A2"/>
    <w:rsid w:val="006733D0"/>
    <w:rsid w:val="00673C36"/>
    <w:rsid w:val="00673ED9"/>
    <w:rsid w:val="00674571"/>
    <w:rsid w:val="0067663C"/>
    <w:rsid w:val="00676EB5"/>
    <w:rsid w:val="00677385"/>
    <w:rsid w:val="006773DE"/>
    <w:rsid w:val="006776B3"/>
    <w:rsid w:val="006777AB"/>
    <w:rsid w:val="00677BAA"/>
    <w:rsid w:val="00680250"/>
    <w:rsid w:val="00680369"/>
    <w:rsid w:val="0068052B"/>
    <w:rsid w:val="0068162D"/>
    <w:rsid w:val="00681A29"/>
    <w:rsid w:val="00682282"/>
    <w:rsid w:val="00682631"/>
    <w:rsid w:val="006827B8"/>
    <w:rsid w:val="00683170"/>
    <w:rsid w:val="00684010"/>
    <w:rsid w:val="006844E2"/>
    <w:rsid w:val="00684E14"/>
    <w:rsid w:val="006850FF"/>
    <w:rsid w:val="006853F1"/>
    <w:rsid w:val="00685534"/>
    <w:rsid w:val="00685E0D"/>
    <w:rsid w:val="00686209"/>
    <w:rsid w:val="00686383"/>
    <w:rsid w:val="006865EC"/>
    <w:rsid w:val="00686A70"/>
    <w:rsid w:val="00686BB4"/>
    <w:rsid w:val="00686F20"/>
    <w:rsid w:val="00687286"/>
    <w:rsid w:val="00687D36"/>
    <w:rsid w:val="006901C2"/>
    <w:rsid w:val="00690200"/>
    <w:rsid w:val="00690868"/>
    <w:rsid w:val="00691356"/>
    <w:rsid w:val="00693949"/>
    <w:rsid w:val="00693991"/>
    <w:rsid w:val="00694144"/>
    <w:rsid w:val="00694CD9"/>
    <w:rsid w:val="00695EAE"/>
    <w:rsid w:val="006969C8"/>
    <w:rsid w:val="00696C50"/>
    <w:rsid w:val="00697903"/>
    <w:rsid w:val="00697DFF"/>
    <w:rsid w:val="006A0A09"/>
    <w:rsid w:val="006A2005"/>
    <w:rsid w:val="006A2102"/>
    <w:rsid w:val="006A23E2"/>
    <w:rsid w:val="006A2410"/>
    <w:rsid w:val="006A2902"/>
    <w:rsid w:val="006A2A41"/>
    <w:rsid w:val="006A2DBD"/>
    <w:rsid w:val="006A3902"/>
    <w:rsid w:val="006A39AE"/>
    <w:rsid w:val="006A3FE1"/>
    <w:rsid w:val="006A4194"/>
    <w:rsid w:val="006A4782"/>
    <w:rsid w:val="006A4D99"/>
    <w:rsid w:val="006A5673"/>
    <w:rsid w:val="006A690A"/>
    <w:rsid w:val="006A6DC0"/>
    <w:rsid w:val="006A7C86"/>
    <w:rsid w:val="006A7EF6"/>
    <w:rsid w:val="006B0006"/>
    <w:rsid w:val="006B04A4"/>
    <w:rsid w:val="006B0654"/>
    <w:rsid w:val="006B076C"/>
    <w:rsid w:val="006B0EDE"/>
    <w:rsid w:val="006B13C2"/>
    <w:rsid w:val="006B1465"/>
    <w:rsid w:val="006B2DB6"/>
    <w:rsid w:val="006B320E"/>
    <w:rsid w:val="006B3966"/>
    <w:rsid w:val="006B3D68"/>
    <w:rsid w:val="006B3E3F"/>
    <w:rsid w:val="006B4370"/>
    <w:rsid w:val="006B4377"/>
    <w:rsid w:val="006B490A"/>
    <w:rsid w:val="006B57DC"/>
    <w:rsid w:val="006B61AC"/>
    <w:rsid w:val="006B6B87"/>
    <w:rsid w:val="006B6EFE"/>
    <w:rsid w:val="006B6FB4"/>
    <w:rsid w:val="006B7286"/>
    <w:rsid w:val="006B797F"/>
    <w:rsid w:val="006C0C58"/>
    <w:rsid w:val="006C1110"/>
    <w:rsid w:val="006C11A9"/>
    <w:rsid w:val="006C12AD"/>
    <w:rsid w:val="006C2A42"/>
    <w:rsid w:val="006C308E"/>
    <w:rsid w:val="006C36BF"/>
    <w:rsid w:val="006C3752"/>
    <w:rsid w:val="006C3F31"/>
    <w:rsid w:val="006C40A5"/>
    <w:rsid w:val="006C4871"/>
    <w:rsid w:val="006C5087"/>
    <w:rsid w:val="006C56BA"/>
    <w:rsid w:val="006C5D29"/>
    <w:rsid w:val="006C664A"/>
    <w:rsid w:val="006C6C38"/>
    <w:rsid w:val="006D0B01"/>
    <w:rsid w:val="006D0BFD"/>
    <w:rsid w:val="006D0D8F"/>
    <w:rsid w:val="006D0FB6"/>
    <w:rsid w:val="006D1887"/>
    <w:rsid w:val="006D3115"/>
    <w:rsid w:val="006D3C69"/>
    <w:rsid w:val="006D4B05"/>
    <w:rsid w:val="006D4C66"/>
    <w:rsid w:val="006D6125"/>
    <w:rsid w:val="006D6566"/>
    <w:rsid w:val="006D6716"/>
    <w:rsid w:val="006D730C"/>
    <w:rsid w:val="006E00A0"/>
    <w:rsid w:val="006E04D2"/>
    <w:rsid w:val="006E064F"/>
    <w:rsid w:val="006E0AE7"/>
    <w:rsid w:val="006E0DE5"/>
    <w:rsid w:val="006E0EA2"/>
    <w:rsid w:val="006E11E4"/>
    <w:rsid w:val="006E138C"/>
    <w:rsid w:val="006E161D"/>
    <w:rsid w:val="006E19C3"/>
    <w:rsid w:val="006E1B43"/>
    <w:rsid w:val="006E1CAA"/>
    <w:rsid w:val="006E1CE7"/>
    <w:rsid w:val="006E28EE"/>
    <w:rsid w:val="006E2C79"/>
    <w:rsid w:val="006E2CB4"/>
    <w:rsid w:val="006E3A35"/>
    <w:rsid w:val="006E3D5E"/>
    <w:rsid w:val="006E4AA7"/>
    <w:rsid w:val="006E4DA2"/>
    <w:rsid w:val="006E511D"/>
    <w:rsid w:val="006E631F"/>
    <w:rsid w:val="006E6420"/>
    <w:rsid w:val="006E65ED"/>
    <w:rsid w:val="006E6F88"/>
    <w:rsid w:val="006E70D3"/>
    <w:rsid w:val="006E749D"/>
    <w:rsid w:val="006E763F"/>
    <w:rsid w:val="006F0005"/>
    <w:rsid w:val="006F0412"/>
    <w:rsid w:val="006F0F02"/>
    <w:rsid w:val="006F1F0B"/>
    <w:rsid w:val="006F38BC"/>
    <w:rsid w:val="006F3B74"/>
    <w:rsid w:val="006F4894"/>
    <w:rsid w:val="006F501B"/>
    <w:rsid w:val="006F51AA"/>
    <w:rsid w:val="006F58EF"/>
    <w:rsid w:val="006F5CBA"/>
    <w:rsid w:val="006F6775"/>
    <w:rsid w:val="006F68E4"/>
    <w:rsid w:val="006F6C43"/>
    <w:rsid w:val="006F70E7"/>
    <w:rsid w:val="006F7341"/>
    <w:rsid w:val="006F7826"/>
    <w:rsid w:val="006F7F57"/>
    <w:rsid w:val="00700197"/>
    <w:rsid w:val="00701517"/>
    <w:rsid w:val="007016B2"/>
    <w:rsid w:val="007019A1"/>
    <w:rsid w:val="00701B70"/>
    <w:rsid w:val="00701E08"/>
    <w:rsid w:val="0070415C"/>
    <w:rsid w:val="00704A64"/>
    <w:rsid w:val="00705A0D"/>
    <w:rsid w:val="007061A4"/>
    <w:rsid w:val="00706582"/>
    <w:rsid w:val="00706673"/>
    <w:rsid w:val="0070669D"/>
    <w:rsid w:val="0070693C"/>
    <w:rsid w:val="00706D92"/>
    <w:rsid w:val="00706E16"/>
    <w:rsid w:val="007078AF"/>
    <w:rsid w:val="00707D9D"/>
    <w:rsid w:val="0071054A"/>
    <w:rsid w:val="0071055F"/>
    <w:rsid w:val="00710763"/>
    <w:rsid w:val="007107E6"/>
    <w:rsid w:val="00710A98"/>
    <w:rsid w:val="00710FE2"/>
    <w:rsid w:val="00711AF7"/>
    <w:rsid w:val="007123AF"/>
    <w:rsid w:val="0071294E"/>
    <w:rsid w:val="00712B1B"/>
    <w:rsid w:val="00713213"/>
    <w:rsid w:val="007134E3"/>
    <w:rsid w:val="00714194"/>
    <w:rsid w:val="007147D8"/>
    <w:rsid w:val="00714CAC"/>
    <w:rsid w:val="00715CEF"/>
    <w:rsid w:val="00716AB2"/>
    <w:rsid w:val="00716E4F"/>
    <w:rsid w:val="007173C3"/>
    <w:rsid w:val="007173E3"/>
    <w:rsid w:val="007178E4"/>
    <w:rsid w:val="00720396"/>
    <w:rsid w:val="00720993"/>
    <w:rsid w:val="00720CEF"/>
    <w:rsid w:val="00720DC8"/>
    <w:rsid w:val="00720DFA"/>
    <w:rsid w:val="00721BC7"/>
    <w:rsid w:val="00722501"/>
    <w:rsid w:val="00722A59"/>
    <w:rsid w:val="00722BF0"/>
    <w:rsid w:val="007231ED"/>
    <w:rsid w:val="0072338F"/>
    <w:rsid w:val="007235BF"/>
    <w:rsid w:val="00723782"/>
    <w:rsid w:val="007240BE"/>
    <w:rsid w:val="0072427B"/>
    <w:rsid w:val="007247B9"/>
    <w:rsid w:val="00724890"/>
    <w:rsid w:val="00724EA4"/>
    <w:rsid w:val="00725EE9"/>
    <w:rsid w:val="00726198"/>
    <w:rsid w:val="007263E0"/>
    <w:rsid w:val="0072667D"/>
    <w:rsid w:val="007266DF"/>
    <w:rsid w:val="00726867"/>
    <w:rsid w:val="0072720D"/>
    <w:rsid w:val="00727285"/>
    <w:rsid w:val="00731D4E"/>
    <w:rsid w:val="00732295"/>
    <w:rsid w:val="00732337"/>
    <w:rsid w:val="007337A5"/>
    <w:rsid w:val="00734653"/>
    <w:rsid w:val="00734EC7"/>
    <w:rsid w:val="00736723"/>
    <w:rsid w:val="00740AE3"/>
    <w:rsid w:val="00740DB9"/>
    <w:rsid w:val="0074105C"/>
    <w:rsid w:val="007416D2"/>
    <w:rsid w:val="007417AE"/>
    <w:rsid w:val="0074187C"/>
    <w:rsid w:val="00741A4C"/>
    <w:rsid w:val="00741DA9"/>
    <w:rsid w:val="00741E7D"/>
    <w:rsid w:val="00741E8E"/>
    <w:rsid w:val="007423DA"/>
    <w:rsid w:val="00742B79"/>
    <w:rsid w:val="00742C3F"/>
    <w:rsid w:val="00742D3B"/>
    <w:rsid w:val="007430A5"/>
    <w:rsid w:val="0074329B"/>
    <w:rsid w:val="0074345B"/>
    <w:rsid w:val="00743534"/>
    <w:rsid w:val="00743A41"/>
    <w:rsid w:val="00743B18"/>
    <w:rsid w:val="0074445D"/>
    <w:rsid w:val="0074446A"/>
    <w:rsid w:val="007448A3"/>
    <w:rsid w:val="00745050"/>
    <w:rsid w:val="0074569B"/>
    <w:rsid w:val="00745F21"/>
    <w:rsid w:val="0074698C"/>
    <w:rsid w:val="00746F12"/>
    <w:rsid w:val="00747306"/>
    <w:rsid w:val="00750954"/>
    <w:rsid w:val="00752425"/>
    <w:rsid w:val="00752907"/>
    <w:rsid w:val="00752DF6"/>
    <w:rsid w:val="00752E85"/>
    <w:rsid w:val="00752F48"/>
    <w:rsid w:val="007537D2"/>
    <w:rsid w:val="00753A2E"/>
    <w:rsid w:val="0075437C"/>
    <w:rsid w:val="007546ED"/>
    <w:rsid w:val="00754C49"/>
    <w:rsid w:val="007552FD"/>
    <w:rsid w:val="00756301"/>
    <w:rsid w:val="00756340"/>
    <w:rsid w:val="007563A9"/>
    <w:rsid w:val="0075677D"/>
    <w:rsid w:val="00756B99"/>
    <w:rsid w:val="007570FD"/>
    <w:rsid w:val="00761096"/>
    <w:rsid w:val="0076110D"/>
    <w:rsid w:val="007617B4"/>
    <w:rsid w:val="00761C85"/>
    <w:rsid w:val="007621BE"/>
    <w:rsid w:val="00762B96"/>
    <w:rsid w:val="00762C33"/>
    <w:rsid w:val="00762F81"/>
    <w:rsid w:val="00764411"/>
    <w:rsid w:val="0076640E"/>
    <w:rsid w:val="00766562"/>
    <w:rsid w:val="007669BF"/>
    <w:rsid w:val="00770135"/>
    <w:rsid w:val="007703D9"/>
    <w:rsid w:val="00770A56"/>
    <w:rsid w:val="00770B34"/>
    <w:rsid w:val="00770BB1"/>
    <w:rsid w:val="00770C1C"/>
    <w:rsid w:val="00770CD3"/>
    <w:rsid w:val="007714BB"/>
    <w:rsid w:val="00771AFC"/>
    <w:rsid w:val="007721F4"/>
    <w:rsid w:val="007725FE"/>
    <w:rsid w:val="0077288B"/>
    <w:rsid w:val="00772EBB"/>
    <w:rsid w:val="00773AC8"/>
    <w:rsid w:val="00773BFF"/>
    <w:rsid w:val="00773F06"/>
    <w:rsid w:val="0077449B"/>
    <w:rsid w:val="00775673"/>
    <w:rsid w:val="00775708"/>
    <w:rsid w:val="00777533"/>
    <w:rsid w:val="00777AB0"/>
    <w:rsid w:val="00777CAC"/>
    <w:rsid w:val="00780D93"/>
    <w:rsid w:val="00781C45"/>
    <w:rsid w:val="00782343"/>
    <w:rsid w:val="00782A80"/>
    <w:rsid w:val="00782E08"/>
    <w:rsid w:val="0078373D"/>
    <w:rsid w:val="0078374A"/>
    <w:rsid w:val="0078412D"/>
    <w:rsid w:val="00784211"/>
    <w:rsid w:val="00784FB2"/>
    <w:rsid w:val="0078519A"/>
    <w:rsid w:val="00785EB5"/>
    <w:rsid w:val="007861F5"/>
    <w:rsid w:val="00786697"/>
    <w:rsid w:val="00786B49"/>
    <w:rsid w:val="00786B50"/>
    <w:rsid w:val="00786F69"/>
    <w:rsid w:val="00787BF5"/>
    <w:rsid w:val="00790C42"/>
    <w:rsid w:val="007915F3"/>
    <w:rsid w:val="00791604"/>
    <w:rsid w:val="00791F3B"/>
    <w:rsid w:val="00792080"/>
    <w:rsid w:val="007921D3"/>
    <w:rsid w:val="00792273"/>
    <w:rsid w:val="007927BA"/>
    <w:rsid w:val="007938A1"/>
    <w:rsid w:val="00794ADD"/>
    <w:rsid w:val="00794E48"/>
    <w:rsid w:val="00795016"/>
    <w:rsid w:val="00795D75"/>
    <w:rsid w:val="00796359"/>
    <w:rsid w:val="00796B06"/>
    <w:rsid w:val="00797290"/>
    <w:rsid w:val="00797347"/>
    <w:rsid w:val="007A026A"/>
    <w:rsid w:val="007A0BCA"/>
    <w:rsid w:val="007A1249"/>
    <w:rsid w:val="007A2183"/>
    <w:rsid w:val="007A2735"/>
    <w:rsid w:val="007A3B1E"/>
    <w:rsid w:val="007A457A"/>
    <w:rsid w:val="007A5622"/>
    <w:rsid w:val="007A5AA7"/>
    <w:rsid w:val="007A61EE"/>
    <w:rsid w:val="007A6398"/>
    <w:rsid w:val="007A68BE"/>
    <w:rsid w:val="007A6BEF"/>
    <w:rsid w:val="007A7572"/>
    <w:rsid w:val="007A76D4"/>
    <w:rsid w:val="007B0B57"/>
    <w:rsid w:val="007B15B8"/>
    <w:rsid w:val="007B235E"/>
    <w:rsid w:val="007B2681"/>
    <w:rsid w:val="007B29A0"/>
    <w:rsid w:val="007B2DC1"/>
    <w:rsid w:val="007B2ED8"/>
    <w:rsid w:val="007B4EB7"/>
    <w:rsid w:val="007B50EE"/>
    <w:rsid w:val="007B53B7"/>
    <w:rsid w:val="007B6296"/>
    <w:rsid w:val="007B69A7"/>
    <w:rsid w:val="007B6F31"/>
    <w:rsid w:val="007B7290"/>
    <w:rsid w:val="007B72A1"/>
    <w:rsid w:val="007B7C7B"/>
    <w:rsid w:val="007C0334"/>
    <w:rsid w:val="007C0667"/>
    <w:rsid w:val="007C125B"/>
    <w:rsid w:val="007C132D"/>
    <w:rsid w:val="007C13AF"/>
    <w:rsid w:val="007C1A3E"/>
    <w:rsid w:val="007C25D9"/>
    <w:rsid w:val="007C33D0"/>
    <w:rsid w:val="007C37AD"/>
    <w:rsid w:val="007C41AB"/>
    <w:rsid w:val="007C4B43"/>
    <w:rsid w:val="007C4D0C"/>
    <w:rsid w:val="007C505C"/>
    <w:rsid w:val="007C577E"/>
    <w:rsid w:val="007C5974"/>
    <w:rsid w:val="007C5D04"/>
    <w:rsid w:val="007C6AAF"/>
    <w:rsid w:val="007C6AEA"/>
    <w:rsid w:val="007C6CAB"/>
    <w:rsid w:val="007C721E"/>
    <w:rsid w:val="007D0291"/>
    <w:rsid w:val="007D0446"/>
    <w:rsid w:val="007D0884"/>
    <w:rsid w:val="007D13E2"/>
    <w:rsid w:val="007D14BE"/>
    <w:rsid w:val="007D158B"/>
    <w:rsid w:val="007D1A8F"/>
    <w:rsid w:val="007D1ADD"/>
    <w:rsid w:val="007D20E3"/>
    <w:rsid w:val="007D2525"/>
    <w:rsid w:val="007D2C5A"/>
    <w:rsid w:val="007D2EF2"/>
    <w:rsid w:val="007D31DC"/>
    <w:rsid w:val="007D3BFB"/>
    <w:rsid w:val="007D3E7E"/>
    <w:rsid w:val="007D42FE"/>
    <w:rsid w:val="007D440E"/>
    <w:rsid w:val="007D4894"/>
    <w:rsid w:val="007D4BAD"/>
    <w:rsid w:val="007D4D76"/>
    <w:rsid w:val="007D4DE0"/>
    <w:rsid w:val="007D581C"/>
    <w:rsid w:val="007D58CE"/>
    <w:rsid w:val="007D5D1B"/>
    <w:rsid w:val="007D6018"/>
    <w:rsid w:val="007D7BD9"/>
    <w:rsid w:val="007E0382"/>
    <w:rsid w:val="007E0631"/>
    <w:rsid w:val="007E07BB"/>
    <w:rsid w:val="007E0E4F"/>
    <w:rsid w:val="007E1FAD"/>
    <w:rsid w:val="007E22BD"/>
    <w:rsid w:val="007E2DE9"/>
    <w:rsid w:val="007E2FAA"/>
    <w:rsid w:val="007E3774"/>
    <w:rsid w:val="007E3A62"/>
    <w:rsid w:val="007E3BC4"/>
    <w:rsid w:val="007E3FAB"/>
    <w:rsid w:val="007E531F"/>
    <w:rsid w:val="007E5C5E"/>
    <w:rsid w:val="007E6023"/>
    <w:rsid w:val="007E64B5"/>
    <w:rsid w:val="007E7131"/>
    <w:rsid w:val="007E7162"/>
    <w:rsid w:val="007F071A"/>
    <w:rsid w:val="007F1357"/>
    <w:rsid w:val="007F15BE"/>
    <w:rsid w:val="007F1BC1"/>
    <w:rsid w:val="007F210A"/>
    <w:rsid w:val="007F240E"/>
    <w:rsid w:val="007F2D64"/>
    <w:rsid w:val="007F2DBE"/>
    <w:rsid w:val="007F32E9"/>
    <w:rsid w:val="007F38F7"/>
    <w:rsid w:val="007F4177"/>
    <w:rsid w:val="007F42F4"/>
    <w:rsid w:val="007F4964"/>
    <w:rsid w:val="007F5D9E"/>
    <w:rsid w:val="007F6656"/>
    <w:rsid w:val="007F7063"/>
    <w:rsid w:val="007F7514"/>
    <w:rsid w:val="007F7904"/>
    <w:rsid w:val="007F7A57"/>
    <w:rsid w:val="008002EA"/>
    <w:rsid w:val="00800A8D"/>
    <w:rsid w:val="00800C5C"/>
    <w:rsid w:val="00801124"/>
    <w:rsid w:val="008011FF"/>
    <w:rsid w:val="0080122E"/>
    <w:rsid w:val="0080153A"/>
    <w:rsid w:val="00801B48"/>
    <w:rsid w:val="0080213F"/>
    <w:rsid w:val="00802841"/>
    <w:rsid w:val="00803247"/>
    <w:rsid w:val="008037C2"/>
    <w:rsid w:val="008038F6"/>
    <w:rsid w:val="0080398A"/>
    <w:rsid w:val="00803B6E"/>
    <w:rsid w:val="00803EA6"/>
    <w:rsid w:val="00804987"/>
    <w:rsid w:val="00804995"/>
    <w:rsid w:val="00805748"/>
    <w:rsid w:val="008058FD"/>
    <w:rsid w:val="00806A47"/>
    <w:rsid w:val="00806ED2"/>
    <w:rsid w:val="008100BA"/>
    <w:rsid w:val="008102DF"/>
    <w:rsid w:val="00811ADA"/>
    <w:rsid w:val="0081201A"/>
    <w:rsid w:val="0081244D"/>
    <w:rsid w:val="00812815"/>
    <w:rsid w:val="00812D07"/>
    <w:rsid w:val="00812E7E"/>
    <w:rsid w:val="00812ED8"/>
    <w:rsid w:val="00813727"/>
    <w:rsid w:val="00814935"/>
    <w:rsid w:val="00814C9D"/>
    <w:rsid w:val="00815E0B"/>
    <w:rsid w:val="00816742"/>
    <w:rsid w:val="00816A0F"/>
    <w:rsid w:val="00816EAC"/>
    <w:rsid w:val="00816FB6"/>
    <w:rsid w:val="00817165"/>
    <w:rsid w:val="00820246"/>
    <w:rsid w:val="00820CC0"/>
    <w:rsid w:val="00821376"/>
    <w:rsid w:val="0082159E"/>
    <w:rsid w:val="0082176D"/>
    <w:rsid w:val="00821B8A"/>
    <w:rsid w:val="00821EAB"/>
    <w:rsid w:val="00822D8B"/>
    <w:rsid w:val="00823AD4"/>
    <w:rsid w:val="00823BC0"/>
    <w:rsid w:val="00823CD3"/>
    <w:rsid w:val="00824138"/>
    <w:rsid w:val="00824825"/>
    <w:rsid w:val="00824BEF"/>
    <w:rsid w:val="00824F1A"/>
    <w:rsid w:val="00824FDC"/>
    <w:rsid w:val="0082581C"/>
    <w:rsid w:val="00825EA1"/>
    <w:rsid w:val="008262CC"/>
    <w:rsid w:val="008266E3"/>
    <w:rsid w:val="00826C78"/>
    <w:rsid w:val="00827332"/>
    <w:rsid w:val="008278B8"/>
    <w:rsid w:val="00830516"/>
    <w:rsid w:val="00830529"/>
    <w:rsid w:val="0083089A"/>
    <w:rsid w:val="00830E72"/>
    <w:rsid w:val="00831477"/>
    <w:rsid w:val="00831DBE"/>
    <w:rsid w:val="00831F66"/>
    <w:rsid w:val="008324A8"/>
    <w:rsid w:val="008332E2"/>
    <w:rsid w:val="00834172"/>
    <w:rsid w:val="008343EC"/>
    <w:rsid w:val="00834575"/>
    <w:rsid w:val="00836267"/>
    <w:rsid w:val="008363E3"/>
    <w:rsid w:val="008366C1"/>
    <w:rsid w:val="00836B39"/>
    <w:rsid w:val="00836B7A"/>
    <w:rsid w:val="00837962"/>
    <w:rsid w:val="00840E5A"/>
    <w:rsid w:val="00841C8F"/>
    <w:rsid w:val="00841D03"/>
    <w:rsid w:val="008427C1"/>
    <w:rsid w:val="00842910"/>
    <w:rsid w:val="00843525"/>
    <w:rsid w:val="00844938"/>
    <w:rsid w:val="00844A39"/>
    <w:rsid w:val="00844DFA"/>
    <w:rsid w:val="008454BE"/>
    <w:rsid w:val="00846258"/>
    <w:rsid w:val="008464B6"/>
    <w:rsid w:val="00846AED"/>
    <w:rsid w:val="00846AFB"/>
    <w:rsid w:val="008472D2"/>
    <w:rsid w:val="00847E25"/>
    <w:rsid w:val="00850A79"/>
    <w:rsid w:val="00850C8D"/>
    <w:rsid w:val="0085177C"/>
    <w:rsid w:val="00851C13"/>
    <w:rsid w:val="00852924"/>
    <w:rsid w:val="00852E1E"/>
    <w:rsid w:val="0085348D"/>
    <w:rsid w:val="00853750"/>
    <w:rsid w:val="008537D4"/>
    <w:rsid w:val="00853871"/>
    <w:rsid w:val="00853D6B"/>
    <w:rsid w:val="00853F78"/>
    <w:rsid w:val="00854389"/>
    <w:rsid w:val="00854AF0"/>
    <w:rsid w:val="008558D6"/>
    <w:rsid w:val="00857992"/>
    <w:rsid w:val="00857FA2"/>
    <w:rsid w:val="0086127B"/>
    <w:rsid w:val="008613D9"/>
    <w:rsid w:val="00862F56"/>
    <w:rsid w:val="0086315A"/>
    <w:rsid w:val="00863478"/>
    <w:rsid w:val="00863E07"/>
    <w:rsid w:val="00863E3B"/>
    <w:rsid w:val="00863E7C"/>
    <w:rsid w:val="008649DE"/>
    <w:rsid w:val="00864E8B"/>
    <w:rsid w:val="008662E0"/>
    <w:rsid w:val="008663FF"/>
    <w:rsid w:val="008667F1"/>
    <w:rsid w:val="00866923"/>
    <w:rsid w:val="00866ED0"/>
    <w:rsid w:val="00867324"/>
    <w:rsid w:val="00867DBB"/>
    <w:rsid w:val="008703B9"/>
    <w:rsid w:val="00870AA0"/>
    <w:rsid w:val="00870D47"/>
    <w:rsid w:val="00871207"/>
    <w:rsid w:val="0087152E"/>
    <w:rsid w:val="00871E51"/>
    <w:rsid w:val="00872E5A"/>
    <w:rsid w:val="00872F04"/>
    <w:rsid w:val="00873414"/>
    <w:rsid w:val="00873497"/>
    <w:rsid w:val="008757FA"/>
    <w:rsid w:val="008760B2"/>
    <w:rsid w:val="00876471"/>
    <w:rsid w:val="00876DA9"/>
    <w:rsid w:val="00876FA8"/>
    <w:rsid w:val="00877CCA"/>
    <w:rsid w:val="0088030F"/>
    <w:rsid w:val="0088075E"/>
    <w:rsid w:val="00880DCC"/>
    <w:rsid w:val="00881BE2"/>
    <w:rsid w:val="008837E5"/>
    <w:rsid w:val="00885400"/>
    <w:rsid w:val="00885725"/>
    <w:rsid w:val="008857C1"/>
    <w:rsid w:val="00886EFD"/>
    <w:rsid w:val="0089131C"/>
    <w:rsid w:val="00891B6A"/>
    <w:rsid w:val="00892A9B"/>
    <w:rsid w:val="00892F56"/>
    <w:rsid w:val="008931E1"/>
    <w:rsid w:val="00893271"/>
    <w:rsid w:val="00893617"/>
    <w:rsid w:val="00893AFD"/>
    <w:rsid w:val="00894B5A"/>
    <w:rsid w:val="0089512D"/>
    <w:rsid w:val="0089526E"/>
    <w:rsid w:val="00895417"/>
    <w:rsid w:val="00895702"/>
    <w:rsid w:val="00895CAD"/>
    <w:rsid w:val="00896E99"/>
    <w:rsid w:val="008A0292"/>
    <w:rsid w:val="008A0C17"/>
    <w:rsid w:val="008A0E96"/>
    <w:rsid w:val="008A1280"/>
    <w:rsid w:val="008A13AC"/>
    <w:rsid w:val="008A1AAB"/>
    <w:rsid w:val="008A1CEF"/>
    <w:rsid w:val="008A2862"/>
    <w:rsid w:val="008A28AB"/>
    <w:rsid w:val="008A2907"/>
    <w:rsid w:val="008A2F4D"/>
    <w:rsid w:val="008A304A"/>
    <w:rsid w:val="008A3402"/>
    <w:rsid w:val="008A4385"/>
    <w:rsid w:val="008A4A1D"/>
    <w:rsid w:val="008A4C5C"/>
    <w:rsid w:val="008A4D22"/>
    <w:rsid w:val="008A5C80"/>
    <w:rsid w:val="008A745D"/>
    <w:rsid w:val="008A76A4"/>
    <w:rsid w:val="008A7A76"/>
    <w:rsid w:val="008B03C0"/>
    <w:rsid w:val="008B13FA"/>
    <w:rsid w:val="008B1A51"/>
    <w:rsid w:val="008B1D82"/>
    <w:rsid w:val="008B1F0F"/>
    <w:rsid w:val="008B2BFD"/>
    <w:rsid w:val="008B303C"/>
    <w:rsid w:val="008B32B8"/>
    <w:rsid w:val="008B3A17"/>
    <w:rsid w:val="008B3CE5"/>
    <w:rsid w:val="008B4518"/>
    <w:rsid w:val="008B475D"/>
    <w:rsid w:val="008B4D59"/>
    <w:rsid w:val="008B5721"/>
    <w:rsid w:val="008B5E2B"/>
    <w:rsid w:val="008B73BC"/>
    <w:rsid w:val="008C01C8"/>
    <w:rsid w:val="008C073D"/>
    <w:rsid w:val="008C0D4B"/>
    <w:rsid w:val="008C0E39"/>
    <w:rsid w:val="008C1079"/>
    <w:rsid w:val="008C108E"/>
    <w:rsid w:val="008C19E3"/>
    <w:rsid w:val="008C31AD"/>
    <w:rsid w:val="008C321E"/>
    <w:rsid w:val="008C323A"/>
    <w:rsid w:val="008C39CA"/>
    <w:rsid w:val="008C448A"/>
    <w:rsid w:val="008C47DE"/>
    <w:rsid w:val="008C482C"/>
    <w:rsid w:val="008C4B7F"/>
    <w:rsid w:val="008C523A"/>
    <w:rsid w:val="008C5305"/>
    <w:rsid w:val="008C5406"/>
    <w:rsid w:val="008C5D11"/>
    <w:rsid w:val="008C63ED"/>
    <w:rsid w:val="008C6849"/>
    <w:rsid w:val="008C704B"/>
    <w:rsid w:val="008C7734"/>
    <w:rsid w:val="008C7D29"/>
    <w:rsid w:val="008D0B64"/>
    <w:rsid w:val="008D0BD2"/>
    <w:rsid w:val="008D136F"/>
    <w:rsid w:val="008D153A"/>
    <w:rsid w:val="008D171F"/>
    <w:rsid w:val="008D1DE6"/>
    <w:rsid w:val="008D3257"/>
    <w:rsid w:val="008D344A"/>
    <w:rsid w:val="008D429A"/>
    <w:rsid w:val="008D46F5"/>
    <w:rsid w:val="008D5BB1"/>
    <w:rsid w:val="008D677D"/>
    <w:rsid w:val="008D6A35"/>
    <w:rsid w:val="008D6D2C"/>
    <w:rsid w:val="008D70A6"/>
    <w:rsid w:val="008D71CC"/>
    <w:rsid w:val="008D744E"/>
    <w:rsid w:val="008D7512"/>
    <w:rsid w:val="008E13B4"/>
    <w:rsid w:val="008E2512"/>
    <w:rsid w:val="008E27E6"/>
    <w:rsid w:val="008E2BDA"/>
    <w:rsid w:val="008E4884"/>
    <w:rsid w:val="008E4CD0"/>
    <w:rsid w:val="008E53D7"/>
    <w:rsid w:val="008E59AB"/>
    <w:rsid w:val="008E6A2F"/>
    <w:rsid w:val="008E6D53"/>
    <w:rsid w:val="008E714B"/>
    <w:rsid w:val="008F0886"/>
    <w:rsid w:val="008F1680"/>
    <w:rsid w:val="008F1A35"/>
    <w:rsid w:val="008F1E35"/>
    <w:rsid w:val="008F1E8E"/>
    <w:rsid w:val="008F2078"/>
    <w:rsid w:val="008F223A"/>
    <w:rsid w:val="008F2DCF"/>
    <w:rsid w:val="008F3ED1"/>
    <w:rsid w:val="008F4EAE"/>
    <w:rsid w:val="008F6813"/>
    <w:rsid w:val="008F719B"/>
    <w:rsid w:val="008F764F"/>
    <w:rsid w:val="0090020C"/>
    <w:rsid w:val="00901360"/>
    <w:rsid w:val="009014E6"/>
    <w:rsid w:val="00901E73"/>
    <w:rsid w:val="009025E9"/>
    <w:rsid w:val="00902637"/>
    <w:rsid w:val="00902A52"/>
    <w:rsid w:val="00902BF8"/>
    <w:rsid w:val="00902D92"/>
    <w:rsid w:val="00902DF5"/>
    <w:rsid w:val="0090348D"/>
    <w:rsid w:val="00903C53"/>
    <w:rsid w:val="00903D53"/>
    <w:rsid w:val="00905EA1"/>
    <w:rsid w:val="00906614"/>
    <w:rsid w:val="00906C45"/>
    <w:rsid w:val="009070E1"/>
    <w:rsid w:val="009073B1"/>
    <w:rsid w:val="00907750"/>
    <w:rsid w:val="00910619"/>
    <w:rsid w:val="009111E2"/>
    <w:rsid w:val="00911709"/>
    <w:rsid w:val="00911905"/>
    <w:rsid w:val="00912364"/>
    <w:rsid w:val="00912F7A"/>
    <w:rsid w:val="009132A9"/>
    <w:rsid w:val="00913424"/>
    <w:rsid w:val="00913940"/>
    <w:rsid w:val="00913C62"/>
    <w:rsid w:val="0091556C"/>
    <w:rsid w:val="00915CCE"/>
    <w:rsid w:val="0091689F"/>
    <w:rsid w:val="009171D0"/>
    <w:rsid w:val="00921387"/>
    <w:rsid w:val="0092197D"/>
    <w:rsid w:val="009226EC"/>
    <w:rsid w:val="00923014"/>
    <w:rsid w:val="009254AC"/>
    <w:rsid w:val="009268D2"/>
    <w:rsid w:val="00926D4A"/>
    <w:rsid w:val="0092735C"/>
    <w:rsid w:val="009279C6"/>
    <w:rsid w:val="00927D6E"/>
    <w:rsid w:val="00930635"/>
    <w:rsid w:val="00930C62"/>
    <w:rsid w:val="00931D78"/>
    <w:rsid w:val="00931F3C"/>
    <w:rsid w:val="00933038"/>
    <w:rsid w:val="009338CA"/>
    <w:rsid w:val="0093397C"/>
    <w:rsid w:val="009342EB"/>
    <w:rsid w:val="00934704"/>
    <w:rsid w:val="00934ED3"/>
    <w:rsid w:val="0093514E"/>
    <w:rsid w:val="009351CC"/>
    <w:rsid w:val="00935850"/>
    <w:rsid w:val="009367D4"/>
    <w:rsid w:val="00937260"/>
    <w:rsid w:val="00940DA2"/>
    <w:rsid w:val="00941163"/>
    <w:rsid w:val="0094116E"/>
    <w:rsid w:val="00941852"/>
    <w:rsid w:val="009418E2"/>
    <w:rsid w:val="00941AAE"/>
    <w:rsid w:val="00942139"/>
    <w:rsid w:val="00942D0D"/>
    <w:rsid w:val="0094390C"/>
    <w:rsid w:val="00943D6F"/>
    <w:rsid w:val="00943EE2"/>
    <w:rsid w:val="009447A8"/>
    <w:rsid w:val="00944A95"/>
    <w:rsid w:val="00945497"/>
    <w:rsid w:val="00945666"/>
    <w:rsid w:val="00945C76"/>
    <w:rsid w:val="00945C84"/>
    <w:rsid w:val="00946B38"/>
    <w:rsid w:val="00947230"/>
    <w:rsid w:val="00947F0C"/>
    <w:rsid w:val="00947F94"/>
    <w:rsid w:val="00950D9F"/>
    <w:rsid w:val="009513F3"/>
    <w:rsid w:val="00951F60"/>
    <w:rsid w:val="00952464"/>
    <w:rsid w:val="009527A0"/>
    <w:rsid w:val="00952EE1"/>
    <w:rsid w:val="0095317B"/>
    <w:rsid w:val="009538DC"/>
    <w:rsid w:val="0095486A"/>
    <w:rsid w:val="00955643"/>
    <w:rsid w:val="00955765"/>
    <w:rsid w:val="00956D26"/>
    <w:rsid w:val="00957032"/>
    <w:rsid w:val="00957E25"/>
    <w:rsid w:val="00961518"/>
    <w:rsid w:val="0096184B"/>
    <w:rsid w:val="009618CB"/>
    <w:rsid w:val="00961983"/>
    <w:rsid w:val="00961CF3"/>
    <w:rsid w:val="00961D7E"/>
    <w:rsid w:val="00962190"/>
    <w:rsid w:val="009623E3"/>
    <w:rsid w:val="009624E8"/>
    <w:rsid w:val="00962620"/>
    <w:rsid w:val="00962786"/>
    <w:rsid w:val="0096375B"/>
    <w:rsid w:val="009637D6"/>
    <w:rsid w:val="009646C0"/>
    <w:rsid w:val="00964855"/>
    <w:rsid w:val="00965C18"/>
    <w:rsid w:val="00965E4A"/>
    <w:rsid w:val="009673C0"/>
    <w:rsid w:val="00967796"/>
    <w:rsid w:val="00967FFA"/>
    <w:rsid w:val="0097062D"/>
    <w:rsid w:val="00970709"/>
    <w:rsid w:val="009720DF"/>
    <w:rsid w:val="009723B3"/>
    <w:rsid w:val="009726D1"/>
    <w:rsid w:val="00972C6C"/>
    <w:rsid w:val="00973AC1"/>
    <w:rsid w:val="00973DB9"/>
    <w:rsid w:val="00973ED4"/>
    <w:rsid w:val="009748A7"/>
    <w:rsid w:val="00974D1C"/>
    <w:rsid w:val="00975310"/>
    <w:rsid w:val="00975A5F"/>
    <w:rsid w:val="00976CDF"/>
    <w:rsid w:val="00977495"/>
    <w:rsid w:val="00977C38"/>
    <w:rsid w:val="009801D2"/>
    <w:rsid w:val="009811DB"/>
    <w:rsid w:val="00981334"/>
    <w:rsid w:val="009819FE"/>
    <w:rsid w:val="00982FD8"/>
    <w:rsid w:val="009837A2"/>
    <w:rsid w:val="00984010"/>
    <w:rsid w:val="00984F82"/>
    <w:rsid w:val="009852EE"/>
    <w:rsid w:val="00985F2A"/>
    <w:rsid w:val="00985FAF"/>
    <w:rsid w:val="00986272"/>
    <w:rsid w:val="0098674B"/>
    <w:rsid w:val="009868F9"/>
    <w:rsid w:val="0098743A"/>
    <w:rsid w:val="00990102"/>
    <w:rsid w:val="0099097A"/>
    <w:rsid w:val="00990ADA"/>
    <w:rsid w:val="00990DB2"/>
    <w:rsid w:val="009934B1"/>
    <w:rsid w:val="00993B8D"/>
    <w:rsid w:val="00994107"/>
    <w:rsid w:val="0099497D"/>
    <w:rsid w:val="00995836"/>
    <w:rsid w:val="0099603D"/>
    <w:rsid w:val="00996056"/>
    <w:rsid w:val="0099678C"/>
    <w:rsid w:val="00996B2B"/>
    <w:rsid w:val="00996E07"/>
    <w:rsid w:val="0099738E"/>
    <w:rsid w:val="009979B3"/>
    <w:rsid w:val="00997CFA"/>
    <w:rsid w:val="00997F02"/>
    <w:rsid w:val="00997F53"/>
    <w:rsid w:val="009A0548"/>
    <w:rsid w:val="009A0759"/>
    <w:rsid w:val="009A07E7"/>
    <w:rsid w:val="009A11D6"/>
    <w:rsid w:val="009A241F"/>
    <w:rsid w:val="009A299C"/>
    <w:rsid w:val="009A3FBF"/>
    <w:rsid w:val="009A4934"/>
    <w:rsid w:val="009A4CCB"/>
    <w:rsid w:val="009A4D11"/>
    <w:rsid w:val="009A5138"/>
    <w:rsid w:val="009A52C0"/>
    <w:rsid w:val="009A5B00"/>
    <w:rsid w:val="009A6C51"/>
    <w:rsid w:val="009B017A"/>
    <w:rsid w:val="009B046A"/>
    <w:rsid w:val="009B0D78"/>
    <w:rsid w:val="009B10AF"/>
    <w:rsid w:val="009B15C5"/>
    <w:rsid w:val="009B2683"/>
    <w:rsid w:val="009B27DA"/>
    <w:rsid w:val="009B2999"/>
    <w:rsid w:val="009B29B5"/>
    <w:rsid w:val="009B2FB2"/>
    <w:rsid w:val="009B34EA"/>
    <w:rsid w:val="009B3A9B"/>
    <w:rsid w:val="009B3F91"/>
    <w:rsid w:val="009B4319"/>
    <w:rsid w:val="009B4A73"/>
    <w:rsid w:val="009B4B95"/>
    <w:rsid w:val="009B5393"/>
    <w:rsid w:val="009B57FD"/>
    <w:rsid w:val="009B5EB3"/>
    <w:rsid w:val="009B5FE0"/>
    <w:rsid w:val="009B6222"/>
    <w:rsid w:val="009C0117"/>
    <w:rsid w:val="009C1406"/>
    <w:rsid w:val="009C1C0F"/>
    <w:rsid w:val="009C2129"/>
    <w:rsid w:val="009C212E"/>
    <w:rsid w:val="009C2C09"/>
    <w:rsid w:val="009C36FC"/>
    <w:rsid w:val="009C42AE"/>
    <w:rsid w:val="009C479E"/>
    <w:rsid w:val="009C47A0"/>
    <w:rsid w:val="009C4CA2"/>
    <w:rsid w:val="009C5E13"/>
    <w:rsid w:val="009C5FF7"/>
    <w:rsid w:val="009C6988"/>
    <w:rsid w:val="009C6BF9"/>
    <w:rsid w:val="009C7AA8"/>
    <w:rsid w:val="009C7D41"/>
    <w:rsid w:val="009D0017"/>
    <w:rsid w:val="009D07E5"/>
    <w:rsid w:val="009D099C"/>
    <w:rsid w:val="009D0C64"/>
    <w:rsid w:val="009D17E6"/>
    <w:rsid w:val="009D198C"/>
    <w:rsid w:val="009D23E9"/>
    <w:rsid w:val="009D2D52"/>
    <w:rsid w:val="009D2F4C"/>
    <w:rsid w:val="009D3205"/>
    <w:rsid w:val="009D3305"/>
    <w:rsid w:val="009D39F0"/>
    <w:rsid w:val="009D4216"/>
    <w:rsid w:val="009D4A63"/>
    <w:rsid w:val="009D54F5"/>
    <w:rsid w:val="009D5528"/>
    <w:rsid w:val="009D5882"/>
    <w:rsid w:val="009D5900"/>
    <w:rsid w:val="009D60B2"/>
    <w:rsid w:val="009D6512"/>
    <w:rsid w:val="009D6FC2"/>
    <w:rsid w:val="009D7D47"/>
    <w:rsid w:val="009E0072"/>
    <w:rsid w:val="009E0386"/>
    <w:rsid w:val="009E0767"/>
    <w:rsid w:val="009E1DA7"/>
    <w:rsid w:val="009E217E"/>
    <w:rsid w:val="009E228D"/>
    <w:rsid w:val="009E2D13"/>
    <w:rsid w:val="009E2E0D"/>
    <w:rsid w:val="009E31B1"/>
    <w:rsid w:val="009E37E5"/>
    <w:rsid w:val="009E3B1C"/>
    <w:rsid w:val="009E3EB8"/>
    <w:rsid w:val="009E56E8"/>
    <w:rsid w:val="009E6407"/>
    <w:rsid w:val="009E6445"/>
    <w:rsid w:val="009E6A6E"/>
    <w:rsid w:val="009E6E01"/>
    <w:rsid w:val="009E6F95"/>
    <w:rsid w:val="009E7103"/>
    <w:rsid w:val="009F0ACC"/>
    <w:rsid w:val="009F1043"/>
    <w:rsid w:val="009F1288"/>
    <w:rsid w:val="009F1596"/>
    <w:rsid w:val="009F17D6"/>
    <w:rsid w:val="009F2BC6"/>
    <w:rsid w:val="009F4000"/>
    <w:rsid w:val="009F4CA6"/>
    <w:rsid w:val="009F5B0D"/>
    <w:rsid w:val="009F5E18"/>
    <w:rsid w:val="009F64C3"/>
    <w:rsid w:val="009F6728"/>
    <w:rsid w:val="009F6A16"/>
    <w:rsid w:val="00A0003D"/>
    <w:rsid w:val="00A002B2"/>
    <w:rsid w:val="00A005D5"/>
    <w:rsid w:val="00A02909"/>
    <w:rsid w:val="00A02EC6"/>
    <w:rsid w:val="00A03C6F"/>
    <w:rsid w:val="00A03F7B"/>
    <w:rsid w:val="00A04819"/>
    <w:rsid w:val="00A05835"/>
    <w:rsid w:val="00A05948"/>
    <w:rsid w:val="00A06047"/>
    <w:rsid w:val="00A06FFD"/>
    <w:rsid w:val="00A077F8"/>
    <w:rsid w:val="00A0796A"/>
    <w:rsid w:val="00A1051E"/>
    <w:rsid w:val="00A11245"/>
    <w:rsid w:val="00A1129B"/>
    <w:rsid w:val="00A11AF8"/>
    <w:rsid w:val="00A13333"/>
    <w:rsid w:val="00A134D1"/>
    <w:rsid w:val="00A14142"/>
    <w:rsid w:val="00A143B6"/>
    <w:rsid w:val="00A14F4B"/>
    <w:rsid w:val="00A1539B"/>
    <w:rsid w:val="00A15E53"/>
    <w:rsid w:val="00A166AC"/>
    <w:rsid w:val="00A170B6"/>
    <w:rsid w:val="00A179B7"/>
    <w:rsid w:val="00A179FF"/>
    <w:rsid w:val="00A202D8"/>
    <w:rsid w:val="00A20641"/>
    <w:rsid w:val="00A2119E"/>
    <w:rsid w:val="00A21EE9"/>
    <w:rsid w:val="00A22114"/>
    <w:rsid w:val="00A22925"/>
    <w:rsid w:val="00A22F7A"/>
    <w:rsid w:val="00A234C9"/>
    <w:rsid w:val="00A253A0"/>
    <w:rsid w:val="00A25860"/>
    <w:rsid w:val="00A26707"/>
    <w:rsid w:val="00A2695A"/>
    <w:rsid w:val="00A26ABE"/>
    <w:rsid w:val="00A30448"/>
    <w:rsid w:val="00A304B6"/>
    <w:rsid w:val="00A31BD7"/>
    <w:rsid w:val="00A3233B"/>
    <w:rsid w:val="00A32767"/>
    <w:rsid w:val="00A329E8"/>
    <w:rsid w:val="00A32DFE"/>
    <w:rsid w:val="00A32FE1"/>
    <w:rsid w:val="00A34B80"/>
    <w:rsid w:val="00A35427"/>
    <w:rsid w:val="00A3583C"/>
    <w:rsid w:val="00A35E94"/>
    <w:rsid w:val="00A36772"/>
    <w:rsid w:val="00A368E5"/>
    <w:rsid w:val="00A37ED6"/>
    <w:rsid w:val="00A40138"/>
    <w:rsid w:val="00A40F3A"/>
    <w:rsid w:val="00A41087"/>
    <w:rsid w:val="00A420F1"/>
    <w:rsid w:val="00A421A9"/>
    <w:rsid w:val="00A4272E"/>
    <w:rsid w:val="00A43A8D"/>
    <w:rsid w:val="00A43C45"/>
    <w:rsid w:val="00A43E97"/>
    <w:rsid w:val="00A44935"/>
    <w:rsid w:val="00A459B6"/>
    <w:rsid w:val="00A46071"/>
    <w:rsid w:val="00A46C0C"/>
    <w:rsid w:val="00A47FA9"/>
    <w:rsid w:val="00A50255"/>
    <w:rsid w:val="00A50C97"/>
    <w:rsid w:val="00A52A20"/>
    <w:rsid w:val="00A52D93"/>
    <w:rsid w:val="00A538D8"/>
    <w:rsid w:val="00A54EDA"/>
    <w:rsid w:val="00A55232"/>
    <w:rsid w:val="00A55315"/>
    <w:rsid w:val="00A555F0"/>
    <w:rsid w:val="00A56050"/>
    <w:rsid w:val="00A56AAA"/>
    <w:rsid w:val="00A5718B"/>
    <w:rsid w:val="00A574CF"/>
    <w:rsid w:val="00A57835"/>
    <w:rsid w:val="00A602DA"/>
    <w:rsid w:val="00A60E36"/>
    <w:rsid w:val="00A61C97"/>
    <w:rsid w:val="00A6224C"/>
    <w:rsid w:val="00A62AD7"/>
    <w:rsid w:val="00A62EAE"/>
    <w:rsid w:val="00A6368C"/>
    <w:rsid w:val="00A63A85"/>
    <w:rsid w:val="00A649CB"/>
    <w:rsid w:val="00A650A5"/>
    <w:rsid w:val="00A65D07"/>
    <w:rsid w:val="00A65DED"/>
    <w:rsid w:val="00A663B8"/>
    <w:rsid w:val="00A665A3"/>
    <w:rsid w:val="00A667CF"/>
    <w:rsid w:val="00A66D65"/>
    <w:rsid w:val="00A673F9"/>
    <w:rsid w:val="00A67537"/>
    <w:rsid w:val="00A67E67"/>
    <w:rsid w:val="00A70080"/>
    <w:rsid w:val="00A70631"/>
    <w:rsid w:val="00A7102A"/>
    <w:rsid w:val="00A72423"/>
    <w:rsid w:val="00A72E24"/>
    <w:rsid w:val="00A737F9"/>
    <w:rsid w:val="00A73F63"/>
    <w:rsid w:val="00A74085"/>
    <w:rsid w:val="00A74DF6"/>
    <w:rsid w:val="00A751BA"/>
    <w:rsid w:val="00A77012"/>
    <w:rsid w:val="00A7743A"/>
    <w:rsid w:val="00A77805"/>
    <w:rsid w:val="00A77995"/>
    <w:rsid w:val="00A77C17"/>
    <w:rsid w:val="00A80BAC"/>
    <w:rsid w:val="00A80F12"/>
    <w:rsid w:val="00A81609"/>
    <w:rsid w:val="00A81BED"/>
    <w:rsid w:val="00A81E45"/>
    <w:rsid w:val="00A82CDF"/>
    <w:rsid w:val="00A83628"/>
    <w:rsid w:val="00A836CD"/>
    <w:rsid w:val="00A84079"/>
    <w:rsid w:val="00A84197"/>
    <w:rsid w:val="00A8466F"/>
    <w:rsid w:val="00A84FE4"/>
    <w:rsid w:val="00A8502B"/>
    <w:rsid w:val="00A8669C"/>
    <w:rsid w:val="00A868F7"/>
    <w:rsid w:val="00A87BB2"/>
    <w:rsid w:val="00A87D31"/>
    <w:rsid w:val="00A90C98"/>
    <w:rsid w:val="00A91517"/>
    <w:rsid w:val="00A91FD6"/>
    <w:rsid w:val="00A92057"/>
    <w:rsid w:val="00A931CE"/>
    <w:rsid w:val="00A936B9"/>
    <w:rsid w:val="00A938F0"/>
    <w:rsid w:val="00A939C6"/>
    <w:rsid w:val="00A93D10"/>
    <w:rsid w:val="00A94400"/>
    <w:rsid w:val="00A94C11"/>
    <w:rsid w:val="00A9508C"/>
    <w:rsid w:val="00A95E33"/>
    <w:rsid w:val="00A95E64"/>
    <w:rsid w:val="00A9613D"/>
    <w:rsid w:val="00A96836"/>
    <w:rsid w:val="00A96A13"/>
    <w:rsid w:val="00AA0011"/>
    <w:rsid w:val="00AA0230"/>
    <w:rsid w:val="00AA057E"/>
    <w:rsid w:val="00AA10EC"/>
    <w:rsid w:val="00AA1372"/>
    <w:rsid w:val="00AA14F9"/>
    <w:rsid w:val="00AA1FF3"/>
    <w:rsid w:val="00AA27BD"/>
    <w:rsid w:val="00AA2855"/>
    <w:rsid w:val="00AA2E33"/>
    <w:rsid w:val="00AA2F1C"/>
    <w:rsid w:val="00AA3737"/>
    <w:rsid w:val="00AA39F8"/>
    <w:rsid w:val="00AA3F71"/>
    <w:rsid w:val="00AA4F0C"/>
    <w:rsid w:val="00AA56CA"/>
    <w:rsid w:val="00AA5CBF"/>
    <w:rsid w:val="00AA6195"/>
    <w:rsid w:val="00AA6290"/>
    <w:rsid w:val="00AA62B1"/>
    <w:rsid w:val="00AA6999"/>
    <w:rsid w:val="00AA6CA1"/>
    <w:rsid w:val="00AA7345"/>
    <w:rsid w:val="00AA762F"/>
    <w:rsid w:val="00AA7A1A"/>
    <w:rsid w:val="00AA7F71"/>
    <w:rsid w:val="00AB0745"/>
    <w:rsid w:val="00AB09CF"/>
    <w:rsid w:val="00AB0AED"/>
    <w:rsid w:val="00AB0E77"/>
    <w:rsid w:val="00AB0F77"/>
    <w:rsid w:val="00AB13EB"/>
    <w:rsid w:val="00AB1973"/>
    <w:rsid w:val="00AB23F6"/>
    <w:rsid w:val="00AB2FED"/>
    <w:rsid w:val="00AB3288"/>
    <w:rsid w:val="00AB42BF"/>
    <w:rsid w:val="00AB508D"/>
    <w:rsid w:val="00AB5722"/>
    <w:rsid w:val="00AB5A56"/>
    <w:rsid w:val="00AB5B7A"/>
    <w:rsid w:val="00AB680A"/>
    <w:rsid w:val="00AB6983"/>
    <w:rsid w:val="00AB71CC"/>
    <w:rsid w:val="00AB72E6"/>
    <w:rsid w:val="00AB7649"/>
    <w:rsid w:val="00AB7D78"/>
    <w:rsid w:val="00AB7EB4"/>
    <w:rsid w:val="00AC043D"/>
    <w:rsid w:val="00AC047C"/>
    <w:rsid w:val="00AC05F0"/>
    <w:rsid w:val="00AC064F"/>
    <w:rsid w:val="00AC09E3"/>
    <w:rsid w:val="00AC0B87"/>
    <w:rsid w:val="00AC0C1E"/>
    <w:rsid w:val="00AC1759"/>
    <w:rsid w:val="00AC1BF1"/>
    <w:rsid w:val="00AC2103"/>
    <w:rsid w:val="00AC28B6"/>
    <w:rsid w:val="00AC32E7"/>
    <w:rsid w:val="00AC35BD"/>
    <w:rsid w:val="00AC4761"/>
    <w:rsid w:val="00AC4815"/>
    <w:rsid w:val="00AC49C5"/>
    <w:rsid w:val="00AC4AAA"/>
    <w:rsid w:val="00AC4C6B"/>
    <w:rsid w:val="00AC550D"/>
    <w:rsid w:val="00AC56F0"/>
    <w:rsid w:val="00AC6740"/>
    <w:rsid w:val="00AC765C"/>
    <w:rsid w:val="00AC7BF9"/>
    <w:rsid w:val="00AC7CDF"/>
    <w:rsid w:val="00AC7E70"/>
    <w:rsid w:val="00AD043A"/>
    <w:rsid w:val="00AD15E0"/>
    <w:rsid w:val="00AD1EEF"/>
    <w:rsid w:val="00AD23D7"/>
    <w:rsid w:val="00AD2569"/>
    <w:rsid w:val="00AD2956"/>
    <w:rsid w:val="00AD2B20"/>
    <w:rsid w:val="00AD35A0"/>
    <w:rsid w:val="00AD451D"/>
    <w:rsid w:val="00AD45C6"/>
    <w:rsid w:val="00AD47C6"/>
    <w:rsid w:val="00AD50CC"/>
    <w:rsid w:val="00AD556F"/>
    <w:rsid w:val="00AD6820"/>
    <w:rsid w:val="00AD6F36"/>
    <w:rsid w:val="00AE0790"/>
    <w:rsid w:val="00AE0A85"/>
    <w:rsid w:val="00AE1197"/>
    <w:rsid w:val="00AE1329"/>
    <w:rsid w:val="00AE1389"/>
    <w:rsid w:val="00AE212B"/>
    <w:rsid w:val="00AE24E3"/>
    <w:rsid w:val="00AE2864"/>
    <w:rsid w:val="00AE28B6"/>
    <w:rsid w:val="00AE37D6"/>
    <w:rsid w:val="00AE3CF3"/>
    <w:rsid w:val="00AE4584"/>
    <w:rsid w:val="00AE4952"/>
    <w:rsid w:val="00AE4EB4"/>
    <w:rsid w:val="00AE5468"/>
    <w:rsid w:val="00AE569F"/>
    <w:rsid w:val="00AE57D8"/>
    <w:rsid w:val="00AE5920"/>
    <w:rsid w:val="00AE5BBA"/>
    <w:rsid w:val="00AE5E99"/>
    <w:rsid w:val="00AE625C"/>
    <w:rsid w:val="00AE6283"/>
    <w:rsid w:val="00AE7678"/>
    <w:rsid w:val="00AE7BD6"/>
    <w:rsid w:val="00AF14EB"/>
    <w:rsid w:val="00AF1DF3"/>
    <w:rsid w:val="00AF296D"/>
    <w:rsid w:val="00AF341E"/>
    <w:rsid w:val="00AF353C"/>
    <w:rsid w:val="00AF3786"/>
    <w:rsid w:val="00AF40B9"/>
    <w:rsid w:val="00AF4327"/>
    <w:rsid w:val="00AF4AD3"/>
    <w:rsid w:val="00AF5600"/>
    <w:rsid w:val="00AF5B05"/>
    <w:rsid w:val="00AF632B"/>
    <w:rsid w:val="00AF6E93"/>
    <w:rsid w:val="00B00FA7"/>
    <w:rsid w:val="00B033B3"/>
    <w:rsid w:val="00B033F1"/>
    <w:rsid w:val="00B0347F"/>
    <w:rsid w:val="00B036EB"/>
    <w:rsid w:val="00B039F9"/>
    <w:rsid w:val="00B03C94"/>
    <w:rsid w:val="00B03F66"/>
    <w:rsid w:val="00B04CA4"/>
    <w:rsid w:val="00B05711"/>
    <w:rsid w:val="00B06333"/>
    <w:rsid w:val="00B0634E"/>
    <w:rsid w:val="00B0694D"/>
    <w:rsid w:val="00B06B55"/>
    <w:rsid w:val="00B06E9D"/>
    <w:rsid w:val="00B07677"/>
    <w:rsid w:val="00B078C8"/>
    <w:rsid w:val="00B10070"/>
    <w:rsid w:val="00B104DC"/>
    <w:rsid w:val="00B10502"/>
    <w:rsid w:val="00B10F66"/>
    <w:rsid w:val="00B1134B"/>
    <w:rsid w:val="00B115F5"/>
    <w:rsid w:val="00B11628"/>
    <w:rsid w:val="00B13076"/>
    <w:rsid w:val="00B13B68"/>
    <w:rsid w:val="00B1486A"/>
    <w:rsid w:val="00B16321"/>
    <w:rsid w:val="00B166DD"/>
    <w:rsid w:val="00B16ADE"/>
    <w:rsid w:val="00B17696"/>
    <w:rsid w:val="00B176A4"/>
    <w:rsid w:val="00B2068C"/>
    <w:rsid w:val="00B21006"/>
    <w:rsid w:val="00B21DB9"/>
    <w:rsid w:val="00B223DC"/>
    <w:rsid w:val="00B224AD"/>
    <w:rsid w:val="00B22AEB"/>
    <w:rsid w:val="00B23163"/>
    <w:rsid w:val="00B23387"/>
    <w:rsid w:val="00B243C7"/>
    <w:rsid w:val="00B2444B"/>
    <w:rsid w:val="00B24B1E"/>
    <w:rsid w:val="00B25380"/>
    <w:rsid w:val="00B25905"/>
    <w:rsid w:val="00B2640B"/>
    <w:rsid w:val="00B2658F"/>
    <w:rsid w:val="00B26B86"/>
    <w:rsid w:val="00B27165"/>
    <w:rsid w:val="00B31C35"/>
    <w:rsid w:val="00B32833"/>
    <w:rsid w:val="00B328AC"/>
    <w:rsid w:val="00B331E7"/>
    <w:rsid w:val="00B33747"/>
    <w:rsid w:val="00B33A7B"/>
    <w:rsid w:val="00B342BD"/>
    <w:rsid w:val="00B354E6"/>
    <w:rsid w:val="00B358ED"/>
    <w:rsid w:val="00B3605F"/>
    <w:rsid w:val="00B36322"/>
    <w:rsid w:val="00B36FF4"/>
    <w:rsid w:val="00B4029C"/>
    <w:rsid w:val="00B403B0"/>
    <w:rsid w:val="00B40796"/>
    <w:rsid w:val="00B4110A"/>
    <w:rsid w:val="00B41202"/>
    <w:rsid w:val="00B41C79"/>
    <w:rsid w:val="00B43834"/>
    <w:rsid w:val="00B4396A"/>
    <w:rsid w:val="00B43C39"/>
    <w:rsid w:val="00B43D6D"/>
    <w:rsid w:val="00B43DA6"/>
    <w:rsid w:val="00B44187"/>
    <w:rsid w:val="00B45027"/>
    <w:rsid w:val="00B4529D"/>
    <w:rsid w:val="00B45850"/>
    <w:rsid w:val="00B45BC0"/>
    <w:rsid w:val="00B45D11"/>
    <w:rsid w:val="00B4649F"/>
    <w:rsid w:val="00B471B4"/>
    <w:rsid w:val="00B47225"/>
    <w:rsid w:val="00B475B4"/>
    <w:rsid w:val="00B47F28"/>
    <w:rsid w:val="00B47F4B"/>
    <w:rsid w:val="00B50C00"/>
    <w:rsid w:val="00B51047"/>
    <w:rsid w:val="00B5218C"/>
    <w:rsid w:val="00B52F78"/>
    <w:rsid w:val="00B53285"/>
    <w:rsid w:val="00B5357F"/>
    <w:rsid w:val="00B53851"/>
    <w:rsid w:val="00B53A17"/>
    <w:rsid w:val="00B541C8"/>
    <w:rsid w:val="00B54E0E"/>
    <w:rsid w:val="00B555C5"/>
    <w:rsid w:val="00B55749"/>
    <w:rsid w:val="00B559E0"/>
    <w:rsid w:val="00B55C07"/>
    <w:rsid w:val="00B5753C"/>
    <w:rsid w:val="00B57551"/>
    <w:rsid w:val="00B607AC"/>
    <w:rsid w:val="00B60CC7"/>
    <w:rsid w:val="00B62E5A"/>
    <w:rsid w:val="00B63BF9"/>
    <w:rsid w:val="00B63EF5"/>
    <w:rsid w:val="00B64F60"/>
    <w:rsid w:val="00B65814"/>
    <w:rsid w:val="00B663E0"/>
    <w:rsid w:val="00B66915"/>
    <w:rsid w:val="00B6697D"/>
    <w:rsid w:val="00B66F07"/>
    <w:rsid w:val="00B67015"/>
    <w:rsid w:val="00B678E2"/>
    <w:rsid w:val="00B70407"/>
    <w:rsid w:val="00B704CC"/>
    <w:rsid w:val="00B70DBD"/>
    <w:rsid w:val="00B71114"/>
    <w:rsid w:val="00B71213"/>
    <w:rsid w:val="00B7274D"/>
    <w:rsid w:val="00B72CC0"/>
    <w:rsid w:val="00B72D8A"/>
    <w:rsid w:val="00B73189"/>
    <w:rsid w:val="00B75600"/>
    <w:rsid w:val="00B77903"/>
    <w:rsid w:val="00B80784"/>
    <w:rsid w:val="00B80F2E"/>
    <w:rsid w:val="00B8166D"/>
    <w:rsid w:val="00B82F70"/>
    <w:rsid w:val="00B8303A"/>
    <w:rsid w:val="00B834F3"/>
    <w:rsid w:val="00B841B6"/>
    <w:rsid w:val="00B84228"/>
    <w:rsid w:val="00B84681"/>
    <w:rsid w:val="00B86042"/>
    <w:rsid w:val="00B861A8"/>
    <w:rsid w:val="00B86DFC"/>
    <w:rsid w:val="00B8746D"/>
    <w:rsid w:val="00B87BFD"/>
    <w:rsid w:val="00B9019E"/>
    <w:rsid w:val="00B901C9"/>
    <w:rsid w:val="00B906D1"/>
    <w:rsid w:val="00B9140D"/>
    <w:rsid w:val="00B91513"/>
    <w:rsid w:val="00B91541"/>
    <w:rsid w:val="00B91A17"/>
    <w:rsid w:val="00B923A7"/>
    <w:rsid w:val="00B928FE"/>
    <w:rsid w:val="00B92AFF"/>
    <w:rsid w:val="00B92CB3"/>
    <w:rsid w:val="00B930E0"/>
    <w:rsid w:val="00B94095"/>
    <w:rsid w:val="00B941A7"/>
    <w:rsid w:val="00B944FF"/>
    <w:rsid w:val="00B9489E"/>
    <w:rsid w:val="00B948E0"/>
    <w:rsid w:val="00B94E7C"/>
    <w:rsid w:val="00B95348"/>
    <w:rsid w:val="00B95969"/>
    <w:rsid w:val="00B95DB0"/>
    <w:rsid w:val="00B96D95"/>
    <w:rsid w:val="00B97176"/>
    <w:rsid w:val="00B974A9"/>
    <w:rsid w:val="00B975B6"/>
    <w:rsid w:val="00B97C10"/>
    <w:rsid w:val="00BA01C6"/>
    <w:rsid w:val="00BA0715"/>
    <w:rsid w:val="00BA0DEA"/>
    <w:rsid w:val="00BA1E3A"/>
    <w:rsid w:val="00BA2609"/>
    <w:rsid w:val="00BA2899"/>
    <w:rsid w:val="00BA2E37"/>
    <w:rsid w:val="00BA3BF9"/>
    <w:rsid w:val="00BA464B"/>
    <w:rsid w:val="00BA49EC"/>
    <w:rsid w:val="00BA4FEE"/>
    <w:rsid w:val="00BA5593"/>
    <w:rsid w:val="00BA5707"/>
    <w:rsid w:val="00BA5C39"/>
    <w:rsid w:val="00BA5DF0"/>
    <w:rsid w:val="00BA708E"/>
    <w:rsid w:val="00BA7320"/>
    <w:rsid w:val="00BA79AE"/>
    <w:rsid w:val="00BB00D2"/>
    <w:rsid w:val="00BB0CF5"/>
    <w:rsid w:val="00BB0EEB"/>
    <w:rsid w:val="00BB0F8D"/>
    <w:rsid w:val="00BB10CD"/>
    <w:rsid w:val="00BB170E"/>
    <w:rsid w:val="00BB1DDB"/>
    <w:rsid w:val="00BB2C4D"/>
    <w:rsid w:val="00BB35A1"/>
    <w:rsid w:val="00BB3804"/>
    <w:rsid w:val="00BB39B2"/>
    <w:rsid w:val="00BB3AEE"/>
    <w:rsid w:val="00BB3C13"/>
    <w:rsid w:val="00BB3C90"/>
    <w:rsid w:val="00BB4013"/>
    <w:rsid w:val="00BB4052"/>
    <w:rsid w:val="00BB41C8"/>
    <w:rsid w:val="00BB6404"/>
    <w:rsid w:val="00BB6646"/>
    <w:rsid w:val="00BB6DCE"/>
    <w:rsid w:val="00BB70D1"/>
    <w:rsid w:val="00BB788F"/>
    <w:rsid w:val="00BC0B57"/>
    <w:rsid w:val="00BC1159"/>
    <w:rsid w:val="00BC136B"/>
    <w:rsid w:val="00BC19C1"/>
    <w:rsid w:val="00BC224C"/>
    <w:rsid w:val="00BC268D"/>
    <w:rsid w:val="00BC2995"/>
    <w:rsid w:val="00BC2DD3"/>
    <w:rsid w:val="00BC2F9B"/>
    <w:rsid w:val="00BC376C"/>
    <w:rsid w:val="00BC3D11"/>
    <w:rsid w:val="00BC4673"/>
    <w:rsid w:val="00BC4F65"/>
    <w:rsid w:val="00BC51AA"/>
    <w:rsid w:val="00BC5300"/>
    <w:rsid w:val="00BC5362"/>
    <w:rsid w:val="00BC550D"/>
    <w:rsid w:val="00BC773C"/>
    <w:rsid w:val="00BC77C7"/>
    <w:rsid w:val="00BC78F1"/>
    <w:rsid w:val="00BD0463"/>
    <w:rsid w:val="00BD0AD0"/>
    <w:rsid w:val="00BD10E1"/>
    <w:rsid w:val="00BD1B0F"/>
    <w:rsid w:val="00BD1D0B"/>
    <w:rsid w:val="00BD1D83"/>
    <w:rsid w:val="00BD1F4A"/>
    <w:rsid w:val="00BD2748"/>
    <w:rsid w:val="00BD3EBF"/>
    <w:rsid w:val="00BD41BE"/>
    <w:rsid w:val="00BD45CB"/>
    <w:rsid w:val="00BD504A"/>
    <w:rsid w:val="00BD688F"/>
    <w:rsid w:val="00BD6B05"/>
    <w:rsid w:val="00BD7055"/>
    <w:rsid w:val="00BD709B"/>
    <w:rsid w:val="00BD75CF"/>
    <w:rsid w:val="00BD77AA"/>
    <w:rsid w:val="00BD7F1F"/>
    <w:rsid w:val="00BD7F44"/>
    <w:rsid w:val="00BE0373"/>
    <w:rsid w:val="00BE0FB7"/>
    <w:rsid w:val="00BE100F"/>
    <w:rsid w:val="00BE145B"/>
    <w:rsid w:val="00BE1B2A"/>
    <w:rsid w:val="00BE2EA8"/>
    <w:rsid w:val="00BE3053"/>
    <w:rsid w:val="00BE3341"/>
    <w:rsid w:val="00BE3648"/>
    <w:rsid w:val="00BE4D1A"/>
    <w:rsid w:val="00BE51BC"/>
    <w:rsid w:val="00BE5921"/>
    <w:rsid w:val="00BE598B"/>
    <w:rsid w:val="00BE5C44"/>
    <w:rsid w:val="00BE5DDC"/>
    <w:rsid w:val="00BE7FFB"/>
    <w:rsid w:val="00BF061E"/>
    <w:rsid w:val="00BF0B8A"/>
    <w:rsid w:val="00BF0BF3"/>
    <w:rsid w:val="00BF0CD1"/>
    <w:rsid w:val="00BF0F6E"/>
    <w:rsid w:val="00BF175D"/>
    <w:rsid w:val="00BF17D5"/>
    <w:rsid w:val="00BF1FBE"/>
    <w:rsid w:val="00BF3351"/>
    <w:rsid w:val="00BF35E7"/>
    <w:rsid w:val="00BF3F08"/>
    <w:rsid w:val="00BF446D"/>
    <w:rsid w:val="00BF4724"/>
    <w:rsid w:val="00BF553A"/>
    <w:rsid w:val="00BF59A7"/>
    <w:rsid w:val="00BF5A80"/>
    <w:rsid w:val="00BF5B7C"/>
    <w:rsid w:val="00BF64D5"/>
    <w:rsid w:val="00BF6D2C"/>
    <w:rsid w:val="00BF7C0A"/>
    <w:rsid w:val="00C011FA"/>
    <w:rsid w:val="00C02110"/>
    <w:rsid w:val="00C02202"/>
    <w:rsid w:val="00C0297E"/>
    <w:rsid w:val="00C031FA"/>
    <w:rsid w:val="00C032D0"/>
    <w:rsid w:val="00C036C6"/>
    <w:rsid w:val="00C039A3"/>
    <w:rsid w:val="00C04945"/>
    <w:rsid w:val="00C04F0B"/>
    <w:rsid w:val="00C0527B"/>
    <w:rsid w:val="00C05AC2"/>
    <w:rsid w:val="00C05CCB"/>
    <w:rsid w:val="00C06C42"/>
    <w:rsid w:val="00C06D21"/>
    <w:rsid w:val="00C07412"/>
    <w:rsid w:val="00C07FBA"/>
    <w:rsid w:val="00C109F3"/>
    <w:rsid w:val="00C10DCA"/>
    <w:rsid w:val="00C1141E"/>
    <w:rsid w:val="00C1219C"/>
    <w:rsid w:val="00C1250B"/>
    <w:rsid w:val="00C131B7"/>
    <w:rsid w:val="00C145C8"/>
    <w:rsid w:val="00C15440"/>
    <w:rsid w:val="00C1558B"/>
    <w:rsid w:val="00C15AD6"/>
    <w:rsid w:val="00C15EFC"/>
    <w:rsid w:val="00C1611C"/>
    <w:rsid w:val="00C163C8"/>
    <w:rsid w:val="00C16EB3"/>
    <w:rsid w:val="00C17C10"/>
    <w:rsid w:val="00C201A8"/>
    <w:rsid w:val="00C20612"/>
    <w:rsid w:val="00C2110E"/>
    <w:rsid w:val="00C211F9"/>
    <w:rsid w:val="00C213E0"/>
    <w:rsid w:val="00C21A50"/>
    <w:rsid w:val="00C21EDD"/>
    <w:rsid w:val="00C23628"/>
    <w:rsid w:val="00C24128"/>
    <w:rsid w:val="00C249EC"/>
    <w:rsid w:val="00C2515B"/>
    <w:rsid w:val="00C26518"/>
    <w:rsid w:val="00C26613"/>
    <w:rsid w:val="00C268BB"/>
    <w:rsid w:val="00C26D55"/>
    <w:rsid w:val="00C27158"/>
    <w:rsid w:val="00C273E7"/>
    <w:rsid w:val="00C27601"/>
    <w:rsid w:val="00C27BC6"/>
    <w:rsid w:val="00C27DB4"/>
    <w:rsid w:val="00C300EC"/>
    <w:rsid w:val="00C30205"/>
    <w:rsid w:val="00C3050D"/>
    <w:rsid w:val="00C3158F"/>
    <w:rsid w:val="00C3188F"/>
    <w:rsid w:val="00C31D3F"/>
    <w:rsid w:val="00C32D96"/>
    <w:rsid w:val="00C32EDE"/>
    <w:rsid w:val="00C331BC"/>
    <w:rsid w:val="00C3355E"/>
    <w:rsid w:val="00C3373E"/>
    <w:rsid w:val="00C337F1"/>
    <w:rsid w:val="00C33A0E"/>
    <w:rsid w:val="00C33C8A"/>
    <w:rsid w:val="00C34E1B"/>
    <w:rsid w:val="00C36A57"/>
    <w:rsid w:val="00C36FFF"/>
    <w:rsid w:val="00C3769E"/>
    <w:rsid w:val="00C378C2"/>
    <w:rsid w:val="00C40A1A"/>
    <w:rsid w:val="00C41001"/>
    <w:rsid w:val="00C41114"/>
    <w:rsid w:val="00C41EB0"/>
    <w:rsid w:val="00C42705"/>
    <w:rsid w:val="00C42887"/>
    <w:rsid w:val="00C42F5B"/>
    <w:rsid w:val="00C445CC"/>
    <w:rsid w:val="00C44E41"/>
    <w:rsid w:val="00C453D1"/>
    <w:rsid w:val="00C45440"/>
    <w:rsid w:val="00C45BE8"/>
    <w:rsid w:val="00C468BE"/>
    <w:rsid w:val="00C46A5D"/>
    <w:rsid w:val="00C50AF8"/>
    <w:rsid w:val="00C5105B"/>
    <w:rsid w:val="00C513FB"/>
    <w:rsid w:val="00C51DF0"/>
    <w:rsid w:val="00C52FCC"/>
    <w:rsid w:val="00C53735"/>
    <w:rsid w:val="00C53875"/>
    <w:rsid w:val="00C5481A"/>
    <w:rsid w:val="00C54E93"/>
    <w:rsid w:val="00C5501F"/>
    <w:rsid w:val="00C56550"/>
    <w:rsid w:val="00C566C6"/>
    <w:rsid w:val="00C568D3"/>
    <w:rsid w:val="00C571AE"/>
    <w:rsid w:val="00C57643"/>
    <w:rsid w:val="00C57BB1"/>
    <w:rsid w:val="00C604FB"/>
    <w:rsid w:val="00C608E8"/>
    <w:rsid w:val="00C60F01"/>
    <w:rsid w:val="00C623D2"/>
    <w:rsid w:val="00C626DF"/>
    <w:rsid w:val="00C62949"/>
    <w:rsid w:val="00C62BC9"/>
    <w:rsid w:val="00C62DE6"/>
    <w:rsid w:val="00C63496"/>
    <w:rsid w:val="00C63C5C"/>
    <w:rsid w:val="00C63F1A"/>
    <w:rsid w:val="00C647A5"/>
    <w:rsid w:val="00C652B1"/>
    <w:rsid w:val="00C653ED"/>
    <w:rsid w:val="00C658E6"/>
    <w:rsid w:val="00C663A6"/>
    <w:rsid w:val="00C6644E"/>
    <w:rsid w:val="00C66AB2"/>
    <w:rsid w:val="00C67E02"/>
    <w:rsid w:val="00C67E40"/>
    <w:rsid w:val="00C70562"/>
    <w:rsid w:val="00C706BD"/>
    <w:rsid w:val="00C70FB5"/>
    <w:rsid w:val="00C711B0"/>
    <w:rsid w:val="00C71720"/>
    <w:rsid w:val="00C71E17"/>
    <w:rsid w:val="00C721D8"/>
    <w:rsid w:val="00C72F38"/>
    <w:rsid w:val="00C73466"/>
    <w:rsid w:val="00C7437C"/>
    <w:rsid w:val="00C743B5"/>
    <w:rsid w:val="00C745E5"/>
    <w:rsid w:val="00C74F29"/>
    <w:rsid w:val="00C75A3F"/>
    <w:rsid w:val="00C765FF"/>
    <w:rsid w:val="00C766C1"/>
    <w:rsid w:val="00C80908"/>
    <w:rsid w:val="00C81B7F"/>
    <w:rsid w:val="00C81E4F"/>
    <w:rsid w:val="00C821CB"/>
    <w:rsid w:val="00C824CE"/>
    <w:rsid w:val="00C826A6"/>
    <w:rsid w:val="00C82734"/>
    <w:rsid w:val="00C82A0A"/>
    <w:rsid w:val="00C82FC9"/>
    <w:rsid w:val="00C835BC"/>
    <w:rsid w:val="00C83667"/>
    <w:rsid w:val="00C83E31"/>
    <w:rsid w:val="00C844F1"/>
    <w:rsid w:val="00C84533"/>
    <w:rsid w:val="00C84570"/>
    <w:rsid w:val="00C84604"/>
    <w:rsid w:val="00C84B36"/>
    <w:rsid w:val="00C84B9F"/>
    <w:rsid w:val="00C8650B"/>
    <w:rsid w:val="00C86AFF"/>
    <w:rsid w:val="00C87701"/>
    <w:rsid w:val="00C90A94"/>
    <w:rsid w:val="00C90FEB"/>
    <w:rsid w:val="00C91026"/>
    <w:rsid w:val="00C914D6"/>
    <w:rsid w:val="00C91610"/>
    <w:rsid w:val="00C91B51"/>
    <w:rsid w:val="00C91EFA"/>
    <w:rsid w:val="00C92928"/>
    <w:rsid w:val="00C929A3"/>
    <w:rsid w:val="00C92E7A"/>
    <w:rsid w:val="00C9321D"/>
    <w:rsid w:val="00C932E1"/>
    <w:rsid w:val="00C93474"/>
    <w:rsid w:val="00C9359B"/>
    <w:rsid w:val="00C938DA"/>
    <w:rsid w:val="00C93D03"/>
    <w:rsid w:val="00C93DA5"/>
    <w:rsid w:val="00C94FB1"/>
    <w:rsid w:val="00C951C9"/>
    <w:rsid w:val="00C95686"/>
    <w:rsid w:val="00C95851"/>
    <w:rsid w:val="00C959FC"/>
    <w:rsid w:val="00C95C40"/>
    <w:rsid w:val="00C96E70"/>
    <w:rsid w:val="00C97A49"/>
    <w:rsid w:val="00C97B1B"/>
    <w:rsid w:val="00C97C5B"/>
    <w:rsid w:val="00CA00A4"/>
    <w:rsid w:val="00CA0CB6"/>
    <w:rsid w:val="00CA0D38"/>
    <w:rsid w:val="00CA0EFB"/>
    <w:rsid w:val="00CA0EFE"/>
    <w:rsid w:val="00CA162F"/>
    <w:rsid w:val="00CA261F"/>
    <w:rsid w:val="00CA28A0"/>
    <w:rsid w:val="00CA3289"/>
    <w:rsid w:val="00CA3298"/>
    <w:rsid w:val="00CA46B8"/>
    <w:rsid w:val="00CA46BC"/>
    <w:rsid w:val="00CA4B34"/>
    <w:rsid w:val="00CA4B56"/>
    <w:rsid w:val="00CA4EAF"/>
    <w:rsid w:val="00CA5434"/>
    <w:rsid w:val="00CA5A93"/>
    <w:rsid w:val="00CA6190"/>
    <w:rsid w:val="00CA6CC9"/>
    <w:rsid w:val="00CB0D19"/>
    <w:rsid w:val="00CB1311"/>
    <w:rsid w:val="00CB16DB"/>
    <w:rsid w:val="00CB1A4C"/>
    <w:rsid w:val="00CB2543"/>
    <w:rsid w:val="00CB3167"/>
    <w:rsid w:val="00CB3EA1"/>
    <w:rsid w:val="00CB5251"/>
    <w:rsid w:val="00CB5EB1"/>
    <w:rsid w:val="00CC0B8A"/>
    <w:rsid w:val="00CC0FF2"/>
    <w:rsid w:val="00CC121B"/>
    <w:rsid w:val="00CC148D"/>
    <w:rsid w:val="00CC2D53"/>
    <w:rsid w:val="00CC3360"/>
    <w:rsid w:val="00CC33F6"/>
    <w:rsid w:val="00CC373E"/>
    <w:rsid w:val="00CC3A64"/>
    <w:rsid w:val="00CC4863"/>
    <w:rsid w:val="00CC486C"/>
    <w:rsid w:val="00CC4F04"/>
    <w:rsid w:val="00CC5418"/>
    <w:rsid w:val="00CC5BC1"/>
    <w:rsid w:val="00CC655C"/>
    <w:rsid w:val="00CC735F"/>
    <w:rsid w:val="00CC749D"/>
    <w:rsid w:val="00CC76D8"/>
    <w:rsid w:val="00CC7E6E"/>
    <w:rsid w:val="00CD00CF"/>
    <w:rsid w:val="00CD0517"/>
    <w:rsid w:val="00CD070C"/>
    <w:rsid w:val="00CD1BBA"/>
    <w:rsid w:val="00CD1ED8"/>
    <w:rsid w:val="00CD1F87"/>
    <w:rsid w:val="00CD25A6"/>
    <w:rsid w:val="00CD2A25"/>
    <w:rsid w:val="00CD31E7"/>
    <w:rsid w:val="00CD369B"/>
    <w:rsid w:val="00CD37A1"/>
    <w:rsid w:val="00CD4B84"/>
    <w:rsid w:val="00CD4CD3"/>
    <w:rsid w:val="00CD4EBE"/>
    <w:rsid w:val="00CD582A"/>
    <w:rsid w:val="00CD6F52"/>
    <w:rsid w:val="00CD6F65"/>
    <w:rsid w:val="00CD7CD5"/>
    <w:rsid w:val="00CE055A"/>
    <w:rsid w:val="00CE0F82"/>
    <w:rsid w:val="00CE2193"/>
    <w:rsid w:val="00CE227C"/>
    <w:rsid w:val="00CE2B8C"/>
    <w:rsid w:val="00CE31D6"/>
    <w:rsid w:val="00CE4237"/>
    <w:rsid w:val="00CE4797"/>
    <w:rsid w:val="00CE4F2A"/>
    <w:rsid w:val="00CE519E"/>
    <w:rsid w:val="00CE53C0"/>
    <w:rsid w:val="00CE5676"/>
    <w:rsid w:val="00CE6223"/>
    <w:rsid w:val="00CE77C6"/>
    <w:rsid w:val="00CE7AAA"/>
    <w:rsid w:val="00CE7BCC"/>
    <w:rsid w:val="00CF05AE"/>
    <w:rsid w:val="00CF1221"/>
    <w:rsid w:val="00CF17AB"/>
    <w:rsid w:val="00CF1FF6"/>
    <w:rsid w:val="00CF2069"/>
    <w:rsid w:val="00CF245A"/>
    <w:rsid w:val="00CF24F0"/>
    <w:rsid w:val="00CF2819"/>
    <w:rsid w:val="00CF293B"/>
    <w:rsid w:val="00CF36A9"/>
    <w:rsid w:val="00CF3B08"/>
    <w:rsid w:val="00CF3F45"/>
    <w:rsid w:val="00CF4417"/>
    <w:rsid w:val="00CF4CA8"/>
    <w:rsid w:val="00CF4D83"/>
    <w:rsid w:val="00CF4F17"/>
    <w:rsid w:val="00CF58D4"/>
    <w:rsid w:val="00CF595F"/>
    <w:rsid w:val="00CF5DFB"/>
    <w:rsid w:val="00CF61D1"/>
    <w:rsid w:val="00CF69B6"/>
    <w:rsid w:val="00CF792B"/>
    <w:rsid w:val="00D00D97"/>
    <w:rsid w:val="00D018F1"/>
    <w:rsid w:val="00D0248E"/>
    <w:rsid w:val="00D02D65"/>
    <w:rsid w:val="00D03675"/>
    <w:rsid w:val="00D03879"/>
    <w:rsid w:val="00D047D7"/>
    <w:rsid w:val="00D0486B"/>
    <w:rsid w:val="00D04D17"/>
    <w:rsid w:val="00D05081"/>
    <w:rsid w:val="00D0592F"/>
    <w:rsid w:val="00D06274"/>
    <w:rsid w:val="00D0658D"/>
    <w:rsid w:val="00D06EEE"/>
    <w:rsid w:val="00D06FF3"/>
    <w:rsid w:val="00D07C90"/>
    <w:rsid w:val="00D07DAF"/>
    <w:rsid w:val="00D1081E"/>
    <w:rsid w:val="00D11911"/>
    <w:rsid w:val="00D11D6D"/>
    <w:rsid w:val="00D11FB5"/>
    <w:rsid w:val="00D11FF0"/>
    <w:rsid w:val="00D120A9"/>
    <w:rsid w:val="00D12856"/>
    <w:rsid w:val="00D130B1"/>
    <w:rsid w:val="00D13191"/>
    <w:rsid w:val="00D13285"/>
    <w:rsid w:val="00D135C8"/>
    <w:rsid w:val="00D13A57"/>
    <w:rsid w:val="00D13B80"/>
    <w:rsid w:val="00D14486"/>
    <w:rsid w:val="00D14536"/>
    <w:rsid w:val="00D14985"/>
    <w:rsid w:val="00D15570"/>
    <w:rsid w:val="00D15D40"/>
    <w:rsid w:val="00D163AA"/>
    <w:rsid w:val="00D1788D"/>
    <w:rsid w:val="00D17A2B"/>
    <w:rsid w:val="00D17A77"/>
    <w:rsid w:val="00D2026D"/>
    <w:rsid w:val="00D20BFF"/>
    <w:rsid w:val="00D20CD7"/>
    <w:rsid w:val="00D22D65"/>
    <w:rsid w:val="00D22E57"/>
    <w:rsid w:val="00D22EE9"/>
    <w:rsid w:val="00D233B9"/>
    <w:rsid w:val="00D2388D"/>
    <w:rsid w:val="00D240E3"/>
    <w:rsid w:val="00D24891"/>
    <w:rsid w:val="00D2575A"/>
    <w:rsid w:val="00D2600A"/>
    <w:rsid w:val="00D26A53"/>
    <w:rsid w:val="00D275AE"/>
    <w:rsid w:val="00D27661"/>
    <w:rsid w:val="00D279E8"/>
    <w:rsid w:val="00D27FF8"/>
    <w:rsid w:val="00D30FE8"/>
    <w:rsid w:val="00D31206"/>
    <w:rsid w:val="00D32117"/>
    <w:rsid w:val="00D32132"/>
    <w:rsid w:val="00D32BD6"/>
    <w:rsid w:val="00D336FB"/>
    <w:rsid w:val="00D34AE7"/>
    <w:rsid w:val="00D35346"/>
    <w:rsid w:val="00D3631D"/>
    <w:rsid w:val="00D3674B"/>
    <w:rsid w:val="00D37106"/>
    <w:rsid w:val="00D37A1C"/>
    <w:rsid w:val="00D37B2C"/>
    <w:rsid w:val="00D402B1"/>
    <w:rsid w:val="00D40E54"/>
    <w:rsid w:val="00D4109F"/>
    <w:rsid w:val="00D41B9A"/>
    <w:rsid w:val="00D41CB8"/>
    <w:rsid w:val="00D420DF"/>
    <w:rsid w:val="00D42B18"/>
    <w:rsid w:val="00D43154"/>
    <w:rsid w:val="00D432DB"/>
    <w:rsid w:val="00D43BDD"/>
    <w:rsid w:val="00D43FB4"/>
    <w:rsid w:val="00D441C2"/>
    <w:rsid w:val="00D4473A"/>
    <w:rsid w:val="00D44E89"/>
    <w:rsid w:val="00D451F4"/>
    <w:rsid w:val="00D45270"/>
    <w:rsid w:val="00D455C7"/>
    <w:rsid w:val="00D457FE"/>
    <w:rsid w:val="00D45E27"/>
    <w:rsid w:val="00D4607C"/>
    <w:rsid w:val="00D461FB"/>
    <w:rsid w:val="00D470C6"/>
    <w:rsid w:val="00D47390"/>
    <w:rsid w:val="00D47B19"/>
    <w:rsid w:val="00D47D47"/>
    <w:rsid w:val="00D5153C"/>
    <w:rsid w:val="00D51BD2"/>
    <w:rsid w:val="00D525AE"/>
    <w:rsid w:val="00D54BCC"/>
    <w:rsid w:val="00D55610"/>
    <w:rsid w:val="00D5596D"/>
    <w:rsid w:val="00D55D24"/>
    <w:rsid w:val="00D55D53"/>
    <w:rsid w:val="00D56E24"/>
    <w:rsid w:val="00D56F75"/>
    <w:rsid w:val="00D604D8"/>
    <w:rsid w:val="00D60BD4"/>
    <w:rsid w:val="00D60C24"/>
    <w:rsid w:val="00D60DA2"/>
    <w:rsid w:val="00D61D9F"/>
    <w:rsid w:val="00D621BE"/>
    <w:rsid w:val="00D62C5B"/>
    <w:rsid w:val="00D63128"/>
    <w:rsid w:val="00D63A54"/>
    <w:rsid w:val="00D63CAB"/>
    <w:rsid w:val="00D647AB"/>
    <w:rsid w:val="00D64966"/>
    <w:rsid w:val="00D64DB9"/>
    <w:rsid w:val="00D661C0"/>
    <w:rsid w:val="00D66506"/>
    <w:rsid w:val="00D670DF"/>
    <w:rsid w:val="00D6774E"/>
    <w:rsid w:val="00D67F08"/>
    <w:rsid w:val="00D70596"/>
    <w:rsid w:val="00D70F20"/>
    <w:rsid w:val="00D71080"/>
    <w:rsid w:val="00D713A5"/>
    <w:rsid w:val="00D7196E"/>
    <w:rsid w:val="00D721DD"/>
    <w:rsid w:val="00D72639"/>
    <w:rsid w:val="00D734DC"/>
    <w:rsid w:val="00D738C4"/>
    <w:rsid w:val="00D75044"/>
    <w:rsid w:val="00D7539C"/>
    <w:rsid w:val="00D7556F"/>
    <w:rsid w:val="00D75593"/>
    <w:rsid w:val="00D75985"/>
    <w:rsid w:val="00D75A80"/>
    <w:rsid w:val="00D76858"/>
    <w:rsid w:val="00D768F5"/>
    <w:rsid w:val="00D76B40"/>
    <w:rsid w:val="00D76FA8"/>
    <w:rsid w:val="00D77040"/>
    <w:rsid w:val="00D774D7"/>
    <w:rsid w:val="00D77B51"/>
    <w:rsid w:val="00D805C0"/>
    <w:rsid w:val="00D80AA2"/>
    <w:rsid w:val="00D80E8C"/>
    <w:rsid w:val="00D811E2"/>
    <w:rsid w:val="00D814B0"/>
    <w:rsid w:val="00D8190D"/>
    <w:rsid w:val="00D81EDB"/>
    <w:rsid w:val="00D81FE1"/>
    <w:rsid w:val="00D82540"/>
    <w:rsid w:val="00D82A49"/>
    <w:rsid w:val="00D82EC4"/>
    <w:rsid w:val="00D82F12"/>
    <w:rsid w:val="00D83673"/>
    <w:rsid w:val="00D83916"/>
    <w:rsid w:val="00D8439E"/>
    <w:rsid w:val="00D84510"/>
    <w:rsid w:val="00D84865"/>
    <w:rsid w:val="00D84A0F"/>
    <w:rsid w:val="00D84A5C"/>
    <w:rsid w:val="00D855C0"/>
    <w:rsid w:val="00D85A0A"/>
    <w:rsid w:val="00D85B5C"/>
    <w:rsid w:val="00D860BF"/>
    <w:rsid w:val="00D8625D"/>
    <w:rsid w:val="00D8676E"/>
    <w:rsid w:val="00D87ABE"/>
    <w:rsid w:val="00D87BC4"/>
    <w:rsid w:val="00D87CFB"/>
    <w:rsid w:val="00D87FC2"/>
    <w:rsid w:val="00D90501"/>
    <w:rsid w:val="00D90C7A"/>
    <w:rsid w:val="00D90E17"/>
    <w:rsid w:val="00D90EB4"/>
    <w:rsid w:val="00D9137D"/>
    <w:rsid w:val="00D916F3"/>
    <w:rsid w:val="00D91D04"/>
    <w:rsid w:val="00D91D95"/>
    <w:rsid w:val="00D91D9D"/>
    <w:rsid w:val="00D91FE9"/>
    <w:rsid w:val="00D92053"/>
    <w:rsid w:val="00D9208E"/>
    <w:rsid w:val="00D92208"/>
    <w:rsid w:val="00D923BA"/>
    <w:rsid w:val="00D92443"/>
    <w:rsid w:val="00D927CC"/>
    <w:rsid w:val="00D933E7"/>
    <w:rsid w:val="00D9474B"/>
    <w:rsid w:val="00D947EA"/>
    <w:rsid w:val="00D94C94"/>
    <w:rsid w:val="00D95C10"/>
    <w:rsid w:val="00D95CCA"/>
    <w:rsid w:val="00D97753"/>
    <w:rsid w:val="00D97A1D"/>
    <w:rsid w:val="00DA170D"/>
    <w:rsid w:val="00DA18C7"/>
    <w:rsid w:val="00DA1FE6"/>
    <w:rsid w:val="00DA413F"/>
    <w:rsid w:val="00DA4422"/>
    <w:rsid w:val="00DA630C"/>
    <w:rsid w:val="00DA697F"/>
    <w:rsid w:val="00DA6BE6"/>
    <w:rsid w:val="00DA6FC8"/>
    <w:rsid w:val="00DA73A3"/>
    <w:rsid w:val="00DA75D9"/>
    <w:rsid w:val="00DB0B39"/>
    <w:rsid w:val="00DB163C"/>
    <w:rsid w:val="00DB185D"/>
    <w:rsid w:val="00DB1B18"/>
    <w:rsid w:val="00DB1D8D"/>
    <w:rsid w:val="00DB1F31"/>
    <w:rsid w:val="00DB26B5"/>
    <w:rsid w:val="00DB2B62"/>
    <w:rsid w:val="00DB31A0"/>
    <w:rsid w:val="00DB39B1"/>
    <w:rsid w:val="00DB4667"/>
    <w:rsid w:val="00DB48AF"/>
    <w:rsid w:val="00DB4C36"/>
    <w:rsid w:val="00DB4F22"/>
    <w:rsid w:val="00DB5151"/>
    <w:rsid w:val="00DB533A"/>
    <w:rsid w:val="00DB5D2F"/>
    <w:rsid w:val="00DB5D3B"/>
    <w:rsid w:val="00DB5D78"/>
    <w:rsid w:val="00DB64CE"/>
    <w:rsid w:val="00DB6B9A"/>
    <w:rsid w:val="00DB6C34"/>
    <w:rsid w:val="00DB6C49"/>
    <w:rsid w:val="00DB6D33"/>
    <w:rsid w:val="00DB7B6E"/>
    <w:rsid w:val="00DC07D7"/>
    <w:rsid w:val="00DC10FF"/>
    <w:rsid w:val="00DC1277"/>
    <w:rsid w:val="00DC2306"/>
    <w:rsid w:val="00DC288D"/>
    <w:rsid w:val="00DC3484"/>
    <w:rsid w:val="00DC36CC"/>
    <w:rsid w:val="00DC4858"/>
    <w:rsid w:val="00DC5008"/>
    <w:rsid w:val="00DC5DF0"/>
    <w:rsid w:val="00DC6CF9"/>
    <w:rsid w:val="00DC7DFB"/>
    <w:rsid w:val="00DD0046"/>
    <w:rsid w:val="00DD02F5"/>
    <w:rsid w:val="00DD0747"/>
    <w:rsid w:val="00DD07BB"/>
    <w:rsid w:val="00DD2E3C"/>
    <w:rsid w:val="00DD3C07"/>
    <w:rsid w:val="00DD3D9D"/>
    <w:rsid w:val="00DD4285"/>
    <w:rsid w:val="00DD42C1"/>
    <w:rsid w:val="00DD4C18"/>
    <w:rsid w:val="00DD4D1E"/>
    <w:rsid w:val="00DD60CB"/>
    <w:rsid w:val="00DD6782"/>
    <w:rsid w:val="00DD7338"/>
    <w:rsid w:val="00DE05F4"/>
    <w:rsid w:val="00DE072A"/>
    <w:rsid w:val="00DE134B"/>
    <w:rsid w:val="00DE1431"/>
    <w:rsid w:val="00DE1846"/>
    <w:rsid w:val="00DE1A09"/>
    <w:rsid w:val="00DE25B3"/>
    <w:rsid w:val="00DE2B3B"/>
    <w:rsid w:val="00DE2C16"/>
    <w:rsid w:val="00DE2D46"/>
    <w:rsid w:val="00DE363B"/>
    <w:rsid w:val="00DE38DA"/>
    <w:rsid w:val="00DE3A17"/>
    <w:rsid w:val="00DE3B50"/>
    <w:rsid w:val="00DE3F39"/>
    <w:rsid w:val="00DE3FD6"/>
    <w:rsid w:val="00DE57B2"/>
    <w:rsid w:val="00DE5A64"/>
    <w:rsid w:val="00DE5A85"/>
    <w:rsid w:val="00DE6654"/>
    <w:rsid w:val="00DE6977"/>
    <w:rsid w:val="00DE6AA5"/>
    <w:rsid w:val="00DE6E65"/>
    <w:rsid w:val="00DE7319"/>
    <w:rsid w:val="00DE7CA9"/>
    <w:rsid w:val="00DE7CD3"/>
    <w:rsid w:val="00DE7DC3"/>
    <w:rsid w:val="00DF1712"/>
    <w:rsid w:val="00DF1F31"/>
    <w:rsid w:val="00DF274B"/>
    <w:rsid w:val="00DF2A45"/>
    <w:rsid w:val="00DF2D83"/>
    <w:rsid w:val="00DF3053"/>
    <w:rsid w:val="00DF33C8"/>
    <w:rsid w:val="00DF3B18"/>
    <w:rsid w:val="00DF3C31"/>
    <w:rsid w:val="00DF4F8F"/>
    <w:rsid w:val="00DF55D6"/>
    <w:rsid w:val="00DF5B27"/>
    <w:rsid w:val="00DF61C2"/>
    <w:rsid w:val="00DF683B"/>
    <w:rsid w:val="00DF73F5"/>
    <w:rsid w:val="00DF7433"/>
    <w:rsid w:val="00DF77FD"/>
    <w:rsid w:val="00DF780A"/>
    <w:rsid w:val="00DF78A5"/>
    <w:rsid w:val="00DF7FD2"/>
    <w:rsid w:val="00E01086"/>
    <w:rsid w:val="00E01550"/>
    <w:rsid w:val="00E01D8F"/>
    <w:rsid w:val="00E0351A"/>
    <w:rsid w:val="00E03B76"/>
    <w:rsid w:val="00E03E2A"/>
    <w:rsid w:val="00E044DB"/>
    <w:rsid w:val="00E04A3E"/>
    <w:rsid w:val="00E0547B"/>
    <w:rsid w:val="00E0553E"/>
    <w:rsid w:val="00E0576F"/>
    <w:rsid w:val="00E058A0"/>
    <w:rsid w:val="00E058F1"/>
    <w:rsid w:val="00E0606E"/>
    <w:rsid w:val="00E06A2C"/>
    <w:rsid w:val="00E075E7"/>
    <w:rsid w:val="00E07D04"/>
    <w:rsid w:val="00E10202"/>
    <w:rsid w:val="00E109E9"/>
    <w:rsid w:val="00E10C69"/>
    <w:rsid w:val="00E1162B"/>
    <w:rsid w:val="00E1176C"/>
    <w:rsid w:val="00E11F77"/>
    <w:rsid w:val="00E1208D"/>
    <w:rsid w:val="00E12BF7"/>
    <w:rsid w:val="00E13140"/>
    <w:rsid w:val="00E13205"/>
    <w:rsid w:val="00E13D85"/>
    <w:rsid w:val="00E14560"/>
    <w:rsid w:val="00E14B8D"/>
    <w:rsid w:val="00E14D63"/>
    <w:rsid w:val="00E14E76"/>
    <w:rsid w:val="00E152FF"/>
    <w:rsid w:val="00E15998"/>
    <w:rsid w:val="00E15D3E"/>
    <w:rsid w:val="00E15FA1"/>
    <w:rsid w:val="00E1694B"/>
    <w:rsid w:val="00E1704A"/>
    <w:rsid w:val="00E1744F"/>
    <w:rsid w:val="00E206E3"/>
    <w:rsid w:val="00E20CF3"/>
    <w:rsid w:val="00E20EE0"/>
    <w:rsid w:val="00E21228"/>
    <w:rsid w:val="00E21C7A"/>
    <w:rsid w:val="00E2259B"/>
    <w:rsid w:val="00E23099"/>
    <w:rsid w:val="00E257B3"/>
    <w:rsid w:val="00E25F64"/>
    <w:rsid w:val="00E26C8C"/>
    <w:rsid w:val="00E26CB3"/>
    <w:rsid w:val="00E277C0"/>
    <w:rsid w:val="00E27870"/>
    <w:rsid w:val="00E301F7"/>
    <w:rsid w:val="00E31503"/>
    <w:rsid w:val="00E32049"/>
    <w:rsid w:val="00E32A1A"/>
    <w:rsid w:val="00E32BEF"/>
    <w:rsid w:val="00E339A8"/>
    <w:rsid w:val="00E339E0"/>
    <w:rsid w:val="00E33E33"/>
    <w:rsid w:val="00E340CC"/>
    <w:rsid w:val="00E3553F"/>
    <w:rsid w:val="00E35A1D"/>
    <w:rsid w:val="00E36C70"/>
    <w:rsid w:val="00E36F83"/>
    <w:rsid w:val="00E376B9"/>
    <w:rsid w:val="00E37D6A"/>
    <w:rsid w:val="00E37DD6"/>
    <w:rsid w:val="00E40494"/>
    <w:rsid w:val="00E419C2"/>
    <w:rsid w:val="00E4250B"/>
    <w:rsid w:val="00E4259F"/>
    <w:rsid w:val="00E4342E"/>
    <w:rsid w:val="00E435AC"/>
    <w:rsid w:val="00E440F3"/>
    <w:rsid w:val="00E466EF"/>
    <w:rsid w:val="00E4732D"/>
    <w:rsid w:val="00E47704"/>
    <w:rsid w:val="00E47DB9"/>
    <w:rsid w:val="00E50282"/>
    <w:rsid w:val="00E508BF"/>
    <w:rsid w:val="00E50E86"/>
    <w:rsid w:val="00E5161C"/>
    <w:rsid w:val="00E51775"/>
    <w:rsid w:val="00E51AFD"/>
    <w:rsid w:val="00E522A7"/>
    <w:rsid w:val="00E53A97"/>
    <w:rsid w:val="00E545BB"/>
    <w:rsid w:val="00E5549E"/>
    <w:rsid w:val="00E5568F"/>
    <w:rsid w:val="00E565A5"/>
    <w:rsid w:val="00E565BF"/>
    <w:rsid w:val="00E56A39"/>
    <w:rsid w:val="00E57DB5"/>
    <w:rsid w:val="00E6004B"/>
    <w:rsid w:val="00E60715"/>
    <w:rsid w:val="00E60AF7"/>
    <w:rsid w:val="00E610D5"/>
    <w:rsid w:val="00E61589"/>
    <w:rsid w:val="00E618E9"/>
    <w:rsid w:val="00E624E8"/>
    <w:rsid w:val="00E62B6E"/>
    <w:rsid w:val="00E63373"/>
    <w:rsid w:val="00E63AC4"/>
    <w:rsid w:val="00E65115"/>
    <w:rsid w:val="00E666D8"/>
    <w:rsid w:val="00E66889"/>
    <w:rsid w:val="00E66BBA"/>
    <w:rsid w:val="00E67304"/>
    <w:rsid w:val="00E70136"/>
    <w:rsid w:val="00E70973"/>
    <w:rsid w:val="00E71B06"/>
    <w:rsid w:val="00E71B37"/>
    <w:rsid w:val="00E72714"/>
    <w:rsid w:val="00E7314F"/>
    <w:rsid w:val="00E73362"/>
    <w:rsid w:val="00E734AD"/>
    <w:rsid w:val="00E735E9"/>
    <w:rsid w:val="00E73A23"/>
    <w:rsid w:val="00E73FA0"/>
    <w:rsid w:val="00E74153"/>
    <w:rsid w:val="00E74C9F"/>
    <w:rsid w:val="00E7538D"/>
    <w:rsid w:val="00E75769"/>
    <w:rsid w:val="00E75AFE"/>
    <w:rsid w:val="00E7614E"/>
    <w:rsid w:val="00E76665"/>
    <w:rsid w:val="00E770D2"/>
    <w:rsid w:val="00E7790E"/>
    <w:rsid w:val="00E77A7F"/>
    <w:rsid w:val="00E805F7"/>
    <w:rsid w:val="00E80636"/>
    <w:rsid w:val="00E80C86"/>
    <w:rsid w:val="00E81DE8"/>
    <w:rsid w:val="00E82236"/>
    <w:rsid w:val="00E8280B"/>
    <w:rsid w:val="00E8315F"/>
    <w:rsid w:val="00E84199"/>
    <w:rsid w:val="00E84324"/>
    <w:rsid w:val="00E84C31"/>
    <w:rsid w:val="00E84EB3"/>
    <w:rsid w:val="00E84EEE"/>
    <w:rsid w:val="00E8557D"/>
    <w:rsid w:val="00E866EA"/>
    <w:rsid w:val="00E86E9E"/>
    <w:rsid w:val="00E8731F"/>
    <w:rsid w:val="00E87983"/>
    <w:rsid w:val="00E87F1E"/>
    <w:rsid w:val="00E902F3"/>
    <w:rsid w:val="00E904A5"/>
    <w:rsid w:val="00E905B8"/>
    <w:rsid w:val="00E90BDA"/>
    <w:rsid w:val="00E90CE4"/>
    <w:rsid w:val="00E91242"/>
    <w:rsid w:val="00E917D5"/>
    <w:rsid w:val="00E91C97"/>
    <w:rsid w:val="00E91CC8"/>
    <w:rsid w:val="00E92128"/>
    <w:rsid w:val="00E92177"/>
    <w:rsid w:val="00E92F41"/>
    <w:rsid w:val="00E93248"/>
    <w:rsid w:val="00E94428"/>
    <w:rsid w:val="00E945F1"/>
    <w:rsid w:val="00E94C84"/>
    <w:rsid w:val="00E94F4B"/>
    <w:rsid w:val="00E951C8"/>
    <w:rsid w:val="00E96F95"/>
    <w:rsid w:val="00E976BC"/>
    <w:rsid w:val="00E97B7C"/>
    <w:rsid w:val="00E97D40"/>
    <w:rsid w:val="00EA0E08"/>
    <w:rsid w:val="00EA112D"/>
    <w:rsid w:val="00EA127B"/>
    <w:rsid w:val="00EA16BF"/>
    <w:rsid w:val="00EA1DB0"/>
    <w:rsid w:val="00EA26B1"/>
    <w:rsid w:val="00EA2D1E"/>
    <w:rsid w:val="00EA325D"/>
    <w:rsid w:val="00EA39B9"/>
    <w:rsid w:val="00EA4184"/>
    <w:rsid w:val="00EA442C"/>
    <w:rsid w:val="00EA477F"/>
    <w:rsid w:val="00EA6754"/>
    <w:rsid w:val="00EA6F7F"/>
    <w:rsid w:val="00EA742C"/>
    <w:rsid w:val="00EB0028"/>
    <w:rsid w:val="00EB1EF0"/>
    <w:rsid w:val="00EB225E"/>
    <w:rsid w:val="00EB2277"/>
    <w:rsid w:val="00EB29FA"/>
    <w:rsid w:val="00EB3291"/>
    <w:rsid w:val="00EB3655"/>
    <w:rsid w:val="00EB3EFD"/>
    <w:rsid w:val="00EB48EA"/>
    <w:rsid w:val="00EB4A0C"/>
    <w:rsid w:val="00EB53BC"/>
    <w:rsid w:val="00EB6261"/>
    <w:rsid w:val="00EB6974"/>
    <w:rsid w:val="00EB6BA8"/>
    <w:rsid w:val="00EB6EF4"/>
    <w:rsid w:val="00EB7507"/>
    <w:rsid w:val="00EB772F"/>
    <w:rsid w:val="00EC1B8C"/>
    <w:rsid w:val="00EC299C"/>
    <w:rsid w:val="00EC2E4E"/>
    <w:rsid w:val="00EC350B"/>
    <w:rsid w:val="00EC3CF7"/>
    <w:rsid w:val="00EC3E2D"/>
    <w:rsid w:val="00EC4C3C"/>
    <w:rsid w:val="00EC4E5E"/>
    <w:rsid w:val="00EC55DD"/>
    <w:rsid w:val="00EC5F69"/>
    <w:rsid w:val="00EC624A"/>
    <w:rsid w:val="00EC62E7"/>
    <w:rsid w:val="00ED0380"/>
    <w:rsid w:val="00ED05B3"/>
    <w:rsid w:val="00ED0F6D"/>
    <w:rsid w:val="00ED176C"/>
    <w:rsid w:val="00ED20CA"/>
    <w:rsid w:val="00ED2C3A"/>
    <w:rsid w:val="00ED3EE2"/>
    <w:rsid w:val="00ED418A"/>
    <w:rsid w:val="00ED51C0"/>
    <w:rsid w:val="00ED5ABD"/>
    <w:rsid w:val="00ED6508"/>
    <w:rsid w:val="00ED6599"/>
    <w:rsid w:val="00ED6641"/>
    <w:rsid w:val="00ED6B80"/>
    <w:rsid w:val="00ED6F30"/>
    <w:rsid w:val="00EE0003"/>
    <w:rsid w:val="00EE006D"/>
    <w:rsid w:val="00EE1572"/>
    <w:rsid w:val="00EE2EFB"/>
    <w:rsid w:val="00EE303C"/>
    <w:rsid w:val="00EE31F5"/>
    <w:rsid w:val="00EE3571"/>
    <w:rsid w:val="00EE35DB"/>
    <w:rsid w:val="00EE3BE8"/>
    <w:rsid w:val="00EE412F"/>
    <w:rsid w:val="00EE44C6"/>
    <w:rsid w:val="00EE45B3"/>
    <w:rsid w:val="00EE5467"/>
    <w:rsid w:val="00EE5980"/>
    <w:rsid w:val="00EE5A26"/>
    <w:rsid w:val="00EE613B"/>
    <w:rsid w:val="00EE615F"/>
    <w:rsid w:val="00EE6161"/>
    <w:rsid w:val="00EE6F35"/>
    <w:rsid w:val="00EE6FFE"/>
    <w:rsid w:val="00EE72FB"/>
    <w:rsid w:val="00EE794F"/>
    <w:rsid w:val="00EE7BF8"/>
    <w:rsid w:val="00EE7D57"/>
    <w:rsid w:val="00EF03CA"/>
    <w:rsid w:val="00EF097A"/>
    <w:rsid w:val="00EF0A98"/>
    <w:rsid w:val="00EF0C4E"/>
    <w:rsid w:val="00EF0EC1"/>
    <w:rsid w:val="00EF1FAF"/>
    <w:rsid w:val="00EF21D8"/>
    <w:rsid w:val="00EF2B2F"/>
    <w:rsid w:val="00EF2E93"/>
    <w:rsid w:val="00EF54B4"/>
    <w:rsid w:val="00EF5736"/>
    <w:rsid w:val="00EF66C1"/>
    <w:rsid w:val="00EF6DF8"/>
    <w:rsid w:val="00EF6EAB"/>
    <w:rsid w:val="00EF75B9"/>
    <w:rsid w:val="00EF7A45"/>
    <w:rsid w:val="00F004A0"/>
    <w:rsid w:val="00F009E7"/>
    <w:rsid w:val="00F00ABB"/>
    <w:rsid w:val="00F00CCC"/>
    <w:rsid w:val="00F00FA5"/>
    <w:rsid w:val="00F010C6"/>
    <w:rsid w:val="00F012E0"/>
    <w:rsid w:val="00F017F9"/>
    <w:rsid w:val="00F019A9"/>
    <w:rsid w:val="00F01A1C"/>
    <w:rsid w:val="00F01F4E"/>
    <w:rsid w:val="00F02652"/>
    <w:rsid w:val="00F026B3"/>
    <w:rsid w:val="00F03B35"/>
    <w:rsid w:val="00F03D39"/>
    <w:rsid w:val="00F03D58"/>
    <w:rsid w:val="00F049B4"/>
    <w:rsid w:val="00F04AFE"/>
    <w:rsid w:val="00F05140"/>
    <w:rsid w:val="00F0554E"/>
    <w:rsid w:val="00F05593"/>
    <w:rsid w:val="00F066AD"/>
    <w:rsid w:val="00F066B6"/>
    <w:rsid w:val="00F0697E"/>
    <w:rsid w:val="00F06D6A"/>
    <w:rsid w:val="00F07FCE"/>
    <w:rsid w:val="00F1009D"/>
    <w:rsid w:val="00F10301"/>
    <w:rsid w:val="00F10417"/>
    <w:rsid w:val="00F10777"/>
    <w:rsid w:val="00F11238"/>
    <w:rsid w:val="00F119D9"/>
    <w:rsid w:val="00F1249D"/>
    <w:rsid w:val="00F129A0"/>
    <w:rsid w:val="00F13594"/>
    <w:rsid w:val="00F139BE"/>
    <w:rsid w:val="00F13C75"/>
    <w:rsid w:val="00F1442A"/>
    <w:rsid w:val="00F146D1"/>
    <w:rsid w:val="00F14EF2"/>
    <w:rsid w:val="00F15144"/>
    <w:rsid w:val="00F1567E"/>
    <w:rsid w:val="00F15B1D"/>
    <w:rsid w:val="00F16C24"/>
    <w:rsid w:val="00F20F94"/>
    <w:rsid w:val="00F212E2"/>
    <w:rsid w:val="00F22384"/>
    <w:rsid w:val="00F229A1"/>
    <w:rsid w:val="00F22EFE"/>
    <w:rsid w:val="00F2337C"/>
    <w:rsid w:val="00F2406A"/>
    <w:rsid w:val="00F246E6"/>
    <w:rsid w:val="00F24798"/>
    <w:rsid w:val="00F2547A"/>
    <w:rsid w:val="00F2561E"/>
    <w:rsid w:val="00F25864"/>
    <w:rsid w:val="00F26556"/>
    <w:rsid w:val="00F26A2A"/>
    <w:rsid w:val="00F26DEA"/>
    <w:rsid w:val="00F27A62"/>
    <w:rsid w:val="00F3037B"/>
    <w:rsid w:val="00F309C9"/>
    <w:rsid w:val="00F30CDD"/>
    <w:rsid w:val="00F30CF3"/>
    <w:rsid w:val="00F31BC0"/>
    <w:rsid w:val="00F32AA4"/>
    <w:rsid w:val="00F33010"/>
    <w:rsid w:val="00F33955"/>
    <w:rsid w:val="00F33C66"/>
    <w:rsid w:val="00F34111"/>
    <w:rsid w:val="00F344B3"/>
    <w:rsid w:val="00F35156"/>
    <w:rsid w:val="00F35730"/>
    <w:rsid w:val="00F35DF4"/>
    <w:rsid w:val="00F36007"/>
    <w:rsid w:val="00F36029"/>
    <w:rsid w:val="00F366D1"/>
    <w:rsid w:val="00F370FB"/>
    <w:rsid w:val="00F37143"/>
    <w:rsid w:val="00F3729F"/>
    <w:rsid w:val="00F37366"/>
    <w:rsid w:val="00F3747D"/>
    <w:rsid w:val="00F37D0C"/>
    <w:rsid w:val="00F37D17"/>
    <w:rsid w:val="00F37F1E"/>
    <w:rsid w:val="00F413E5"/>
    <w:rsid w:val="00F41E35"/>
    <w:rsid w:val="00F4616B"/>
    <w:rsid w:val="00F46A6F"/>
    <w:rsid w:val="00F474CA"/>
    <w:rsid w:val="00F504DA"/>
    <w:rsid w:val="00F510F0"/>
    <w:rsid w:val="00F52026"/>
    <w:rsid w:val="00F53082"/>
    <w:rsid w:val="00F54666"/>
    <w:rsid w:val="00F54E70"/>
    <w:rsid w:val="00F54EE7"/>
    <w:rsid w:val="00F5526A"/>
    <w:rsid w:val="00F552BD"/>
    <w:rsid w:val="00F55B19"/>
    <w:rsid w:val="00F56037"/>
    <w:rsid w:val="00F568FA"/>
    <w:rsid w:val="00F57585"/>
    <w:rsid w:val="00F57AD5"/>
    <w:rsid w:val="00F57B07"/>
    <w:rsid w:val="00F57C55"/>
    <w:rsid w:val="00F610D1"/>
    <w:rsid w:val="00F61376"/>
    <w:rsid w:val="00F617E7"/>
    <w:rsid w:val="00F62795"/>
    <w:rsid w:val="00F62990"/>
    <w:rsid w:val="00F62D70"/>
    <w:rsid w:val="00F638DD"/>
    <w:rsid w:val="00F63A00"/>
    <w:rsid w:val="00F63BD0"/>
    <w:rsid w:val="00F644A4"/>
    <w:rsid w:val="00F64A1D"/>
    <w:rsid w:val="00F6559D"/>
    <w:rsid w:val="00F66871"/>
    <w:rsid w:val="00F67137"/>
    <w:rsid w:val="00F6789B"/>
    <w:rsid w:val="00F70518"/>
    <w:rsid w:val="00F709F1"/>
    <w:rsid w:val="00F70EB4"/>
    <w:rsid w:val="00F7192E"/>
    <w:rsid w:val="00F72A1A"/>
    <w:rsid w:val="00F72E00"/>
    <w:rsid w:val="00F72F10"/>
    <w:rsid w:val="00F72F66"/>
    <w:rsid w:val="00F73766"/>
    <w:rsid w:val="00F73B6E"/>
    <w:rsid w:val="00F74AAB"/>
    <w:rsid w:val="00F75BEE"/>
    <w:rsid w:val="00F75DFE"/>
    <w:rsid w:val="00F75FEB"/>
    <w:rsid w:val="00F76165"/>
    <w:rsid w:val="00F767C8"/>
    <w:rsid w:val="00F76A68"/>
    <w:rsid w:val="00F779DD"/>
    <w:rsid w:val="00F77A07"/>
    <w:rsid w:val="00F77CEA"/>
    <w:rsid w:val="00F802C9"/>
    <w:rsid w:val="00F80431"/>
    <w:rsid w:val="00F80F81"/>
    <w:rsid w:val="00F81265"/>
    <w:rsid w:val="00F8193B"/>
    <w:rsid w:val="00F81B84"/>
    <w:rsid w:val="00F822DC"/>
    <w:rsid w:val="00F82CAF"/>
    <w:rsid w:val="00F8318B"/>
    <w:rsid w:val="00F83911"/>
    <w:rsid w:val="00F84A1A"/>
    <w:rsid w:val="00F84C69"/>
    <w:rsid w:val="00F84E05"/>
    <w:rsid w:val="00F85005"/>
    <w:rsid w:val="00F85A7C"/>
    <w:rsid w:val="00F85F12"/>
    <w:rsid w:val="00F869EA"/>
    <w:rsid w:val="00F86BEF"/>
    <w:rsid w:val="00F86F57"/>
    <w:rsid w:val="00F903CA"/>
    <w:rsid w:val="00F90CA5"/>
    <w:rsid w:val="00F91D05"/>
    <w:rsid w:val="00F92A36"/>
    <w:rsid w:val="00F93D90"/>
    <w:rsid w:val="00F94452"/>
    <w:rsid w:val="00F95041"/>
    <w:rsid w:val="00F9562B"/>
    <w:rsid w:val="00F959E5"/>
    <w:rsid w:val="00F963DA"/>
    <w:rsid w:val="00F9646D"/>
    <w:rsid w:val="00F9686D"/>
    <w:rsid w:val="00F972CF"/>
    <w:rsid w:val="00F97449"/>
    <w:rsid w:val="00FA0415"/>
    <w:rsid w:val="00FA0E5C"/>
    <w:rsid w:val="00FA1089"/>
    <w:rsid w:val="00FA1BDC"/>
    <w:rsid w:val="00FA1F40"/>
    <w:rsid w:val="00FA2BDC"/>
    <w:rsid w:val="00FA3161"/>
    <w:rsid w:val="00FA41D3"/>
    <w:rsid w:val="00FA53AB"/>
    <w:rsid w:val="00FA54DF"/>
    <w:rsid w:val="00FA586D"/>
    <w:rsid w:val="00FA5981"/>
    <w:rsid w:val="00FA59E2"/>
    <w:rsid w:val="00FA5B3C"/>
    <w:rsid w:val="00FA6FA0"/>
    <w:rsid w:val="00FA7099"/>
    <w:rsid w:val="00FA71B9"/>
    <w:rsid w:val="00FA748A"/>
    <w:rsid w:val="00FA7AD5"/>
    <w:rsid w:val="00FA7E1F"/>
    <w:rsid w:val="00FB032A"/>
    <w:rsid w:val="00FB0A25"/>
    <w:rsid w:val="00FB1512"/>
    <w:rsid w:val="00FB2B2F"/>
    <w:rsid w:val="00FB2C3C"/>
    <w:rsid w:val="00FB2FEB"/>
    <w:rsid w:val="00FB35DD"/>
    <w:rsid w:val="00FB38D3"/>
    <w:rsid w:val="00FB4061"/>
    <w:rsid w:val="00FB544B"/>
    <w:rsid w:val="00FB657B"/>
    <w:rsid w:val="00FB6E21"/>
    <w:rsid w:val="00FB7073"/>
    <w:rsid w:val="00FB741C"/>
    <w:rsid w:val="00FB7421"/>
    <w:rsid w:val="00FC1E29"/>
    <w:rsid w:val="00FC2865"/>
    <w:rsid w:val="00FC2BF5"/>
    <w:rsid w:val="00FC2F04"/>
    <w:rsid w:val="00FC3599"/>
    <w:rsid w:val="00FC4A38"/>
    <w:rsid w:val="00FC4AEF"/>
    <w:rsid w:val="00FC4B0E"/>
    <w:rsid w:val="00FC4B3D"/>
    <w:rsid w:val="00FC4F09"/>
    <w:rsid w:val="00FC5869"/>
    <w:rsid w:val="00FC5C7D"/>
    <w:rsid w:val="00FC5D9B"/>
    <w:rsid w:val="00FC60DD"/>
    <w:rsid w:val="00FC60E7"/>
    <w:rsid w:val="00FC6722"/>
    <w:rsid w:val="00FC68A8"/>
    <w:rsid w:val="00FC6AFE"/>
    <w:rsid w:val="00FC7011"/>
    <w:rsid w:val="00FC7560"/>
    <w:rsid w:val="00FC7909"/>
    <w:rsid w:val="00FD0018"/>
    <w:rsid w:val="00FD1237"/>
    <w:rsid w:val="00FD165E"/>
    <w:rsid w:val="00FD1A62"/>
    <w:rsid w:val="00FD1B16"/>
    <w:rsid w:val="00FD2068"/>
    <w:rsid w:val="00FD2F79"/>
    <w:rsid w:val="00FD37E7"/>
    <w:rsid w:val="00FD4498"/>
    <w:rsid w:val="00FD48DF"/>
    <w:rsid w:val="00FD4F82"/>
    <w:rsid w:val="00FD662C"/>
    <w:rsid w:val="00FD6755"/>
    <w:rsid w:val="00FD685E"/>
    <w:rsid w:val="00FE0A9C"/>
    <w:rsid w:val="00FE0FB9"/>
    <w:rsid w:val="00FE148B"/>
    <w:rsid w:val="00FE238C"/>
    <w:rsid w:val="00FE2729"/>
    <w:rsid w:val="00FE2D60"/>
    <w:rsid w:val="00FE2D89"/>
    <w:rsid w:val="00FE2FE3"/>
    <w:rsid w:val="00FE374F"/>
    <w:rsid w:val="00FE4253"/>
    <w:rsid w:val="00FE4EB7"/>
    <w:rsid w:val="00FE55DB"/>
    <w:rsid w:val="00FE57C4"/>
    <w:rsid w:val="00FE593F"/>
    <w:rsid w:val="00FE5C48"/>
    <w:rsid w:val="00FE5E67"/>
    <w:rsid w:val="00FE7844"/>
    <w:rsid w:val="00FF072E"/>
    <w:rsid w:val="00FF0C1F"/>
    <w:rsid w:val="00FF1C4D"/>
    <w:rsid w:val="00FF1CC5"/>
    <w:rsid w:val="00FF1D90"/>
    <w:rsid w:val="00FF20E3"/>
    <w:rsid w:val="00FF2139"/>
    <w:rsid w:val="00FF5730"/>
    <w:rsid w:val="00FF6741"/>
    <w:rsid w:val="00FF7301"/>
    <w:rsid w:val="00FF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6BB812-7CEB-46F7-878D-8AAE3DFA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038"/>
  </w:style>
  <w:style w:type="paragraph" w:styleId="Heading1">
    <w:name w:val="heading 1"/>
    <w:basedOn w:val="Normal"/>
    <w:next w:val="Normal"/>
    <w:link w:val="Heading1Char"/>
    <w:autoRedefine/>
    <w:qFormat/>
    <w:rsid w:val="007A68BE"/>
    <w:pPr>
      <w:keepNext/>
      <w:outlineLvl w:val="0"/>
    </w:pPr>
    <w:rPr>
      <w:rFonts w:asciiTheme="majorHAnsi" w:eastAsia="Arial Unicode MS" w:hAnsiTheme="majorHAnsi" w:cstheme="majorHAnsi"/>
      <w:b/>
      <w:bCs/>
      <w:kern w:val="32"/>
      <w:sz w:val="20"/>
      <w:szCs w:val="20"/>
      <w:lang w:eastAsia="x-none"/>
    </w:rPr>
  </w:style>
  <w:style w:type="paragraph" w:styleId="Heading2">
    <w:name w:val="heading 2"/>
    <w:basedOn w:val="Normal"/>
    <w:next w:val="Normal"/>
    <w:link w:val="Heading2Char"/>
    <w:unhideWhenUsed/>
    <w:qFormat/>
    <w:rsid w:val="00F5308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rsid w:val="00AE3CF3"/>
    <w:pPr>
      <w:keepNext/>
      <w:keepLines/>
      <w:widowControl w:val="0"/>
      <w:spacing w:before="40" w:line="276" w:lineRule="auto"/>
      <w:ind w:left="1440"/>
      <w:outlineLvl w:val="2"/>
    </w:pPr>
    <w:rPr>
      <w:rFonts w:ascii="Calibri" w:eastAsia="Calibri" w:hAnsi="Calibri" w:cs="Calibri"/>
      <w:color w:val="1F3863"/>
      <w:sz w:val="20"/>
      <w:szCs w:val="20"/>
    </w:rPr>
  </w:style>
  <w:style w:type="paragraph" w:styleId="Heading4">
    <w:name w:val="heading 4"/>
    <w:basedOn w:val="Normal"/>
    <w:next w:val="Normal"/>
    <w:link w:val="Heading4Char"/>
    <w:rsid w:val="00AE3CF3"/>
    <w:pPr>
      <w:keepNext/>
      <w:keepLines/>
      <w:widowControl w:val="0"/>
      <w:spacing w:before="40" w:line="276" w:lineRule="auto"/>
      <w:ind w:left="2160"/>
      <w:outlineLvl w:val="3"/>
    </w:pPr>
    <w:rPr>
      <w:rFonts w:ascii="Calibri" w:eastAsia="Calibri" w:hAnsi="Calibri" w:cs="Calibri"/>
      <w:i/>
      <w:color w:val="2F5496"/>
      <w:sz w:val="22"/>
      <w:szCs w:val="22"/>
    </w:rPr>
  </w:style>
  <w:style w:type="paragraph" w:styleId="Heading5">
    <w:name w:val="heading 5"/>
    <w:basedOn w:val="Normal"/>
    <w:next w:val="Normal"/>
    <w:link w:val="Heading5Char"/>
    <w:rsid w:val="00AE3CF3"/>
    <w:pPr>
      <w:keepNext/>
      <w:keepLines/>
      <w:widowControl w:val="0"/>
      <w:spacing w:before="40" w:line="276" w:lineRule="auto"/>
      <w:ind w:left="2880"/>
      <w:outlineLvl w:val="4"/>
    </w:pPr>
    <w:rPr>
      <w:rFonts w:ascii="Calibri" w:eastAsia="Calibri" w:hAnsi="Calibri" w:cs="Calibri"/>
      <w:color w:val="2F5496"/>
      <w:sz w:val="22"/>
      <w:szCs w:val="22"/>
    </w:rPr>
  </w:style>
  <w:style w:type="paragraph" w:styleId="Heading6">
    <w:name w:val="heading 6"/>
    <w:basedOn w:val="Normal"/>
    <w:next w:val="Normal"/>
    <w:link w:val="Heading6Char"/>
    <w:rsid w:val="00AE3CF3"/>
    <w:pPr>
      <w:keepNext/>
      <w:keepLines/>
      <w:widowControl w:val="0"/>
      <w:spacing w:before="40" w:line="276" w:lineRule="auto"/>
      <w:ind w:left="3600"/>
      <w:outlineLvl w:val="5"/>
    </w:pPr>
    <w:rPr>
      <w:rFonts w:ascii="Calibri" w:eastAsia="Calibri" w:hAnsi="Calibri" w:cs="Calibri"/>
      <w:color w:val="1F386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68BE"/>
    <w:rPr>
      <w:rFonts w:asciiTheme="majorHAnsi" w:eastAsia="Arial Unicode MS" w:hAnsiTheme="majorHAnsi" w:cstheme="majorHAnsi"/>
      <w:b/>
      <w:bCs/>
      <w:kern w:val="32"/>
      <w:sz w:val="20"/>
      <w:szCs w:val="20"/>
      <w:lang w:eastAsia="x-none"/>
    </w:rPr>
  </w:style>
  <w:style w:type="character" w:customStyle="1" w:styleId="Heading2Char">
    <w:name w:val="Heading 2 Char"/>
    <w:basedOn w:val="DefaultParagraphFont"/>
    <w:link w:val="Heading2"/>
    <w:rsid w:val="00F5308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AE3CF3"/>
    <w:rPr>
      <w:rFonts w:ascii="Calibri" w:eastAsia="Calibri" w:hAnsi="Calibri" w:cs="Calibri"/>
      <w:color w:val="1F3863"/>
      <w:sz w:val="20"/>
      <w:szCs w:val="20"/>
    </w:rPr>
  </w:style>
  <w:style w:type="character" w:customStyle="1" w:styleId="Heading4Char">
    <w:name w:val="Heading 4 Char"/>
    <w:basedOn w:val="DefaultParagraphFont"/>
    <w:link w:val="Heading4"/>
    <w:rsid w:val="00AE3CF3"/>
    <w:rPr>
      <w:rFonts w:ascii="Calibri" w:eastAsia="Calibri" w:hAnsi="Calibri" w:cs="Calibri"/>
      <w:i/>
      <w:color w:val="2F5496"/>
      <w:sz w:val="22"/>
      <w:szCs w:val="22"/>
    </w:rPr>
  </w:style>
  <w:style w:type="character" w:customStyle="1" w:styleId="Heading5Char">
    <w:name w:val="Heading 5 Char"/>
    <w:basedOn w:val="DefaultParagraphFont"/>
    <w:link w:val="Heading5"/>
    <w:rsid w:val="00AE3CF3"/>
    <w:rPr>
      <w:rFonts w:ascii="Calibri" w:eastAsia="Calibri" w:hAnsi="Calibri" w:cs="Calibri"/>
      <w:color w:val="2F5496"/>
      <w:sz w:val="22"/>
      <w:szCs w:val="22"/>
    </w:rPr>
  </w:style>
  <w:style w:type="character" w:customStyle="1" w:styleId="Heading6Char">
    <w:name w:val="Heading 6 Char"/>
    <w:basedOn w:val="DefaultParagraphFont"/>
    <w:link w:val="Heading6"/>
    <w:rsid w:val="00AE3CF3"/>
    <w:rPr>
      <w:rFonts w:ascii="Calibri" w:eastAsia="Calibri" w:hAnsi="Calibri" w:cs="Calibri"/>
      <w:color w:val="1F3863"/>
      <w:sz w:val="22"/>
      <w:szCs w:val="22"/>
    </w:rPr>
  </w:style>
  <w:style w:type="paragraph" w:customStyle="1" w:styleId="Default">
    <w:name w:val="Default"/>
    <w:rsid w:val="00933038"/>
    <w:pPr>
      <w:autoSpaceDE w:val="0"/>
      <w:autoSpaceDN w:val="0"/>
      <w:adjustRightInd w:val="0"/>
    </w:pPr>
    <w:rPr>
      <w:rFonts w:ascii="Arial" w:eastAsia="Calibri" w:hAnsi="Arial" w:cs="Arial"/>
      <w:color w:val="000000"/>
      <w:sz w:val="20"/>
    </w:rPr>
  </w:style>
  <w:style w:type="paragraph" w:styleId="ListParagraph">
    <w:name w:val="List Paragraph"/>
    <w:basedOn w:val="Normal"/>
    <w:uiPriority w:val="34"/>
    <w:qFormat/>
    <w:rsid w:val="00933038"/>
    <w:pPr>
      <w:ind w:left="720"/>
    </w:pPr>
    <w:rPr>
      <w:rFonts w:ascii="Arial" w:eastAsia="Times New Roman" w:hAnsi="Arial" w:cs="Times New Roman"/>
      <w:sz w:val="20"/>
    </w:rPr>
  </w:style>
  <w:style w:type="paragraph" w:styleId="FootnoteText">
    <w:name w:val="footnote text"/>
    <w:basedOn w:val="Normal"/>
    <w:link w:val="FootnoteTextChar"/>
    <w:uiPriority w:val="99"/>
    <w:unhideWhenUsed/>
    <w:rsid w:val="00933038"/>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933038"/>
    <w:rPr>
      <w:rFonts w:ascii="Times New Roman" w:eastAsia="Times New Roman" w:hAnsi="Times New Roman" w:cs="Times New Roman"/>
      <w:sz w:val="20"/>
      <w:szCs w:val="20"/>
      <w:lang w:val="x-none" w:eastAsia="x-none"/>
    </w:rPr>
  </w:style>
  <w:style w:type="character" w:styleId="Hyperlink">
    <w:name w:val="Hyperlink"/>
    <w:uiPriority w:val="99"/>
    <w:unhideWhenUsed/>
    <w:rsid w:val="00933038"/>
    <w:rPr>
      <w:color w:val="0563C1"/>
      <w:u w:val="single"/>
    </w:rPr>
  </w:style>
  <w:style w:type="paragraph" w:styleId="Footer">
    <w:name w:val="footer"/>
    <w:basedOn w:val="Normal"/>
    <w:link w:val="FooterChar"/>
    <w:uiPriority w:val="99"/>
    <w:unhideWhenUsed/>
    <w:rsid w:val="00933038"/>
    <w:pPr>
      <w:tabs>
        <w:tab w:val="center" w:pos="4680"/>
        <w:tab w:val="right" w:pos="9360"/>
      </w:tabs>
    </w:pPr>
    <w:rPr>
      <w:rFonts w:ascii="Times New Roman" w:eastAsia="Times New Roman" w:hAnsi="Times New Roman" w:cs="Times New Roman"/>
      <w:lang w:val="x-none" w:eastAsia="x-none"/>
    </w:rPr>
  </w:style>
  <w:style w:type="character" w:customStyle="1" w:styleId="FooterChar">
    <w:name w:val="Footer Char"/>
    <w:basedOn w:val="DefaultParagraphFont"/>
    <w:link w:val="Footer"/>
    <w:uiPriority w:val="99"/>
    <w:rsid w:val="00933038"/>
    <w:rPr>
      <w:rFonts w:ascii="Times New Roman" w:eastAsia="Times New Roman" w:hAnsi="Times New Roman" w:cs="Times New Roman"/>
      <w:lang w:val="x-none" w:eastAsia="x-none"/>
    </w:rPr>
  </w:style>
  <w:style w:type="character" w:customStyle="1" w:styleId="BalloonTextChar">
    <w:name w:val="Balloon Text Char"/>
    <w:basedOn w:val="DefaultParagraphFont"/>
    <w:link w:val="BalloonText"/>
    <w:uiPriority w:val="99"/>
    <w:semiHidden/>
    <w:rsid w:val="00933038"/>
    <w:rPr>
      <w:rFonts w:ascii="Segoe UI" w:hAnsi="Segoe UI" w:cs="Segoe UI"/>
      <w:sz w:val="18"/>
      <w:szCs w:val="18"/>
    </w:rPr>
  </w:style>
  <w:style w:type="paragraph" w:styleId="BalloonText">
    <w:name w:val="Balloon Text"/>
    <w:basedOn w:val="Normal"/>
    <w:link w:val="BalloonTextChar"/>
    <w:uiPriority w:val="99"/>
    <w:semiHidden/>
    <w:unhideWhenUsed/>
    <w:rsid w:val="00933038"/>
    <w:rPr>
      <w:rFonts w:ascii="Segoe UI" w:hAnsi="Segoe UI" w:cs="Segoe UI"/>
      <w:sz w:val="18"/>
      <w:szCs w:val="18"/>
    </w:rPr>
  </w:style>
  <w:style w:type="paragraph" w:styleId="DocumentMap">
    <w:name w:val="Document Map"/>
    <w:basedOn w:val="Normal"/>
    <w:link w:val="DocumentMapChar"/>
    <w:uiPriority w:val="99"/>
    <w:semiHidden/>
    <w:unhideWhenUsed/>
    <w:rsid w:val="00933038"/>
    <w:rPr>
      <w:rFonts w:ascii="Times New Roman" w:hAnsi="Times New Roman" w:cs="Times New Roman"/>
    </w:rPr>
  </w:style>
  <w:style w:type="character" w:customStyle="1" w:styleId="DocumentMapChar">
    <w:name w:val="Document Map Char"/>
    <w:basedOn w:val="DefaultParagraphFont"/>
    <w:link w:val="DocumentMap"/>
    <w:uiPriority w:val="99"/>
    <w:semiHidden/>
    <w:rsid w:val="00933038"/>
    <w:rPr>
      <w:rFonts w:ascii="Times New Roman" w:hAnsi="Times New Roman" w:cs="Times New Roman"/>
    </w:rPr>
  </w:style>
  <w:style w:type="character" w:styleId="FootnoteReference">
    <w:name w:val="footnote reference"/>
    <w:uiPriority w:val="99"/>
    <w:semiHidden/>
    <w:unhideWhenUsed/>
    <w:rsid w:val="00193137"/>
    <w:rPr>
      <w:vertAlign w:val="superscript"/>
    </w:rPr>
  </w:style>
  <w:style w:type="paragraph" w:styleId="TOCHeading">
    <w:name w:val="TOC Heading"/>
    <w:basedOn w:val="Heading1"/>
    <w:next w:val="Normal"/>
    <w:uiPriority w:val="39"/>
    <w:unhideWhenUsed/>
    <w:qFormat/>
    <w:rsid w:val="00AA6290"/>
    <w:pPr>
      <w:keepLines/>
      <w:spacing w:before="240" w:line="259" w:lineRule="auto"/>
      <w:outlineLvl w:val="9"/>
    </w:pPr>
    <w:rPr>
      <w:rFonts w:eastAsiaTheme="majorEastAsia" w:cstheme="majorBidi"/>
      <w:b w:val="0"/>
      <w:bCs w:val="0"/>
      <w:color w:val="2F5496" w:themeColor="accent1" w:themeShade="BF"/>
      <w:kern w:val="0"/>
      <w:sz w:val="32"/>
      <w:szCs w:val="32"/>
      <w:lang w:eastAsia="en-US"/>
    </w:rPr>
  </w:style>
  <w:style w:type="paragraph" w:styleId="TOC1">
    <w:name w:val="toc 1"/>
    <w:basedOn w:val="Normal"/>
    <w:next w:val="Normal"/>
    <w:autoRedefine/>
    <w:uiPriority w:val="39"/>
    <w:unhideWhenUsed/>
    <w:rsid w:val="00031E89"/>
    <w:pPr>
      <w:tabs>
        <w:tab w:val="right" w:pos="9350"/>
      </w:tabs>
    </w:pPr>
  </w:style>
  <w:style w:type="paragraph" w:styleId="Header">
    <w:name w:val="header"/>
    <w:basedOn w:val="Normal"/>
    <w:link w:val="HeaderChar"/>
    <w:uiPriority w:val="99"/>
    <w:unhideWhenUsed/>
    <w:rsid w:val="00AA6290"/>
    <w:pPr>
      <w:tabs>
        <w:tab w:val="center" w:pos="4680"/>
        <w:tab w:val="right" w:pos="9360"/>
      </w:tabs>
    </w:pPr>
  </w:style>
  <w:style w:type="character" w:customStyle="1" w:styleId="HeaderChar">
    <w:name w:val="Header Char"/>
    <w:basedOn w:val="DefaultParagraphFont"/>
    <w:link w:val="Header"/>
    <w:uiPriority w:val="99"/>
    <w:rsid w:val="00AA6290"/>
  </w:style>
  <w:style w:type="table" w:styleId="ListTable2">
    <w:name w:val="List Table 2"/>
    <w:basedOn w:val="TableNormal"/>
    <w:uiPriority w:val="47"/>
    <w:rsid w:val="00231759"/>
    <w:rPr>
      <w:rFonts w:ascii="Calibri" w:eastAsia="Calibri" w:hAnsi="Calibri" w:cs="Calibri"/>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231759"/>
    <w:rPr>
      <w:sz w:val="16"/>
      <w:szCs w:val="16"/>
    </w:rPr>
  </w:style>
  <w:style w:type="paragraph" w:styleId="CommentText">
    <w:name w:val="annotation text"/>
    <w:basedOn w:val="Normal"/>
    <w:link w:val="CommentTextChar"/>
    <w:uiPriority w:val="99"/>
    <w:unhideWhenUsed/>
    <w:rsid w:val="00231759"/>
    <w:rPr>
      <w:sz w:val="20"/>
      <w:szCs w:val="20"/>
    </w:rPr>
  </w:style>
  <w:style w:type="character" w:customStyle="1" w:styleId="CommentTextChar">
    <w:name w:val="Comment Text Char"/>
    <w:basedOn w:val="DefaultParagraphFont"/>
    <w:link w:val="CommentText"/>
    <w:uiPriority w:val="99"/>
    <w:rsid w:val="00231759"/>
    <w:rPr>
      <w:sz w:val="20"/>
      <w:szCs w:val="20"/>
    </w:rPr>
  </w:style>
  <w:style w:type="paragraph" w:styleId="CommentSubject">
    <w:name w:val="annotation subject"/>
    <w:basedOn w:val="CommentText"/>
    <w:next w:val="CommentText"/>
    <w:link w:val="CommentSubjectChar"/>
    <w:uiPriority w:val="99"/>
    <w:semiHidden/>
    <w:unhideWhenUsed/>
    <w:rsid w:val="00231759"/>
    <w:rPr>
      <w:b/>
      <w:bCs/>
    </w:rPr>
  </w:style>
  <w:style w:type="character" w:customStyle="1" w:styleId="CommentSubjectChar">
    <w:name w:val="Comment Subject Char"/>
    <w:basedOn w:val="CommentTextChar"/>
    <w:link w:val="CommentSubject"/>
    <w:uiPriority w:val="99"/>
    <w:semiHidden/>
    <w:rsid w:val="00231759"/>
    <w:rPr>
      <w:b/>
      <w:bCs/>
      <w:sz w:val="20"/>
      <w:szCs w:val="20"/>
    </w:rPr>
  </w:style>
  <w:style w:type="paragraph" w:styleId="NoSpacing">
    <w:name w:val="No Spacing"/>
    <w:link w:val="NoSpacingChar"/>
    <w:uiPriority w:val="1"/>
    <w:qFormat/>
    <w:rsid w:val="00AA6195"/>
    <w:rPr>
      <w:color w:val="44546A" w:themeColor="text2"/>
      <w:sz w:val="20"/>
      <w:szCs w:val="20"/>
    </w:rPr>
  </w:style>
  <w:style w:type="character" w:customStyle="1" w:styleId="NoSpacingChar">
    <w:name w:val="No Spacing Char"/>
    <w:basedOn w:val="DefaultParagraphFont"/>
    <w:link w:val="NoSpacing"/>
    <w:uiPriority w:val="1"/>
    <w:rsid w:val="00AE3CF3"/>
    <w:rPr>
      <w:color w:val="44546A" w:themeColor="text2"/>
      <w:sz w:val="20"/>
      <w:szCs w:val="20"/>
    </w:rPr>
  </w:style>
  <w:style w:type="table" w:styleId="TableGrid">
    <w:name w:val="Table Grid"/>
    <w:basedOn w:val="TableNormal"/>
    <w:uiPriority w:val="39"/>
    <w:rsid w:val="00C62D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D75CF"/>
    <w:rPr>
      <w:rFonts w:ascii="Calibri" w:eastAsia="Calibri" w:hAnsi="Calibri" w:cs="Calibri"/>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52420D"/>
    <w:rPr>
      <w:rFonts w:ascii="Calibri" w:eastAsia="Calibri" w:hAnsi="Calibri" w:cs="Calibr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
    <w:name w:val="Grid Table 3"/>
    <w:basedOn w:val="TableNormal"/>
    <w:uiPriority w:val="48"/>
    <w:rsid w:val="00C3158F"/>
    <w:rPr>
      <w:rFonts w:ascii="Calibri" w:eastAsia="Calibri" w:hAnsi="Calibri" w:cs="Calibri"/>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Strong">
    <w:name w:val="Strong"/>
    <w:basedOn w:val="DefaultParagraphFont"/>
    <w:uiPriority w:val="22"/>
    <w:qFormat/>
    <w:rsid w:val="001463BA"/>
    <w:rPr>
      <w:b/>
      <w:bCs/>
    </w:rPr>
  </w:style>
  <w:style w:type="paragraph" w:customStyle="1" w:styleId="m-2208960558059457134datafield11pt-single">
    <w:name w:val="m_-2208960558059457134datafield11pt-single"/>
    <w:basedOn w:val="Normal"/>
    <w:uiPriority w:val="99"/>
    <w:rsid w:val="00C201A8"/>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176A4"/>
    <w:rPr>
      <w:i/>
      <w:iCs/>
    </w:rPr>
  </w:style>
  <w:style w:type="table" w:customStyle="1" w:styleId="16">
    <w:name w:val="16"/>
    <w:basedOn w:val="TableNormal"/>
    <w:rsid w:val="008F2078"/>
    <w:rPr>
      <w:rFonts w:ascii="Calibri" w:eastAsia="Calibri" w:hAnsi="Calibri" w:cs="Calibri"/>
      <w:sz w:val="22"/>
      <w:szCs w:val="22"/>
    </w:rPr>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15">
    <w:name w:val="15"/>
    <w:basedOn w:val="TableNormal"/>
    <w:rsid w:val="00F37D17"/>
    <w:rPr>
      <w:rFonts w:ascii="Calibri" w:eastAsia="Calibri" w:hAnsi="Calibri" w:cs="Calibri"/>
      <w:sz w:val="22"/>
      <w:szCs w:val="22"/>
    </w:rPr>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paragraph" w:styleId="Title">
    <w:name w:val="Title"/>
    <w:basedOn w:val="Normal"/>
    <w:next w:val="Normal"/>
    <w:link w:val="TitleChar"/>
    <w:rsid w:val="00AE3CF3"/>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AE3CF3"/>
    <w:rPr>
      <w:rFonts w:ascii="Calibri" w:eastAsia="Calibri" w:hAnsi="Calibri" w:cs="Calibri"/>
      <w:b/>
      <w:sz w:val="72"/>
      <w:szCs w:val="72"/>
    </w:rPr>
  </w:style>
  <w:style w:type="paragraph" w:styleId="Subtitle">
    <w:name w:val="Subtitle"/>
    <w:basedOn w:val="Normal"/>
    <w:next w:val="Normal"/>
    <w:link w:val="SubtitleChar"/>
    <w:rsid w:val="00AE3CF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E3CF3"/>
    <w:rPr>
      <w:rFonts w:ascii="Georgia" w:eastAsia="Georgia" w:hAnsi="Georgia" w:cs="Georgia"/>
      <w:i/>
      <w:color w:val="666666"/>
      <w:sz w:val="48"/>
      <w:szCs w:val="48"/>
    </w:rPr>
  </w:style>
  <w:style w:type="paragraph" w:customStyle="1" w:styleId="Style1">
    <w:name w:val="Style1"/>
    <w:basedOn w:val="Heading1"/>
    <w:link w:val="Style1Char"/>
    <w:qFormat/>
    <w:rsid w:val="00AE3CF3"/>
    <w:rPr>
      <w:rFonts w:eastAsia="Arial" w:cs="Arial"/>
      <w:bCs w:val="0"/>
    </w:rPr>
  </w:style>
  <w:style w:type="character" w:customStyle="1" w:styleId="Style1Char">
    <w:name w:val="Style1 Char"/>
    <w:basedOn w:val="Heading1Char"/>
    <w:link w:val="Style1"/>
    <w:rsid w:val="00AE3CF3"/>
    <w:rPr>
      <w:rFonts w:asciiTheme="majorHAnsi" w:eastAsia="Arial" w:hAnsiTheme="majorHAnsi" w:cs="Arial"/>
      <w:b/>
      <w:bCs w:val="0"/>
      <w:kern w:val="32"/>
      <w:sz w:val="20"/>
      <w:szCs w:val="20"/>
      <w:lang w:eastAsia="x-none"/>
    </w:rPr>
  </w:style>
  <w:style w:type="paragraph" w:styleId="Caption">
    <w:name w:val="caption"/>
    <w:basedOn w:val="Normal"/>
    <w:next w:val="Normal"/>
    <w:uiPriority w:val="35"/>
    <w:unhideWhenUsed/>
    <w:qFormat/>
    <w:rsid w:val="00AE3CF3"/>
    <w:pPr>
      <w:spacing w:after="200"/>
    </w:pPr>
    <w:rPr>
      <w:rFonts w:ascii="Calibri" w:eastAsia="Calibri" w:hAnsi="Calibri" w:cs="Calibri"/>
      <w:i/>
      <w:iCs/>
      <w:color w:val="44546A" w:themeColor="text2"/>
      <w:sz w:val="18"/>
      <w:szCs w:val="18"/>
    </w:rPr>
  </w:style>
  <w:style w:type="paragraph" w:styleId="BodyText">
    <w:name w:val="Body Text"/>
    <w:basedOn w:val="Normal"/>
    <w:link w:val="BodyTextChar"/>
    <w:uiPriority w:val="1"/>
    <w:qFormat/>
    <w:rsid w:val="00AE3CF3"/>
    <w:pPr>
      <w:widowControl w:val="0"/>
      <w:ind w:left="840" w:hanging="360"/>
    </w:pPr>
    <w:rPr>
      <w:rFonts w:ascii="Arial" w:eastAsia="Arial" w:hAnsi="Arial"/>
      <w:sz w:val="20"/>
      <w:szCs w:val="20"/>
    </w:rPr>
  </w:style>
  <w:style w:type="character" w:customStyle="1" w:styleId="BodyTextChar">
    <w:name w:val="Body Text Char"/>
    <w:basedOn w:val="DefaultParagraphFont"/>
    <w:link w:val="BodyText"/>
    <w:uiPriority w:val="1"/>
    <w:rsid w:val="00AE3CF3"/>
    <w:rPr>
      <w:rFonts w:ascii="Arial" w:eastAsia="Arial" w:hAnsi="Arial"/>
      <w:sz w:val="20"/>
      <w:szCs w:val="20"/>
    </w:rPr>
  </w:style>
  <w:style w:type="paragraph" w:customStyle="1" w:styleId="font5">
    <w:name w:val="font5"/>
    <w:basedOn w:val="Normal"/>
    <w:rsid w:val="00AE3CF3"/>
    <w:pPr>
      <w:spacing w:before="100" w:beforeAutospacing="1" w:after="100" w:afterAutospacing="1"/>
    </w:pPr>
    <w:rPr>
      <w:rFonts w:ascii="Calibri" w:eastAsia="Times New Roman" w:hAnsi="Calibri" w:cs="Times New Roman"/>
      <w:color w:val="FF0000"/>
      <w:sz w:val="20"/>
      <w:szCs w:val="20"/>
    </w:rPr>
  </w:style>
  <w:style w:type="paragraph" w:customStyle="1" w:styleId="font6">
    <w:name w:val="font6"/>
    <w:basedOn w:val="Normal"/>
    <w:rsid w:val="00AE3CF3"/>
    <w:pPr>
      <w:spacing w:before="100" w:beforeAutospacing="1" w:after="100" w:afterAutospacing="1"/>
    </w:pPr>
    <w:rPr>
      <w:rFonts w:ascii="Calibri" w:eastAsia="Times New Roman" w:hAnsi="Calibri" w:cs="Times New Roman"/>
      <w:sz w:val="20"/>
      <w:szCs w:val="20"/>
    </w:rPr>
  </w:style>
  <w:style w:type="paragraph" w:customStyle="1" w:styleId="font7">
    <w:name w:val="font7"/>
    <w:basedOn w:val="Normal"/>
    <w:rsid w:val="00AE3CF3"/>
    <w:pPr>
      <w:spacing w:before="100" w:beforeAutospacing="1" w:after="100" w:afterAutospacing="1"/>
    </w:pPr>
    <w:rPr>
      <w:rFonts w:ascii="Calibri" w:eastAsia="Times New Roman" w:hAnsi="Calibri" w:cs="Times New Roman"/>
      <w:b/>
      <w:bCs/>
      <w:color w:val="000000"/>
      <w:sz w:val="20"/>
      <w:szCs w:val="20"/>
    </w:rPr>
  </w:style>
  <w:style w:type="paragraph" w:customStyle="1" w:styleId="xl63">
    <w:name w:val="xl63"/>
    <w:basedOn w:val="Normal"/>
    <w:rsid w:val="00AE3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0"/>
      <w:szCs w:val="20"/>
    </w:rPr>
  </w:style>
  <w:style w:type="paragraph" w:customStyle="1" w:styleId="xl64">
    <w:name w:val="xl64"/>
    <w:basedOn w:val="Normal"/>
    <w:rsid w:val="00AE3CF3"/>
    <w:pP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65">
    <w:name w:val="xl65"/>
    <w:basedOn w:val="Normal"/>
    <w:rsid w:val="00AE3C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66">
    <w:name w:val="xl66"/>
    <w:basedOn w:val="Normal"/>
    <w:rsid w:val="00AE3C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67">
    <w:name w:val="xl67"/>
    <w:basedOn w:val="Normal"/>
    <w:rsid w:val="00AE3CF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68">
    <w:name w:val="xl68"/>
    <w:basedOn w:val="Normal"/>
    <w:rsid w:val="00AE3C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69">
    <w:name w:val="xl69"/>
    <w:basedOn w:val="Normal"/>
    <w:rsid w:val="00AE3C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FF0000"/>
      <w:sz w:val="20"/>
      <w:szCs w:val="20"/>
    </w:rPr>
  </w:style>
  <w:style w:type="paragraph" w:customStyle="1" w:styleId="xl70">
    <w:name w:val="xl70"/>
    <w:basedOn w:val="Normal"/>
    <w:rsid w:val="00AE3CF3"/>
    <w:pPr>
      <w:pBdr>
        <w:right w:val="single" w:sz="8" w:space="0" w:color="auto"/>
      </w:pBdr>
      <w:spacing w:before="100" w:beforeAutospacing="1" w:after="100" w:afterAutospacing="1"/>
      <w:textAlignment w:val="center"/>
    </w:pPr>
    <w:rPr>
      <w:rFonts w:ascii="Times New Roman" w:eastAsia="Times New Roman" w:hAnsi="Times New Roman" w:cs="Times New Roman"/>
      <w:color w:val="000000"/>
      <w:sz w:val="20"/>
      <w:szCs w:val="20"/>
    </w:rPr>
  </w:style>
  <w:style w:type="paragraph" w:customStyle="1" w:styleId="xl71">
    <w:name w:val="xl71"/>
    <w:basedOn w:val="Normal"/>
    <w:rsid w:val="00AE3CF3"/>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72">
    <w:name w:val="xl72"/>
    <w:basedOn w:val="Normal"/>
    <w:rsid w:val="00AE3CF3"/>
    <w:pPr>
      <w:pBdr>
        <w:right w:val="single" w:sz="8" w:space="0" w:color="auto"/>
      </w:pBdr>
      <w:shd w:val="clear" w:color="000000" w:fill="EDEDED"/>
      <w:spacing w:before="100" w:beforeAutospacing="1" w:after="100" w:afterAutospacing="1"/>
      <w:textAlignment w:val="center"/>
    </w:pPr>
    <w:rPr>
      <w:rFonts w:ascii="Times New Roman" w:eastAsia="Times New Roman" w:hAnsi="Times New Roman" w:cs="Times New Roman"/>
      <w:color w:val="000000"/>
      <w:sz w:val="20"/>
      <w:szCs w:val="20"/>
    </w:rPr>
  </w:style>
  <w:style w:type="paragraph" w:customStyle="1" w:styleId="xl73">
    <w:name w:val="xl73"/>
    <w:basedOn w:val="Normal"/>
    <w:rsid w:val="00AE3CF3"/>
    <w:pPr>
      <w:pBdr>
        <w:right w:val="single" w:sz="8" w:space="0" w:color="auto"/>
      </w:pBdr>
      <w:shd w:val="clear" w:color="000000" w:fill="EDEDED"/>
      <w:spacing w:before="100" w:beforeAutospacing="1" w:after="100" w:afterAutospacing="1"/>
      <w:textAlignment w:val="top"/>
    </w:pPr>
    <w:rPr>
      <w:rFonts w:ascii="Times New Roman" w:eastAsia="Times New Roman" w:hAnsi="Times New Roman" w:cs="Times New Roman"/>
    </w:rPr>
  </w:style>
  <w:style w:type="paragraph" w:customStyle="1" w:styleId="xl74">
    <w:name w:val="xl74"/>
    <w:basedOn w:val="Normal"/>
    <w:rsid w:val="00AE3CF3"/>
    <w:pPr>
      <w:pBdr>
        <w:bottom w:val="single" w:sz="8" w:space="0" w:color="auto"/>
        <w:right w:val="single" w:sz="8" w:space="0" w:color="auto"/>
      </w:pBdr>
      <w:shd w:val="clear" w:color="000000" w:fill="EDEDED"/>
      <w:spacing w:before="100" w:beforeAutospacing="1" w:after="100" w:afterAutospacing="1"/>
      <w:textAlignment w:val="top"/>
    </w:pPr>
    <w:rPr>
      <w:rFonts w:ascii="Times New Roman" w:eastAsia="Times New Roman" w:hAnsi="Times New Roman" w:cs="Times New Roman"/>
    </w:rPr>
  </w:style>
  <w:style w:type="paragraph" w:customStyle="1" w:styleId="xl75">
    <w:name w:val="xl75"/>
    <w:basedOn w:val="Normal"/>
    <w:rsid w:val="00AE3CF3"/>
    <w:pPr>
      <w:pBdr>
        <w:right w:val="single" w:sz="8"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76">
    <w:name w:val="xl76"/>
    <w:basedOn w:val="Normal"/>
    <w:rsid w:val="00AE3CF3"/>
    <w:pPr>
      <w:pBdr>
        <w:bottom w:val="single" w:sz="8" w:space="0" w:color="auto"/>
        <w:right w:val="single" w:sz="8" w:space="0" w:color="auto"/>
      </w:pBdr>
      <w:shd w:val="clear" w:color="000000" w:fill="FFFF00"/>
      <w:spacing w:before="100" w:beforeAutospacing="1" w:after="100" w:afterAutospacing="1"/>
      <w:textAlignment w:val="center"/>
    </w:pPr>
    <w:rPr>
      <w:rFonts w:ascii="Times New Roman" w:eastAsia="Times New Roman" w:hAnsi="Times New Roman" w:cs="Times New Roman"/>
      <w:color w:val="000000"/>
      <w:sz w:val="20"/>
      <w:szCs w:val="20"/>
    </w:rPr>
  </w:style>
  <w:style w:type="paragraph" w:customStyle="1" w:styleId="xl77">
    <w:name w:val="xl77"/>
    <w:basedOn w:val="Normal"/>
    <w:rsid w:val="00AE3CF3"/>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0"/>
      <w:szCs w:val="20"/>
    </w:rPr>
  </w:style>
  <w:style w:type="paragraph" w:customStyle="1" w:styleId="xl78">
    <w:name w:val="xl78"/>
    <w:basedOn w:val="Normal"/>
    <w:rsid w:val="00AE3CF3"/>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0"/>
      <w:szCs w:val="20"/>
    </w:rPr>
  </w:style>
  <w:style w:type="paragraph" w:customStyle="1" w:styleId="xl79">
    <w:name w:val="xl79"/>
    <w:basedOn w:val="Normal"/>
    <w:rsid w:val="00AE3CF3"/>
    <w:pPr>
      <w:pBdr>
        <w:left w:val="single" w:sz="8" w:space="0" w:color="auto"/>
        <w:right w:val="single" w:sz="8" w:space="0" w:color="auto"/>
      </w:pBdr>
      <w:shd w:val="clear" w:color="000000" w:fill="EDEDED"/>
      <w:spacing w:before="100" w:beforeAutospacing="1" w:after="100" w:afterAutospacing="1"/>
      <w:textAlignment w:val="center"/>
    </w:pPr>
    <w:rPr>
      <w:rFonts w:ascii="Times New Roman" w:eastAsia="Times New Roman" w:hAnsi="Times New Roman" w:cs="Times New Roman"/>
      <w:color w:val="000000"/>
      <w:sz w:val="20"/>
      <w:szCs w:val="20"/>
    </w:rPr>
  </w:style>
  <w:style w:type="paragraph" w:customStyle="1" w:styleId="xl80">
    <w:name w:val="xl80"/>
    <w:basedOn w:val="Normal"/>
    <w:rsid w:val="00AE3CF3"/>
    <w:pPr>
      <w:pBdr>
        <w:top w:val="single" w:sz="8" w:space="0" w:color="auto"/>
        <w:left w:val="single" w:sz="8" w:space="0" w:color="auto"/>
        <w:right w:val="single" w:sz="8" w:space="0" w:color="auto"/>
      </w:pBdr>
      <w:shd w:val="clear" w:color="000000" w:fill="EDEDED"/>
      <w:spacing w:before="100" w:beforeAutospacing="1" w:after="100" w:afterAutospacing="1"/>
      <w:textAlignment w:val="center"/>
    </w:pPr>
    <w:rPr>
      <w:rFonts w:ascii="Times New Roman" w:eastAsia="Times New Roman" w:hAnsi="Times New Roman" w:cs="Times New Roman"/>
      <w:color w:val="000000"/>
      <w:sz w:val="20"/>
      <w:szCs w:val="20"/>
    </w:rPr>
  </w:style>
  <w:style w:type="paragraph" w:customStyle="1" w:styleId="xl81">
    <w:name w:val="xl81"/>
    <w:basedOn w:val="Normal"/>
    <w:rsid w:val="00AE3CF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AE3CF3"/>
    <w:pPr>
      <w:spacing w:before="100" w:beforeAutospacing="1" w:after="100" w:afterAutospacing="1"/>
    </w:pPr>
    <w:rPr>
      <w:rFonts w:ascii="Times New Roman" w:eastAsia="Times New Roman" w:hAnsi="Times New Roman" w:cs="Times New Roman"/>
    </w:rPr>
  </w:style>
  <w:style w:type="paragraph" w:customStyle="1" w:styleId="pv-top-card-sectionsummary-text">
    <w:name w:val="pv-top-card-section__summary-text"/>
    <w:basedOn w:val="Normal"/>
    <w:rsid w:val="00AE3CF3"/>
    <w:pPr>
      <w:spacing w:before="100" w:beforeAutospacing="1" w:after="100" w:afterAutospacing="1"/>
    </w:pPr>
    <w:rPr>
      <w:rFonts w:ascii="Times New Roman" w:eastAsia="Times New Roman" w:hAnsi="Times New Roman" w:cs="Times New Roman"/>
    </w:rPr>
  </w:style>
  <w:style w:type="character" w:customStyle="1" w:styleId="lt-line-clampraw-line">
    <w:name w:val="lt-line-clamp__raw-line"/>
    <w:basedOn w:val="DefaultParagraphFont"/>
    <w:rsid w:val="00AE3CF3"/>
  </w:style>
  <w:style w:type="character" w:customStyle="1" w:styleId="fn">
    <w:name w:val="fn"/>
    <w:basedOn w:val="DefaultParagraphFont"/>
    <w:rsid w:val="00AE3CF3"/>
  </w:style>
  <w:style w:type="character" w:customStyle="1" w:styleId="lt-line-clampline">
    <w:name w:val="lt-line-clamp__line"/>
    <w:basedOn w:val="DefaultParagraphFont"/>
    <w:rsid w:val="00AE3CF3"/>
  </w:style>
  <w:style w:type="paragraph" w:customStyle="1" w:styleId="msonormal0">
    <w:name w:val="msonormal"/>
    <w:basedOn w:val="Normal"/>
    <w:rsid w:val="00AE3CF3"/>
    <w:pPr>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8303A"/>
  </w:style>
  <w:style w:type="table" w:customStyle="1" w:styleId="2">
    <w:name w:val="2"/>
    <w:basedOn w:val="TableNormal"/>
    <w:rsid w:val="003B789D"/>
    <w:rPr>
      <w:rFonts w:ascii="Calibri" w:eastAsia="Calibri" w:hAnsi="Calibri" w:cs="Calibri"/>
      <w:sz w:val="22"/>
      <w:szCs w:val="22"/>
    </w:rPr>
    <w:tblPr>
      <w:tblStyleRowBandSize w:val="1"/>
      <w:tblStyleColBandSize w:val="1"/>
    </w:tblPr>
  </w:style>
  <w:style w:type="table" w:styleId="GridTable6Colorful">
    <w:name w:val="Grid Table 6 Colorful"/>
    <w:basedOn w:val="TableNormal"/>
    <w:uiPriority w:val="51"/>
    <w:rsid w:val="00086E8A"/>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0">
    <w:name w:val="20"/>
    <w:basedOn w:val="TableNormal"/>
    <w:rsid w:val="00AC28B6"/>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9">
    <w:name w:val="19"/>
    <w:basedOn w:val="TableNormal"/>
    <w:rsid w:val="00AC28B6"/>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8">
    <w:name w:val="18"/>
    <w:basedOn w:val="TableNormal"/>
    <w:rsid w:val="00A81BED"/>
    <w:rPr>
      <w:rFonts w:ascii="Calibri" w:eastAsia="Calibri" w:hAnsi="Calibri" w:cs="Calibri"/>
      <w:sz w:val="20"/>
      <w:szCs w:val="20"/>
    </w:rPr>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D61D9F"/>
    <w:rPr>
      <w:color w:val="954F72" w:themeColor="followedHyperlink"/>
      <w:u w:val="single"/>
    </w:rPr>
  </w:style>
  <w:style w:type="paragraph" w:styleId="Revision">
    <w:name w:val="Revision"/>
    <w:hidden/>
    <w:uiPriority w:val="99"/>
    <w:semiHidden/>
    <w:rsid w:val="006F38BC"/>
  </w:style>
  <w:style w:type="character" w:customStyle="1" w:styleId="BalloonTextChar1">
    <w:name w:val="Balloon Text Char1"/>
    <w:basedOn w:val="DefaultParagraphFont"/>
    <w:uiPriority w:val="99"/>
    <w:semiHidden/>
    <w:rsid w:val="00792273"/>
    <w:rPr>
      <w:rFonts w:ascii="Segoe UI" w:hAnsi="Segoe UI" w:cs="Segoe UI"/>
      <w:sz w:val="18"/>
      <w:szCs w:val="18"/>
    </w:rPr>
  </w:style>
  <w:style w:type="paragraph" w:customStyle="1" w:styleId="ng-binding">
    <w:name w:val="ng-binding"/>
    <w:basedOn w:val="Normal"/>
    <w:rsid w:val="00DD2E3C"/>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10271E"/>
    <w:rPr>
      <w:color w:val="605E5C"/>
      <w:shd w:val="clear" w:color="auto" w:fill="E1DFDD"/>
    </w:rPr>
  </w:style>
  <w:style w:type="paragraph" w:styleId="PlainText">
    <w:name w:val="Plain Text"/>
    <w:basedOn w:val="Normal"/>
    <w:link w:val="PlainTextChar"/>
    <w:uiPriority w:val="99"/>
    <w:unhideWhenUsed/>
    <w:rsid w:val="00547032"/>
    <w:rPr>
      <w:rFonts w:ascii="Calibri" w:hAnsi="Calibri"/>
      <w:sz w:val="22"/>
      <w:szCs w:val="21"/>
    </w:rPr>
  </w:style>
  <w:style w:type="character" w:customStyle="1" w:styleId="PlainTextChar">
    <w:name w:val="Plain Text Char"/>
    <w:basedOn w:val="DefaultParagraphFont"/>
    <w:link w:val="PlainText"/>
    <w:uiPriority w:val="99"/>
    <w:rsid w:val="00547032"/>
    <w:rPr>
      <w:rFonts w:ascii="Calibri" w:hAnsi="Calibri"/>
      <w:sz w:val="22"/>
      <w:szCs w:val="21"/>
    </w:rPr>
  </w:style>
  <w:style w:type="character" w:customStyle="1" w:styleId="js-about-item-abstr">
    <w:name w:val="js-about-item-abstr"/>
    <w:basedOn w:val="DefaultParagraphFont"/>
    <w:rsid w:val="00547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325">
      <w:bodyDiv w:val="1"/>
      <w:marLeft w:val="0"/>
      <w:marRight w:val="0"/>
      <w:marTop w:val="0"/>
      <w:marBottom w:val="0"/>
      <w:divBdr>
        <w:top w:val="none" w:sz="0" w:space="0" w:color="auto"/>
        <w:left w:val="none" w:sz="0" w:space="0" w:color="auto"/>
        <w:bottom w:val="none" w:sz="0" w:space="0" w:color="auto"/>
        <w:right w:val="none" w:sz="0" w:space="0" w:color="auto"/>
      </w:divBdr>
    </w:div>
    <w:div w:id="83651473">
      <w:bodyDiv w:val="1"/>
      <w:marLeft w:val="0"/>
      <w:marRight w:val="0"/>
      <w:marTop w:val="0"/>
      <w:marBottom w:val="0"/>
      <w:divBdr>
        <w:top w:val="none" w:sz="0" w:space="0" w:color="auto"/>
        <w:left w:val="none" w:sz="0" w:space="0" w:color="auto"/>
        <w:bottom w:val="none" w:sz="0" w:space="0" w:color="auto"/>
        <w:right w:val="none" w:sz="0" w:space="0" w:color="auto"/>
      </w:divBdr>
    </w:div>
    <w:div w:id="219441529">
      <w:bodyDiv w:val="1"/>
      <w:marLeft w:val="0"/>
      <w:marRight w:val="0"/>
      <w:marTop w:val="0"/>
      <w:marBottom w:val="0"/>
      <w:divBdr>
        <w:top w:val="none" w:sz="0" w:space="0" w:color="auto"/>
        <w:left w:val="none" w:sz="0" w:space="0" w:color="auto"/>
        <w:bottom w:val="none" w:sz="0" w:space="0" w:color="auto"/>
        <w:right w:val="none" w:sz="0" w:space="0" w:color="auto"/>
      </w:divBdr>
    </w:div>
    <w:div w:id="224072784">
      <w:bodyDiv w:val="1"/>
      <w:marLeft w:val="0"/>
      <w:marRight w:val="0"/>
      <w:marTop w:val="0"/>
      <w:marBottom w:val="0"/>
      <w:divBdr>
        <w:top w:val="none" w:sz="0" w:space="0" w:color="auto"/>
        <w:left w:val="none" w:sz="0" w:space="0" w:color="auto"/>
        <w:bottom w:val="none" w:sz="0" w:space="0" w:color="auto"/>
        <w:right w:val="none" w:sz="0" w:space="0" w:color="auto"/>
      </w:divBdr>
    </w:div>
    <w:div w:id="275598349">
      <w:bodyDiv w:val="1"/>
      <w:marLeft w:val="0"/>
      <w:marRight w:val="0"/>
      <w:marTop w:val="0"/>
      <w:marBottom w:val="0"/>
      <w:divBdr>
        <w:top w:val="none" w:sz="0" w:space="0" w:color="auto"/>
        <w:left w:val="none" w:sz="0" w:space="0" w:color="auto"/>
        <w:bottom w:val="none" w:sz="0" w:space="0" w:color="auto"/>
        <w:right w:val="none" w:sz="0" w:space="0" w:color="auto"/>
      </w:divBdr>
    </w:div>
    <w:div w:id="378823898">
      <w:bodyDiv w:val="1"/>
      <w:marLeft w:val="0"/>
      <w:marRight w:val="0"/>
      <w:marTop w:val="0"/>
      <w:marBottom w:val="0"/>
      <w:divBdr>
        <w:top w:val="none" w:sz="0" w:space="0" w:color="auto"/>
        <w:left w:val="none" w:sz="0" w:space="0" w:color="auto"/>
        <w:bottom w:val="none" w:sz="0" w:space="0" w:color="auto"/>
        <w:right w:val="none" w:sz="0" w:space="0" w:color="auto"/>
      </w:divBdr>
    </w:div>
    <w:div w:id="451098329">
      <w:bodyDiv w:val="1"/>
      <w:marLeft w:val="0"/>
      <w:marRight w:val="0"/>
      <w:marTop w:val="0"/>
      <w:marBottom w:val="0"/>
      <w:divBdr>
        <w:top w:val="none" w:sz="0" w:space="0" w:color="auto"/>
        <w:left w:val="none" w:sz="0" w:space="0" w:color="auto"/>
        <w:bottom w:val="none" w:sz="0" w:space="0" w:color="auto"/>
        <w:right w:val="none" w:sz="0" w:space="0" w:color="auto"/>
      </w:divBdr>
    </w:div>
    <w:div w:id="493422600">
      <w:bodyDiv w:val="1"/>
      <w:marLeft w:val="0"/>
      <w:marRight w:val="0"/>
      <w:marTop w:val="0"/>
      <w:marBottom w:val="0"/>
      <w:divBdr>
        <w:top w:val="none" w:sz="0" w:space="0" w:color="auto"/>
        <w:left w:val="none" w:sz="0" w:space="0" w:color="auto"/>
        <w:bottom w:val="none" w:sz="0" w:space="0" w:color="auto"/>
        <w:right w:val="none" w:sz="0" w:space="0" w:color="auto"/>
      </w:divBdr>
    </w:div>
    <w:div w:id="642538917">
      <w:bodyDiv w:val="1"/>
      <w:marLeft w:val="0"/>
      <w:marRight w:val="0"/>
      <w:marTop w:val="0"/>
      <w:marBottom w:val="0"/>
      <w:divBdr>
        <w:top w:val="none" w:sz="0" w:space="0" w:color="auto"/>
        <w:left w:val="none" w:sz="0" w:space="0" w:color="auto"/>
        <w:bottom w:val="none" w:sz="0" w:space="0" w:color="auto"/>
        <w:right w:val="none" w:sz="0" w:space="0" w:color="auto"/>
      </w:divBdr>
    </w:div>
    <w:div w:id="695077312">
      <w:bodyDiv w:val="1"/>
      <w:marLeft w:val="0"/>
      <w:marRight w:val="0"/>
      <w:marTop w:val="0"/>
      <w:marBottom w:val="0"/>
      <w:divBdr>
        <w:top w:val="none" w:sz="0" w:space="0" w:color="auto"/>
        <w:left w:val="none" w:sz="0" w:space="0" w:color="auto"/>
        <w:bottom w:val="none" w:sz="0" w:space="0" w:color="auto"/>
        <w:right w:val="none" w:sz="0" w:space="0" w:color="auto"/>
      </w:divBdr>
    </w:div>
    <w:div w:id="740178671">
      <w:bodyDiv w:val="1"/>
      <w:marLeft w:val="0"/>
      <w:marRight w:val="0"/>
      <w:marTop w:val="0"/>
      <w:marBottom w:val="0"/>
      <w:divBdr>
        <w:top w:val="none" w:sz="0" w:space="0" w:color="auto"/>
        <w:left w:val="none" w:sz="0" w:space="0" w:color="auto"/>
        <w:bottom w:val="none" w:sz="0" w:space="0" w:color="auto"/>
        <w:right w:val="none" w:sz="0" w:space="0" w:color="auto"/>
      </w:divBdr>
    </w:div>
    <w:div w:id="746347554">
      <w:bodyDiv w:val="1"/>
      <w:marLeft w:val="0"/>
      <w:marRight w:val="0"/>
      <w:marTop w:val="0"/>
      <w:marBottom w:val="0"/>
      <w:divBdr>
        <w:top w:val="none" w:sz="0" w:space="0" w:color="auto"/>
        <w:left w:val="none" w:sz="0" w:space="0" w:color="auto"/>
        <w:bottom w:val="none" w:sz="0" w:space="0" w:color="auto"/>
        <w:right w:val="none" w:sz="0" w:space="0" w:color="auto"/>
      </w:divBdr>
    </w:div>
    <w:div w:id="898394546">
      <w:bodyDiv w:val="1"/>
      <w:marLeft w:val="0"/>
      <w:marRight w:val="0"/>
      <w:marTop w:val="0"/>
      <w:marBottom w:val="0"/>
      <w:divBdr>
        <w:top w:val="none" w:sz="0" w:space="0" w:color="auto"/>
        <w:left w:val="none" w:sz="0" w:space="0" w:color="auto"/>
        <w:bottom w:val="none" w:sz="0" w:space="0" w:color="auto"/>
        <w:right w:val="none" w:sz="0" w:space="0" w:color="auto"/>
      </w:divBdr>
    </w:div>
    <w:div w:id="911626475">
      <w:bodyDiv w:val="1"/>
      <w:marLeft w:val="0"/>
      <w:marRight w:val="0"/>
      <w:marTop w:val="0"/>
      <w:marBottom w:val="0"/>
      <w:divBdr>
        <w:top w:val="none" w:sz="0" w:space="0" w:color="auto"/>
        <w:left w:val="none" w:sz="0" w:space="0" w:color="auto"/>
        <w:bottom w:val="none" w:sz="0" w:space="0" w:color="auto"/>
        <w:right w:val="none" w:sz="0" w:space="0" w:color="auto"/>
      </w:divBdr>
    </w:div>
    <w:div w:id="1004361850">
      <w:bodyDiv w:val="1"/>
      <w:marLeft w:val="0"/>
      <w:marRight w:val="0"/>
      <w:marTop w:val="0"/>
      <w:marBottom w:val="0"/>
      <w:divBdr>
        <w:top w:val="none" w:sz="0" w:space="0" w:color="auto"/>
        <w:left w:val="none" w:sz="0" w:space="0" w:color="auto"/>
        <w:bottom w:val="none" w:sz="0" w:space="0" w:color="auto"/>
        <w:right w:val="none" w:sz="0" w:space="0" w:color="auto"/>
      </w:divBdr>
    </w:div>
    <w:div w:id="1025057993">
      <w:bodyDiv w:val="1"/>
      <w:marLeft w:val="0"/>
      <w:marRight w:val="0"/>
      <w:marTop w:val="0"/>
      <w:marBottom w:val="0"/>
      <w:divBdr>
        <w:top w:val="none" w:sz="0" w:space="0" w:color="auto"/>
        <w:left w:val="none" w:sz="0" w:space="0" w:color="auto"/>
        <w:bottom w:val="none" w:sz="0" w:space="0" w:color="auto"/>
        <w:right w:val="none" w:sz="0" w:space="0" w:color="auto"/>
      </w:divBdr>
    </w:div>
    <w:div w:id="1051264839">
      <w:bodyDiv w:val="1"/>
      <w:marLeft w:val="0"/>
      <w:marRight w:val="0"/>
      <w:marTop w:val="0"/>
      <w:marBottom w:val="0"/>
      <w:divBdr>
        <w:top w:val="none" w:sz="0" w:space="0" w:color="auto"/>
        <w:left w:val="none" w:sz="0" w:space="0" w:color="auto"/>
        <w:bottom w:val="none" w:sz="0" w:space="0" w:color="auto"/>
        <w:right w:val="none" w:sz="0" w:space="0" w:color="auto"/>
      </w:divBdr>
    </w:div>
    <w:div w:id="1071275651">
      <w:bodyDiv w:val="1"/>
      <w:marLeft w:val="0"/>
      <w:marRight w:val="0"/>
      <w:marTop w:val="0"/>
      <w:marBottom w:val="0"/>
      <w:divBdr>
        <w:top w:val="none" w:sz="0" w:space="0" w:color="auto"/>
        <w:left w:val="none" w:sz="0" w:space="0" w:color="auto"/>
        <w:bottom w:val="none" w:sz="0" w:space="0" w:color="auto"/>
        <w:right w:val="none" w:sz="0" w:space="0" w:color="auto"/>
      </w:divBdr>
    </w:div>
    <w:div w:id="1194536004">
      <w:bodyDiv w:val="1"/>
      <w:marLeft w:val="0"/>
      <w:marRight w:val="0"/>
      <w:marTop w:val="0"/>
      <w:marBottom w:val="0"/>
      <w:divBdr>
        <w:top w:val="none" w:sz="0" w:space="0" w:color="auto"/>
        <w:left w:val="none" w:sz="0" w:space="0" w:color="auto"/>
        <w:bottom w:val="none" w:sz="0" w:space="0" w:color="auto"/>
        <w:right w:val="none" w:sz="0" w:space="0" w:color="auto"/>
      </w:divBdr>
    </w:div>
    <w:div w:id="1275405732">
      <w:bodyDiv w:val="1"/>
      <w:marLeft w:val="0"/>
      <w:marRight w:val="0"/>
      <w:marTop w:val="0"/>
      <w:marBottom w:val="0"/>
      <w:divBdr>
        <w:top w:val="none" w:sz="0" w:space="0" w:color="auto"/>
        <w:left w:val="none" w:sz="0" w:space="0" w:color="auto"/>
        <w:bottom w:val="none" w:sz="0" w:space="0" w:color="auto"/>
        <w:right w:val="none" w:sz="0" w:space="0" w:color="auto"/>
      </w:divBdr>
    </w:div>
    <w:div w:id="1392575209">
      <w:bodyDiv w:val="1"/>
      <w:marLeft w:val="0"/>
      <w:marRight w:val="0"/>
      <w:marTop w:val="0"/>
      <w:marBottom w:val="0"/>
      <w:divBdr>
        <w:top w:val="none" w:sz="0" w:space="0" w:color="auto"/>
        <w:left w:val="none" w:sz="0" w:space="0" w:color="auto"/>
        <w:bottom w:val="none" w:sz="0" w:space="0" w:color="auto"/>
        <w:right w:val="none" w:sz="0" w:space="0" w:color="auto"/>
      </w:divBdr>
    </w:div>
    <w:div w:id="1394621935">
      <w:bodyDiv w:val="1"/>
      <w:marLeft w:val="0"/>
      <w:marRight w:val="0"/>
      <w:marTop w:val="0"/>
      <w:marBottom w:val="0"/>
      <w:divBdr>
        <w:top w:val="none" w:sz="0" w:space="0" w:color="auto"/>
        <w:left w:val="none" w:sz="0" w:space="0" w:color="auto"/>
        <w:bottom w:val="none" w:sz="0" w:space="0" w:color="auto"/>
        <w:right w:val="none" w:sz="0" w:space="0" w:color="auto"/>
      </w:divBdr>
    </w:div>
    <w:div w:id="1493641161">
      <w:bodyDiv w:val="1"/>
      <w:marLeft w:val="0"/>
      <w:marRight w:val="0"/>
      <w:marTop w:val="0"/>
      <w:marBottom w:val="0"/>
      <w:divBdr>
        <w:top w:val="none" w:sz="0" w:space="0" w:color="auto"/>
        <w:left w:val="none" w:sz="0" w:space="0" w:color="auto"/>
        <w:bottom w:val="none" w:sz="0" w:space="0" w:color="auto"/>
        <w:right w:val="none" w:sz="0" w:space="0" w:color="auto"/>
      </w:divBdr>
    </w:div>
    <w:div w:id="1649937015">
      <w:bodyDiv w:val="1"/>
      <w:marLeft w:val="0"/>
      <w:marRight w:val="0"/>
      <w:marTop w:val="0"/>
      <w:marBottom w:val="0"/>
      <w:divBdr>
        <w:top w:val="none" w:sz="0" w:space="0" w:color="auto"/>
        <w:left w:val="none" w:sz="0" w:space="0" w:color="auto"/>
        <w:bottom w:val="none" w:sz="0" w:space="0" w:color="auto"/>
        <w:right w:val="none" w:sz="0" w:space="0" w:color="auto"/>
      </w:divBdr>
    </w:div>
    <w:div w:id="1801872848">
      <w:bodyDiv w:val="1"/>
      <w:marLeft w:val="0"/>
      <w:marRight w:val="0"/>
      <w:marTop w:val="0"/>
      <w:marBottom w:val="0"/>
      <w:divBdr>
        <w:top w:val="none" w:sz="0" w:space="0" w:color="auto"/>
        <w:left w:val="none" w:sz="0" w:space="0" w:color="auto"/>
        <w:bottom w:val="none" w:sz="0" w:space="0" w:color="auto"/>
        <w:right w:val="none" w:sz="0" w:space="0" w:color="auto"/>
      </w:divBdr>
    </w:div>
    <w:div w:id="1810588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system.edu/" TargetMode="External"/><Relationship Id="rId18" Type="http://schemas.openxmlformats.org/officeDocument/2006/relationships/diagramQuickStyle" Target="diagrams/quickStyle1.xml"/><Relationship Id="rId26" Type="http://schemas.openxmlformats.org/officeDocument/2006/relationships/hyperlink" Target="https://uth.joinhandshake.com/login" TargetMode="External"/><Relationship Id="rId39" Type="http://schemas.openxmlformats.org/officeDocument/2006/relationships/hyperlink" Target="https://www.uth.edu/dotAsset/3ed67360-da29-469b-9296-4442b209b07a.pdf" TargetMode="External"/><Relationship Id="rId21" Type="http://schemas.openxmlformats.org/officeDocument/2006/relationships/hyperlink" Target="https://www.uth.edu/hoop/" TargetMode="External"/><Relationship Id="rId34" Type="http://schemas.openxmlformats.org/officeDocument/2006/relationships/hyperlink" Target="https://www.uth.edu/hoop/policy.htm?id=1448050" TargetMode="External"/><Relationship Id="rId42" Type="http://schemas.openxmlformats.org/officeDocument/2006/relationships/hyperlink" Target="http://www.sacscoc.org/FAQTOC.asp" TargetMode="External"/><Relationship Id="rId47" Type="http://schemas.openxmlformats.org/officeDocument/2006/relationships/hyperlink" Target="https://sph.uth.edu/academics/course-information/" TargetMode="External"/><Relationship Id="rId50" Type="http://schemas.openxmlformats.org/officeDocument/2006/relationships/hyperlink" Target="https://sph.uth.edu/academics/academic-affairs/Policy_201_Course_Grading.pdf"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tsystem.edu/board-of-regents" TargetMode="External"/><Relationship Id="rId17" Type="http://schemas.openxmlformats.org/officeDocument/2006/relationships/diagramLayout" Target="diagrams/layout1.xml"/><Relationship Id="rId25" Type="http://schemas.openxmlformats.org/officeDocument/2006/relationships/hyperlink" Target="file:///E:\Criteria%20D\D2.%20MPH%20Foundational%20Competencies\D2.3.%20PHM%205015%20Introduction%20to%20Qualitative%20Research%20in%20Public%20Health" TargetMode="External"/><Relationship Id="rId33" Type="http://schemas.openxmlformats.org/officeDocument/2006/relationships/hyperlink" Target="https://www.uth.edu/hoop/policy.htm?id=1447954" TargetMode="External"/><Relationship Id="rId38" Type="http://schemas.openxmlformats.org/officeDocument/2006/relationships/hyperlink" Target="https://www.uth.edu/dotAsset/573949ee-b33b-4395-b3cf-0dded056f9a5.pdf" TargetMode="External"/><Relationship Id="rId46" Type="http://schemas.openxmlformats.org/officeDocument/2006/relationships/hyperlink" Target="https://sph.uth.edu/prospective-students/How-to-Apply/"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s://www.uth.edu/hoop/policy.htm?id=2553c1c1-c490-4ad0-a570-e263e12e0dff" TargetMode="External"/><Relationship Id="rId41" Type="http://schemas.openxmlformats.org/officeDocument/2006/relationships/hyperlink" Target="http://www.sacscoc.org/FAQTOC.asp"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go.uth.edu/SPHWritingSupport" TargetMode="External"/><Relationship Id="rId32" Type="http://schemas.openxmlformats.org/officeDocument/2006/relationships/hyperlink" Target="https://www.uth.edu/hoop/policy.htm?id=1447966" TargetMode="External"/><Relationship Id="rId37" Type="http://schemas.openxmlformats.org/officeDocument/2006/relationships/hyperlink" Target="https://www.uth.edu/dotAsset/573949ee-b33b-4395-b3cf-0dded056f9a5.pdf" TargetMode="External"/><Relationship Id="rId40" Type="http://schemas.openxmlformats.org/officeDocument/2006/relationships/hyperlink" Target="http://www.thecb.state.tx.us/index.cfm?objectid=989FE9A0-2213-11E8-BC500050560100A9" TargetMode="External"/><Relationship Id="rId45" Type="http://schemas.openxmlformats.org/officeDocument/2006/relationships/hyperlink" Target="https://www.uth.edu/hoop/policy.htm?id=1448220"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www.uth.edu/hoop/six-year-faculty-review-procedures.htm" TargetMode="External"/><Relationship Id="rId28" Type="http://schemas.openxmlformats.org/officeDocument/2006/relationships/hyperlink" Target="https://sph.uth.edu/academics/academic-affairs/" TargetMode="External"/><Relationship Id="rId36" Type="http://schemas.openxmlformats.org/officeDocument/2006/relationships/hyperlink" Target="https://www.uth.edu/registrar/forms.htm" TargetMode="External"/><Relationship Id="rId49" Type="http://schemas.openxmlformats.org/officeDocument/2006/relationships/hyperlink" Target="https://sph.uth.edu/academics/degree-programs/" TargetMode="External"/><Relationship Id="rId10" Type="http://schemas.openxmlformats.org/officeDocument/2006/relationships/footer" Target="footer1.xml"/><Relationship Id="rId19" Type="http://schemas.openxmlformats.org/officeDocument/2006/relationships/diagramColors" Target="diagrams/colors1.xml"/><Relationship Id="rId31" Type="http://schemas.openxmlformats.org/officeDocument/2006/relationships/hyperlink" Target="https://www.uth.edu/hoop/policy.htm?id=1448214" TargetMode="External"/><Relationship Id="rId44" Type="http://schemas.openxmlformats.org/officeDocument/2006/relationships/hyperlink" Target="https://www.uth.edu/registrar/current-students/student-information/academic-calendar.htm" TargetMode="External"/><Relationship Id="rId52" Type="http://schemas.openxmlformats.org/officeDocument/2006/relationships/hyperlink" Target="https://sph.uth.edu/academics/academic-affair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https://www.uth.edu/hoop/policy.htm?id=1448070" TargetMode="External"/><Relationship Id="rId27" Type="http://schemas.openxmlformats.org/officeDocument/2006/relationships/hyperlink" Target="https://www.uth.edu/evpara/academic-ombuds.htm" TargetMode="External"/><Relationship Id="rId30" Type="http://schemas.openxmlformats.org/officeDocument/2006/relationships/hyperlink" Target="https://www.uth.edu/hoop/policy.htm?id=1448220" TargetMode="External"/><Relationship Id="rId35" Type="http://schemas.openxmlformats.org/officeDocument/2006/relationships/hyperlink" Target="https://www.uth.edu/hoop/policy.htm?id=1448106" TargetMode="External"/><Relationship Id="rId43" Type="http://schemas.openxmlformats.org/officeDocument/2006/relationships/hyperlink" Target="file:///E:\Criteria%20H\H5.%20Publication%20of%20Education%20Offerings" TargetMode="External"/><Relationship Id="rId48" Type="http://schemas.openxmlformats.org/officeDocument/2006/relationships/hyperlink" Target="https://web.sph.uth.edu/course/CourseSchedule" TargetMode="External"/><Relationship Id="rId8" Type="http://schemas.openxmlformats.org/officeDocument/2006/relationships/endnotes" Target="endnotes.xml"/><Relationship Id="rId51" Type="http://schemas.openxmlformats.org/officeDocument/2006/relationships/hyperlink" Target="https://www.uth.edu/hoop/index.htm" TargetMode="External"/><Relationship Id="rId3" Type="http://schemas.openxmlformats.org/officeDocument/2006/relationships/numbering" Target="numbering.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37B9F7-58C4-42E7-AC1B-54F42219D7C5}"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0762A7C6-A881-4A45-8C98-531D94814A24}">
      <dgm:prSet phldrT="[Text]" custT="1"/>
      <dgm:spPr>
        <a:ln>
          <a:solidFill>
            <a:schemeClr val="tx1"/>
          </a:solidFill>
        </a:ln>
      </dgm:spPr>
      <dgm:t>
        <a:bodyPr/>
        <a:lstStyle/>
        <a:p>
          <a:pPr>
            <a:spcAft>
              <a:spcPts val="0"/>
            </a:spcAft>
          </a:pPr>
          <a:r>
            <a:rPr lang="en-US" sz="900" b="1">
              <a:latin typeface="+mj-lt"/>
            </a:rPr>
            <a:t>SPH Executive Committee</a:t>
          </a:r>
        </a:p>
        <a:p>
          <a:pPr>
            <a:spcAft>
              <a:spcPts val="0"/>
            </a:spcAft>
          </a:pPr>
          <a:r>
            <a:rPr lang="en-US" sz="900">
              <a:latin typeface="+mj-lt"/>
            </a:rPr>
            <a:t>dean</a:t>
          </a:r>
        </a:p>
        <a:p>
          <a:pPr>
            <a:spcAft>
              <a:spcPts val="0"/>
            </a:spcAft>
          </a:pPr>
          <a:r>
            <a:rPr lang="en-US" sz="900">
              <a:latin typeface="+mj-lt"/>
            </a:rPr>
            <a:t>sr. associate dean</a:t>
          </a:r>
        </a:p>
        <a:p>
          <a:pPr>
            <a:spcAft>
              <a:spcPts val="0"/>
            </a:spcAft>
          </a:pPr>
          <a:r>
            <a:rPr lang="en-US" sz="900">
              <a:latin typeface="+mj-lt"/>
            </a:rPr>
            <a:t>associate dean for management</a:t>
          </a:r>
        </a:p>
        <a:p>
          <a:pPr>
            <a:spcAft>
              <a:spcPts val="0"/>
            </a:spcAft>
          </a:pPr>
          <a:r>
            <a:rPr lang="en-US" sz="900">
              <a:latin typeface="+mj-lt"/>
            </a:rPr>
            <a:t>council chairs</a:t>
          </a:r>
        </a:p>
        <a:p>
          <a:pPr>
            <a:spcAft>
              <a:spcPts val="0"/>
            </a:spcAft>
          </a:pPr>
          <a:r>
            <a:rPr lang="en-US" sz="900">
              <a:latin typeface="+mj-lt"/>
            </a:rPr>
            <a:t>campus deans</a:t>
          </a:r>
        </a:p>
        <a:p>
          <a:pPr>
            <a:spcAft>
              <a:spcPts val="0"/>
            </a:spcAft>
          </a:pPr>
          <a:r>
            <a:rPr lang="en-US" sz="900">
              <a:latin typeface="+mj-lt"/>
            </a:rPr>
            <a:t>department chairs</a:t>
          </a:r>
        </a:p>
        <a:p>
          <a:pPr>
            <a:spcAft>
              <a:spcPts val="0"/>
            </a:spcAft>
          </a:pPr>
          <a:r>
            <a:rPr lang="en-US" sz="900">
              <a:latin typeface="+mj-lt"/>
            </a:rPr>
            <a:t>student representative</a:t>
          </a:r>
        </a:p>
      </dgm:t>
    </dgm:pt>
    <dgm:pt modelId="{7B29F232-A9EB-4B20-A6E8-18B722FAB2DC}" type="parTrans" cxnId="{41746A69-D1E6-4895-A03A-CD770FFC4EED}">
      <dgm:prSet/>
      <dgm:spPr/>
      <dgm:t>
        <a:bodyPr/>
        <a:lstStyle/>
        <a:p>
          <a:endParaRPr lang="en-US"/>
        </a:p>
      </dgm:t>
    </dgm:pt>
    <dgm:pt modelId="{AB67E6D7-2E9C-474B-BBB3-A2B6EA1813A1}" type="sibTrans" cxnId="{41746A69-D1E6-4895-A03A-CD770FFC4EED}">
      <dgm:prSet/>
      <dgm:spPr/>
      <dgm:t>
        <a:bodyPr/>
        <a:lstStyle/>
        <a:p>
          <a:endParaRPr lang="en-US"/>
        </a:p>
      </dgm:t>
    </dgm:pt>
    <dgm:pt modelId="{FEC5BFB4-D97A-4B90-8A99-A036109BE564}">
      <dgm:prSet phldrT="[Text]" custT="1"/>
      <dgm:spPr/>
      <dgm:t>
        <a:bodyPr/>
        <a:lstStyle/>
        <a:p>
          <a:pPr algn="ctr">
            <a:spcAft>
              <a:spcPts val="0"/>
            </a:spcAft>
          </a:pPr>
          <a:r>
            <a:rPr lang="en-US" sz="900" b="1">
              <a:latin typeface="+mj-lt"/>
            </a:rPr>
            <a:t>Academic Council</a:t>
          </a:r>
        </a:p>
        <a:p>
          <a:pPr algn="ctr">
            <a:spcAft>
              <a:spcPts val="0"/>
            </a:spcAft>
          </a:pPr>
          <a:r>
            <a:rPr lang="en-US" sz="900">
              <a:latin typeface="+mj-lt"/>
            </a:rPr>
            <a:t>currculum coordinators</a:t>
          </a:r>
        </a:p>
        <a:p>
          <a:pPr algn="ctr">
            <a:spcAft>
              <a:spcPts val="0"/>
            </a:spcAft>
          </a:pPr>
          <a:endParaRPr lang="en-US" sz="900">
            <a:latin typeface="+mj-lt"/>
          </a:endParaRPr>
        </a:p>
        <a:p>
          <a:pPr algn="ctr">
            <a:spcAft>
              <a:spcPts val="0"/>
            </a:spcAft>
          </a:pPr>
          <a:r>
            <a:rPr lang="en-US" sz="900">
              <a:latin typeface="+mj-lt"/>
            </a:rPr>
            <a:t>campus reps</a:t>
          </a:r>
        </a:p>
        <a:p>
          <a:pPr algn="ctr">
            <a:spcAft>
              <a:spcPts val="0"/>
            </a:spcAft>
          </a:pPr>
          <a:endParaRPr lang="en-US" sz="900">
            <a:latin typeface="+mj-lt"/>
          </a:endParaRPr>
        </a:p>
        <a:p>
          <a:pPr algn="ctr">
            <a:spcAft>
              <a:spcPts val="0"/>
            </a:spcAft>
          </a:pPr>
          <a:r>
            <a:rPr lang="en-US" sz="900">
              <a:latin typeface="+mj-lt"/>
            </a:rPr>
            <a:t>student reps</a:t>
          </a:r>
        </a:p>
        <a:p>
          <a:pPr algn="ctr">
            <a:spcAft>
              <a:spcPct val="35000"/>
            </a:spcAft>
          </a:pPr>
          <a:endParaRPr lang="en-US" sz="900">
            <a:latin typeface="+mj-lt"/>
          </a:endParaRPr>
        </a:p>
        <a:p>
          <a:pPr algn="ctr">
            <a:spcAft>
              <a:spcPct val="35000"/>
            </a:spcAft>
          </a:pPr>
          <a:r>
            <a:rPr lang="en-US" sz="900">
              <a:latin typeface="+mj-lt"/>
            </a:rPr>
            <a:t>OOASS reps</a:t>
          </a:r>
        </a:p>
        <a:p>
          <a:pPr algn="ctr">
            <a:spcAft>
              <a:spcPct val="35000"/>
            </a:spcAft>
          </a:pPr>
          <a:endParaRPr lang="en-US" sz="900">
            <a:latin typeface="+mj-lt"/>
          </a:endParaRPr>
        </a:p>
        <a:p>
          <a:pPr algn="ctr">
            <a:spcAft>
              <a:spcPct val="35000"/>
            </a:spcAft>
          </a:pPr>
          <a:r>
            <a:rPr lang="en-US" sz="900" b="1">
              <a:latin typeface="+mj-lt"/>
            </a:rPr>
            <a:t>Sub-committees</a:t>
          </a:r>
        </a:p>
        <a:p>
          <a:pPr algn="ctr">
            <a:spcAft>
              <a:spcPct val="35000"/>
            </a:spcAft>
          </a:pPr>
          <a:r>
            <a:rPr lang="en-US" sz="900">
              <a:latin typeface="+mj-lt"/>
            </a:rPr>
            <a:t>CEPH Steering Academic Greivance</a:t>
          </a:r>
        </a:p>
        <a:p>
          <a:pPr algn="ctr">
            <a:spcAft>
              <a:spcPct val="35000"/>
            </a:spcAft>
          </a:pPr>
          <a:r>
            <a:rPr lang="en-US" sz="900">
              <a:latin typeface="+mj-lt"/>
            </a:rPr>
            <a:t>Curriculum </a:t>
          </a:r>
        </a:p>
        <a:p>
          <a:pPr algn="ctr">
            <a:spcAft>
              <a:spcPct val="35000"/>
            </a:spcAft>
          </a:pPr>
          <a:r>
            <a:rPr lang="en-US" sz="900">
              <a:latin typeface="+mj-lt"/>
            </a:rPr>
            <a:t>Admissions </a:t>
          </a:r>
        </a:p>
        <a:p>
          <a:pPr algn="ctr">
            <a:spcAft>
              <a:spcPct val="35000"/>
            </a:spcAft>
          </a:pPr>
          <a:r>
            <a:rPr lang="en-US" sz="900">
              <a:latin typeface="+mj-lt"/>
            </a:rPr>
            <a:t>Alumni Advisory </a:t>
          </a:r>
        </a:p>
        <a:p>
          <a:pPr algn="ctr">
            <a:spcAft>
              <a:spcPct val="35000"/>
            </a:spcAft>
          </a:pPr>
          <a:r>
            <a:rPr lang="en-US" sz="900" b="0">
              <a:latin typeface="+mj-lt"/>
            </a:rPr>
            <a:t>Scholarships &amp;  Traineeships</a:t>
          </a:r>
          <a:endParaRPr lang="en-US" sz="900">
            <a:latin typeface="+mj-lt"/>
          </a:endParaRPr>
        </a:p>
      </dgm:t>
    </dgm:pt>
    <dgm:pt modelId="{FB17B17F-956E-4A77-B9CE-670F346E2599}" type="parTrans" cxnId="{793A2E65-226F-4437-B0BD-A98FA34A5EE3}">
      <dgm:prSet/>
      <dgm:spPr/>
      <dgm:t>
        <a:bodyPr/>
        <a:lstStyle/>
        <a:p>
          <a:endParaRPr lang="en-US"/>
        </a:p>
      </dgm:t>
    </dgm:pt>
    <dgm:pt modelId="{1EAE85D3-71E6-4CDC-B42E-4917539BB006}" type="sibTrans" cxnId="{793A2E65-226F-4437-B0BD-A98FA34A5EE3}">
      <dgm:prSet/>
      <dgm:spPr/>
      <dgm:t>
        <a:bodyPr/>
        <a:lstStyle/>
        <a:p>
          <a:endParaRPr lang="en-US"/>
        </a:p>
      </dgm:t>
    </dgm:pt>
    <dgm:pt modelId="{3D6367F3-CCCF-4154-9CA5-CC5D317C5459}">
      <dgm:prSet phldrT="[Text]" custT="1"/>
      <dgm:spPr/>
      <dgm:t>
        <a:bodyPr/>
        <a:lstStyle/>
        <a:p>
          <a:pPr>
            <a:spcAft>
              <a:spcPts val="0"/>
            </a:spcAft>
          </a:pPr>
          <a:r>
            <a:rPr lang="en-US" sz="900" b="1">
              <a:latin typeface="+mj-lt"/>
            </a:rPr>
            <a:t>Research Council</a:t>
          </a:r>
        </a:p>
        <a:p>
          <a:pPr>
            <a:spcAft>
              <a:spcPts val="0"/>
            </a:spcAft>
          </a:pPr>
          <a:r>
            <a:rPr lang="en-US" sz="900">
              <a:latin typeface="+mj-lt"/>
            </a:rPr>
            <a:t>center directors</a:t>
          </a:r>
        </a:p>
        <a:p>
          <a:pPr>
            <a:spcAft>
              <a:spcPts val="0"/>
            </a:spcAft>
          </a:pPr>
          <a:endParaRPr lang="en-US" sz="900">
            <a:latin typeface="+mj-lt"/>
          </a:endParaRPr>
        </a:p>
        <a:p>
          <a:pPr>
            <a:spcAft>
              <a:spcPts val="0"/>
            </a:spcAft>
          </a:pPr>
          <a:endParaRPr lang="en-US" sz="900">
            <a:latin typeface="+mj-lt"/>
          </a:endParaRPr>
        </a:p>
        <a:p>
          <a:pPr>
            <a:spcAft>
              <a:spcPts val="0"/>
            </a:spcAft>
          </a:pPr>
          <a:endParaRPr lang="en-US" sz="900">
            <a:latin typeface="+mj-lt"/>
          </a:endParaRPr>
        </a:p>
        <a:p>
          <a:pPr>
            <a:spcAft>
              <a:spcPts val="0"/>
            </a:spcAft>
          </a:pPr>
          <a:endParaRPr lang="en-US" sz="900">
            <a:latin typeface="+mj-lt"/>
          </a:endParaRPr>
        </a:p>
        <a:p>
          <a:pPr>
            <a:spcAft>
              <a:spcPts val="0"/>
            </a:spcAft>
          </a:pPr>
          <a:endParaRPr lang="en-US" sz="900">
            <a:latin typeface="+mj-lt"/>
          </a:endParaRPr>
        </a:p>
        <a:p>
          <a:pPr>
            <a:spcAft>
              <a:spcPts val="0"/>
            </a:spcAft>
          </a:pPr>
          <a:endParaRPr lang="en-US" sz="900">
            <a:latin typeface="+mj-lt"/>
          </a:endParaRPr>
        </a:p>
        <a:p>
          <a:pPr>
            <a:spcAft>
              <a:spcPts val="0"/>
            </a:spcAft>
          </a:pPr>
          <a:endParaRPr lang="en-US" sz="900">
            <a:latin typeface="+mj-lt"/>
          </a:endParaRPr>
        </a:p>
        <a:p>
          <a:pPr>
            <a:spcAft>
              <a:spcPts val="0"/>
            </a:spcAft>
          </a:pPr>
          <a:endParaRPr lang="en-US" sz="900">
            <a:latin typeface="+mj-lt"/>
          </a:endParaRPr>
        </a:p>
        <a:p>
          <a:pPr>
            <a:spcAft>
              <a:spcPts val="0"/>
            </a:spcAft>
          </a:pPr>
          <a:endParaRPr lang="en-US" sz="900">
            <a:latin typeface="+mj-lt"/>
          </a:endParaRPr>
        </a:p>
        <a:p>
          <a:pPr>
            <a:spcAft>
              <a:spcPts val="0"/>
            </a:spcAft>
          </a:pPr>
          <a:endParaRPr lang="en-US" sz="900">
            <a:latin typeface="+mj-lt"/>
          </a:endParaRPr>
        </a:p>
        <a:p>
          <a:pPr>
            <a:spcAft>
              <a:spcPts val="0"/>
            </a:spcAft>
          </a:pPr>
          <a:endParaRPr lang="en-US" sz="900">
            <a:latin typeface="+mj-lt"/>
          </a:endParaRPr>
        </a:p>
        <a:p>
          <a:pPr>
            <a:spcAft>
              <a:spcPts val="0"/>
            </a:spcAft>
          </a:pPr>
          <a:endParaRPr lang="en-US" sz="900">
            <a:latin typeface="+mj-lt"/>
          </a:endParaRPr>
        </a:p>
        <a:p>
          <a:pPr>
            <a:spcAft>
              <a:spcPts val="0"/>
            </a:spcAft>
          </a:pPr>
          <a:endParaRPr lang="en-US" sz="900">
            <a:latin typeface="+mj-lt"/>
          </a:endParaRPr>
        </a:p>
        <a:p>
          <a:pPr>
            <a:spcAft>
              <a:spcPts val="0"/>
            </a:spcAft>
          </a:pPr>
          <a:endParaRPr lang="en-US" sz="900">
            <a:latin typeface="+mj-lt"/>
          </a:endParaRPr>
        </a:p>
      </dgm:t>
    </dgm:pt>
    <dgm:pt modelId="{3E3D287D-1522-4207-B337-D8D1BB9BDB5D}" type="parTrans" cxnId="{F49EE4FC-2A4B-4DC8-B8D1-E484E76CAFDB}">
      <dgm:prSet/>
      <dgm:spPr/>
      <dgm:t>
        <a:bodyPr/>
        <a:lstStyle/>
        <a:p>
          <a:endParaRPr lang="en-US"/>
        </a:p>
      </dgm:t>
    </dgm:pt>
    <dgm:pt modelId="{74AA5B27-05C1-47D3-A6F5-9A381BBBEA61}" type="sibTrans" cxnId="{F49EE4FC-2A4B-4DC8-B8D1-E484E76CAFDB}">
      <dgm:prSet/>
      <dgm:spPr/>
      <dgm:t>
        <a:bodyPr/>
        <a:lstStyle/>
        <a:p>
          <a:endParaRPr lang="en-US"/>
        </a:p>
      </dgm:t>
    </dgm:pt>
    <dgm:pt modelId="{EA04151E-2C76-4358-9EF5-EED9C05A3854}">
      <dgm:prSet phldrT="[Text]" custT="1"/>
      <dgm:spPr/>
      <dgm:t>
        <a:bodyPr/>
        <a:lstStyle/>
        <a:p>
          <a:pPr algn="ctr">
            <a:spcAft>
              <a:spcPts val="0"/>
            </a:spcAft>
          </a:pPr>
          <a:r>
            <a:rPr lang="en-US" sz="900" b="1">
              <a:latin typeface="+mj-lt"/>
            </a:rPr>
            <a:t>Faculty Council</a:t>
          </a:r>
        </a:p>
        <a:p>
          <a:pPr algn="ctr">
            <a:spcAft>
              <a:spcPts val="0"/>
            </a:spcAft>
          </a:pPr>
          <a:r>
            <a:rPr lang="en-US" sz="900" b="0">
              <a:latin typeface="+mj-lt"/>
            </a:rPr>
            <a:t>department and campus reps</a:t>
          </a:r>
        </a:p>
        <a:p>
          <a:pPr algn="l">
            <a:spcAft>
              <a:spcPts val="0"/>
            </a:spcAft>
          </a:pPr>
          <a:endParaRPr lang="en-US" sz="900" b="0">
            <a:latin typeface="+mj-lt"/>
          </a:endParaRPr>
        </a:p>
        <a:p>
          <a:pPr algn="l">
            <a:spcAft>
              <a:spcPts val="0"/>
            </a:spcAft>
          </a:pPr>
          <a:endParaRPr lang="en-US" sz="900" b="0">
            <a:latin typeface="+mj-lt"/>
          </a:endParaRPr>
        </a:p>
        <a:p>
          <a:pPr algn="l">
            <a:spcAft>
              <a:spcPts val="0"/>
            </a:spcAft>
          </a:pPr>
          <a:endParaRPr lang="en-US" sz="900" b="0">
            <a:latin typeface="+mj-lt"/>
          </a:endParaRPr>
        </a:p>
        <a:p>
          <a:pPr algn="l">
            <a:spcAft>
              <a:spcPts val="0"/>
            </a:spcAft>
          </a:pPr>
          <a:endParaRPr lang="en-US" sz="900" b="0">
            <a:latin typeface="+mj-lt"/>
          </a:endParaRPr>
        </a:p>
        <a:p>
          <a:pPr algn="l">
            <a:spcAft>
              <a:spcPts val="0"/>
            </a:spcAft>
          </a:pPr>
          <a:endParaRPr lang="en-US" sz="900" b="0">
            <a:latin typeface="+mj-lt"/>
          </a:endParaRPr>
        </a:p>
        <a:p>
          <a:pPr algn="ctr">
            <a:spcAft>
              <a:spcPts val="0"/>
            </a:spcAft>
          </a:pPr>
          <a:r>
            <a:rPr lang="en-US" sz="900" b="1">
              <a:latin typeface="+mj-lt"/>
            </a:rPr>
            <a:t>Sub-committees</a:t>
          </a:r>
          <a:endParaRPr lang="en-US" sz="900" b="0">
            <a:latin typeface="+mj-lt"/>
          </a:endParaRPr>
        </a:p>
        <a:p>
          <a:pPr algn="ctr">
            <a:spcAft>
              <a:spcPts val="0"/>
            </a:spcAft>
          </a:pPr>
          <a:r>
            <a:rPr lang="en-US" sz="900" b="0">
              <a:latin typeface="+mj-lt"/>
            </a:rPr>
            <a:t>3-year Review Committee</a:t>
          </a:r>
        </a:p>
        <a:p>
          <a:pPr algn="ctr">
            <a:spcAft>
              <a:spcPts val="0"/>
            </a:spcAft>
          </a:pPr>
          <a:endParaRPr lang="en-US" sz="900" b="0">
            <a:latin typeface="+mj-lt"/>
          </a:endParaRPr>
        </a:p>
        <a:p>
          <a:pPr algn="ctr">
            <a:spcAft>
              <a:spcPts val="0"/>
            </a:spcAft>
          </a:pPr>
          <a:r>
            <a:rPr lang="en-US" sz="900" b="0">
              <a:latin typeface="+mj-lt"/>
            </a:rPr>
            <a:t>Faculty Awards</a:t>
          </a:r>
        </a:p>
        <a:p>
          <a:pPr algn="ctr">
            <a:spcAft>
              <a:spcPts val="0"/>
            </a:spcAft>
          </a:pPr>
          <a:endParaRPr lang="en-US" sz="900" b="0">
            <a:latin typeface="+mj-lt"/>
          </a:endParaRPr>
        </a:p>
        <a:p>
          <a:pPr algn="ctr">
            <a:spcAft>
              <a:spcPts val="0"/>
            </a:spcAft>
          </a:pPr>
          <a:r>
            <a:rPr lang="en-US" sz="900" b="0">
              <a:latin typeface="+mj-lt"/>
            </a:rPr>
            <a:t>Tenure and Promotion </a:t>
          </a:r>
        </a:p>
        <a:p>
          <a:pPr algn="l">
            <a:spcAft>
              <a:spcPts val="0"/>
            </a:spcAft>
          </a:pPr>
          <a:endParaRPr lang="en-US" sz="900" b="0">
            <a:latin typeface="+mj-lt"/>
          </a:endParaRPr>
        </a:p>
        <a:p>
          <a:pPr algn="l">
            <a:spcAft>
              <a:spcPts val="0"/>
            </a:spcAft>
          </a:pPr>
          <a:endParaRPr lang="en-US" sz="900" b="0">
            <a:latin typeface="+mj-lt"/>
          </a:endParaRPr>
        </a:p>
        <a:p>
          <a:pPr algn="l">
            <a:spcAft>
              <a:spcPts val="0"/>
            </a:spcAft>
          </a:pPr>
          <a:endParaRPr lang="en-US" sz="900" b="0">
            <a:latin typeface="+mj-lt"/>
          </a:endParaRPr>
        </a:p>
        <a:p>
          <a:pPr algn="l">
            <a:spcAft>
              <a:spcPts val="0"/>
            </a:spcAft>
          </a:pPr>
          <a:endParaRPr lang="en-US" sz="900" b="0">
            <a:latin typeface="+mj-lt"/>
          </a:endParaRPr>
        </a:p>
      </dgm:t>
    </dgm:pt>
    <dgm:pt modelId="{B6672D80-1F9D-4354-9417-B54A8BE12DCC}" type="parTrans" cxnId="{BA324144-7542-415C-8F82-3D7A7F950CEC}">
      <dgm:prSet/>
      <dgm:spPr/>
      <dgm:t>
        <a:bodyPr/>
        <a:lstStyle/>
        <a:p>
          <a:endParaRPr lang="en-US"/>
        </a:p>
      </dgm:t>
    </dgm:pt>
    <dgm:pt modelId="{F4FB691C-476B-4678-ACD7-58986C6530DF}" type="sibTrans" cxnId="{BA324144-7542-415C-8F82-3D7A7F950CEC}">
      <dgm:prSet/>
      <dgm:spPr/>
      <dgm:t>
        <a:bodyPr/>
        <a:lstStyle/>
        <a:p>
          <a:endParaRPr lang="en-US"/>
        </a:p>
      </dgm:t>
    </dgm:pt>
    <dgm:pt modelId="{CA19C55B-8016-43B1-A170-7A83F6D07369}">
      <dgm:prSet phldrT="[Text]" custT="1"/>
      <dgm:spPr/>
      <dgm:t>
        <a:bodyPr/>
        <a:lstStyle/>
        <a:p>
          <a:pPr algn="ctr">
            <a:spcAft>
              <a:spcPts val="0"/>
            </a:spcAft>
          </a:pPr>
          <a:endParaRPr lang="en-US" sz="900" b="1">
            <a:latin typeface="+mj-lt"/>
          </a:endParaRPr>
        </a:p>
        <a:p>
          <a:pPr algn="ctr">
            <a:spcAft>
              <a:spcPts val="0"/>
            </a:spcAft>
          </a:pPr>
          <a:endParaRPr lang="en-US" sz="900" b="1">
            <a:latin typeface="+mj-lt"/>
          </a:endParaRPr>
        </a:p>
        <a:p>
          <a:pPr algn="ctr">
            <a:spcAft>
              <a:spcPts val="0"/>
            </a:spcAft>
          </a:pPr>
          <a:r>
            <a:rPr lang="en-US" sz="900" b="1">
              <a:latin typeface="+mj-lt"/>
            </a:rPr>
            <a:t>Dean's Office</a:t>
          </a:r>
        </a:p>
        <a:p>
          <a:pPr algn="ctr">
            <a:spcAft>
              <a:spcPts val="0"/>
            </a:spcAft>
          </a:pPr>
          <a:endParaRPr lang="en-US" sz="900" b="1">
            <a:latin typeface="+mj-lt"/>
          </a:endParaRPr>
        </a:p>
        <a:p>
          <a:pPr algn="l">
            <a:spcAft>
              <a:spcPts val="0"/>
            </a:spcAft>
          </a:pPr>
          <a:endParaRPr lang="en-US" sz="900" b="0">
            <a:latin typeface="+mj-lt"/>
          </a:endParaRPr>
        </a:p>
        <a:p>
          <a:pPr algn="ctr">
            <a:spcAft>
              <a:spcPts val="0"/>
            </a:spcAft>
          </a:pPr>
          <a:r>
            <a:rPr lang="en-US" sz="900" b="1">
              <a:latin typeface="+mj-lt"/>
            </a:rPr>
            <a:t>Sub-committees</a:t>
          </a:r>
        </a:p>
        <a:p>
          <a:pPr algn="ctr">
            <a:spcAft>
              <a:spcPts val="0"/>
            </a:spcAft>
          </a:pPr>
          <a:r>
            <a:rPr lang="en-US" sz="900" b="0">
              <a:latin typeface="+mj-lt"/>
            </a:rPr>
            <a:t>IT Advisory Committee</a:t>
          </a:r>
        </a:p>
        <a:p>
          <a:pPr algn="ctr">
            <a:spcAft>
              <a:spcPts val="0"/>
            </a:spcAft>
          </a:pPr>
          <a:endParaRPr lang="en-US" sz="900" b="0">
            <a:latin typeface="+mj-lt"/>
          </a:endParaRPr>
        </a:p>
        <a:p>
          <a:pPr algn="ctr">
            <a:spcAft>
              <a:spcPts val="0"/>
            </a:spcAft>
          </a:pPr>
          <a:r>
            <a:rPr lang="en-US" sz="900" b="0">
              <a:latin typeface="+mj-lt"/>
            </a:rPr>
            <a:t>Management and Facilities</a:t>
          </a:r>
        </a:p>
        <a:p>
          <a:pPr algn="ctr">
            <a:spcAft>
              <a:spcPts val="0"/>
            </a:spcAft>
          </a:pPr>
          <a:endParaRPr lang="en-US" sz="900" b="0">
            <a:latin typeface="+mj-lt"/>
          </a:endParaRPr>
        </a:p>
        <a:p>
          <a:pPr algn="ctr">
            <a:spcAft>
              <a:spcPts val="0"/>
            </a:spcAft>
          </a:pPr>
          <a:r>
            <a:rPr lang="en-US" sz="900" b="0">
              <a:latin typeface="+mj-lt"/>
            </a:rPr>
            <a:t>Dean's Advisory Board</a:t>
          </a:r>
        </a:p>
        <a:p>
          <a:pPr algn="ctr">
            <a:spcAft>
              <a:spcPts val="0"/>
            </a:spcAft>
          </a:pPr>
          <a:endParaRPr lang="en-US" sz="900">
            <a:latin typeface="+mj-lt"/>
          </a:endParaRPr>
        </a:p>
        <a:p>
          <a:pPr algn="ctr">
            <a:spcAft>
              <a:spcPts val="0"/>
            </a:spcAft>
          </a:pPr>
          <a:r>
            <a:rPr lang="en-US" sz="900">
              <a:latin typeface="+mj-lt"/>
            </a:rPr>
            <a:t>Inclusion, Diversity, Equity, and Advocacy Committee</a:t>
          </a:r>
          <a:endParaRPr lang="en-US" sz="900" b="0">
            <a:latin typeface="+mj-lt"/>
          </a:endParaRPr>
        </a:p>
        <a:p>
          <a:pPr algn="l">
            <a:spcAft>
              <a:spcPts val="0"/>
            </a:spcAft>
          </a:pPr>
          <a:endParaRPr lang="en-US" sz="900" b="0">
            <a:latin typeface="+mj-lt"/>
          </a:endParaRPr>
        </a:p>
        <a:p>
          <a:pPr algn="l">
            <a:spcAft>
              <a:spcPts val="0"/>
            </a:spcAft>
          </a:pPr>
          <a:endParaRPr lang="en-US" sz="900" b="0">
            <a:latin typeface="+mj-lt"/>
          </a:endParaRPr>
        </a:p>
        <a:p>
          <a:pPr algn="l">
            <a:spcAft>
              <a:spcPts val="0"/>
            </a:spcAft>
          </a:pPr>
          <a:endParaRPr lang="en-US" sz="900" b="0">
            <a:latin typeface="+mj-lt"/>
          </a:endParaRPr>
        </a:p>
        <a:p>
          <a:pPr algn="l">
            <a:spcAft>
              <a:spcPts val="0"/>
            </a:spcAft>
          </a:pPr>
          <a:endParaRPr lang="en-US" sz="900" b="0">
            <a:latin typeface="+mj-lt"/>
          </a:endParaRPr>
        </a:p>
        <a:p>
          <a:pPr algn="l">
            <a:spcAft>
              <a:spcPts val="0"/>
            </a:spcAft>
          </a:pPr>
          <a:endParaRPr lang="en-US" sz="900" b="0">
            <a:latin typeface="+mj-lt"/>
          </a:endParaRPr>
        </a:p>
        <a:p>
          <a:pPr algn="l">
            <a:spcAft>
              <a:spcPts val="0"/>
            </a:spcAft>
          </a:pPr>
          <a:endParaRPr lang="en-US" sz="900" b="0">
            <a:latin typeface="+mj-lt"/>
          </a:endParaRPr>
        </a:p>
      </dgm:t>
    </dgm:pt>
    <dgm:pt modelId="{0EA66B79-AAFB-40DF-A4D8-A2B17AC87179}" type="parTrans" cxnId="{02D4924F-1FE7-4561-92E3-82E0567E3996}">
      <dgm:prSet/>
      <dgm:spPr/>
      <dgm:t>
        <a:bodyPr/>
        <a:lstStyle/>
        <a:p>
          <a:endParaRPr lang="en-US"/>
        </a:p>
      </dgm:t>
    </dgm:pt>
    <dgm:pt modelId="{9C38C3B3-21F1-4BAA-BC55-0DA8525D5BA4}" type="sibTrans" cxnId="{02D4924F-1FE7-4561-92E3-82E0567E3996}">
      <dgm:prSet/>
      <dgm:spPr/>
      <dgm:t>
        <a:bodyPr/>
        <a:lstStyle/>
        <a:p>
          <a:endParaRPr lang="en-US"/>
        </a:p>
      </dgm:t>
    </dgm:pt>
    <dgm:pt modelId="{94D3485B-B6EC-4FEE-B6C9-52E423358597}">
      <dgm:prSet phldrT="[Text]" custT="1"/>
      <dgm:spPr/>
      <dgm:t>
        <a:bodyPr/>
        <a:lstStyle/>
        <a:p>
          <a:pPr>
            <a:spcAft>
              <a:spcPts val="0"/>
            </a:spcAft>
          </a:pPr>
          <a:r>
            <a:rPr lang="en-US" sz="900" b="1">
              <a:latin typeface="+mj-lt"/>
            </a:rPr>
            <a:t>Practice Council</a:t>
          </a:r>
        </a:p>
        <a:p>
          <a:pPr>
            <a:spcAft>
              <a:spcPts val="0"/>
            </a:spcAft>
          </a:pPr>
          <a:r>
            <a:rPr lang="en-US" sz="900" b="0">
              <a:latin typeface="+mj-lt"/>
            </a:rPr>
            <a:t>department and campus reps</a:t>
          </a:r>
        </a:p>
        <a:p>
          <a:pPr>
            <a:spcAft>
              <a:spcPts val="0"/>
            </a:spcAft>
          </a:pPr>
          <a:endParaRPr lang="en-US" sz="900" b="0">
            <a:latin typeface="+mj-lt"/>
          </a:endParaRPr>
        </a:p>
        <a:p>
          <a:pPr>
            <a:spcAft>
              <a:spcPts val="0"/>
            </a:spcAft>
          </a:pPr>
          <a:r>
            <a:rPr lang="en-US" sz="900" b="0">
              <a:latin typeface="+mj-lt"/>
            </a:rPr>
            <a:t>student reps</a:t>
          </a:r>
        </a:p>
        <a:p>
          <a:pPr>
            <a:spcAft>
              <a:spcPts val="0"/>
            </a:spcAft>
          </a:pPr>
          <a:endParaRPr lang="en-US" sz="900" b="0">
            <a:latin typeface="+mj-lt"/>
          </a:endParaRPr>
        </a:p>
        <a:p>
          <a:pPr>
            <a:spcAft>
              <a:spcPts val="0"/>
            </a:spcAft>
          </a:pPr>
          <a:r>
            <a:rPr lang="en-US" sz="900" b="0">
              <a:latin typeface="+mj-lt"/>
            </a:rPr>
            <a:t>community reps</a:t>
          </a:r>
        </a:p>
        <a:p>
          <a:pPr>
            <a:spcAft>
              <a:spcPts val="0"/>
            </a:spcAft>
          </a:pPr>
          <a:endParaRPr lang="en-US" sz="900" b="0">
            <a:latin typeface="+mj-lt"/>
          </a:endParaRPr>
        </a:p>
        <a:p>
          <a:pPr>
            <a:spcAft>
              <a:spcPts val="0"/>
            </a:spcAft>
          </a:pPr>
          <a:endParaRPr lang="en-US" sz="900" b="0">
            <a:latin typeface="+mj-lt"/>
          </a:endParaRPr>
        </a:p>
        <a:p>
          <a:pPr>
            <a:spcAft>
              <a:spcPts val="0"/>
            </a:spcAft>
          </a:pPr>
          <a:endParaRPr lang="en-US" sz="900" b="0">
            <a:latin typeface="+mj-lt"/>
          </a:endParaRPr>
        </a:p>
        <a:p>
          <a:pPr>
            <a:spcAft>
              <a:spcPts val="0"/>
            </a:spcAft>
          </a:pPr>
          <a:endParaRPr lang="en-US" sz="900" b="0">
            <a:latin typeface="+mj-lt"/>
          </a:endParaRPr>
        </a:p>
        <a:p>
          <a:pPr>
            <a:spcAft>
              <a:spcPts val="0"/>
            </a:spcAft>
          </a:pPr>
          <a:endParaRPr lang="en-US" sz="900" b="0">
            <a:latin typeface="+mj-lt"/>
          </a:endParaRPr>
        </a:p>
        <a:p>
          <a:pPr>
            <a:spcAft>
              <a:spcPts val="0"/>
            </a:spcAft>
          </a:pPr>
          <a:endParaRPr lang="en-US" sz="900" b="0">
            <a:latin typeface="+mj-lt"/>
          </a:endParaRPr>
        </a:p>
        <a:p>
          <a:pPr>
            <a:spcAft>
              <a:spcPts val="0"/>
            </a:spcAft>
          </a:pPr>
          <a:endParaRPr lang="en-US" sz="900" b="0">
            <a:latin typeface="+mj-lt"/>
          </a:endParaRPr>
        </a:p>
        <a:p>
          <a:pPr>
            <a:spcAft>
              <a:spcPts val="0"/>
            </a:spcAft>
          </a:pPr>
          <a:endParaRPr lang="en-US" sz="900" b="0">
            <a:latin typeface="+mj-lt"/>
          </a:endParaRPr>
        </a:p>
        <a:p>
          <a:pPr>
            <a:spcAft>
              <a:spcPts val="0"/>
            </a:spcAft>
          </a:pPr>
          <a:endParaRPr lang="en-US" sz="900" b="0">
            <a:latin typeface="+mj-lt"/>
          </a:endParaRPr>
        </a:p>
        <a:p>
          <a:pPr>
            <a:spcAft>
              <a:spcPts val="0"/>
            </a:spcAft>
          </a:pPr>
          <a:endParaRPr lang="en-US" sz="900" b="0">
            <a:latin typeface="+mj-lt"/>
          </a:endParaRPr>
        </a:p>
        <a:p>
          <a:pPr>
            <a:spcAft>
              <a:spcPts val="0"/>
            </a:spcAft>
          </a:pPr>
          <a:endParaRPr lang="en-US" sz="900" b="0">
            <a:latin typeface="+mj-lt"/>
          </a:endParaRPr>
        </a:p>
        <a:p>
          <a:pPr>
            <a:spcAft>
              <a:spcPts val="0"/>
            </a:spcAft>
          </a:pPr>
          <a:endParaRPr lang="en-US" sz="900">
            <a:latin typeface="+mj-lt"/>
          </a:endParaRPr>
        </a:p>
      </dgm:t>
    </dgm:pt>
    <dgm:pt modelId="{CC3411C1-8820-4475-972C-D9B3927EE404}" type="parTrans" cxnId="{50A8268B-4186-491C-AF80-CCEF7AB6DE05}">
      <dgm:prSet/>
      <dgm:spPr/>
      <dgm:t>
        <a:bodyPr/>
        <a:lstStyle/>
        <a:p>
          <a:endParaRPr lang="en-US"/>
        </a:p>
      </dgm:t>
    </dgm:pt>
    <dgm:pt modelId="{B7279653-24DF-463C-9716-076415F34F0E}" type="sibTrans" cxnId="{50A8268B-4186-491C-AF80-CCEF7AB6DE05}">
      <dgm:prSet/>
      <dgm:spPr/>
      <dgm:t>
        <a:bodyPr/>
        <a:lstStyle/>
        <a:p>
          <a:endParaRPr lang="en-US"/>
        </a:p>
      </dgm:t>
    </dgm:pt>
    <dgm:pt modelId="{11364B6E-E016-42C1-B93F-2644A4766FA8}" type="pres">
      <dgm:prSet presAssocID="{B137B9F7-58C4-42E7-AC1B-54F42219D7C5}" presName="Name0" presStyleCnt="0">
        <dgm:presLayoutVars>
          <dgm:chPref val="1"/>
          <dgm:dir/>
          <dgm:animOne val="branch"/>
          <dgm:animLvl val="lvl"/>
          <dgm:resizeHandles/>
        </dgm:presLayoutVars>
      </dgm:prSet>
      <dgm:spPr/>
      <dgm:t>
        <a:bodyPr/>
        <a:lstStyle/>
        <a:p>
          <a:endParaRPr lang="en-US"/>
        </a:p>
      </dgm:t>
    </dgm:pt>
    <dgm:pt modelId="{250AC755-72C4-45E3-9703-E07E3892BA2C}" type="pres">
      <dgm:prSet presAssocID="{0762A7C6-A881-4A45-8C98-531D94814A24}" presName="vertOne" presStyleCnt="0"/>
      <dgm:spPr/>
    </dgm:pt>
    <dgm:pt modelId="{D48D425A-22C0-450E-B892-E79171FA3BAB}" type="pres">
      <dgm:prSet presAssocID="{0762A7C6-A881-4A45-8C98-531D94814A24}" presName="txOne" presStyleLbl="node0" presStyleIdx="0" presStyleCnt="1" custScaleY="68363">
        <dgm:presLayoutVars>
          <dgm:chPref val="3"/>
        </dgm:presLayoutVars>
      </dgm:prSet>
      <dgm:spPr/>
      <dgm:t>
        <a:bodyPr/>
        <a:lstStyle/>
        <a:p>
          <a:endParaRPr lang="en-US"/>
        </a:p>
      </dgm:t>
    </dgm:pt>
    <dgm:pt modelId="{F437E5AD-531C-4EBB-AF3F-78D3788BA6F8}" type="pres">
      <dgm:prSet presAssocID="{0762A7C6-A881-4A45-8C98-531D94814A24}" presName="parTransOne" presStyleCnt="0"/>
      <dgm:spPr/>
    </dgm:pt>
    <dgm:pt modelId="{CDB053D9-0127-49E9-9650-9730FF566CD4}" type="pres">
      <dgm:prSet presAssocID="{0762A7C6-A881-4A45-8C98-531D94814A24}" presName="horzOne" presStyleCnt="0"/>
      <dgm:spPr/>
    </dgm:pt>
    <dgm:pt modelId="{0FC2323F-1AD9-4324-A079-263BBFA33401}" type="pres">
      <dgm:prSet presAssocID="{FEC5BFB4-D97A-4B90-8A99-A036109BE564}" presName="vertTwo" presStyleCnt="0"/>
      <dgm:spPr/>
    </dgm:pt>
    <dgm:pt modelId="{BEBBCAE6-3108-4735-BCAD-1D648F2F13A6}" type="pres">
      <dgm:prSet presAssocID="{FEC5BFB4-D97A-4B90-8A99-A036109BE564}" presName="txTwo" presStyleLbl="node2" presStyleIdx="0" presStyleCnt="5" custLinFactNeighborX="-493">
        <dgm:presLayoutVars>
          <dgm:chPref val="3"/>
        </dgm:presLayoutVars>
      </dgm:prSet>
      <dgm:spPr/>
      <dgm:t>
        <a:bodyPr/>
        <a:lstStyle/>
        <a:p>
          <a:endParaRPr lang="en-US"/>
        </a:p>
      </dgm:t>
    </dgm:pt>
    <dgm:pt modelId="{C16A720F-11DA-4662-B0C5-7E457915F60E}" type="pres">
      <dgm:prSet presAssocID="{FEC5BFB4-D97A-4B90-8A99-A036109BE564}" presName="horzTwo" presStyleCnt="0"/>
      <dgm:spPr/>
    </dgm:pt>
    <dgm:pt modelId="{BED505B7-C4E4-407D-A805-3F559B8486F2}" type="pres">
      <dgm:prSet presAssocID="{1EAE85D3-71E6-4CDC-B42E-4917539BB006}" presName="sibSpaceTwo" presStyleCnt="0"/>
      <dgm:spPr/>
    </dgm:pt>
    <dgm:pt modelId="{D6951DB1-9951-4C83-BB83-341E04530376}" type="pres">
      <dgm:prSet presAssocID="{3D6367F3-CCCF-4154-9CA5-CC5D317C5459}" presName="vertTwo" presStyleCnt="0"/>
      <dgm:spPr/>
    </dgm:pt>
    <dgm:pt modelId="{B3B3DC6F-D278-41CD-9C83-09B45A0FAF76}" type="pres">
      <dgm:prSet presAssocID="{3D6367F3-CCCF-4154-9CA5-CC5D317C5459}" presName="txTwo" presStyleLbl="node2" presStyleIdx="1" presStyleCnt="5">
        <dgm:presLayoutVars>
          <dgm:chPref val="3"/>
        </dgm:presLayoutVars>
      </dgm:prSet>
      <dgm:spPr/>
      <dgm:t>
        <a:bodyPr/>
        <a:lstStyle/>
        <a:p>
          <a:endParaRPr lang="en-US"/>
        </a:p>
      </dgm:t>
    </dgm:pt>
    <dgm:pt modelId="{982D00CB-D1BB-476E-8BCF-9F4701DD7071}" type="pres">
      <dgm:prSet presAssocID="{3D6367F3-CCCF-4154-9CA5-CC5D317C5459}" presName="horzTwo" presStyleCnt="0"/>
      <dgm:spPr/>
    </dgm:pt>
    <dgm:pt modelId="{BF4733A9-B69A-4B71-B7EE-7AD9A38AD859}" type="pres">
      <dgm:prSet presAssocID="{74AA5B27-05C1-47D3-A6F5-9A381BBBEA61}" presName="sibSpaceTwo" presStyleCnt="0"/>
      <dgm:spPr/>
    </dgm:pt>
    <dgm:pt modelId="{58F8E62A-68DC-4143-A7CB-90198B3E8EEF}" type="pres">
      <dgm:prSet presAssocID="{94D3485B-B6EC-4FEE-B6C9-52E423358597}" presName="vertTwo" presStyleCnt="0"/>
      <dgm:spPr/>
    </dgm:pt>
    <dgm:pt modelId="{3D5A3601-AA3F-4371-AEA0-86C18C379255}" type="pres">
      <dgm:prSet presAssocID="{94D3485B-B6EC-4FEE-B6C9-52E423358597}" presName="txTwo" presStyleLbl="node2" presStyleIdx="2" presStyleCnt="5">
        <dgm:presLayoutVars>
          <dgm:chPref val="3"/>
        </dgm:presLayoutVars>
      </dgm:prSet>
      <dgm:spPr/>
      <dgm:t>
        <a:bodyPr/>
        <a:lstStyle/>
        <a:p>
          <a:endParaRPr lang="en-US"/>
        </a:p>
      </dgm:t>
    </dgm:pt>
    <dgm:pt modelId="{882C6FC4-4A38-4DEE-8B6B-971A77FD5CD6}" type="pres">
      <dgm:prSet presAssocID="{94D3485B-B6EC-4FEE-B6C9-52E423358597}" presName="horzTwo" presStyleCnt="0"/>
      <dgm:spPr/>
    </dgm:pt>
    <dgm:pt modelId="{C1B4EEF4-F827-4568-8DA0-FDC3C3E00255}" type="pres">
      <dgm:prSet presAssocID="{B7279653-24DF-463C-9716-076415F34F0E}" presName="sibSpaceTwo" presStyleCnt="0"/>
      <dgm:spPr/>
    </dgm:pt>
    <dgm:pt modelId="{B49DA0E8-A3C6-41A7-B505-291FB5CA47B7}" type="pres">
      <dgm:prSet presAssocID="{EA04151E-2C76-4358-9EF5-EED9C05A3854}" presName="vertTwo" presStyleCnt="0"/>
      <dgm:spPr/>
    </dgm:pt>
    <dgm:pt modelId="{F7FC4A22-CC0F-44EE-A4A1-646336EA53BA}" type="pres">
      <dgm:prSet presAssocID="{EA04151E-2C76-4358-9EF5-EED9C05A3854}" presName="txTwo" presStyleLbl="node2" presStyleIdx="3" presStyleCnt="5">
        <dgm:presLayoutVars>
          <dgm:chPref val="3"/>
        </dgm:presLayoutVars>
      </dgm:prSet>
      <dgm:spPr/>
      <dgm:t>
        <a:bodyPr/>
        <a:lstStyle/>
        <a:p>
          <a:endParaRPr lang="en-US"/>
        </a:p>
      </dgm:t>
    </dgm:pt>
    <dgm:pt modelId="{AB26ACB3-F204-49BB-9B50-FA0204EA7EFF}" type="pres">
      <dgm:prSet presAssocID="{EA04151E-2C76-4358-9EF5-EED9C05A3854}" presName="horzTwo" presStyleCnt="0"/>
      <dgm:spPr/>
    </dgm:pt>
    <dgm:pt modelId="{DACDDEB6-E744-4F48-8349-5D6C3E66FF91}" type="pres">
      <dgm:prSet presAssocID="{F4FB691C-476B-4678-ACD7-58986C6530DF}" presName="sibSpaceTwo" presStyleCnt="0"/>
      <dgm:spPr/>
    </dgm:pt>
    <dgm:pt modelId="{3E56CC4E-E0BF-4D82-B12A-1D3EF506069A}" type="pres">
      <dgm:prSet presAssocID="{CA19C55B-8016-43B1-A170-7A83F6D07369}" presName="vertTwo" presStyleCnt="0"/>
      <dgm:spPr/>
    </dgm:pt>
    <dgm:pt modelId="{C09D31D6-BC52-4FDD-A30E-689207CE1CA8}" type="pres">
      <dgm:prSet presAssocID="{CA19C55B-8016-43B1-A170-7A83F6D07369}" presName="txTwo" presStyleLbl="node2" presStyleIdx="4" presStyleCnt="5">
        <dgm:presLayoutVars>
          <dgm:chPref val="3"/>
        </dgm:presLayoutVars>
      </dgm:prSet>
      <dgm:spPr/>
      <dgm:t>
        <a:bodyPr/>
        <a:lstStyle/>
        <a:p>
          <a:endParaRPr lang="en-US"/>
        </a:p>
      </dgm:t>
    </dgm:pt>
    <dgm:pt modelId="{4C258240-CD66-4649-B08F-E42DB66C8E92}" type="pres">
      <dgm:prSet presAssocID="{CA19C55B-8016-43B1-A170-7A83F6D07369}" presName="horzTwo" presStyleCnt="0"/>
      <dgm:spPr/>
    </dgm:pt>
  </dgm:ptLst>
  <dgm:cxnLst>
    <dgm:cxn modelId="{793A2E65-226F-4437-B0BD-A98FA34A5EE3}" srcId="{0762A7C6-A881-4A45-8C98-531D94814A24}" destId="{FEC5BFB4-D97A-4B90-8A99-A036109BE564}" srcOrd="0" destOrd="0" parTransId="{FB17B17F-956E-4A77-B9CE-670F346E2599}" sibTransId="{1EAE85D3-71E6-4CDC-B42E-4917539BB006}"/>
    <dgm:cxn modelId="{808D45DB-D83C-436E-922B-71F2ACE29DB1}" type="presOf" srcId="{3D6367F3-CCCF-4154-9CA5-CC5D317C5459}" destId="{B3B3DC6F-D278-41CD-9C83-09B45A0FAF76}" srcOrd="0" destOrd="0" presId="urn:microsoft.com/office/officeart/2005/8/layout/hierarchy4"/>
    <dgm:cxn modelId="{41746A69-D1E6-4895-A03A-CD770FFC4EED}" srcId="{B137B9F7-58C4-42E7-AC1B-54F42219D7C5}" destId="{0762A7C6-A881-4A45-8C98-531D94814A24}" srcOrd="0" destOrd="0" parTransId="{7B29F232-A9EB-4B20-A6E8-18B722FAB2DC}" sibTransId="{AB67E6D7-2E9C-474B-BBB3-A2B6EA1813A1}"/>
    <dgm:cxn modelId="{50A8268B-4186-491C-AF80-CCEF7AB6DE05}" srcId="{0762A7C6-A881-4A45-8C98-531D94814A24}" destId="{94D3485B-B6EC-4FEE-B6C9-52E423358597}" srcOrd="2" destOrd="0" parTransId="{CC3411C1-8820-4475-972C-D9B3927EE404}" sibTransId="{B7279653-24DF-463C-9716-076415F34F0E}"/>
    <dgm:cxn modelId="{68A4F9AB-D627-40C7-AFBB-7A61CB759D7B}" type="presOf" srcId="{CA19C55B-8016-43B1-A170-7A83F6D07369}" destId="{C09D31D6-BC52-4FDD-A30E-689207CE1CA8}" srcOrd="0" destOrd="0" presId="urn:microsoft.com/office/officeart/2005/8/layout/hierarchy4"/>
    <dgm:cxn modelId="{02D4924F-1FE7-4561-92E3-82E0567E3996}" srcId="{0762A7C6-A881-4A45-8C98-531D94814A24}" destId="{CA19C55B-8016-43B1-A170-7A83F6D07369}" srcOrd="4" destOrd="0" parTransId="{0EA66B79-AAFB-40DF-A4D8-A2B17AC87179}" sibTransId="{9C38C3B3-21F1-4BAA-BC55-0DA8525D5BA4}"/>
    <dgm:cxn modelId="{F49EE4FC-2A4B-4DC8-B8D1-E484E76CAFDB}" srcId="{0762A7C6-A881-4A45-8C98-531D94814A24}" destId="{3D6367F3-CCCF-4154-9CA5-CC5D317C5459}" srcOrd="1" destOrd="0" parTransId="{3E3D287D-1522-4207-B337-D8D1BB9BDB5D}" sibTransId="{74AA5B27-05C1-47D3-A6F5-9A381BBBEA61}"/>
    <dgm:cxn modelId="{BA324144-7542-415C-8F82-3D7A7F950CEC}" srcId="{0762A7C6-A881-4A45-8C98-531D94814A24}" destId="{EA04151E-2C76-4358-9EF5-EED9C05A3854}" srcOrd="3" destOrd="0" parTransId="{B6672D80-1F9D-4354-9417-B54A8BE12DCC}" sibTransId="{F4FB691C-476B-4678-ACD7-58986C6530DF}"/>
    <dgm:cxn modelId="{FA53F247-4E7D-4601-BDD1-C60AD9FCD4AE}" type="presOf" srcId="{B137B9F7-58C4-42E7-AC1B-54F42219D7C5}" destId="{11364B6E-E016-42C1-B93F-2644A4766FA8}" srcOrd="0" destOrd="0" presId="urn:microsoft.com/office/officeart/2005/8/layout/hierarchy4"/>
    <dgm:cxn modelId="{7EF6764C-5F69-4008-86C9-F4A88BDDB90B}" type="presOf" srcId="{FEC5BFB4-D97A-4B90-8A99-A036109BE564}" destId="{BEBBCAE6-3108-4735-BCAD-1D648F2F13A6}" srcOrd="0" destOrd="0" presId="urn:microsoft.com/office/officeart/2005/8/layout/hierarchy4"/>
    <dgm:cxn modelId="{5280D04C-8706-4C8F-82A2-3126651C0DA4}" type="presOf" srcId="{EA04151E-2C76-4358-9EF5-EED9C05A3854}" destId="{F7FC4A22-CC0F-44EE-A4A1-646336EA53BA}" srcOrd="0" destOrd="0" presId="urn:microsoft.com/office/officeart/2005/8/layout/hierarchy4"/>
    <dgm:cxn modelId="{379EA225-F6CF-4B03-9016-BF60285F4006}" type="presOf" srcId="{94D3485B-B6EC-4FEE-B6C9-52E423358597}" destId="{3D5A3601-AA3F-4371-AEA0-86C18C379255}" srcOrd="0" destOrd="0" presId="urn:microsoft.com/office/officeart/2005/8/layout/hierarchy4"/>
    <dgm:cxn modelId="{36450D88-3473-4F08-8A44-7ABB977BACA7}" type="presOf" srcId="{0762A7C6-A881-4A45-8C98-531D94814A24}" destId="{D48D425A-22C0-450E-B892-E79171FA3BAB}" srcOrd="0" destOrd="0" presId="urn:microsoft.com/office/officeart/2005/8/layout/hierarchy4"/>
    <dgm:cxn modelId="{6A929713-C1BA-499B-A1B2-4104C37F8A06}" type="presParOf" srcId="{11364B6E-E016-42C1-B93F-2644A4766FA8}" destId="{250AC755-72C4-45E3-9703-E07E3892BA2C}" srcOrd="0" destOrd="0" presId="urn:microsoft.com/office/officeart/2005/8/layout/hierarchy4"/>
    <dgm:cxn modelId="{BA6367E2-6483-4D23-9290-4E748E32E049}" type="presParOf" srcId="{250AC755-72C4-45E3-9703-E07E3892BA2C}" destId="{D48D425A-22C0-450E-B892-E79171FA3BAB}" srcOrd="0" destOrd="0" presId="urn:microsoft.com/office/officeart/2005/8/layout/hierarchy4"/>
    <dgm:cxn modelId="{02E3F100-1414-4147-A6C9-04F53C4B5C99}" type="presParOf" srcId="{250AC755-72C4-45E3-9703-E07E3892BA2C}" destId="{F437E5AD-531C-4EBB-AF3F-78D3788BA6F8}" srcOrd="1" destOrd="0" presId="urn:microsoft.com/office/officeart/2005/8/layout/hierarchy4"/>
    <dgm:cxn modelId="{C5CD91D6-B911-411F-964B-2295B3C60104}" type="presParOf" srcId="{250AC755-72C4-45E3-9703-E07E3892BA2C}" destId="{CDB053D9-0127-49E9-9650-9730FF566CD4}" srcOrd="2" destOrd="0" presId="urn:microsoft.com/office/officeart/2005/8/layout/hierarchy4"/>
    <dgm:cxn modelId="{46FF9B23-B6B3-4B73-AB24-478E2F673A4E}" type="presParOf" srcId="{CDB053D9-0127-49E9-9650-9730FF566CD4}" destId="{0FC2323F-1AD9-4324-A079-263BBFA33401}" srcOrd="0" destOrd="0" presId="urn:microsoft.com/office/officeart/2005/8/layout/hierarchy4"/>
    <dgm:cxn modelId="{9E1D81DC-7941-4B7E-9209-20F6F39C384E}" type="presParOf" srcId="{0FC2323F-1AD9-4324-A079-263BBFA33401}" destId="{BEBBCAE6-3108-4735-BCAD-1D648F2F13A6}" srcOrd="0" destOrd="0" presId="urn:microsoft.com/office/officeart/2005/8/layout/hierarchy4"/>
    <dgm:cxn modelId="{AF78946B-0ED6-47C0-89FC-5823ED17C16C}" type="presParOf" srcId="{0FC2323F-1AD9-4324-A079-263BBFA33401}" destId="{C16A720F-11DA-4662-B0C5-7E457915F60E}" srcOrd="1" destOrd="0" presId="urn:microsoft.com/office/officeart/2005/8/layout/hierarchy4"/>
    <dgm:cxn modelId="{23A8DE4A-D190-4F9D-9C6C-C394BBDC66AC}" type="presParOf" srcId="{CDB053D9-0127-49E9-9650-9730FF566CD4}" destId="{BED505B7-C4E4-407D-A805-3F559B8486F2}" srcOrd="1" destOrd="0" presId="urn:microsoft.com/office/officeart/2005/8/layout/hierarchy4"/>
    <dgm:cxn modelId="{4855D9D4-29BA-4F70-AE48-62643C80530E}" type="presParOf" srcId="{CDB053D9-0127-49E9-9650-9730FF566CD4}" destId="{D6951DB1-9951-4C83-BB83-341E04530376}" srcOrd="2" destOrd="0" presId="urn:microsoft.com/office/officeart/2005/8/layout/hierarchy4"/>
    <dgm:cxn modelId="{89FA2278-77FC-4D1B-A25B-C24439BC1400}" type="presParOf" srcId="{D6951DB1-9951-4C83-BB83-341E04530376}" destId="{B3B3DC6F-D278-41CD-9C83-09B45A0FAF76}" srcOrd="0" destOrd="0" presId="urn:microsoft.com/office/officeart/2005/8/layout/hierarchy4"/>
    <dgm:cxn modelId="{A95027A6-371D-41A8-B0E9-3068D9449AA6}" type="presParOf" srcId="{D6951DB1-9951-4C83-BB83-341E04530376}" destId="{982D00CB-D1BB-476E-8BCF-9F4701DD7071}" srcOrd="1" destOrd="0" presId="urn:microsoft.com/office/officeart/2005/8/layout/hierarchy4"/>
    <dgm:cxn modelId="{3603546F-5926-4F46-8C23-3C76C60B2B0B}" type="presParOf" srcId="{CDB053D9-0127-49E9-9650-9730FF566CD4}" destId="{BF4733A9-B69A-4B71-B7EE-7AD9A38AD859}" srcOrd="3" destOrd="0" presId="urn:microsoft.com/office/officeart/2005/8/layout/hierarchy4"/>
    <dgm:cxn modelId="{AE31754B-96B4-4765-807B-89EEEF21BE01}" type="presParOf" srcId="{CDB053D9-0127-49E9-9650-9730FF566CD4}" destId="{58F8E62A-68DC-4143-A7CB-90198B3E8EEF}" srcOrd="4" destOrd="0" presId="urn:microsoft.com/office/officeart/2005/8/layout/hierarchy4"/>
    <dgm:cxn modelId="{FB5D08DA-1AB8-4EEF-AAA4-6D643159DF26}" type="presParOf" srcId="{58F8E62A-68DC-4143-A7CB-90198B3E8EEF}" destId="{3D5A3601-AA3F-4371-AEA0-86C18C379255}" srcOrd="0" destOrd="0" presId="urn:microsoft.com/office/officeart/2005/8/layout/hierarchy4"/>
    <dgm:cxn modelId="{FD7C8D8F-0DC0-4095-BF84-91962DA3AF64}" type="presParOf" srcId="{58F8E62A-68DC-4143-A7CB-90198B3E8EEF}" destId="{882C6FC4-4A38-4DEE-8B6B-971A77FD5CD6}" srcOrd="1" destOrd="0" presId="urn:microsoft.com/office/officeart/2005/8/layout/hierarchy4"/>
    <dgm:cxn modelId="{E4AFC389-C50F-4B67-AB70-09F323EAA3FA}" type="presParOf" srcId="{CDB053D9-0127-49E9-9650-9730FF566CD4}" destId="{C1B4EEF4-F827-4568-8DA0-FDC3C3E00255}" srcOrd="5" destOrd="0" presId="urn:microsoft.com/office/officeart/2005/8/layout/hierarchy4"/>
    <dgm:cxn modelId="{E3AD799C-1D78-4CAA-95D7-3DD717633D0C}" type="presParOf" srcId="{CDB053D9-0127-49E9-9650-9730FF566CD4}" destId="{B49DA0E8-A3C6-41A7-B505-291FB5CA47B7}" srcOrd="6" destOrd="0" presId="urn:microsoft.com/office/officeart/2005/8/layout/hierarchy4"/>
    <dgm:cxn modelId="{12F5CFA8-091F-4FD6-935A-B75829D9792C}" type="presParOf" srcId="{B49DA0E8-A3C6-41A7-B505-291FB5CA47B7}" destId="{F7FC4A22-CC0F-44EE-A4A1-646336EA53BA}" srcOrd="0" destOrd="0" presId="urn:microsoft.com/office/officeart/2005/8/layout/hierarchy4"/>
    <dgm:cxn modelId="{7C8CABA1-A705-4A75-9BD6-32675B10FC35}" type="presParOf" srcId="{B49DA0E8-A3C6-41A7-B505-291FB5CA47B7}" destId="{AB26ACB3-F204-49BB-9B50-FA0204EA7EFF}" srcOrd="1" destOrd="0" presId="urn:microsoft.com/office/officeart/2005/8/layout/hierarchy4"/>
    <dgm:cxn modelId="{98EFFCF4-DD27-4846-B87B-F48E53F19BEF}" type="presParOf" srcId="{CDB053D9-0127-49E9-9650-9730FF566CD4}" destId="{DACDDEB6-E744-4F48-8349-5D6C3E66FF91}" srcOrd="7" destOrd="0" presId="urn:microsoft.com/office/officeart/2005/8/layout/hierarchy4"/>
    <dgm:cxn modelId="{2AE602CF-E4B1-4A09-9465-89F26D7DD6A3}" type="presParOf" srcId="{CDB053D9-0127-49E9-9650-9730FF566CD4}" destId="{3E56CC4E-E0BF-4D82-B12A-1D3EF506069A}" srcOrd="8" destOrd="0" presId="urn:microsoft.com/office/officeart/2005/8/layout/hierarchy4"/>
    <dgm:cxn modelId="{6E7F9099-949C-46B0-9FA7-4CF6FEE53C68}" type="presParOf" srcId="{3E56CC4E-E0BF-4D82-B12A-1D3EF506069A}" destId="{C09D31D6-BC52-4FDD-A30E-689207CE1CA8}" srcOrd="0" destOrd="0" presId="urn:microsoft.com/office/officeart/2005/8/layout/hierarchy4"/>
    <dgm:cxn modelId="{4B19002E-F02D-4537-A312-A26AD2D8FB1C}" type="presParOf" srcId="{3E56CC4E-E0BF-4D82-B12A-1D3EF506069A}" destId="{4C258240-CD66-4649-B08F-E42DB66C8E92}" srcOrd="1" destOrd="0" presId="urn:microsoft.com/office/officeart/2005/8/layout/hierarchy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8D425A-22C0-450E-B892-E79171FA3BAB}">
      <dsp:nvSpPr>
        <dsp:cNvPr id="0" name=""/>
        <dsp:cNvSpPr/>
      </dsp:nvSpPr>
      <dsp:spPr>
        <a:xfrm>
          <a:off x="2175" y="2793"/>
          <a:ext cx="5415375" cy="2243011"/>
        </a:xfrm>
        <a:prstGeom prst="roundRect">
          <a:avLst>
            <a:gd name="adj" fmla="val 10000"/>
          </a:avLst>
        </a:prstGeom>
        <a:solidFill>
          <a:schemeClr val="l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ts val="0"/>
            </a:spcAft>
          </a:pPr>
          <a:r>
            <a:rPr lang="en-US" sz="900" b="1" kern="1200">
              <a:latin typeface="+mj-lt"/>
            </a:rPr>
            <a:t>SPH Executive Committee</a:t>
          </a:r>
        </a:p>
        <a:p>
          <a:pPr lvl="0" algn="ctr" defTabSz="400050">
            <a:lnSpc>
              <a:spcPct val="90000"/>
            </a:lnSpc>
            <a:spcBef>
              <a:spcPct val="0"/>
            </a:spcBef>
            <a:spcAft>
              <a:spcPts val="0"/>
            </a:spcAft>
          </a:pPr>
          <a:r>
            <a:rPr lang="en-US" sz="900" kern="1200">
              <a:latin typeface="+mj-lt"/>
            </a:rPr>
            <a:t>dean</a:t>
          </a:r>
        </a:p>
        <a:p>
          <a:pPr lvl="0" algn="ctr" defTabSz="400050">
            <a:lnSpc>
              <a:spcPct val="90000"/>
            </a:lnSpc>
            <a:spcBef>
              <a:spcPct val="0"/>
            </a:spcBef>
            <a:spcAft>
              <a:spcPts val="0"/>
            </a:spcAft>
          </a:pPr>
          <a:r>
            <a:rPr lang="en-US" sz="900" kern="1200">
              <a:latin typeface="+mj-lt"/>
            </a:rPr>
            <a:t>sr. associate dean</a:t>
          </a:r>
        </a:p>
        <a:p>
          <a:pPr lvl="0" algn="ctr" defTabSz="400050">
            <a:lnSpc>
              <a:spcPct val="90000"/>
            </a:lnSpc>
            <a:spcBef>
              <a:spcPct val="0"/>
            </a:spcBef>
            <a:spcAft>
              <a:spcPts val="0"/>
            </a:spcAft>
          </a:pPr>
          <a:r>
            <a:rPr lang="en-US" sz="900" kern="1200">
              <a:latin typeface="+mj-lt"/>
            </a:rPr>
            <a:t>associate dean for management</a:t>
          </a:r>
        </a:p>
        <a:p>
          <a:pPr lvl="0" algn="ctr" defTabSz="400050">
            <a:lnSpc>
              <a:spcPct val="90000"/>
            </a:lnSpc>
            <a:spcBef>
              <a:spcPct val="0"/>
            </a:spcBef>
            <a:spcAft>
              <a:spcPts val="0"/>
            </a:spcAft>
          </a:pPr>
          <a:r>
            <a:rPr lang="en-US" sz="900" kern="1200">
              <a:latin typeface="+mj-lt"/>
            </a:rPr>
            <a:t>council chairs</a:t>
          </a:r>
        </a:p>
        <a:p>
          <a:pPr lvl="0" algn="ctr" defTabSz="400050">
            <a:lnSpc>
              <a:spcPct val="90000"/>
            </a:lnSpc>
            <a:spcBef>
              <a:spcPct val="0"/>
            </a:spcBef>
            <a:spcAft>
              <a:spcPts val="0"/>
            </a:spcAft>
          </a:pPr>
          <a:r>
            <a:rPr lang="en-US" sz="900" kern="1200">
              <a:latin typeface="+mj-lt"/>
            </a:rPr>
            <a:t>campus deans</a:t>
          </a:r>
        </a:p>
        <a:p>
          <a:pPr lvl="0" algn="ctr" defTabSz="400050">
            <a:lnSpc>
              <a:spcPct val="90000"/>
            </a:lnSpc>
            <a:spcBef>
              <a:spcPct val="0"/>
            </a:spcBef>
            <a:spcAft>
              <a:spcPts val="0"/>
            </a:spcAft>
          </a:pPr>
          <a:r>
            <a:rPr lang="en-US" sz="900" kern="1200">
              <a:latin typeface="+mj-lt"/>
            </a:rPr>
            <a:t>department chairs</a:t>
          </a:r>
        </a:p>
        <a:p>
          <a:pPr lvl="0" algn="ctr" defTabSz="400050">
            <a:lnSpc>
              <a:spcPct val="90000"/>
            </a:lnSpc>
            <a:spcBef>
              <a:spcPct val="0"/>
            </a:spcBef>
            <a:spcAft>
              <a:spcPts val="0"/>
            </a:spcAft>
          </a:pPr>
          <a:r>
            <a:rPr lang="en-US" sz="900" kern="1200">
              <a:latin typeface="+mj-lt"/>
            </a:rPr>
            <a:t>student representative</a:t>
          </a:r>
        </a:p>
      </dsp:txBody>
      <dsp:txXfrm>
        <a:off x="67871" y="68489"/>
        <a:ext cx="5283983" cy="2111619"/>
      </dsp:txXfrm>
    </dsp:sp>
    <dsp:sp modelId="{BEBBCAE6-3108-4735-BCAD-1D648F2F13A6}">
      <dsp:nvSpPr>
        <dsp:cNvPr id="0" name=""/>
        <dsp:cNvSpPr/>
      </dsp:nvSpPr>
      <dsp:spPr>
        <a:xfrm>
          <a:off x="0" y="2420379"/>
          <a:ext cx="1014875" cy="32810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ts val="0"/>
            </a:spcAft>
          </a:pPr>
          <a:r>
            <a:rPr lang="en-US" sz="900" b="1" kern="1200">
              <a:latin typeface="+mj-lt"/>
            </a:rPr>
            <a:t>Academic Council</a:t>
          </a:r>
        </a:p>
        <a:p>
          <a:pPr lvl="0" algn="ctr" defTabSz="400050">
            <a:lnSpc>
              <a:spcPct val="90000"/>
            </a:lnSpc>
            <a:spcBef>
              <a:spcPct val="0"/>
            </a:spcBef>
            <a:spcAft>
              <a:spcPts val="0"/>
            </a:spcAft>
          </a:pPr>
          <a:r>
            <a:rPr lang="en-US" sz="900" kern="1200">
              <a:latin typeface="+mj-lt"/>
            </a:rPr>
            <a:t>currculum coordinators</a:t>
          </a:r>
        </a:p>
        <a:p>
          <a:pPr lvl="0" algn="ctr" defTabSz="400050">
            <a:lnSpc>
              <a:spcPct val="90000"/>
            </a:lnSpc>
            <a:spcBef>
              <a:spcPct val="0"/>
            </a:spcBef>
            <a:spcAft>
              <a:spcPts val="0"/>
            </a:spcAft>
          </a:pPr>
          <a:endParaRPr lang="en-US" sz="900" kern="1200">
            <a:latin typeface="+mj-lt"/>
          </a:endParaRPr>
        </a:p>
        <a:p>
          <a:pPr lvl="0" algn="ctr" defTabSz="400050">
            <a:lnSpc>
              <a:spcPct val="90000"/>
            </a:lnSpc>
            <a:spcBef>
              <a:spcPct val="0"/>
            </a:spcBef>
            <a:spcAft>
              <a:spcPts val="0"/>
            </a:spcAft>
          </a:pPr>
          <a:r>
            <a:rPr lang="en-US" sz="900" kern="1200">
              <a:latin typeface="+mj-lt"/>
            </a:rPr>
            <a:t>campus reps</a:t>
          </a:r>
        </a:p>
        <a:p>
          <a:pPr lvl="0" algn="ctr" defTabSz="400050">
            <a:lnSpc>
              <a:spcPct val="90000"/>
            </a:lnSpc>
            <a:spcBef>
              <a:spcPct val="0"/>
            </a:spcBef>
            <a:spcAft>
              <a:spcPts val="0"/>
            </a:spcAft>
          </a:pPr>
          <a:endParaRPr lang="en-US" sz="900" kern="1200">
            <a:latin typeface="+mj-lt"/>
          </a:endParaRPr>
        </a:p>
        <a:p>
          <a:pPr lvl="0" algn="ctr" defTabSz="400050">
            <a:lnSpc>
              <a:spcPct val="90000"/>
            </a:lnSpc>
            <a:spcBef>
              <a:spcPct val="0"/>
            </a:spcBef>
            <a:spcAft>
              <a:spcPts val="0"/>
            </a:spcAft>
          </a:pPr>
          <a:r>
            <a:rPr lang="en-US" sz="900" kern="1200">
              <a:latin typeface="+mj-lt"/>
            </a:rPr>
            <a:t>student reps</a:t>
          </a:r>
        </a:p>
        <a:p>
          <a:pPr lvl="0" algn="ctr" defTabSz="400050">
            <a:lnSpc>
              <a:spcPct val="90000"/>
            </a:lnSpc>
            <a:spcBef>
              <a:spcPct val="0"/>
            </a:spcBef>
            <a:spcAft>
              <a:spcPct val="35000"/>
            </a:spcAft>
          </a:pPr>
          <a:endParaRPr lang="en-US" sz="900" kern="1200">
            <a:latin typeface="+mj-lt"/>
          </a:endParaRPr>
        </a:p>
        <a:p>
          <a:pPr lvl="0" algn="ctr" defTabSz="400050">
            <a:lnSpc>
              <a:spcPct val="90000"/>
            </a:lnSpc>
            <a:spcBef>
              <a:spcPct val="0"/>
            </a:spcBef>
            <a:spcAft>
              <a:spcPct val="35000"/>
            </a:spcAft>
          </a:pPr>
          <a:r>
            <a:rPr lang="en-US" sz="900" kern="1200">
              <a:latin typeface="+mj-lt"/>
            </a:rPr>
            <a:t>OOASS reps</a:t>
          </a:r>
        </a:p>
        <a:p>
          <a:pPr lvl="0" algn="ctr" defTabSz="400050">
            <a:lnSpc>
              <a:spcPct val="90000"/>
            </a:lnSpc>
            <a:spcBef>
              <a:spcPct val="0"/>
            </a:spcBef>
            <a:spcAft>
              <a:spcPct val="35000"/>
            </a:spcAft>
          </a:pPr>
          <a:endParaRPr lang="en-US" sz="900" kern="1200">
            <a:latin typeface="+mj-lt"/>
          </a:endParaRPr>
        </a:p>
        <a:p>
          <a:pPr lvl="0" algn="ctr" defTabSz="400050">
            <a:lnSpc>
              <a:spcPct val="90000"/>
            </a:lnSpc>
            <a:spcBef>
              <a:spcPct val="0"/>
            </a:spcBef>
            <a:spcAft>
              <a:spcPct val="35000"/>
            </a:spcAft>
          </a:pPr>
          <a:r>
            <a:rPr lang="en-US" sz="900" b="1" kern="1200">
              <a:latin typeface="+mj-lt"/>
            </a:rPr>
            <a:t>Sub-committees</a:t>
          </a:r>
        </a:p>
        <a:p>
          <a:pPr lvl="0" algn="ctr" defTabSz="400050">
            <a:lnSpc>
              <a:spcPct val="90000"/>
            </a:lnSpc>
            <a:spcBef>
              <a:spcPct val="0"/>
            </a:spcBef>
            <a:spcAft>
              <a:spcPct val="35000"/>
            </a:spcAft>
          </a:pPr>
          <a:r>
            <a:rPr lang="en-US" sz="900" kern="1200">
              <a:latin typeface="+mj-lt"/>
            </a:rPr>
            <a:t>CEPH Steering Academic Greivance</a:t>
          </a:r>
        </a:p>
        <a:p>
          <a:pPr lvl="0" algn="ctr" defTabSz="400050">
            <a:lnSpc>
              <a:spcPct val="90000"/>
            </a:lnSpc>
            <a:spcBef>
              <a:spcPct val="0"/>
            </a:spcBef>
            <a:spcAft>
              <a:spcPct val="35000"/>
            </a:spcAft>
          </a:pPr>
          <a:r>
            <a:rPr lang="en-US" sz="900" kern="1200">
              <a:latin typeface="+mj-lt"/>
            </a:rPr>
            <a:t>Curriculum </a:t>
          </a:r>
        </a:p>
        <a:p>
          <a:pPr lvl="0" algn="ctr" defTabSz="400050">
            <a:lnSpc>
              <a:spcPct val="90000"/>
            </a:lnSpc>
            <a:spcBef>
              <a:spcPct val="0"/>
            </a:spcBef>
            <a:spcAft>
              <a:spcPct val="35000"/>
            </a:spcAft>
          </a:pPr>
          <a:r>
            <a:rPr lang="en-US" sz="900" kern="1200">
              <a:latin typeface="+mj-lt"/>
            </a:rPr>
            <a:t>Admissions </a:t>
          </a:r>
        </a:p>
        <a:p>
          <a:pPr lvl="0" algn="ctr" defTabSz="400050">
            <a:lnSpc>
              <a:spcPct val="90000"/>
            </a:lnSpc>
            <a:spcBef>
              <a:spcPct val="0"/>
            </a:spcBef>
            <a:spcAft>
              <a:spcPct val="35000"/>
            </a:spcAft>
          </a:pPr>
          <a:r>
            <a:rPr lang="en-US" sz="900" kern="1200">
              <a:latin typeface="+mj-lt"/>
            </a:rPr>
            <a:t>Alumni Advisory </a:t>
          </a:r>
        </a:p>
        <a:p>
          <a:pPr lvl="0" algn="ctr" defTabSz="400050">
            <a:lnSpc>
              <a:spcPct val="90000"/>
            </a:lnSpc>
            <a:spcBef>
              <a:spcPct val="0"/>
            </a:spcBef>
            <a:spcAft>
              <a:spcPct val="35000"/>
            </a:spcAft>
          </a:pPr>
          <a:r>
            <a:rPr lang="en-US" sz="900" b="0" kern="1200">
              <a:latin typeface="+mj-lt"/>
            </a:rPr>
            <a:t>Scholarships &amp;  Traineeships</a:t>
          </a:r>
          <a:endParaRPr lang="en-US" sz="900" kern="1200">
            <a:latin typeface="+mj-lt"/>
          </a:endParaRPr>
        </a:p>
      </dsp:txBody>
      <dsp:txXfrm>
        <a:off x="29725" y="2450104"/>
        <a:ext cx="955425" cy="3221581"/>
      </dsp:txXfrm>
    </dsp:sp>
    <dsp:sp modelId="{B3B3DC6F-D278-41CD-9C83-09B45A0FAF76}">
      <dsp:nvSpPr>
        <dsp:cNvPr id="0" name=""/>
        <dsp:cNvSpPr/>
      </dsp:nvSpPr>
      <dsp:spPr>
        <a:xfrm>
          <a:off x="1102300" y="2420379"/>
          <a:ext cx="1014875" cy="32810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ts val="0"/>
            </a:spcAft>
          </a:pPr>
          <a:r>
            <a:rPr lang="en-US" sz="900" b="1" kern="1200">
              <a:latin typeface="+mj-lt"/>
            </a:rPr>
            <a:t>Research Council</a:t>
          </a:r>
        </a:p>
        <a:p>
          <a:pPr lvl="0" algn="ctr" defTabSz="400050">
            <a:lnSpc>
              <a:spcPct val="90000"/>
            </a:lnSpc>
            <a:spcBef>
              <a:spcPct val="0"/>
            </a:spcBef>
            <a:spcAft>
              <a:spcPts val="0"/>
            </a:spcAft>
          </a:pPr>
          <a:r>
            <a:rPr lang="en-US" sz="900" kern="1200">
              <a:latin typeface="+mj-lt"/>
            </a:rPr>
            <a:t>center directors</a:t>
          </a:r>
        </a:p>
        <a:p>
          <a:pPr lvl="0" algn="ctr" defTabSz="400050">
            <a:lnSpc>
              <a:spcPct val="90000"/>
            </a:lnSpc>
            <a:spcBef>
              <a:spcPct val="0"/>
            </a:spcBef>
            <a:spcAft>
              <a:spcPts val="0"/>
            </a:spcAft>
          </a:pPr>
          <a:endParaRPr lang="en-US" sz="900" kern="1200">
            <a:latin typeface="+mj-lt"/>
          </a:endParaRPr>
        </a:p>
        <a:p>
          <a:pPr lvl="0" algn="ctr" defTabSz="400050">
            <a:lnSpc>
              <a:spcPct val="90000"/>
            </a:lnSpc>
            <a:spcBef>
              <a:spcPct val="0"/>
            </a:spcBef>
            <a:spcAft>
              <a:spcPts val="0"/>
            </a:spcAft>
          </a:pPr>
          <a:endParaRPr lang="en-US" sz="900" kern="1200">
            <a:latin typeface="+mj-lt"/>
          </a:endParaRPr>
        </a:p>
        <a:p>
          <a:pPr lvl="0" algn="ctr" defTabSz="400050">
            <a:lnSpc>
              <a:spcPct val="90000"/>
            </a:lnSpc>
            <a:spcBef>
              <a:spcPct val="0"/>
            </a:spcBef>
            <a:spcAft>
              <a:spcPts val="0"/>
            </a:spcAft>
          </a:pPr>
          <a:endParaRPr lang="en-US" sz="900" kern="1200">
            <a:latin typeface="+mj-lt"/>
          </a:endParaRPr>
        </a:p>
        <a:p>
          <a:pPr lvl="0" algn="ctr" defTabSz="400050">
            <a:lnSpc>
              <a:spcPct val="90000"/>
            </a:lnSpc>
            <a:spcBef>
              <a:spcPct val="0"/>
            </a:spcBef>
            <a:spcAft>
              <a:spcPts val="0"/>
            </a:spcAft>
          </a:pPr>
          <a:endParaRPr lang="en-US" sz="900" kern="1200">
            <a:latin typeface="+mj-lt"/>
          </a:endParaRPr>
        </a:p>
        <a:p>
          <a:pPr lvl="0" algn="ctr" defTabSz="400050">
            <a:lnSpc>
              <a:spcPct val="90000"/>
            </a:lnSpc>
            <a:spcBef>
              <a:spcPct val="0"/>
            </a:spcBef>
            <a:spcAft>
              <a:spcPts val="0"/>
            </a:spcAft>
          </a:pPr>
          <a:endParaRPr lang="en-US" sz="900" kern="1200">
            <a:latin typeface="+mj-lt"/>
          </a:endParaRPr>
        </a:p>
        <a:p>
          <a:pPr lvl="0" algn="ctr" defTabSz="400050">
            <a:lnSpc>
              <a:spcPct val="90000"/>
            </a:lnSpc>
            <a:spcBef>
              <a:spcPct val="0"/>
            </a:spcBef>
            <a:spcAft>
              <a:spcPts val="0"/>
            </a:spcAft>
          </a:pPr>
          <a:endParaRPr lang="en-US" sz="900" kern="1200">
            <a:latin typeface="+mj-lt"/>
          </a:endParaRPr>
        </a:p>
        <a:p>
          <a:pPr lvl="0" algn="ctr" defTabSz="400050">
            <a:lnSpc>
              <a:spcPct val="90000"/>
            </a:lnSpc>
            <a:spcBef>
              <a:spcPct val="0"/>
            </a:spcBef>
            <a:spcAft>
              <a:spcPts val="0"/>
            </a:spcAft>
          </a:pPr>
          <a:endParaRPr lang="en-US" sz="900" kern="1200">
            <a:latin typeface="+mj-lt"/>
          </a:endParaRPr>
        </a:p>
        <a:p>
          <a:pPr lvl="0" algn="ctr" defTabSz="400050">
            <a:lnSpc>
              <a:spcPct val="90000"/>
            </a:lnSpc>
            <a:spcBef>
              <a:spcPct val="0"/>
            </a:spcBef>
            <a:spcAft>
              <a:spcPts val="0"/>
            </a:spcAft>
          </a:pPr>
          <a:endParaRPr lang="en-US" sz="900" kern="1200">
            <a:latin typeface="+mj-lt"/>
          </a:endParaRPr>
        </a:p>
        <a:p>
          <a:pPr lvl="0" algn="ctr" defTabSz="400050">
            <a:lnSpc>
              <a:spcPct val="90000"/>
            </a:lnSpc>
            <a:spcBef>
              <a:spcPct val="0"/>
            </a:spcBef>
            <a:spcAft>
              <a:spcPts val="0"/>
            </a:spcAft>
          </a:pPr>
          <a:endParaRPr lang="en-US" sz="900" kern="1200">
            <a:latin typeface="+mj-lt"/>
          </a:endParaRPr>
        </a:p>
        <a:p>
          <a:pPr lvl="0" algn="ctr" defTabSz="400050">
            <a:lnSpc>
              <a:spcPct val="90000"/>
            </a:lnSpc>
            <a:spcBef>
              <a:spcPct val="0"/>
            </a:spcBef>
            <a:spcAft>
              <a:spcPts val="0"/>
            </a:spcAft>
          </a:pPr>
          <a:endParaRPr lang="en-US" sz="900" kern="1200">
            <a:latin typeface="+mj-lt"/>
          </a:endParaRPr>
        </a:p>
        <a:p>
          <a:pPr lvl="0" algn="ctr" defTabSz="400050">
            <a:lnSpc>
              <a:spcPct val="90000"/>
            </a:lnSpc>
            <a:spcBef>
              <a:spcPct val="0"/>
            </a:spcBef>
            <a:spcAft>
              <a:spcPts val="0"/>
            </a:spcAft>
          </a:pPr>
          <a:endParaRPr lang="en-US" sz="900" kern="1200">
            <a:latin typeface="+mj-lt"/>
          </a:endParaRPr>
        </a:p>
        <a:p>
          <a:pPr lvl="0" algn="ctr" defTabSz="400050">
            <a:lnSpc>
              <a:spcPct val="90000"/>
            </a:lnSpc>
            <a:spcBef>
              <a:spcPct val="0"/>
            </a:spcBef>
            <a:spcAft>
              <a:spcPts val="0"/>
            </a:spcAft>
          </a:pPr>
          <a:endParaRPr lang="en-US" sz="900" kern="1200">
            <a:latin typeface="+mj-lt"/>
          </a:endParaRPr>
        </a:p>
        <a:p>
          <a:pPr lvl="0" algn="ctr" defTabSz="400050">
            <a:lnSpc>
              <a:spcPct val="90000"/>
            </a:lnSpc>
            <a:spcBef>
              <a:spcPct val="0"/>
            </a:spcBef>
            <a:spcAft>
              <a:spcPts val="0"/>
            </a:spcAft>
          </a:pPr>
          <a:endParaRPr lang="en-US" sz="900" kern="1200">
            <a:latin typeface="+mj-lt"/>
          </a:endParaRPr>
        </a:p>
        <a:p>
          <a:pPr lvl="0" algn="ctr" defTabSz="400050">
            <a:lnSpc>
              <a:spcPct val="90000"/>
            </a:lnSpc>
            <a:spcBef>
              <a:spcPct val="0"/>
            </a:spcBef>
            <a:spcAft>
              <a:spcPts val="0"/>
            </a:spcAft>
          </a:pPr>
          <a:endParaRPr lang="en-US" sz="900" kern="1200">
            <a:latin typeface="+mj-lt"/>
          </a:endParaRPr>
        </a:p>
      </dsp:txBody>
      <dsp:txXfrm>
        <a:off x="1132025" y="2450104"/>
        <a:ext cx="955425" cy="3221581"/>
      </dsp:txXfrm>
    </dsp:sp>
    <dsp:sp modelId="{3D5A3601-AA3F-4371-AEA0-86C18C379255}">
      <dsp:nvSpPr>
        <dsp:cNvPr id="0" name=""/>
        <dsp:cNvSpPr/>
      </dsp:nvSpPr>
      <dsp:spPr>
        <a:xfrm>
          <a:off x="2202425" y="2420379"/>
          <a:ext cx="1014875" cy="32810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ts val="0"/>
            </a:spcAft>
          </a:pPr>
          <a:r>
            <a:rPr lang="en-US" sz="900" b="1" kern="1200">
              <a:latin typeface="+mj-lt"/>
            </a:rPr>
            <a:t>Practice Council</a:t>
          </a:r>
        </a:p>
        <a:p>
          <a:pPr lvl="0" algn="ctr" defTabSz="400050">
            <a:lnSpc>
              <a:spcPct val="90000"/>
            </a:lnSpc>
            <a:spcBef>
              <a:spcPct val="0"/>
            </a:spcBef>
            <a:spcAft>
              <a:spcPts val="0"/>
            </a:spcAft>
          </a:pPr>
          <a:r>
            <a:rPr lang="en-US" sz="900" b="0" kern="1200">
              <a:latin typeface="+mj-lt"/>
            </a:rPr>
            <a:t>department and campus reps</a:t>
          </a:r>
        </a:p>
        <a:p>
          <a:pPr lvl="0" algn="ctr" defTabSz="400050">
            <a:lnSpc>
              <a:spcPct val="90000"/>
            </a:lnSpc>
            <a:spcBef>
              <a:spcPct val="0"/>
            </a:spcBef>
            <a:spcAft>
              <a:spcPts val="0"/>
            </a:spcAft>
          </a:pPr>
          <a:endParaRPr lang="en-US" sz="900" b="0" kern="1200">
            <a:latin typeface="+mj-lt"/>
          </a:endParaRPr>
        </a:p>
        <a:p>
          <a:pPr lvl="0" algn="ctr" defTabSz="400050">
            <a:lnSpc>
              <a:spcPct val="90000"/>
            </a:lnSpc>
            <a:spcBef>
              <a:spcPct val="0"/>
            </a:spcBef>
            <a:spcAft>
              <a:spcPts val="0"/>
            </a:spcAft>
          </a:pPr>
          <a:r>
            <a:rPr lang="en-US" sz="900" b="0" kern="1200">
              <a:latin typeface="+mj-lt"/>
            </a:rPr>
            <a:t>student reps</a:t>
          </a:r>
        </a:p>
        <a:p>
          <a:pPr lvl="0" algn="ctr" defTabSz="400050">
            <a:lnSpc>
              <a:spcPct val="90000"/>
            </a:lnSpc>
            <a:spcBef>
              <a:spcPct val="0"/>
            </a:spcBef>
            <a:spcAft>
              <a:spcPts val="0"/>
            </a:spcAft>
          </a:pPr>
          <a:endParaRPr lang="en-US" sz="900" b="0" kern="1200">
            <a:latin typeface="+mj-lt"/>
          </a:endParaRPr>
        </a:p>
        <a:p>
          <a:pPr lvl="0" algn="ctr" defTabSz="400050">
            <a:lnSpc>
              <a:spcPct val="90000"/>
            </a:lnSpc>
            <a:spcBef>
              <a:spcPct val="0"/>
            </a:spcBef>
            <a:spcAft>
              <a:spcPts val="0"/>
            </a:spcAft>
          </a:pPr>
          <a:r>
            <a:rPr lang="en-US" sz="900" b="0" kern="1200">
              <a:latin typeface="+mj-lt"/>
            </a:rPr>
            <a:t>community reps</a:t>
          </a:r>
        </a:p>
        <a:p>
          <a:pPr lvl="0" algn="ctr" defTabSz="400050">
            <a:lnSpc>
              <a:spcPct val="90000"/>
            </a:lnSpc>
            <a:spcBef>
              <a:spcPct val="0"/>
            </a:spcBef>
            <a:spcAft>
              <a:spcPts val="0"/>
            </a:spcAft>
          </a:pPr>
          <a:endParaRPr lang="en-US" sz="900" b="0" kern="1200">
            <a:latin typeface="+mj-lt"/>
          </a:endParaRPr>
        </a:p>
        <a:p>
          <a:pPr lvl="0" algn="ctr" defTabSz="400050">
            <a:lnSpc>
              <a:spcPct val="90000"/>
            </a:lnSpc>
            <a:spcBef>
              <a:spcPct val="0"/>
            </a:spcBef>
            <a:spcAft>
              <a:spcPts val="0"/>
            </a:spcAft>
          </a:pPr>
          <a:endParaRPr lang="en-US" sz="900" b="0" kern="1200">
            <a:latin typeface="+mj-lt"/>
          </a:endParaRPr>
        </a:p>
        <a:p>
          <a:pPr lvl="0" algn="ctr" defTabSz="400050">
            <a:lnSpc>
              <a:spcPct val="90000"/>
            </a:lnSpc>
            <a:spcBef>
              <a:spcPct val="0"/>
            </a:spcBef>
            <a:spcAft>
              <a:spcPts val="0"/>
            </a:spcAft>
          </a:pPr>
          <a:endParaRPr lang="en-US" sz="900" b="0" kern="1200">
            <a:latin typeface="+mj-lt"/>
          </a:endParaRPr>
        </a:p>
        <a:p>
          <a:pPr lvl="0" algn="ctr" defTabSz="400050">
            <a:lnSpc>
              <a:spcPct val="90000"/>
            </a:lnSpc>
            <a:spcBef>
              <a:spcPct val="0"/>
            </a:spcBef>
            <a:spcAft>
              <a:spcPts val="0"/>
            </a:spcAft>
          </a:pPr>
          <a:endParaRPr lang="en-US" sz="900" b="0" kern="1200">
            <a:latin typeface="+mj-lt"/>
          </a:endParaRPr>
        </a:p>
        <a:p>
          <a:pPr lvl="0" algn="ctr" defTabSz="400050">
            <a:lnSpc>
              <a:spcPct val="90000"/>
            </a:lnSpc>
            <a:spcBef>
              <a:spcPct val="0"/>
            </a:spcBef>
            <a:spcAft>
              <a:spcPts val="0"/>
            </a:spcAft>
          </a:pPr>
          <a:endParaRPr lang="en-US" sz="900" b="0" kern="1200">
            <a:latin typeface="+mj-lt"/>
          </a:endParaRPr>
        </a:p>
        <a:p>
          <a:pPr lvl="0" algn="ctr" defTabSz="400050">
            <a:lnSpc>
              <a:spcPct val="90000"/>
            </a:lnSpc>
            <a:spcBef>
              <a:spcPct val="0"/>
            </a:spcBef>
            <a:spcAft>
              <a:spcPts val="0"/>
            </a:spcAft>
          </a:pPr>
          <a:endParaRPr lang="en-US" sz="900" b="0" kern="1200">
            <a:latin typeface="+mj-lt"/>
          </a:endParaRPr>
        </a:p>
        <a:p>
          <a:pPr lvl="0" algn="ctr" defTabSz="400050">
            <a:lnSpc>
              <a:spcPct val="90000"/>
            </a:lnSpc>
            <a:spcBef>
              <a:spcPct val="0"/>
            </a:spcBef>
            <a:spcAft>
              <a:spcPts val="0"/>
            </a:spcAft>
          </a:pPr>
          <a:endParaRPr lang="en-US" sz="900" b="0" kern="1200">
            <a:latin typeface="+mj-lt"/>
          </a:endParaRPr>
        </a:p>
        <a:p>
          <a:pPr lvl="0" algn="ctr" defTabSz="400050">
            <a:lnSpc>
              <a:spcPct val="90000"/>
            </a:lnSpc>
            <a:spcBef>
              <a:spcPct val="0"/>
            </a:spcBef>
            <a:spcAft>
              <a:spcPts val="0"/>
            </a:spcAft>
          </a:pPr>
          <a:endParaRPr lang="en-US" sz="900" b="0" kern="1200">
            <a:latin typeface="+mj-lt"/>
          </a:endParaRPr>
        </a:p>
        <a:p>
          <a:pPr lvl="0" algn="ctr" defTabSz="400050">
            <a:lnSpc>
              <a:spcPct val="90000"/>
            </a:lnSpc>
            <a:spcBef>
              <a:spcPct val="0"/>
            </a:spcBef>
            <a:spcAft>
              <a:spcPts val="0"/>
            </a:spcAft>
          </a:pPr>
          <a:endParaRPr lang="en-US" sz="900" b="0" kern="1200">
            <a:latin typeface="+mj-lt"/>
          </a:endParaRPr>
        </a:p>
        <a:p>
          <a:pPr lvl="0" algn="ctr" defTabSz="400050">
            <a:lnSpc>
              <a:spcPct val="90000"/>
            </a:lnSpc>
            <a:spcBef>
              <a:spcPct val="0"/>
            </a:spcBef>
            <a:spcAft>
              <a:spcPts val="0"/>
            </a:spcAft>
          </a:pPr>
          <a:endParaRPr lang="en-US" sz="900" b="0" kern="1200">
            <a:latin typeface="+mj-lt"/>
          </a:endParaRPr>
        </a:p>
        <a:p>
          <a:pPr lvl="0" algn="ctr" defTabSz="400050">
            <a:lnSpc>
              <a:spcPct val="90000"/>
            </a:lnSpc>
            <a:spcBef>
              <a:spcPct val="0"/>
            </a:spcBef>
            <a:spcAft>
              <a:spcPts val="0"/>
            </a:spcAft>
          </a:pPr>
          <a:endParaRPr lang="en-US" sz="900" b="0" kern="1200">
            <a:latin typeface="+mj-lt"/>
          </a:endParaRPr>
        </a:p>
        <a:p>
          <a:pPr lvl="0" algn="ctr" defTabSz="400050">
            <a:lnSpc>
              <a:spcPct val="90000"/>
            </a:lnSpc>
            <a:spcBef>
              <a:spcPct val="0"/>
            </a:spcBef>
            <a:spcAft>
              <a:spcPts val="0"/>
            </a:spcAft>
          </a:pPr>
          <a:endParaRPr lang="en-US" sz="900" kern="1200">
            <a:latin typeface="+mj-lt"/>
          </a:endParaRPr>
        </a:p>
      </dsp:txBody>
      <dsp:txXfrm>
        <a:off x="2232150" y="2450104"/>
        <a:ext cx="955425" cy="3221581"/>
      </dsp:txXfrm>
    </dsp:sp>
    <dsp:sp modelId="{F7FC4A22-CC0F-44EE-A4A1-646336EA53BA}">
      <dsp:nvSpPr>
        <dsp:cNvPr id="0" name=""/>
        <dsp:cNvSpPr/>
      </dsp:nvSpPr>
      <dsp:spPr>
        <a:xfrm>
          <a:off x="3302550" y="2420379"/>
          <a:ext cx="1014875" cy="32810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ts val="0"/>
            </a:spcAft>
          </a:pPr>
          <a:r>
            <a:rPr lang="en-US" sz="900" b="1" kern="1200">
              <a:latin typeface="+mj-lt"/>
            </a:rPr>
            <a:t>Faculty Council</a:t>
          </a:r>
        </a:p>
        <a:p>
          <a:pPr lvl="0" algn="ctr" defTabSz="400050">
            <a:lnSpc>
              <a:spcPct val="90000"/>
            </a:lnSpc>
            <a:spcBef>
              <a:spcPct val="0"/>
            </a:spcBef>
            <a:spcAft>
              <a:spcPts val="0"/>
            </a:spcAft>
          </a:pPr>
          <a:r>
            <a:rPr lang="en-US" sz="900" b="0" kern="1200">
              <a:latin typeface="+mj-lt"/>
            </a:rPr>
            <a:t>department and campus reps</a:t>
          </a:r>
        </a:p>
        <a:p>
          <a:pPr lvl="0" algn="l" defTabSz="400050">
            <a:lnSpc>
              <a:spcPct val="90000"/>
            </a:lnSpc>
            <a:spcBef>
              <a:spcPct val="0"/>
            </a:spcBef>
            <a:spcAft>
              <a:spcPts val="0"/>
            </a:spcAft>
          </a:pPr>
          <a:endParaRPr lang="en-US" sz="900" b="0" kern="1200">
            <a:latin typeface="+mj-lt"/>
          </a:endParaRPr>
        </a:p>
        <a:p>
          <a:pPr lvl="0" algn="l" defTabSz="400050">
            <a:lnSpc>
              <a:spcPct val="90000"/>
            </a:lnSpc>
            <a:spcBef>
              <a:spcPct val="0"/>
            </a:spcBef>
            <a:spcAft>
              <a:spcPts val="0"/>
            </a:spcAft>
          </a:pPr>
          <a:endParaRPr lang="en-US" sz="900" b="0" kern="1200">
            <a:latin typeface="+mj-lt"/>
          </a:endParaRPr>
        </a:p>
        <a:p>
          <a:pPr lvl="0" algn="l" defTabSz="400050">
            <a:lnSpc>
              <a:spcPct val="90000"/>
            </a:lnSpc>
            <a:spcBef>
              <a:spcPct val="0"/>
            </a:spcBef>
            <a:spcAft>
              <a:spcPts val="0"/>
            </a:spcAft>
          </a:pPr>
          <a:endParaRPr lang="en-US" sz="900" b="0" kern="1200">
            <a:latin typeface="+mj-lt"/>
          </a:endParaRPr>
        </a:p>
        <a:p>
          <a:pPr lvl="0" algn="l" defTabSz="400050">
            <a:lnSpc>
              <a:spcPct val="90000"/>
            </a:lnSpc>
            <a:spcBef>
              <a:spcPct val="0"/>
            </a:spcBef>
            <a:spcAft>
              <a:spcPts val="0"/>
            </a:spcAft>
          </a:pPr>
          <a:endParaRPr lang="en-US" sz="900" b="0" kern="1200">
            <a:latin typeface="+mj-lt"/>
          </a:endParaRPr>
        </a:p>
        <a:p>
          <a:pPr lvl="0" algn="l" defTabSz="400050">
            <a:lnSpc>
              <a:spcPct val="90000"/>
            </a:lnSpc>
            <a:spcBef>
              <a:spcPct val="0"/>
            </a:spcBef>
            <a:spcAft>
              <a:spcPts val="0"/>
            </a:spcAft>
          </a:pPr>
          <a:endParaRPr lang="en-US" sz="900" b="0" kern="1200">
            <a:latin typeface="+mj-lt"/>
          </a:endParaRPr>
        </a:p>
        <a:p>
          <a:pPr lvl="0" algn="ctr" defTabSz="400050">
            <a:lnSpc>
              <a:spcPct val="90000"/>
            </a:lnSpc>
            <a:spcBef>
              <a:spcPct val="0"/>
            </a:spcBef>
            <a:spcAft>
              <a:spcPts val="0"/>
            </a:spcAft>
          </a:pPr>
          <a:r>
            <a:rPr lang="en-US" sz="900" b="1" kern="1200">
              <a:latin typeface="+mj-lt"/>
            </a:rPr>
            <a:t>Sub-committees</a:t>
          </a:r>
          <a:endParaRPr lang="en-US" sz="900" b="0" kern="1200">
            <a:latin typeface="+mj-lt"/>
          </a:endParaRPr>
        </a:p>
        <a:p>
          <a:pPr lvl="0" algn="ctr" defTabSz="400050">
            <a:lnSpc>
              <a:spcPct val="90000"/>
            </a:lnSpc>
            <a:spcBef>
              <a:spcPct val="0"/>
            </a:spcBef>
            <a:spcAft>
              <a:spcPts val="0"/>
            </a:spcAft>
          </a:pPr>
          <a:r>
            <a:rPr lang="en-US" sz="900" b="0" kern="1200">
              <a:latin typeface="+mj-lt"/>
            </a:rPr>
            <a:t>3-year Review Committee</a:t>
          </a:r>
        </a:p>
        <a:p>
          <a:pPr lvl="0" algn="ctr" defTabSz="400050">
            <a:lnSpc>
              <a:spcPct val="90000"/>
            </a:lnSpc>
            <a:spcBef>
              <a:spcPct val="0"/>
            </a:spcBef>
            <a:spcAft>
              <a:spcPts val="0"/>
            </a:spcAft>
          </a:pPr>
          <a:endParaRPr lang="en-US" sz="900" b="0" kern="1200">
            <a:latin typeface="+mj-lt"/>
          </a:endParaRPr>
        </a:p>
        <a:p>
          <a:pPr lvl="0" algn="ctr" defTabSz="400050">
            <a:lnSpc>
              <a:spcPct val="90000"/>
            </a:lnSpc>
            <a:spcBef>
              <a:spcPct val="0"/>
            </a:spcBef>
            <a:spcAft>
              <a:spcPts val="0"/>
            </a:spcAft>
          </a:pPr>
          <a:r>
            <a:rPr lang="en-US" sz="900" b="0" kern="1200">
              <a:latin typeface="+mj-lt"/>
            </a:rPr>
            <a:t>Faculty Awards</a:t>
          </a:r>
        </a:p>
        <a:p>
          <a:pPr lvl="0" algn="ctr" defTabSz="400050">
            <a:lnSpc>
              <a:spcPct val="90000"/>
            </a:lnSpc>
            <a:spcBef>
              <a:spcPct val="0"/>
            </a:spcBef>
            <a:spcAft>
              <a:spcPts val="0"/>
            </a:spcAft>
          </a:pPr>
          <a:endParaRPr lang="en-US" sz="900" b="0" kern="1200">
            <a:latin typeface="+mj-lt"/>
          </a:endParaRPr>
        </a:p>
        <a:p>
          <a:pPr lvl="0" algn="ctr" defTabSz="400050">
            <a:lnSpc>
              <a:spcPct val="90000"/>
            </a:lnSpc>
            <a:spcBef>
              <a:spcPct val="0"/>
            </a:spcBef>
            <a:spcAft>
              <a:spcPts val="0"/>
            </a:spcAft>
          </a:pPr>
          <a:r>
            <a:rPr lang="en-US" sz="900" b="0" kern="1200">
              <a:latin typeface="+mj-lt"/>
            </a:rPr>
            <a:t>Tenure and Promotion </a:t>
          </a:r>
        </a:p>
        <a:p>
          <a:pPr lvl="0" algn="l" defTabSz="400050">
            <a:lnSpc>
              <a:spcPct val="90000"/>
            </a:lnSpc>
            <a:spcBef>
              <a:spcPct val="0"/>
            </a:spcBef>
            <a:spcAft>
              <a:spcPts val="0"/>
            </a:spcAft>
          </a:pPr>
          <a:endParaRPr lang="en-US" sz="900" b="0" kern="1200">
            <a:latin typeface="+mj-lt"/>
          </a:endParaRPr>
        </a:p>
        <a:p>
          <a:pPr lvl="0" algn="l" defTabSz="400050">
            <a:lnSpc>
              <a:spcPct val="90000"/>
            </a:lnSpc>
            <a:spcBef>
              <a:spcPct val="0"/>
            </a:spcBef>
            <a:spcAft>
              <a:spcPts val="0"/>
            </a:spcAft>
          </a:pPr>
          <a:endParaRPr lang="en-US" sz="900" b="0" kern="1200">
            <a:latin typeface="+mj-lt"/>
          </a:endParaRPr>
        </a:p>
        <a:p>
          <a:pPr lvl="0" algn="l" defTabSz="400050">
            <a:lnSpc>
              <a:spcPct val="90000"/>
            </a:lnSpc>
            <a:spcBef>
              <a:spcPct val="0"/>
            </a:spcBef>
            <a:spcAft>
              <a:spcPts val="0"/>
            </a:spcAft>
          </a:pPr>
          <a:endParaRPr lang="en-US" sz="900" b="0" kern="1200">
            <a:latin typeface="+mj-lt"/>
          </a:endParaRPr>
        </a:p>
        <a:p>
          <a:pPr lvl="0" algn="l" defTabSz="400050">
            <a:lnSpc>
              <a:spcPct val="90000"/>
            </a:lnSpc>
            <a:spcBef>
              <a:spcPct val="0"/>
            </a:spcBef>
            <a:spcAft>
              <a:spcPts val="0"/>
            </a:spcAft>
          </a:pPr>
          <a:endParaRPr lang="en-US" sz="900" b="0" kern="1200">
            <a:latin typeface="+mj-lt"/>
          </a:endParaRPr>
        </a:p>
      </dsp:txBody>
      <dsp:txXfrm>
        <a:off x="3332275" y="2450104"/>
        <a:ext cx="955425" cy="3221581"/>
      </dsp:txXfrm>
    </dsp:sp>
    <dsp:sp modelId="{C09D31D6-BC52-4FDD-A30E-689207CE1CA8}">
      <dsp:nvSpPr>
        <dsp:cNvPr id="0" name=""/>
        <dsp:cNvSpPr/>
      </dsp:nvSpPr>
      <dsp:spPr>
        <a:xfrm>
          <a:off x="4402675" y="2420379"/>
          <a:ext cx="1014875" cy="32810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ts val="0"/>
            </a:spcAft>
          </a:pPr>
          <a:endParaRPr lang="en-US" sz="900" b="1" kern="1200">
            <a:latin typeface="+mj-lt"/>
          </a:endParaRPr>
        </a:p>
        <a:p>
          <a:pPr lvl="0" algn="ctr" defTabSz="400050">
            <a:lnSpc>
              <a:spcPct val="90000"/>
            </a:lnSpc>
            <a:spcBef>
              <a:spcPct val="0"/>
            </a:spcBef>
            <a:spcAft>
              <a:spcPts val="0"/>
            </a:spcAft>
          </a:pPr>
          <a:endParaRPr lang="en-US" sz="900" b="1" kern="1200">
            <a:latin typeface="+mj-lt"/>
          </a:endParaRPr>
        </a:p>
        <a:p>
          <a:pPr lvl="0" algn="ctr" defTabSz="400050">
            <a:lnSpc>
              <a:spcPct val="90000"/>
            </a:lnSpc>
            <a:spcBef>
              <a:spcPct val="0"/>
            </a:spcBef>
            <a:spcAft>
              <a:spcPts val="0"/>
            </a:spcAft>
          </a:pPr>
          <a:r>
            <a:rPr lang="en-US" sz="900" b="1" kern="1200">
              <a:latin typeface="+mj-lt"/>
            </a:rPr>
            <a:t>Dean's Office</a:t>
          </a:r>
        </a:p>
        <a:p>
          <a:pPr lvl="0" algn="ctr" defTabSz="400050">
            <a:lnSpc>
              <a:spcPct val="90000"/>
            </a:lnSpc>
            <a:spcBef>
              <a:spcPct val="0"/>
            </a:spcBef>
            <a:spcAft>
              <a:spcPts val="0"/>
            </a:spcAft>
          </a:pPr>
          <a:endParaRPr lang="en-US" sz="900" b="1" kern="1200">
            <a:latin typeface="+mj-lt"/>
          </a:endParaRPr>
        </a:p>
        <a:p>
          <a:pPr lvl="0" algn="l" defTabSz="400050">
            <a:lnSpc>
              <a:spcPct val="90000"/>
            </a:lnSpc>
            <a:spcBef>
              <a:spcPct val="0"/>
            </a:spcBef>
            <a:spcAft>
              <a:spcPts val="0"/>
            </a:spcAft>
          </a:pPr>
          <a:endParaRPr lang="en-US" sz="900" b="0" kern="1200">
            <a:latin typeface="+mj-lt"/>
          </a:endParaRPr>
        </a:p>
        <a:p>
          <a:pPr lvl="0" algn="ctr" defTabSz="400050">
            <a:lnSpc>
              <a:spcPct val="90000"/>
            </a:lnSpc>
            <a:spcBef>
              <a:spcPct val="0"/>
            </a:spcBef>
            <a:spcAft>
              <a:spcPts val="0"/>
            </a:spcAft>
          </a:pPr>
          <a:r>
            <a:rPr lang="en-US" sz="900" b="1" kern="1200">
              <a:latin typeface="+mj-lt"/>
            </a:rPr>
            <a:t>Sub-committees</a:t>
          </a:r>
        </a:p>
        <a:p>
          <a:pPr lvl="0" algn="ctr" defTabSz="400050">
            <a:lnSpc>
              <a:spcPct val="90000"/>
            </a:lnSpc>
            <a:spcBef>
              <a:spcPct val="0"/>
            </a:spcBef>
            <a:spcAft>
              <a:spcPts val="0"/>
            </a:spcAft>
          </a:pPr>
          <a:r>
            <a:rPr lang="en-US" sz="900" b="0" kern="1200">
              <a:latin typeface="+mj-lt"/>
            </a:rPr>
            <a:t>IT Advisory Committee</a:t>
          </a:r>
        </a:p>
        <a:p>
          <a:pPr lvl="0" algn="ctr" defTabSz="400050">
            <a:lnSpc>
              <a:spcPct val="90000"/>
            </a:lnSpc>
            <a:spcBef>
              <a:spcPct val="0"/>
            </a:spcBef>
            <a:spcAft>
              <a:spcPts val="0"/>
            </a:spcAft>
          </a:pPr>
          <a:endParaRPr lang="en-US" sz="900" b="0" kern="1200">
            <a:latin typeface="+mj-lt"/>
          </a:endParaRPr>
        </a:p>
        <a:p>
          <a:pPr lvl="0" algn="ctr" defTabSz="400050">
            <a:lnSpc>
              <a:spcPct val="90000"/>
            </a:lnSpc>
            <a:spcBef>
              <a:spcPct val="0"/>
            </a:spcBef>
            <a:spcAft>
              <a:spcPts val="0"/>
            </a:spcAft>
          </a:pPr>
          <a:r>
            <a:rPr lang="en-US" sz="900" b="0" kern="1200">
              <a:latin typeface="+mj-lt"/>
            </a:rPr>
            <a:t>Management and Facilities</a:t>
          </a:r>
        </a:p>
        <a:p>
          <a:pPr lvl="0" algn="ctr" defTabSz="400050">
            <a:lnSpc>
              <a:spcPct val="90000"/>
            </a:lnSpc>
            <a:spcBef>
              <a:spcPct val="0"/>
            </a:spcBef>
            <a:spcAft>
              <a:spcPts val="0"/>
            </a:spcAft>
          </a:pPr>
          <a:endParaRPr lang="en-US" sz="900" b="0" kern="1200">
            <a:latin typeface="+mj-lt"/>
          </a:endParaRPr>
        </a:p>
        <a:p>
          <a:pPr lvl="0" algn="ctr" defTabSz="400050">
            <a:lnSpc>
              <a:spcPct val="90000"/>
            </a:lnSpc>
            <a:spcBef>
              <a:spcPct val="0"/>
            </a:spcBef>
            <a:spcAft>
              <a:spcPts val="0"/>
            </a:spcAft>
          </a:pPr>
          <a:r>
            <a:rPr lang="en-US" sz="900" b="0" kern="1200">
              <a:latin typeface="+mj-lt"/>
            </a:rPr>
            <a:t>Dean's Advisory Board</a:t>
          </a:r>
        </a:p>
        <a:p>
          <a:pPr lvl="0" algn="ctr" defTabSz="400050">
            <a:lnSpc>
              <a:spcPct val="90000"/>
            </a:lnSpc>
            <a:spcBef>
              <a:spcPct val="0"/>
            </a:spcBef>
            <a:spcAft>
              <a:spcPts val="0"/>
            </a:spcAft>
          </a:pPr>
          <a:endParaRPr lang="en-US" sz="900" kern="1200">
            <a:latin typeface="+mj-lt"/>
          </a:endParaRPr>
        </a:p>
        <a:p>
          <a:pPr lvl="0" algn="ctr" defTabSz="400050">
            <a:lnSpc>
              <a:spcPct val="90000"/>
            </a:lnSpc>
            <a:spcBef>
              <a:spcPct val="0"/>
            </a:spcBef>
            <a:spcAft>
              <a:spcPts val="0"/>
            </a:spcAft>
          </a:pPr>
          <a:r>
            <a:rPr lang="en-US" sz="900" kern="1200">
              <a:latin typeface="+mj-lt"/>
            </a:rPr>
            <a:t>Inclusion, Diversity, Equity, and Advocacy Committee</a:t>
          </a:r>
          <a:endParaRPr lang="en-US" sz="900" b="0" kern="1200">
            <a:latin typeface="+mj-lt"/>
          </a:endParaRPr>
        </a:p>
        <a:p>
          <a:pPr lvl="0" algn="l" defTabSz="400050">
            <a:lnSpc>
              <a:spcPct val="90000"/>
            </a:lnSpc>
            <a:spcBef>
              <a:spcPct val="0"/>
            </a:spcBef>
            <a:spcAft>
              <a:spcPts val="0"/>
            </a:spcAft>
          </a:pPr>
          <a:endParaRPr lang="en-US" sz="900" b="0" kern="1200">
            <a:latin typeface="+mj-lt"/>
          </a:endParaRPr>
        </a:p>
        <a:p>
          <a:pPr lvl="0" algn="l" defTabSz="400050">
            <a:lnSpc>
              <a:spcPct val="90000"/>
            </a:lnSpc>
            <a:spcBef>
              <a:spcPct val="0"/>
            </a:spcBef>
            <a:spcAft>
              <a:spcPts val="0"/>
            </a:spcAft>
          </a:pPr>
          <a:endParaRPr lang="en-US" sz="900" b="0" kern="1200">
            <a:latin typeface="+mj-lt"/>
          </a:endParaRPr>
        </a:p>
        <a:p>
          <a:pPr lvl="0" algn="l" defTabSz="400050">
            <a:lnSpc>
              <a:spcPct val="90000"/>
            </a:lnSpc>
            <a:spcBef>
              <a:spcPct val="0"/>
            </a:spcBef>
            <a:spcAft>
              <a:spcPts val="0"/>
            </a:spcAft>
          </a:pPr>
          <a:endParaRPr lang="en-US" sz="900" b="0" kern="1200">
            <a:latin typeface="+mj-lt"/>
          </a:endParaRPr>
        </a:p>
        <a:p>
          <a:pPr lvl="0" algn="l" defTabSz="400050">
            <a:lnSpc>
              <a:spcPct val="90000"/>
            </a:lnSpc>
            <a:spcBef>
              <a:spcPct val="0"/>
            </a:spcBef>
            <a:spcAft>
              <a:spcPts val="0"/>
            </a:spcAft>
          </a:pPr>
          <a:endParaRPr lang="en-US" sz="900" b="0" kern="1200">
            <a:latin typeface="+mj-lt"/>
          </a:endParaRPr>
        </a:p>
        <a:p>
          <a:pPr lvl="0" algn="l" defTabSz="400050">
            <a:lnSpc>
              <a:spcPct val="90000"/>
            </a:lnSpc>
            <a:spcBef>
              <a:spcPct val="0"/>
            </a:spcBef>
            <a:spcAft>
              <a:spcPts val="0"/>
            </a:spcAft>
          </a:pPr>
          <a:endParaRPr lang="en-US" sz="900" b="0" kern="1200">
            <a:latin typeface="+mj-lt"/>
          </a:endParaRPr>
        </a:p>
        <a:p>
          <a:pPr lvl="0" algn="l" defTabSz="400050">
            <a:lnSpc>
              <a:spcPct val="90000"/>
            </a:lnSpc>
            <a:spcBef>
              <a:spcPct val="0"/>
            </a:spcBef>
            <a:spcAft>
              <a:spcPts val="0"/>
            </a:spcAft>
          </a:pPr>
          <a:endParaRPr lang="en-US" sz="900" b="0" kern="1200">
            <a:latin typeface="+mj-lt"/>
          </a:endParaRPr>
        </a:p>
      </dsp:txBody>
      <dsp:txXfrm>
        <a:off x="4432400" y="2450104"/>
        <a:ext cx="955425" cy="322158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D72A5AECF48EF8F73E1984B768D9F"/>
        <w:category>
          <w:name w:val="General"/>
          <w:gallery w:val="placeholder"/>
        </w:category>
        <w:types>
          <w:type w:val="bbPlcHdr"/>
        </w:types>
        <w:behaviors>
          <w:behavior w:val="content"/>
        </w:behaviors>
        <w:guid w:val="{9746A60E-8CDF-4A96-92A6-B8BE8FF3FE85}"/>
      </w:docPartPr>
      <w:docPartBody>
        <w:p w:rsidR="005373D5" w:rsidRDefault="005373D5" w:rsidP="005373D5">
          <w:pPr>
            <w:pStyle w:val="E55D72A5AECF48EF8F73E1984B768D9F"/>
          </w:pPr>
          <w:r w:rsidRPr="00AF5758">
            <w:rPr>
              <w:rStyle w:val="PlaceholderText"/>
            </w:rPr>
            <w:t>Choose an item.</w:t>
          </w:r>
        </w:p>
      </w:docPartBody>
    </w:docPart>
    <w:docPart>
      <w:docPartPr>
        <w:name w:val="1C841734E5A540CC99A4334127BE827B"/>
        <w:category>
          <w:name w:val="General"/>
          <w:gallery w:val="placeholder"/>
        </w:category>
        <w:types>
          <w:type w:val="bbPlcHdr"/>
        </w:types>
        <w:behaviors>
          <w:behavior w:val="content"/>
        </w:behaviors>
        <w:guid w:val="{DBD5DCB8-0C37-4995-9A07-32A52AF8623A}"/>
      </w:docPartPr>
      <w:docPartBody>
        <w:p w:rsidR="005373D5" w:rsidRDefault="005373D5" w:rsidP="005373D5">
          <w:pPr>
            <w:pStyle w:val="1C841734E5A540CC99A4334127BE827B"/>
          </w:pPr>
          <w:r w:rsidRPr="00AF5758">
            <w:rPr>
              <w:rStyle w:val="PlaceholderText"/>
            </w:rPr>
            <w:t>Choose an item.</w:t>
          </w:r>
        </w:p>
      </w:docPartBody>
    </w:docPart>
    <w:docPart>
      <w:docPartPr>
        <w:name w:val="AC35C51C3DF441C4A999024F47EA559B"/>
        <w:category>
          <w:name w:val="General"/>
          <w:gallery w:val="placeholder"/>
        </w:category>
        <w:types>
          <w:type w:val="bbPlcHdr"/>
        </w:types>
        <w:behaviors>
          <w:behavior w:val="content"/>
        </w:behaviors>
        <w:guid w:val="{6A7FE5B0-C1F7-480B-8CCB-787CBCFFA300}"/>
      </w:docPartPr>
      <w:docPartBody>
        <w:p w:rsidR="005373D5" w:rsidRDefault="005373D5" w:rsidP="005373D5">
          <w:pPr>
            <w:pStyle w:val="AC35C51C3DF441C4A999024F47EA559B"/>
          </w:pPr>
          <w:r w:rsidRPr="00AF575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D5"/>
    <w:rsid w:val="00047B65"/>
    <w:rsid w:val="005373D5"/>
    <w:rsid w:val="005D740B"/>
    <w:rsid w:val="006B4057"/>
    <w:rsid w:val="00AB459A"/>
    <w:rsid w:val="00B735A0"/>
    <w:rsid w:val="00BE1C69"/>
    <w:rsid w:val="00E13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3D5"/>
  </w:style>
  <w:style w:type="paragraph" w:customStyle="1" w:styleId="E55D72A5AECF48EF8F73E1984B768D9F">
    <w:name w:val="E55D72A5AECF48EF8F73E1984B768D9F"/>
    <w:rsid w:val="005373D5"/>
  </w:style>
  <w:style w:type="paragraph" w:customStyle="1" w:styleId="1C841734E5A540CC99A4334127BE827B">
    <w:name w:val="1C841734E5A540CC99A4334127BE827B"/>
    <w:rsid w:val="005373D5"/>
  </w:style>
  <w:style w:type="paragraph" w:customStyle="1" w:styleId="AC35C51C3DF441C4A999024F47EA559B">
    <w:name w:val="AC35C51C3DF441C4A999024F47EA559B"/>
    <w:rsid w:val="00537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E11FC6-D88A-477C-A51F-B92D497B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124508</Words>
  <Characters>709699</Characters>
  <Application>Microsoft Office Word</Application>
  <DocSecurity>0</DocSecurity>
  <Lines>5914</Lines>
  <Paragraphs>1665</Paragraphs>
  <ScaleCrop>false</ScaleCrop>
  <HeadingPairs>
    <vt:vector size="2" baseType="variant">
      <vt:variant>
        <vt:lpstr>Title</vt:lpstr>
      </vt:variant>
      <vt:variant>
        <vt:i4>1</vt:i4>
      </vt:variant>
    </vt:vector>
  </HeadingPairs>
  <TitlesOfParts>
    <vt:vector size="1" baseType="lpstr">
      <vt:lpstr>UTHealth School of Public Health</vt:lpstr>
    </vt:vector>
  </TitlesOfParts>
  <Company/>
  <LinksUpToDate>false</LinksUpToDate>
  <CharactersWithSpaces>832542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UTHealth School of Public Health</dc:title>
  <dc:subject/>
  <dc:creator>Alisha O'Connell</dc:creator>
  <cp:keywords/>
  <dc:description/>
  <cp:lastModifiedBy>Donahue, Sarah</cp:lastModifiedBy>
  <cp:revision>2</cp:revision>
  <cp:lastPrinted>2019-09-14T16:08:00Z</cp:lastPrinted>
  <dcterms:created xsi:type="dcterms:W3CDTF">2019-09-18T15:27:00Z</dcterms:created>
  <dcterms:modified xsi:type="dcterms:W3CDTF">2019-09-18T15:27:00Z</dcterms:modified>
  <cp:category>CEPH Self-Study</cp:category>
</cp:coreProperties>
</file>